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2.xml" ContentType="application/vnd.openxmlformats-officedocument.drawingml.chartshapes+xml"/>
  <Override PartName="/word/footer7.xml" ContentType="application/vnd.openxmlformats-officedocument.wordprocessingml.footer+xml"/>
  <Override PartName="/word/footer8.xml" ContentType="application/vnd.openxmlformats-officedocument.wordprocessingml.footer+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0E43" w14:textId="4EB6C8F3" w:rsidR="00FA334F" w:rsidRDefault="00FA334F" w:rsidP="00066F33"/>
    <w:p w14:paraId="5AA0A684" w14:textId="77777777" w:rsidR="00066F33" w:rsidRDefault="00066F33" w:rsidP="00066F33"/>
    <w:p w14:paraId="5BBD11DC" w14:textId="77777777" w:rsidR="00066F33" w:rsidRDefault="00066F33" w:rsidP="00066F33"/>
    <w:p w14:paraId="338A86FD" w14:textId="77777777" w:rsidR="000669BB" w:rsidRDefault="000669BB" w:rsidP="00066F33"/>
    <w:p w14:paraId="6949C784" w14:textId="77777777" w:rsidR="000669BB" w:rsidRDefault="000669BB" w:rsidP="00066F33"/>
    <w:p w14:paraId="3E42127A" w14:textId="77777777" w:rsidR="000669BB" w:rsidRPr="00AE61B4" w:rsidRDefault="000669BB" w:rsidP="004D5FD0"/>
    <w:p w14:paraId="3938E999" w14:textId="77777777" w:rsidR="000669BB" w:rsidRDefault="000669BB" w:rsidP="00E319F6">
      <w:pPr>
        <w:pStyle w:val="Versionanddate"/>
        <w:spacing w:after="720"/>
        <w:rPr>
          <w:b/>
          <w:bCs/>
          <w:sz w:val="56"/>
          <w:szCs w:val="56"/>
        </w:rPr>
      </w:pPr>
    </w:p>
    <w:p w14:paraId="59F55C8F" w14:textId="732993B8" w:rsidR="00082923" w:rsidRPr="00E319F6" w:rsidRDefault="00DC239E" w:rsidP="004D5FD0">
      <w:pPr>
        <w:pStyle w:val="Heading1"/>
        <w:rPr>
          <w:sz w:val="56"/>
          <w:szCs w:val="56"/>
        </w:rPr>
      </w:pPr>
      <w:r w:rsidRPr="004D5FD0">
        <w:rPr>
          <w:b w:val="0"/>
          <w:sz w:val="70"/>
          <w:szCs w:val="70"/>
        </w:rPr>
        <w:t xml:space="preserve">Report: </w:t>
      </w:r>
      <w:r w:rsidR="00D4454B" w:rsidRPr="004D5FD0">
        <w:rPr>
          <w:b w:val="0"/>
          <w:sz w:val="70"/>
          <w:szCs w:val="70"/>
        </w:rPr>
        <w:t>Thin Market Trials</w:t>
      </w:r>
      <w:r w:rsidR="00066F33" w:rsidRPr="004D5FD0">
        <w:rPr>
          <w:sz w:val="70"/>
          <w:szCs w:val="70"/>
        </w:rPr>
        <w:t xml:space="preserve"> </w:t>
      </w:r>
      <w:r w:rsidR="000F74F9" w:rsidRPr="004D5FD0">
        <w:rPr>
          <w:sz w:val="70"/>
          <w:szCs w:val="70"/>
        </w:rPr>
        <w:t>Final Evaluation</w:t>
      </w:r>
      <w:r w:rsidR="00082923" w:rsidRPr="00082923">
        <w:rPr>
          <w:rFonts w:eastAsia="Times New Roman"/>
          <w:color w:val="FEFFFF"/>
        </w:rPr>
        <w:tab/>
      </w:r>
    </w:p>
    <w:p w14:paraId="57ADEF70" w14:textId="77777777" w:rsidR="00A446AA" w:rsidRDefault="00A446AA" w:rsidP="00082923">
      <w:pPr>
        <w:spacing w:before="0" w:after="200"/>
        <w:rPr>
          <w:rFonts w:eastAsia="Times New Roman" w:cs="Times New Roman"/>
          <w:color w:val="FEFFFF"/>
          <w:sz w:val="28"/>
          <w:szCs w:val="28"/>
          <w:lang w:val="en-US"/>
        </w:rPr>
      </w:pPr>
    </w:p>
    <w:p w14:paraId="4D536561" w14:textId="77777777" w:rsidR="005D1207" w:rsidRDefault="00082923" w:rsidP="004D5FD0">
      <w:pPr>
        <w:pStyle w:val="Versionanddate"/>
        <w:rPr>
          <w:lang w:val="en-US"/>
        </w:rPr>
      </w:pPr>
      <w:r w:rsidRPr="00082923">
        <w:rPr>
          <w:lang w:val="en-US"/>
        </w:rPr>
        <w:t xml:space="preserve">Version 1.0 </w:t>
      </w:r>
      <w:r w:rsidRPr="00082923">
        <w:rPr>
          <w:lang w:val="en-US"/>
        </w:rPr>
        <w:softHyphen/>
      </w:r>
    </w:p>
    <w:p w14:paraId="34ECB969" w14:textId="20BE3BE9" w:rsidR="00082923" w:rsidRPr="00082923" w:rsidRDefault="00683F5C" w:rsidP="004D5FD0">
      <w:pPr>
        <w:pStyle w:val="Versionanddate"/>
        <w:rPr>
          <w:sz w:val="80"/>
          <w:szCs w:val="96"/>
        </w:rPr>
      </w:pPr>
      <w:r w:rsidRPr="00683F5C">
        <w:rPr>
          <w:rFonts w:cs="Times New Roman"/>
          <w:lang w:val="en-US"/>
        </w:rPr>
        <w:t xml:space="preserve">August </w:t>
      </w:r>
      <w:r w:rsidR="00BB14E4">
        <w:rPr>
          <w:rFonts w:cs="Times New Roman"/>
          <w:lang w:val="en-US"/>
        </w:rPr>
        <w:t>2023</w:t>
      </w:r>
      <w:r w:rsidR="00082923" w:rsidRPr="00082923">
        <w:rPr>
          <w:rFonts w:cs="Times New Roman"/>
          <w:lang w:val="en-US"/>
        </w:rPr>
        <w:br/>
      </w:r>
      <w:r w:rsidR="00082923" w:rsidRPr="00082923">
        <w:rPr>
          <w:rFonts w:cs="Times New Roman"/>
          <w:lang w:val="en-US"/>
        </w:rPr>
        <w:br/>
      </w:r>
      <w:r w:rsidR="00082923" w:rsidRPr="00082923">
        <w:rPr>
          <w:lang w:val="en-US"/>
        </w:rPr>
        <w:t>ndis.gov.au</w:t>
      </w:r>
    </w:p>
    <w:p w14:paraId="4A345911" w14:textId="5EF0C4A1" w:rsidR="00186A2D" w:rsidRPr="00A446AA" w:rsidRDefault="00082923" w:rsidP="00CB590E">
      <w:pPr>
        <w:spacing w:before="0" w:after="0"/>
        <w:ind w:right="95"/>
        <w:rPr>
          <w:rFonts w:eastAsia="Times New Roman" w:cs="Times New Roman"/>
          <w:b/>
          <w:color w:val="FF0000"/>
          <w:sz w:val="24"/>
          <w:lang w:val="en-US"/>
        </w:rPr>
      </w:pPr>
      <w:r w:rsidRPr="00082923">
        <w:rPr>
          <w:rFonts w:eastAsia="Times New Roman" w:cs="Times New Roman"/>
          <w:noProof/>
          <w:color w:val="FEFFFF"/>
          <w:sz w:val="28"/>
          <w:szCs w:val="28"/>
          <w:lang w:eastAsia="en-AU"/>
        </w:rPr>
        <w:drawing>
          <wp:inline distT="0" distB="0" distL="0" distR="0" wp14:anchorId="51487549" wp14:editId="63C858FE">
            <wp:extent cx="966470" cy="509270"/>
            <wp:effectExtent l="0" t="0" r="5080" b="5080"/>
            <wp:docPr id="25" name="Picture 25"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p>
    <w:p w14:paraId="0ABD616D" w14:textId="77777777" w:rsidR="00186A2D" w:rsidRDefault="00186A2D" w:rsidP="00CB590E">
      <w:pPr>
        <w:spacing w:before="0" w:after="0"/>
        <w:ind w:right="95"/>
        <w:rPr>
          <w:rFonts w:eastAsia="Times New Roman" w:cs="Times New Roman"/>
          <w:b/>
          <w:color w:val="C00000"/>
          <w:sz w:val="24"/>
          <w:lang w:val="en-US"/>
        </w:rPr>
      </w:pPr>
    </w:p>
    <w:p w14:paraId="64F4D968" w14:textId="77777777" w:rsidR="00186A2D" w:rsidRDefault="00186A2D" w:rsidP="00CB590E">
      <w:pPr>
        <w:spacing w:before="0" w:after="0"/>
        <w:ind w:right="95"/>
        <w:rPr>
          <w:rFonts w:eastAsia="Times New Roman" w:cs="Times New Roman"/>
          <w:b/>
          <w:color w:val="C00000"/>
          <w:sz w:val="24"/>
          <w:lang w:val="en-US"/>
        </w:rPr>
      </w:pPr>
    </w:p>
    <w:p w14:paraId="08C0DE47" w14:textId="6A444658" w:rsidR="00082923" w:rsidRPr="00CB590E" w:rsidRDefault="00082923" w:rsidP="00CB590E">
      <w:pPr>
        <w:spacing w:before="0" w:after="0"/>
        <w:ind w:right="95"/>
        <w:rPr>
          <w:rFonts w:eastAsia="Times New Roman" w:cs="Times New Roman"/>
          <w:b/>
          <w:color w:val="FF0000"/>
          <w:sz w:val="24"/>
          <w:lang w:val="en-US"/>
        </w:rPr>
        <w:sectPr w:rsidR="00082923" w:rsidRPr="00CB590E">
          <w:headerReference w:type="even" r:id="rId12"/>
          <w:headerReference w:type="default" r:id="rId13"/>
          <w:footerReference w:type="even" r:id="rId14"/>
          <w:footerReference w:type="default" r:id="rId15"/>
          <w:headerReference w:type="first" r:id="rId16"/>
          <w:pgSz w:w="11906" w:h="16838" w:code="9"/>
          <w:pgMar w:top="1440" w:right="1440" w:bottom="1440" w:left="1440" w:header="737" w:footer="0" w:gutter="0"/>
          <w:cols w:space="708"/>
          <w:titlePg/>
          <w:docGrid w:linePitch="360"/>
        </w:sectPr>
      </w:pPr>
      <w:r w:rsidRPr="00082923">
        <w:rPr>
          <w:rFonts w:eastAsia="Times New Roman" w:cs="Times New Roman"/>
          <w:b/>
          <w:color w:val="FF0000"/>
          <w:sz w:val="24"/>
          <w:lang w:val="en-US"/>
        </w:rPr>
        <w:br/>
      </w:r>
    </w:p>
    <w:p w14:paraId="6B88A870" w14:textId="77777777" w:rsidR="002D7152" w:rsidRDefault="002D7152" w:rsidP="00A01FA6">
      <w:pPr>
        <w:pStyle w:val="Heading3nonumber"/>
      </w:pPr>
      <w:bookmarkStart w:id="0" w:name="_Toc111206302"/>
      <w:bookmarkStart w:id="1" w:name="_Toc120547619"/>
      <w:r>
        <w:lastRenderedPageBreak/>
        <w:t>This document</w:t>
      </w:r>
      <w:bookmarkEnd w:id="0"/>
      <w:bookmarkEnd w:id="1"/>
    </w:p>
    <w:p w14:paraId="74B2BADC" w14:textId="26CD3EAD" w:rsidR="002D7152" w:rsidRDefault="002D7152" w:rsidP="002D7152">
      <w:pPr>
        <w:spacing w:line="276" w:lineRule="auto"/>
      </w:pPr>
      <w:r>
        <w:t xml:space="preserve">This report presents </w:t>
      </w:r>
      <w:r w:rsidR="006042E4">
        <w:t>the final</w:t>
      </w:r>
      <w:r>
        <w:t xml:space="preserve"> evaluation findings related to National Disability Insurance Agency’s (NDIA’s) Thin Market Trials. This includes Trials in locations agreed by Commonwealth and State and Territory ministers responsible for disability and other thin market projects identified by the NDIA.</w:t>
      </w:r>
    </w:p>
    <w:p w14:paraId="07B78987" w14:textId="77777777" w:rsidR="002D7152" w:rsidRDefault="002D7152" w:rsidP="00A01FA6">
      <w:pPr>
        <w:pStyle w:val="Heading3nonumber"/>
      </w:pPr>
      <w:bookmarkStart w:id="2" w:name="_Toc111206303"/>
      <w:bookmarkStart w:id="3" w:name="_Toc120547620"/>
      <w:r>
        <w:t>Contributors</w:t>
      </w:r>
      <w:bookmarkEnd w:id="2"/>
      <w:bookmarkEnd w:id="3"/>
    </w:p>
    <w:p w14:paraId="2723C069" w14:textId="77777777" w:rsidR="002D7152" w:rsidRDefault="002D7152" w:rsidP="002D7152">
      <w:pPr>
        <w:spacing w:line="276" w:lineRule="auto"/>
      </w:pPr>
      <w:r>
        <w:t>The NDIA’s Research and Evaluation Branch delivered this evaluation. The Branch is responsible for ensuring that trustworthy and robust evidence informs NDIA policies, practices and priorities.</w:t>
      </w:r>
    </w:p>
    <w:p w14:paraId="219930BF" w14:textId="77777777" w:rsidR="002D7152" w:rsidRDefault="002D7152" w:rsidP="00A01FA6">
      <w:pPr>
        <w:pStyle w:val="Heading3nonumber"/>
      </w:pPr>
      <w:bookmarkStart w:id="4" w:name="_Toc111206304"/>
      <w:bookmarkStart w:id="5" w:name="_Toc120547621"/>
      <w:r>
        <w:t>Disclaimer</w:t>
      </w:r>
      <w:bookmarkEnd w:id="4"/>
      <w:bookmarkEnd w:id="5"/>
    </w:p>
    <w:p w14:paraId="0CEFD67F" w14:textId="5BEB7A10" w:rsidR="002D7152" w:rsidRDefault="002D7152" w:rsidP="002D7152">
      <w:pPr>
        <w:spacing w:line="276" w:lineRule="auto"/>
      </w:pPr>
      <w:r>
        <w:t xml:space="preserve">The NDIA disclaims all liability to any person in respect of anything, and of the consequences of anything, done or </w:t>
      </w:r>
      <w:r w:rsidR="005D0A53">
        <w:t>not</w:t>
      </w:r>
      <w:r>
        <w:t xml:space="preserve"> done by any such person in reliance, whether wholly or partly, upon any information in this report.</w:t>
      </w:r>
    </w:p>
    <w:p w14:paraId="68048812" w14:textId="0CB1D5EC" w:rsidR="002D7152" w:rsidRDefault="002D7152" w:rsidP="002D7152">
      <w:pPr>
        <w:spacing w:line="276" w:lineRule="auto"/>
      </w:pPr>
      <w:r>
        <w:t>Material in this report is available on the understanding that the future decision-making or changes to National Disability Insurance Scheme (NDIS) processes are subject to information additional to this report. Views and recommendations of third parties, which this report</w:t>
      </w:r>
      <w:r w:rsidR="005D0A53">
        <w:t xml:space="preserve"> may include</w:t>
      </w:r>
      <w:r>
        <w:t>, do not necessarily reflect the views of the NDIA, or indicate a commitment to a particular course of action.</w:t>
      </w:r>
    </w:p>
    <w:p w14:paraId="10E514C0" w14:textId="77777777" w:rsidR="002D7152" w:rsidRDefault="002D7152" w:rsidP="00A01FA6">
      <w:pPr>
        <w:pStyle w:val="Heading3nonumber"/>
      </w:pPr>
      <w:bookmarkStart w:id="6" w:name="_Toc111206305"/>
      <w:bookmarkStart w:id="7" w:name="_Toc120547622"/>
      <w:r>
        <w:t>Acknowledgements</w:t>
      </w:r>
      <w:bookmarkEnd w:id="6"/>
      <w:bookmarkEnd w:id="7"/>
    </w:p>
    <w:p w14:paraId="3F59C70B" w14:textId="61311377" w:rsidR="002D7152" w:rsidRDefault="002D7152" w:rsidP="002D7152">
      <w:pPr>
        <w:spacing w:line="276" w:lineRule="auto"/>
      </w:pPr>
      <w:r>
        <w:t>The Evaluation Team would also like to acknowledge all who assisted in the development of this report by supporting and participating in interviews and surveys. The team especially acknowledges the support provided by the Market Intervention and Commissioning Branch.</w:t>
      </w:r>
    </w:p>
    <w:p w14:paraId="2427A907" w14:textId="77777777" w:rsidR="00416007" w:rsidRDefault="002D7152" w:rsidP="00A17C20">
      <w:r>
        <w:t>The NDIA also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14:paraId="01E28EB0" w14:textId="418B9D8B" w:rsidR="002D7152" w:rsidRPr="00A17C20" w:rsidRDefault="002D7152" w:rsidP="00A17C20">
      <w:r>
        <w:br w:type="page"/>
      </w:r>
    </w:p>
    <w:p w14:paraId="029806CB" w14:textId="77777777" w:rsidR="00902389" w:rsidRDefault="007219F1" w:rsidP="000E1907">
      <w:pPr>
        <w:pStyle w:val="Heading2NotinTOC"/>
        <w:rPr>
          <w:noProof/>
        </w:rPr>
      </w:pPr>
      <w:bookmarkStart w:id="8" w:name="_Toc111206306"/>
      <w:bookmarkStart w:id="9" w:name="_Toc111206420"/>
      <w:bookmarkStart w:id="10" w:name="_Toc120547623"/>
      <w:r w:rsidRPr="004D32B5">
        <w:lastRenderedPageBreak/>
        <w:t>Contents</w:t>
      </w:r>
      <w:bookmarkEnd w:id="8"/>
      <w:bookmarkEnd w:id="9"/>
      <w:bookmarkEnd w:id="10"/>
      <w:r w:rsidR="000E1907">
        <w:rPr>
          <w:color w:val="2B579A"/>
          <w:shd w:val="clear" w:color="auto" w:fill="E6E6E6"/>
        </w:rPr>
        <w:fldChar w:fldCharType="begin"/>
      </w:r>
      <w:r w:rsidR="000E1907">
        <w:rPr>
          <w:color w:val="2B579A"/>
          <w:shd w:val="clear" w:color="auto" w:fill="E6E6E6"/>
        </w:rPr>
        <w:instrText xml:space="preserve"> TOC \h \z \t "Heading 2,1,Heading 3,2,Heading 2 no number,1,Appendix 1,1,ES heading 3,3" </w:instrText>
      </w:r>
      <w:r w:rsidR="000E1907">
        <w:rPr>
          <w:color w:val="2B579A"/>
          <w:shd w:val="clear" w:color="auto" w:fill="E6E6E6"/>
        </w:rPr>
        <w:fldChar w:fldCharType="separate"/>
      </w:r>
    </w:p>
    <w:p w14:paraId="1D4955C4" w14:textId="7E67BF31" w:rsidR="00902389" w:rsidRDefault="00000000">
      <w:pPr>
        <w:pStyle w:val="TOC1"/>
        <w:rPr>
          <w:rFonts w:asciiTheme="minorHAnsi" w:hAnsiTheme="minorHAnsi"/>
          <w:noProof/>
          <w:szCs w:val="22"/>
          <w:lang w:eastAsia="en-AU"/>
        </w:rPr>
      </w:pPr>
      <w:hyperlink w:anchor="_Toc136336646" w:history="1">
        <w:r w:rsidR="00902389" w:rsidRPr="006C5E28">
          <w:rPr>
            <w:rStyle w:val="Hyperlink"/>
            <w:noProof/>
          </w:rPr>
          <w:t>Abbreviations</w:t>
        </w:r>
        <w:r w:rsidR="00902389">
          <w:rPr>
            <w:noProof/>
            <w:webHidden/>
          </w:rPr>
          <w:tab/>
        </w:r>
        <w:r w:rsidR="00902389">
          <w:rPr>
            <w:noProof/>
            <w:webHidden/>
          </w:rPr>
          <w:fldChar w:fldCharType="begin"/>
        </w:r>
        <w:r w:rsidR="00902389">
          <w:rPr>
            <w:noProof/>
            <w:webHidden/>
          </w:rPr>
          <w:instrText xml:space="preserve"> PAGEREF _Toc136336646 \h </w:instrText>
        </w:r>
        <w:r w:rsidR="00902389">
          <w:rPr>
            <w:noProof/>
            <w:webHidden/>
          </w:rPr>
        </w:r>
        <w:r w:rsidR="00902389">
          <w:rPr>
            <w:noProof/>
            <w:webHidden/>
          </w:rPr>
          <w:fldChar w:fldCharType="separate"/>
        </w:r>
        <w:r w:rsidR="00902389">
          <w:rPr>
            <w:noProof/>
            <w:webHidden/>
          </w:rPr>
          <w:t>i</w:t>
        </w:r>
        <w:r w:rsidR="00902389">
          <w:rPr>
            <w:noProof/>
            <w:webHidden/>
          </w:rPr>
          <w:fldChar w:fldCharType="end"/>
        </w:r>
      </w:hyperlink>
    </w:p>
    <w:p w14:paraId="216C06A4" w14:textId="33A617E2" w:rsidR="00902389" w:rsidRDefault="00000000">
      <w:pPr>
        <w:pStyle w:val="TOC1"/>
        <w:rPr>
          <w:rFonts w:asciiTheme="minorHAnsi" w:hAnsiTheme="minorHAnsi"/>
          <w:noProof/>
          <w:szCs w:val="22"/>
          <w:lang w:eastAsia="en-AU"/>
        </w:rPr>
      </w:pPr>
      <w:hyperlink w:anchor="_Toc136336647" w:history="1">
        <w:r w:rsidR="00902389" w:rsidRPr="006C5E28">
          <w:rPr>
            <w:rStyle w:val="Hyperlink"/>
            <w:noProof/>
          </w:rPr>
          <w:t>Key findings</w:t>
        </w:r>
        <w:r w:rsidR="00902389">
          <w:rPr>
            <w:noProof/>
            <w:webHidden/>
          </w:rPr>
          <w:tab/>
        </w:r>
        <w:r w:rsidR="00902389">
          <w:rPr>
            <w:noProof/>
            <w:webHidden/>
          </w:rPr>
          <w:fldChar w:fldCharType="begin"/>
        </w:r>
        <w:r w:rsidR="00902389">
          <w:rPr>
            <w:noProof/>
            <w:webHidden/>
          </w:rPr>
          <w:instrText xml:space="preserve"> PAGEREF _Toc136336647 \h </w:instrText>
        </w:r>
        <w:r w:rsidR="00902389">
          <w:rPr>
            <w:noProof/>
            <w:webHidden/>
          </w:rPr>
        </w:r>
        <w:r w:rsidR="00902389">
          <w:rPr>
            <w:noProof/>
            <w:webHidden/>
          </w:rPr>
          <w:fldChar w:fldCharType="separate"/>
        </w:r>
        <w:r w:rsidR="00902389">
          <w:rPr>
            <w:noProof/>
            <w:webHidden/>
          </w:rPr>
          <w:t>iii</w:t>
        </w:r>
        <w:r w:rsidR="00902389">
          <w:rPr>
            <w:noProof/>
            <w:webHidden/>
          </w:rPr>
          <w:fldChar w:fldCharType="end"/>
        </w:r>
      </w:hyperlink>
    </w:p>
    <w:p w14:paraId="4847822B" w14:textId="550A0691" w:rsidR="00902389" w:rsidRDefault="00000000">
      <w:pPr>
        <w:pStyle w:val="TOC1"/>
        <w:rPr>
          <w:rFonts w:asciiTheme="minorHAnsi" w:hAnsiTheme="minorHAnsi"/>
          <w:noProof/>
          <w:szCs w:val="22"/>
          <w:lang w:eastAsia="en-AU"/>
        </w:rPr>
      </w:pPr>
      <w:hyperlink w:anchor="_Toc136336648" w:history="1">
        <w:r w:rsidR="00902389" w:rsidRPr="006C5E28">
          <w:rPr>
            <w:rStyle w:val="Hyperlink"/>
            <w:noProof/>
          </w:rPr>
          <w:t>Executive Summary</w:t>
        </w:r>
        <w:r w:rsidR="00902389">
          <w:rPr>
            <w:noProof/>
            <w:webHidden/>
          </w:rPr>
          <w:tab/>
        </w:r>
        <w:r w:rsidR="00902389">
          <w:rPr>
            <w:noProof/>
            <w:webHidden/>
          </w:rPr>
          <w:fldChar w:fldCharType="begin"/>
        </w:r>
        <w:r w:rsidR="00902389">
          <w:rPr>
            <w:noProof/>
            <w:webHidden/>
          </w:rPr>
          <w:instrText xml:space="preserve"> PAGEREF _Toc136336648 \h </w:instrText>
        </w:r>
        <w:r w:rsidR="00902389">
          <w:rPr>
            <w:noProof/>
            <w:webHidden/>
          </w:rPr>
        </w:r>
        <w:r w:rsidR="00902389">
          <w:rPr>
            <w:noProof/>
            <w:webHidden/>
          </w:rPr>
          <w:fldChar w:fldCharType="separate"/>
        </w:r>
        <w:r w:rsidR="00902389">
          <w:rPr>
            <w:noProof/>
            <w:webHidden/>
          </w:rPr>
          <w:t>iv</w:t>
        </w:r>
        <w:r w:rsidR="00902389">
          <w:rPr>
            <w:noProof/>
            <w:webHidden/>
          </w:rPr>
          <w:fldChar w:fldCharType="end"/>
        </w:r>
      </w:hyperlink>
    </w:p>
    <w:p w14:paraId="7A59751F" w14:textId="6633210A" w:rsidR="00902389" w:rsidRDefault="00000000">
      <w:pPr>
        <w:pStyle w:val="TOC3"/>
        <w:tabs>
          <w:tab w:val="left" w:pos="1100"/>
        </w:tabs>
        <w:rPr>
          <w:rFonts w:asciiTheme="minorHAnsi" w:hAnsiTheme="minorHAnsi"/>
          <w:noProof/>
          <w:szCs w:val="22"/>
          <w:lang w:eastAsia="en-AU"/>
        </w:rPr>
      </w:pPr>
      <w:hyperlink w:anchor="_Toc136336649" w:history="1">
        <w:r w:rsidR="00902389" w:rsidRPr="006C5E28">
          <w:rPr>
            <w:rStyle w:val="Hyperlink"/>
            <w:noProof/>
          </w:rPr>
          <w:t>ES1</w:t>
        </w:r>
        <w:r w:rsidR="00902389">
          <w:rPr>
            <w:rFonts w:asciiTheme="minorHAnsi" w:hAnsiTheme="minorHAnsi"/>
            <w:noProof/>
            <w:szCs w:val="22"/>
            <w:lang w:eastAsia="en-AU"/>
          </w:rPr>
          <w:tab/>
        </w:r>
        <w:r w:rsidR="00902389" w:rsidRPr="006C5E28">
          <w:rPr>
            <w:rStyle w:val="Hyperlink"/>
            <w:noProof/>
          </w:rPr>
          <w:t>Introduction</w:t>
        </w:r>
        <w:r w:rsidR="00902389">
          <w:rPr>
            <w:noProof/>
            <w:webHidden/>
          </w:rPr>
          <w:tab/>
        </w:r>
        <w:r w:rsidR="00902389">
          <w:rPr>
            <w:noProof/>
            <w:webHidden/>
          </w:rPr>
          <w:fldChar w:fldCharType="begin"/>
        </w:r>
        <w:r w:rsidR="00902389">
          <w:rPr>
            <w:noProof/>
            <w:webHidden/>
          </w:rPr>
          <w:instrText xml:space="preserve"> PAGEREF _Toc136336649 \h </w:instrText>
        </w:r>
        <w:r w:rsidR="00902389">
          <w:rPr>
            <w:noProof/>
            <w:webHidden/>
          </w:rPr>
        </w:r>
        <w:r w:rsidR="00902389">
          <w:rPr>
            <w:noProof/>
            <w:webHidden/>
          </w:rPr>
          <w:fldChar w:fldCharType="separate"/>
        </w:r>
        <w:r w:rsidR="00902389">
          <w:rPr>
            <w:noProof/>
            <w:webHidden/>
          </w:rPr>
          <w:t>iv</w:t>
        </w:r>
        <w:r w:rsidR="00902389">
          <w:rPr>
            <w:noProof/>
            <w:webHidden/>
          </w:rPr>
          <w:fldChar w:fldCharType="end"/>
        </w:r>
      </w:hyperlink>
    </w:p>
    <w:p w14:paraId="54EF2DBB" w14:textId="51C29961" w:rsidR="00902389" w:rsidRDefault="00000000">
      <w:pPr>
        <w:pStyle w:val="TOC3"/>
        <w:tabs>
          <w:tab w:val="left" w:pos="1100"/>
        </w:tabs>
        <w:rPr>
          <w:rFonts w:asciiTheme="minorHAnsi" w:hAnsiTheme="minorHAnsi"/>
          <w:noProof/>
          <w:szCs w:val="22"/>
          <w:lang w:eastAsia="en-AU"/>
        </w:rPr>
      </w:pPr>
      <w:hyperlink w:anchor="_Toc136336650" w:history="1">
        <w:r w:rsidR="00902389" w:rsidRPr="006C5E28">
          <w:rPr>
            <w:rStyle w:val="Hyperlink"/>
            <w:noProof/>
          </w:rPr>
          <w:t>ES2</w:t>
        </w:r>
        <w:r w:rsidR="00902389">
          <w:rPr>
            <w:rFonts w:asciiTheme="minorHAnsi" w:hAnsiTheme="minorHAnsi"/>
            <w:noProof/>
            <w:szCs w:val="22"/>
            <w:lang w:eastAsia="en-AU"/>
          </w:rPr>
          <w:tab/>
        </w:r>
        <w:r w:rsidR="00902389" w:rsidRPr="006C5E28">
          <w:rPr>
            <w:rStyle w:val="Hyperlink"/>
            <w:noProof/>
          </w:rPr>
          <w:t>Evaluation findings</w:t>
        </w:r>
        <w:r w:rsidR="00902389">
          <w:rPr>
            <w:noProof/>
            <w:webHidden/>
          </w:rPr>
          <w:tab/>
        </w:r>
        <w:r w:rsidR="00902389">
          <w:rPr>
            <w:noProof/>
            <w:webHidden/>
          </w:rPr>
          <w:fldChar w:fldCharType="begin"/>
        </w:r>
        <w:r w:rsidR="00902389">
          <w:rPr>
            <w:noProof/>
            <w:webHidden/>
          </w:rPr>
          <w:instrText xml:space="preserve"> PAGEREF _Toc136336650 \h </w:instrText>
        </w:r>
        <w:r w:rsidR="00902389">
          <w:rPr>
            <w:noProof/>
            <w:webHidden/>
          </w:rPr>
        </w:r>
        <w:r w:rsidR="00902389">
          <w:rPr>
            <w:noProof/>
            <w:webHidden/>
          </w:rPr>
          <w:fldChar w:fldCharType="separate"/>
        </w:r>
        <w:r w:rsidR="00902389">
          <w:rPr>
            <w:noProof/>
            <w:webHidden/>
          </w:rPr>
          <w:t>iv</w:t>
        </w:r>
        <w:r w:rsidR="00902389">
          <w:rPr>
            <w:noProof/>
            <w:webHidden/>
          </w:rPr>
          <w:fldChar w:fldCharType="end"/>
        </w:r>
      </w:hyperlink>
    </w:p>
    <w:p w14:paraId="76BA485B" w14:textId="5B8AF7F5" w:rsidR="00902389" w:rsidRDefault="00000000">
      <w:pPr>
        <w:pStyle w:val="TOC3"/>
        <w:tabs>
          <w:tab w:val="left" w:pos="1100"/>
        </w:tabs>
        <w:rPr>
          <w:rFonts w:asciiTheme="minorHAnsi" w:hAnsiTheme="minorHAnsi"/>
          <w:noProof/>
          <w:szCs w:val="22"/>
          <w:lang w:eastAsia="en-AU"/>
        </w:rPr>
      </w:pPr>
      <w:hyperlink w:anchor="_Toc136336651" w:history="1">
        <w:r w:rsidR="00902389" w:rsidRPr="006C5E28">
          <w:rPr>
            <w:rStyle w:val="Hyperlink"/>
            <w:noProof/>
          </w:rPr>
          <w:t>ES3</w:t>
        </w:r>
        <w:r w:rsidR="00902389">
          <w:rPr>
            <w:rFonts w:asciiTheme="minorHAnsi" w:hAnsiTheme="minorHAnsi"/>
            <w:noProof/>
            <w:szCs w:val="22"/>
            <w:lang w:eastAsia="en-AU"/>
          </w:rPr>
          <w:tab/>
        </w:r>
        <w:r w:rsidR="00902389" w:rsidRPr="006C5E28">
          <w:rPr>
            <w:rStyle w:val="Hyperlink"/>
            <w:noProof/>
          </w:rPr>
          <w:t>Conclusions</w:t>
        </w:r>
        <w:r w:rsidR="00902389">
          <w:rPr>
            <w:noProof/>
            <w:webHidden/>
          </w:rPr>
          <w:tab/>
        </w:r>
        <w:r w:rsidR="00902389">
          <w:rPr>
            <w:noProof/>
            <w:webHidden/>
          </w:rPr>
          <w:fldChar w:fldCharType="begin"/>
        </w:r>
        <w:r w:rsidR="00902389">
          <w:rPr>
            <w:noProof/>
            <w:webHidden/>
          </w:rPr>
          <w:instrText xml:space="preserve"> PAGEREF _Toc136336651 \h </w:instrText>
        </w:r>
        <w:r w:rsidR="00902389">
          <w:rPr>
            <w:noProof/>
            <w:webHidden/>
          </w:rPr>
        </w:r>
        <w:r w:rsidR="00902389">
          <w:rPr>
            <w:noProof/>
            <w:webHidden/>
          </w:rPr>
          <w:fldChar w:fldCharType="separate"/>
        </w:r>
        <w:r w:rsidR="00902389">
          <w:rPr>
            <w:noProof/>
            <w:webHidden/>
          </w:rPr>
          <w:t>ix</w:t>
        </w:r>
        <w:r w:rsidR="00902389">
          <w:rPr>
            <w:noProof/>
            <w:webHidden/>
          </w:rPr>
          <w:fldChar w:fldCharType="end"/>
        </w:r>
      </w:hyperlink>
    </w:p>
    <w:p w14:paraId="6376BAB3" w14:textId="101A0961" w:rsidR="00902389" w:rsidRDefault="00000000">
      <w:pPr>
        <w:pStyle w:val="TOC1"/>
        <w:tabs>
          <w:tab w:val="left" w:pos="440"/>
        </w:tabs>
        <w:rPr>
          <w:rFonts w:asciiTheme="minorHAnsi" w:hAnsiTheme="minorHAnsi"/>
          <w:noProof/>
          <w:szCs w:val="22"/>
          <w:lang w:eastAsia="en-AU"/>
        </w:rPr>
      </w:pPr>
      <w:hyperlink w:anchor="_Toc136336652" w:history="1">
        <w:r w:rsidR="00902389" w:rsidRPr="006C5E28">
          <w:rPr>
            <w:rStyle w:val="Hyperlink"/>
            <w:noProof/>
          </w:rPr>
          <w:t>1.</w:t>
        </w:r>
        <w:r w:rsidR="00902389">
          <w:rPr>
            <w:rFonts w:asciiTheme="minorHAnsi" w:hAnsiTheme="minorHAnsi"/>
            <w:noProof/>
            <w:szCs w:val="22"/>
            <w:lang w:eastAsia="en-AU"/>
          </w:rPr>
          <w:tab/>
        </w:r>
        <w:r w:rsidR="00902389" w:rsidRPr="006C5E28">
          <w:rPr>
            <w:rStyle w:val="Hyperlink"/>
            <w:noProof/>
          </w:rPr>
          <w:t>Introduction</w:t>
        </w:r>
        <w:r w:rsidR="00902389">
          <w:rPr>
            <w:noProof/>
            <w:webHidden/>
          </w:rPr>
          <w:tab/>
        </w:r>
        <w:r w:rsidR="00902389">
          <w:rPr>
            <w:noProof/>
            <w:webHidden/>
          </w:rPr>
          <w:fldChar w:fldCharType="begin"/>
        </w:r>
        <w:r w:rsidR="00902389">
          <w:rPr>
            <w:noProof/>
            <w:webHidden/>
          </w:rPr>
          <w:instrText xml:space="preserve"> PAGEREF _Toc136336652 \h </w:instrText>
        </w:r>
        <w:r w:rsidR="00902389">
          <w:rPr>
            <w:noProof/>
            <w:webHidden/>
          </w:rPr>
        </w:r>
        <w:r w:rsidR="00902389">
          <w:rPr>
            <w:noProof/>
            <w:webHidden/>
          </w:rPr>
          <w:fldChar w:fldCharType="separate"/>
        </w:r>
        <w:r w:rsidR="00902389">
          <w:rPr>
            <w:noProof/>
            <w:webHidden/>
          </w:rPr>
          <w:t>1</w:t>
        </w:r>
        <w:r w:rsidR="00902389">
          <w:rPr>
            <w:noProof/>
            <w:webHidden/>
          </w:rPr>
          <w:fldChar w:fldCharType="end"/>
        </w:r>
      </w:hyperlink>
    </w:p>
    <w:p w14:paraId="5CE557BE" w14:textId="38226A7A" w:rsidR="00902389" w:rsidRDefault="00000000">
      <w:pPr>
        <w:pStyle w:val="TOC2"/>
        <w:rPr>
          <w:rFonts w:asciiTheme="minorHAnsi" w:hAnsiTheme="minorHAnsi"/>
          <w:noProof/>
          <w:szCs w:val="22"/>
          <w:lang w:eastAsia="en-AU"/>
        </w:rPr>
      </w:pPr>
      <w:hyperlink w:anchor="_Toc136336653" w:history="1">
        <w:r w:rsidR="00902389" w:rsidRPr="006C5E28">
          <w:rPr>
            <w:rStyle w:val="Hyperlink"/>
            <w:noProof/>
          </w:rPr>
          <w:t>1.1</w:t>
        </w:r>
        <w:r w:rsidR="00902389">
          <w:rPr>
            <w:rFonts w:asciiTheme="minorHAnsi" w:hAnsiTheme="minorHAnsi"/>
            <w:noProof/>
            <w:szCs w:val="22"/>
            <w:lang w:eastAsia="en-AU"/>
          </w:rPr>
          <w:tab/>
        </w:r>
        <w:r w:rsidR="00902389" w:rsidRPr="006C5E28">
          <w:rPr>
            <w:rStyle w:val="Hyperlink"/>
            <w:noProof/>
          </w:rPr>
          <w:t>Background</w:t>
        </w:r>
        <w:r w:rsidR="00902389">
          <w:rPr>
            <w:noProof/>
            <w:webHidden/>
          </w:rPr>
          <w:tab/>
        </w:r>
        <w:r w:rsidR="00902389">
          <w:rPr>
            <w:noProof/>
            <w:webHidden/>
          </w:rPr>
          <w:fldChar w:fldCharType="begin"/>
        </w:r>
        <w:r w:rsidR="00902389">
          <w:rPr>
            <w:noProof/>
            <w:webHidden/>
          </w:rPr>
          <w:instrText xml:space="preserve"> PAGEREF _Toc136336653 \h </w:instrText>
        </w:r>
        <w:r w:rsidR="00902389">
          <w:rPr>
            <w:noProof/>
            <w:webHidden/>
          </w:rPr>
        </w:r>
        <w:r w:rsidR="00902389">
          <w:rPr>
            <w:noProof/>
            <w:webHidden/>
          </w:rPr>
          <w:fldChar w:fldCharType="separate"/>
        </w:r>
        <w:r w:rsidR="00902389">
          <w:rPr>
            <w:noProof/>
            <w:webHidden/>
          </w:rPr>
          <w:t>1</w:t>
        </w:r>
        <w:r w:rsidR="00902389">
          <w:rPr>
            <w:noProof/>
            <w:webHidden/>
          </w:rPr>
          <w:fldChar w:fldCharType="end"/>
        </w:r>
      </w:hyperlink>
    </w:p>
    <w:p w14:paraId="6563F162" w14:textId="44DBF29F" w:rsidR="00902389" w:rsidRDefault="00000000">
      <w:pPr>
        <w:pStyle w:val="TOC2"/>
        <w:rPr>
          <w:rFonts w:asciiTheme="minorHAnsi" w:hAnsiTheme="minorHAnsi"/>
          <w:noProof/>
          <w:szCs w:val="22"/>
          <w:lang w:eastAsia="en-AU"/>
        </w:rPr>
      </w:pPr>
      <w:hyperlink w:anchor="_Toc136336654" w:history="1">
        <w:r w:rsidR="00902389" w:rsidRPr="006C5E28">
          <w:rPr>
            <w:rStyle w:val="Hyperlink"/>
            <w:noProof/>
          </w:rPr>
          <w:t>1.2</w:t>
        </w:r>
        <w:r w:rsidR="00902389">
          <w:rPr>
            <w:rFonts w:asciiTheme="minorHAnsi" w:hAnsiTheme="minorHAnsi"/>
            <w:noProof/>
            <w:szCs w:val="22"/>
            <w:lang w:eastAsia="en-AU"/>
          </w:rPr>
          <w:tab/>
        </w:r>
        <w:r w:rsidR="00902389" w:rsidRPr="006C5E28">
          <w:rPr>
            <w:rStyle w:val="Hyperlink"/>
            <w:noProof/>
          </w:rPr>
          <w:t>About the Thin Market Trials</w:t>
        </w:r>
        <w:r w:rsidR="00902389">
          <w:rPr>
            <w:noProof/>
            <w:webHidden/>
          </w:rPr>
          <w:tab/>
        </w:r>
        <w:r w:rsidR="00902389">
          <w:rPr>
            <w:noProof/>
            <w:webHidden/>
          </w:rPr>
          <w:fldChar w:fldCharType="begin"/>
        </w:r>
        <w:r w:rsidR="00902389">
          <w:rPr>
            <w:noProof/>
            <w:webHidden/>
          </w:rPr>
          <w:instrText xml:space="preserve"> PAGEREF _Toc136336654 \h </w:instrText>
        </w:r>
        <w:r w:rsidR="00902389">
          <w:rPr>
            <w:noProof/>
            <w:webHidden/>
          </w:rPr>
        </w:r>
        <w:r w:rsidR="00902389">
          <w:rPr>
            <w:noProof/>
            <w:webHidden/>
          </w:rPr>
          <w:fldChar w:fldCharType="separate"/>
        </w:r>
        <w:r w:rsidR="00902389">
          <w:rPr>
            <w:noProof/>
            <w:webHidden/>
          </w:rPr>
          <w:t>2</w:t>
        </w:r>
        <w:r w:rsidR="00902389">
          <w:rPr>
            <w:noProof/>
            <w:webHidden/>
          </w:rPr>
          <w:fldChar w:fldCharType="end"/>
        </w:r>
      </w:hyperlink>
    </w:p>
    <w:p w14:paraId="463022E1" w14:textId="4F85E88D" w:rsidR="00902389" w:rsidRDefault="00000000">
      <w:pPr>
        <w:pStyle w:val="TOC2"/>
        <w:rPr>
          <w:rFonts w:asciiTheme="minorHAnsi" w:hAnsiTheme="minorHAnsi"/>
          <w:noProof/>
          <w:szCs w:val="22"/>
          <w:lang w:eastAsia="en-AU"/>
        </w:rPr>
      </w:pPr>
      <w:hyperlink w:anchor="_Toc136336655" w:history="1">
        <w:r w:rsidR="00902389" w:rsidRPr="006C5E28">
          <w:rPr>
            <w:rStyle w:val="Hyperlink"/>
            <w:noProof/>
          </w:rPr>
          <w:t>1.3</w:t>
        </w:r>
        <w:r w:rsidR="00902389">
          <w:rPr>
            <w:rFonts w:asciiTheme="minorHAnsi" w:hAnsiTheme="minorHAnsi"/>
            <w:noProof/>
            <w:szCs w:val="22"/>
            <w:lang w:eastAsia="en-AU"/>
          </w:rPr>
          <w:tab/>
        </w:r>
        <w:r w:rsidR="00902389" w:rsidRPr="006C5E28">
          <w:rPr>
            <w:rStyle w:val="Hyperlink"/>
            <w:noProof/>
          </w:rPr>
          <w:t>The evaluation</w:t>
        </w:r>
        <w:r w:rsidR="00902389">
          <w:rPr>
            <w:noProof/>
            <w:webHidden/>
          </w:rPr>
          <w:tab/>
        </w:r>
        <w:r w:rsidR="00902389">
          <w:rPr>
            <w:noProof/>
            <w:webHidden/>
          </w:rPr>
          <w:fldChar w:fldCharType="begin"/>
        </w:r>
        <w:r w:rsidR="00902389">
          <w:rPr>
            <w:noProof/>
            <w:webHidden/>
          </w:rPr>
          <w:instrText xml:space="preserve"> PAGEREF _Toc136336655 \h </w:instrText>
        </w:r>
        <w:r w:rsidR="00902389">
          <w:rPr>
            <w:noProof/>
            <w:webHidden/>
          </w:rPr>
        </w:r>
        <w:r w:rsidR="00902389">
          <w:rPr>
            <w:noProof/>
            <w:webHidden/>
          </w:rPr>
          <w:fldChar w:fldCharType="separate"/>
        </w:r>
        <w:r w:rsidR="00902389">
          <w:rPr>
            <w:noProof/>
            <w:webHidden/>
          </w:rPr>
          <w:t>3</w:t>
        </w:r>
        <w:r w:rsidR="00902389">
          <w:rPr>
            <w:noProof/>
            <w:webHidden/>
          </w:rPr>
          <w:fldChar w:fldCharType="end"/>
        </w:r>
      </w:hyperlink>
    </w:p>
    <w:p w14:paraId="3FB6E941" w14:textId="1A37D838" w:rsidR="00902389" w:rsidRDefault="00000000">
      <w:pPr>
        <w:pStyle w:val="TOC2"/>
        <w:rPr>
          <w:rFonts w:asciiTheme="minorHAnsi" w:hAnsiTheme="minorHAnsi"/>
          <w:noProof/>
          <w:szCs w:val="22"/>
          <w:lang w:eastAsia="en-AU"/>
        </w:rPr>
      </w:pPr>
      <w:hyperlink w:anchor="_Toc136336656" w:history="1">
        <w:r w:rsidR="00902389" w:rsidRPr="006C5E28">
          <w:rPr>
            <w:rStyle w:val="Hyperlink"/>
            <w:noProof/>
          </w:rPr>
          <w:t>1.4</w:t>
        </w:r>
        <w:r w:rsidR="00902389">
          <w:rPr>
            <w:rFonts w:asciiTheme="minorHAnsi" w:hAnsiTheme="minorHAnsi"/>
            <w:noProof/>
            <w:szCs w:val="22"/>
            <w:lang w:eastAsia="en-AU"/>
          </w:rPr>
          <w:tab/>
        </w:r>
        <w:r w:rsidR="00902389" w:rsidRPr="006C5E28">
          <w:rPr>
            <w:rStyle w:val="Hyperlink"/>
            <w:noProof/>
          </w:rPr>
          <w:t>Limitations</w:t>
        </w:r>
        <w:r w:rsidR="00902389">
          <w:rPr>
            <w:noProof/>
            <w:webHidden/>
          </w:rPr>
          <w:tab/>
        </w:r>
        <w:r w:rsidR="00902389">
          <w:rPr>
            <w:noProof/>
            <w:webHidden/>
          </w:rPr>
          <w:fldChar w:fldCharType="begin"/>
        </w:r>
        <w:r w:rsidR="00902389">
          <w:rPr>
            <w:noProof/>
            <w:webHidden/>
          </w:rPr>
          <w:instrText xml:space="preserve"> PAGEREF _Toc136336656 \h </w:instrText>
        </w:r>
        <w:r w:rsidR="00902389">
          <w:rPr>
            <w:noProof/>
            <w:webHidden/>
          </w:rPr>
        </w:r>
        <w:r w:rsidR="00902389">
          <w:rPr>
            <w:noProof/>
            <w:webHidden/>
          </w:rPr>
          <w:fldChar w:fldCharType="separate"/>
        </w:r>
        <w:r w:rsidR="00902389">
          <w:rPr>
            <w:noProof/>
            <w:webHidden/>
          </w:rPr>
          <w:t>3</w:t>
        </w:r>
        <w:r w:rsidR="00902389">
          <w:rPr>
            <w:noProof/>
            <w:webHidden/>
          </w:rPr>
          <w:fldChar w:fldCharType="end"/>
        </w:r>
      </w:hyperlink>
    </w:p>
    <w:p w14:paraId="671F4272" w14:textId="4E7150B4" w:rsidR="00902389" w:rsidRDefault="00000000">
      <w:pPr>
        <w:pStyle w:val="TOC2"/>
        <w:rPr>
          <w:rFonts w:asciiTheme="minorHAnsi" w:hAnsiTheme="minorHAnsi"/>
          <w:noProof/>
          <w:szCs w:val="22"/>
          <w:lang w:eastAsia="en-AU"/>
        </w:rPr>
      </w:pPr>
      <w:hyperlink w:anchor="_Toc136336657" w:history="1">
        <w:r w:rsidR="00902389" w:rsidRPr="006C5E28">
          <w:rPr>
            <w:rStyle w:val="Hyperlink"/>
            <w:noProof/>
          </w:rPr>
          <w:t>1.5</w:t>
        </w:r>
        <w:r w:rsidR="00902389">
          <w:rPr>
            <w:rFonts w:asciiTheme="minorHAnsi" w:hAnsiTheme="minorHAnsi"/>
            <w:noProof/>
            <w:szCs w:val="22"/>
            <w:lang w:eastAsia="en-AU"/>
          </w:rPr>
          <w:tab/>
        </w:r>
        <w:r w:rsidR="00902389" w:rsidRPr="006C5E28">
          <w:rPr>
            <w:rStyle w:val="Hyperlink"/>
            <w:noProof/>
          </w:rPr>
          <w:t>This report</w:t>
        </w:r>
        <w:r w:rsidR="00902389">
          <w:rPr>
            <w:noProof/>
            <w:webHidden/>
          </w:rPr>
          <w:tab/>
        </w:r>
        <w:r w:rsidR="00902389">
          <w:rPr>
            <w:noProof/>
            <w:webHidden/>
          </w:rPr>
          <w:fldChar w:fldCharType="begin"/>
        </w:r>
        <w:r w:rsidR="00902389">
          <w:rPr>
            <w:noProof/>
            <w:webHidden/>
          </w:rPr>
          <w:instrText xml:space="preserve"> PAGEREF _Toc136336657 \h </w:instrText>
        </w:r>
        <w:r w:rsidR="00902389">
          <w:rPr>
            <w:noProof/>
            <w:webHidden/>
          </w:rPr>
        </w:r>
        <w:r w:rsidR="00902389">
          <w:rPr>
            <w:noProof/>
            <w:webHidden/>
          </w:rPr>
          <w:fldChar w:fldCharType="separate"/>
        </w:r>
        <w:r w:rsidR="00902389">
          <w:rPr>
            <w:noProof/>
            <w:webHidden/>
          </w:rPr>
          <w:t>4</w:t>
        </w:r>
        <w:r w:rsidR="00902389">
          <w:rPr>
            <w:noProof/>
            <w:webHidden/>
          </w:rPr>
          <w:fldChar w:fldCharType="end"/>
        </w:r>
      </w:hyperlink>
    </w:p>
    <w:p w14:paraId="3544F578" w14:textId="64F78D5C" w:rsidR="00902389" w:rsidRDefault="00000000">
      <w:pPr>
        <w:pStyle w:val="TOC1"/>
        <w:tabs>
          <w:tab w:val="left" w:pos="440"/>
        </w:tabs>
        <w:rPr>
          <w:rFonts w:asciiTheme="minorHAnsi" w:hAnsiTheme="minorHAnsi"/>
          <w:noProof/>
          <w:szCs w:val="22"/>
          <w:lang w:eastAsia="en-AU"/>
        </w:rPr>
      </w:pPr>
      <w:hyperlink w:anchor="_Toc136336658" w:history="1">
        <w:r w:rsidR="00902389" w:rsidRPr="006C5E28">
          <w:rPr>
            <w:rStyle w:val="Hyperlink"/>
            <w:noProof/>
          </w:rPr>
          <w:t>2.</w:t>
        </w:r>
        <w:r w:rsidR="00902389">
          <w:rPr>
            <w:rFonts w:asciiTheme="minorHAnsi" w:hAnsiTheme="minorHAnsi"/>
            <w:noProof/>
            <w:szCs w:val="22"/>
            <w:lang w:eastAsia="en-AU"/>
          </w:rPr>
          <w:tab/>
        </w:r>
        <w:r w:rsidR="00902389" w:rsidRPr="006C5E28">
          <w:rPr>
            <w:rStyle w:val="Hyperlink"/>
            <w:noProof/>
          </w:rPr>
          <w:t>Data and methods</w:t>
        </w:r>
        <w:r w:rsidR="00902389">
          <w:rPr>
            <w:noProof/>
            <w:webHidden/>
          </w:rPr>
          <w:tab/>
        </w:r>
        <w:r w:rsidR="00902389">
          <w:rPr>
            <w:noProof/>
            <w:webHidden/>
          </w:rPr>
          <w:fldChar w:fldCharType="begin"/>
        </w:r>
        <w:r w:rsidR="00902389">
          <w:rPr>
            <w:noProof/>
            <w:webHidden/>
          </w:rPr>
          <w:instrText xml:space="preserve"> PAGEREF _Toc136336658 \h </w:instrText>
        </w:r>
        <w:r w:rsidR="00902389">
          <w:rPr>
            <w:noProof/>
            <w:webHidden/>
          </w:rPr>
        </w:r>
        <w:r w:rsidR="00902389">
          <w:rPr>
            <w:noProof/>
            <w:webHidden/>
          </w:rPr>
          <w:fldChar w:fldCharType="separate"/>
        </w:r>
        <w:r w:rsidR="00902389">
          <w:rPr>
            <w:noProof/>
            <w:webHidden/>
          </w:rPr>
          <w:t>5</w:t>
        </w:r>
        <w:r w:rsidR="00902389">
          <w:rPr>
            <w:noProof/>
            <w:webHidden/>
          </w:rPr>
          <w:fldChar w:fldCharType="end"/>
        </w:r>
      </w:hyperlink>
    </w:p>
    <w:p w14:paraId="3189BF35" w14:textId="217CE7A8" w:rsidR="00902389" w:rsidRDefault="00000000">
      <w:pPr>
        <w:pStyle w:val="TOC2"/>
        <w:rPr>
          <w:rFonts w:asciiTheme="minorHAnsi" w:hAnsiTheme="minorHAnsi"/>
          <w:noProof/>
          <w:szCs w:val="22"/>
          <w:lang w:eastAsia="en-AU"/>
        </w:rPr>
      </w:pPr>
      <w:hyperlink w:anchor="_Toc136336659" w:history="1">
        <w:r w:rsidR="00902389" w:rsidRPr="006C5E28">
          <w:rPr>
            <w:rStyle w:val="Hyperlink"/>
            <w:noProof/>
          </w:rPr>
          <w:t>2.1</w:t>
        </w:r>
        <w:r w:rsidR="00902389">
          <w:rPr>
            <w:rFonts w:asciiTheme="minorHAnsi" w:hAnsiTheme="minorHAnsi"/>
            <w:noProof/>
            <w:szCs w:val="22"/>
            <w:lang w:eastAsia="en-AU"/>
          </w:rPr>
          <w:tab/>
        </w:r>
        <w:r w:rsidR="00902389" w:rsidRPr="006C5E28">
          <w:rPr>
            <w:rStyle w:val="Hyperlink"/>
            <w:noProof/>
          </w:rPr>
          <w:t>Administrative data and documents</w:t>
        </w:r>
        <w:r w:rsidR="00902389">
          <w:rPr>
            <w:noProof/>
            <w:webHidden/>
          </w:rPr>
          <w:tab/>
        </w:r>
        <w:r w:rsidR="00902389">
          <w:rPr>
            <w:noProof/>
            <w:webHidden/>
          </w:rPr>
          <w:fldChar w:fldCharType="begin"/>
        </w:r>
        <w:r w:rsidR="00902389">
          <w:rPr>
            <w:noProof/>
            <w:webHidden/>
          </w:rPr>
          <w:instrText xml:space="preserve"> PAGEREF _Toc136336659 \h </w:instrText>
        </w:r>
        <w:r w:rsidR="00902389">
          <w:rPr>
            <w:noProof/>
            <w:webHidden/>
          </w:rPr>
        </w:r>
        <w:r w:rsidR="00902389">
          <w:rPr>
            <w:noProof/>
            <w:webHidden/>
          </w:rPr>
          <w:fldChar w:fldCharType="separate"/>
        </w:r>
        <w:r w:rsidR="00902389">
          <w:rPr>
            <w:noProof/>
            <w:webHidden/>
          </w:rPr>
          <w:t>5</w:t>
        </w:r>
        <w:r w:rsidR="00902389">
          <w:rPr>
            <w:noProof/>
            <w:webHidden/>
          </w:rPr>
          <w:fldChar w:fldCharType="end"/>
        </w:r>
      </w:hyperlink>
    </w:p>
    <w:p w14:paraId="0C791A17" w14:textId="3EBCF2C5" w:rsidR="00902389" w:rsidRDefault="00000000">
      <w:pPr>
        <w:pStyle w:val="TOC2"/>
        <w:rPr>
          <w:rFonts w:asciiTheme="minorHAnsi" w:hAnsiTheme="minorHAnsi"/>
          <w:noProof/>
          <w:szCs w:val="22"/>
          <w:lang w:eastAsia="en-AU"/>
        </w:rPr>
      </w:pPr>
      <w:hyperlink w:anchor="_Toc136336660" w:history="1">
        <w:r w:rsidR="00902389" w:rsidRPr="006C5E28">
          <w:rPr>
            <w:rStyle w:val="Hyperlink"/>
            <w:noProof/>
          </w:rPr>
          <w:t>2.2</w:t>
        </w:r>
        <w:r w:rsidR="00902389">
          <w:rPr>
            <w:rFonts w:asciiTheme="minorHAnsi" w:hAnsiTheme="minorHAnsi"/>
            <w:noProof/>
            <w:szCs w:val="22"/>
            <w:lang w:eastAsia="en-AU"/>
          </w:rPr>
          <w:tab/>
        </w:r>
        <w:r w:rsidR="00902389" w:rsidRPr="006C5E28">
          <w:rPr>
            <w:rStyle w:val="Hyperlink"/>
            <w:noProof/>
          </w:rPr>
          <w:t>Service provider survey</w:t>
        </w:r>
        <w:r w:rsidR="00902389">
          <w:rPr>
            <w:noProof/>
            <w:webHidden/>
          </w:rPr>
          <w:tab/>
        </w:r>
        <w:r w:rsidR="00902389">
          <w:rPr>
            <w:noProof/>
            <w:webHidden/>
          </w:rPr>
          <w:fldChar w:fldCharType="begin"/>
        </w:r>
        <w:r w:rsidR="00902389">
          <w:rPr>
            <w:noProof/>
            <w:webHidden/>
          </w:rPr>
          <w:instrText xml:space="preserve"> PAGEREF _Toc136336660 \h </w:instrText>
        </w:r>
        <w:r w:rsidR="00902389">
          <w:rPr>
            <w:noProof/>
            <w:webHidden/>
          </w:rPr>
        </w:r>
        <w:r w:rsidR="00902389">
          <w:rPr>
            <w:noProof/>
            <w:webHidden/>
          </w:rPr>
          <w:fldChar w:fldCharType="separate"/>
        </w:r>
        <w:r w:rsidR="00902389">
          <w:rPr>
            <w:noProof/>
            <w:webHidden/>
          </w:rPr>
          <w:t>5</w:t>
        </w:r>
        <w:r w:rsidR="00902389">
          <w:rPr>
            <w:noProof/>
            <w:webHidden/>
          </w:rPr>
          <w:fldChar w:fldCharType="end"/>
        </w:r>
      </w:hyperlink>
    </w:p>
    <w:p w14:paraId="1CEAA2EC" w14:textId="44A21A70" w:rsidR="00902389" w:rsidRDefault="00000000">
      <w:pPr>
        <w:pStyle w:val="TOC2"/>
        <w:rPr>
          <w:rFonts w:asciiTheme="minorHAnsi" w:hAnsiTheme="minorHAnsi"/>
          <w:noProof/>
          <w:szCs w:val="22"/>
          <w:lang w:eastAsia="en-AU"/>
        </w:rPr>
      </w:pPr>
      <w:hyperlink w:anchor="_Toc136336661" w:history="1">
        <w:r w:rsidR="00902389" w:rsidRPr="006C5E28">
          <w:rPr>
            <w:rStyle w:val="Hyperlink"/>
            <w:noProof/>
          </w:rPr>
          <w:t>2.3</w:t>
        </w:r>
        <w:r w:rsidR="00902389">
          <w:rPr>
            <w:rFonts w:asciiTheme="minorHAnsi" w:hAnsiTheme="minorHAnsi"/>
            <w:noProof/>
            <w:szCs w:val="22"/>
            <w:lang w:eastAsia="en-AU"/>
          </w:rPr>
          <w:tab/>
        </w:r>
        <w:r w:rsidR="00902389" w:rsidRPr="006C5E28">
          <w:rPr>
            <w:rStyle w:val="Hyperlink"/>
            <w:noProof/>
          </w:rPr>
          <w:t>Stakeholder interviews</w:t>
        </w:r>
        <w:r w:rsidR="00902389">
          <w:rPr>
            <w:noProof/>
            <w:webHidden/>
          </w:rPr>
          <w:tab/>
        </w:r>
        <w:r w:rsidR="00902389">
          <w:rPr>
            <w:noProof/>
            <w:webHidden/>
          </w:rPr>
          <w:fldChar w:fldCharType="begin"/>
        </w:r>
        <w:r w:rsidR="00902389">
          <w:rPr>
            <w:noProof/>
            <w:webHidden/>
          </w:rPr>
          <w:instrText xml:space="preserve"> PAGEREF _Toc136336661 \h </w:instrText>
        </w:r>
        <w:r w:rsidR="00902389">
          <w:rPr>
            <w:noProof/>
            <w:webHidden/>
          </w:rPr>
        </w:r>
        <w:r w:rsidR="00902389">
          <w:rPr>
            <w:noProof/>
            <w:webHidden/>
          </w:rPr>
          <w:fldChar w:fldCharType="separate"/>
        </w:r>
        <w:r w:rsidR="00902389">
          <w:rPr>
            <w:noProof/>
            <w:webHidden/>
          </w:rPr>
          <w:t>6</w:t>
        </w:r>
        <w:r w:rsidR="00902389">
          <w:rPr>
            <w:noProof/>
            <w:webHidden/>
          </w:rPr>
          <w:fldChar w:fldCharType="end"/>
        </w:r>
      </w:hyperlink>
    </w:p>
    <w:p w14:paraId="707904E8" w14:textId="1568E75A" w:rsidR="00902389" w:rsidRDefault="00000000">
      <w:pPr>
        <w:pStyle w:val="TOC2"/>
        <w:rPr>
          <w:rFonts w:asciiTheme="minorHAnsi" w:hAnsiTheme="minorHAnsi"/>
          <w:noProof/>
          <w:szCs w:val="22"/>
          <w:lang w:eastAsia="en-AU"/>
        </w:rPr>
      </w:pPr>
      <w:hyperlink w:anchor="_Toc136336662" w:history="1">
        <w:r w:rsidR="00902389" w:rsidRPr="006C5E28">
          <w:rPr>
            <w:rStyle w:val="Hyperlink"/>
            <w:noProof/>
          </w:rPr>
          <w:t>2.4</w:t>
        </w:r>
        <w:r w:rsidR="00902389">
          <w:rPr>
            <w:rFonts w:asciiTheme="minorHAnsi" w:hAnsiTheme="minorHAnsi"/>
            <w:noProof/>
            <w:szCs w:val="22"/>
            <w:lang w:eastAsia="en-AU"/>
          </w:rPr>
          <w:tab/>
        </w:r>
        <w:r w:rsidR="00902389" w:rsidRPr="006C5E28">
          <w:rPr>
            <w:rStyle w:val="Hyperlink"/>
            <w:noProof/>
          </w:rPr>
          <w:t>Data analysis</w:t>
        </w:r>
        <w:r w:rsidR="00902389">
          <w:rPr>
            <w:noProof/>
            <w:webHidden/>
          </w:rPr>
          <w:tab/>
        </w:r>
        <w:r w:rsidR="00902389">
          <w:rPr>
            <w:noProof/>
            <w:webHidden/>
          </w:rPr>
          <w:fldChar w:fldCharType="begin"/>
        </w:r>
        <w:r w:rsidR="00902389">
          <w:rPr>
            <w:noProof/>
            <w:webHidden/>
          </w:rPr>
          <w:instrText xml:space="preserve"> PAGEREF _Toc136336662 \h </w:instrText>
        </w:r>
        <w:r w:rsidR="00902389">
          <w:rPr>
            <w:noProof/>
            <w:webHidden/>
          </w:rPr>
        </w:r>
        <w:r w:rsidR="00902389">
          <w:rPr>
            <w:noProof/>
            <w:webHidden/>
          </w:rPr>
          <w:fldChar w:fldCharType="separate"/>
        </w:r>
        <w:r w:rsidR="00902389">
          <w:rPr>
            <w:noProof/>
            <w:webHidden/>
          </w:rPr>
          <w:t>6</w:t>
        </w:r>
        <w:r w:rsidR="00902389">
          <w:rPr>
            <w:noProof/>
            <w:webHidden/>
          </w:rPr>
          <w:fldChar w:fldCharType="end"/>
        </w:r>
      </w:hyperlink>
    </w:p>
    <w:p w14:paraId="6DBE3BEE" w14:textId="32EBA8F6" w:rsidR="00902389" w:rsidRDefault="00000000">
      <w:pPr>
        <w:pStyle w:val="TOC1"/>
        <w:tabs>
          <w:tab w:val="left" w:pos="440"/>
        </w:tabs>
        <w:rPr>
          <w:rFonts w:asciiTheme="minorHAnsi" w:hAnsiTheme="minorHAnsi"/>
          <w:noProof/>
          <w:szCs w:val="22"/>
          <w:lang w:eastAsia="en-AU"/>
        </w:rPr>
      </w:pPr>
      <w:hyperlink w:anchor="_Toc136336663" w:history="1">
        <w:r w:rsidR="00902389" w:rsidRPr="006C5E28">
          <w:rPr>
            <w:rStyle w:val="Hyperlink"/>
            <w:noProof/>
          </w:rPr>
          <w:t>3.</w:t>
        </w:r>
        <w:r w:rsidR="00902389">
          <w:rPr>
            <w:rFonts w:asciiTheme="minorHAnsi" w:hAnsiTheme="minorHAnsi"/>
            <w:noProof/>
            <w:szCs w:val="22"/>
            <w:lang w:eastAsia="en-AU"/>
          </w:rPr>
          <w:tab/>
        </w:r>
        <w:r w:rsidR="00902389" w:rsidRPr="006C5E28">
          <w:rPr>
            <w:rStyle w:val="Hyperlink"/>
            <w:noProof/>
          </w:rPr>
          <w:t>Market facilitation</w:t>
        </w:r>
        <w:r w:rsidR="00902389">
          <w:rPr>
            <w:noProof/>
            <w:webHidden/>
          </w:rPr>
          <w:tab/>
        </w:r>
        <w:r w:rsidR="00902389">
          <w:rPr>
            <w:noProof/>
            <w:webHidden/>
          </w:rPr>
          <w:fldChar w:fldCharType="begin"/>
        </w:r>
        <w:r w:rsidR="00902389">
          <w:rPr>
            <w:noProof/>
            <w:webHidden/>
          </w:rPr>
          <w:instrText xml:space="preserve"> PAGEREF _Toc136336663 \h </w:instrText>
        </w:r>
        <w:r w:rsidR="00902389">
          <w:rPr>
            <w:noProof/>
            <w:webHidden/>
          </w:rPr>
        </w:r>
        <w:r w:rsidR="00902389">
          <w:rPr>
            <w:noProof/>
            <w:webHidden/>
          </w:rPr>
          <w:fldChar w:fldCharType="separate"/>
        </w:r>
        <w:r w:rsidR="00902389">
          <w:rPr>
            <w:noProof/>
            <w:webHidden/>
          </w:rPr>
          <w:t>9</w:t>
        </w:r>
        <w:r w:rsidR="00902389">
          <w:rPr>
            <w:noProof/>
            <w:webHidden/>
          </w:rPr>
          <w:fldChar w:fldCharType="end"/>
        </w:r>
      </w:hyperlink>
    </w:p>
    <w:p w14:paraId="360DF8D8" w14:textId="2E1A5EDA" w:rsidR="00902389" w:rsidRDefault="00000000">
      <w:pPr>
        <w:pStyle w:val="TOC2"/>
        <w:rPr>
          <w:rFonts w:asciiTheme="minorHAnsi" w:hAnsiTheme="minorHAnsi"/>
          <w:noProof/>
          <w:szCs w:val="22"/>
          <w:lang w:eastAsia="en-AU"/>
        </w:rPr>
      </w:pPr>
      <w:hyperlink w:anchor="_Toc136336664" w:history="1">
        <w:r w:rsidR="00902389" w:rsidRPr="006C5E28">
          <w:rPr>
            <w:rStyle w:val="Hyperlink"/>
            <w:noProof/>
          </w:rPr>
          <w:t>3.1</w:t>
        </w:r>
        <w:r w:rsidR="00902389">
          <w:rPr>
            <w:rFonts w:asciiTheme="minorHAnsi" w:hAnsiTheme="minorHAnsi"/>
            <w:noProof/>
            <w:szCs w:val="22"/>
            <w:lang w:eastAsia="en-AU"/>
          </w:rPr>
          <w:tab/>
        </w:r>
        <w:r w:rsidR="00902389" w:rsidRPr="006C5E28">
          <w:rPr>
            <w:rStyle w:val="Hyperlink"/>
            <w:noProof/>
          </w:rPr>
          <w:t>Overview of market facilitation trials</w:t>
        </w:r>
        <w:r w:rsidR="00902389">
          <w:rPr>
            <w:noProof/>
            <w:webHidden/>
          </w:rPr>
          <w:tab/>
        </w:r>
        <w:r w:rsidR="00902389">
          <w:rPr>
            <w:noProof/>
            <w:webHidden/>
          </w:rPr>
          <w:fldChar w:fldCharType="begin"/>
        </w:r>
        <w:r w:rsidR="00902389">
          <w:rPr>
            <w:noProof/>
            <w:webHidden/>
          </w:rPr>
          <w:instrText xml:space="preserve"> PAGEREF _Toc136336664 \h </w:instrText>
        </w:r>
        <w:r w:rsidR="00902389">
          <w:rPr>
            <w:noProof/>
            <w:webHidden/>
          </w:rPr>
        </w:r>
        <w:r w:rsidR="00902389">
          <w:rPr>
            <w:noProof/>
            <w:webHidden/>
          </w:rPr>
          <w:fldChar w:fldCharType="separate"/>
        </w:r>
        <w:r w:rsidR="00902389">
          <w:rPr>
            <w:noProof/>
            <w:webHidden/>
          </w:rPr>
          <w:t>10</w:t>
        </w:r>
        <w:r w:rsidR="00902389">
          <w:rPr>
            <w:noProof/>
            <w:webHidden/>
          </w:rPr>
          <w:fldChar w:fldCharType="end"/>
        </w:r>
      </w:hyperlink>
    </w:p>
    <w:p w14:paraId="51105926" w14:textId="0B3988C5" w:rsidR="00902389" w:rsidRDefault="00000000">
      <w:pPr>
        <w:pStyle w:val="TOC2"/>
        <w:rPr>
          <w:rFonts w:asciiTheme="minorHAnsi" w:hAnsiTheme="minorHAnsi"/>
          <w:noProof/>
          <w:szCs w:val="22"/>
          <w:lang w:eastAsia="en-AU"/>
        </w:rPr>
      </w:pPr>
      <w:hyperlink w:anchor="_Toc136336665" w:history="1">
        <w:r w:rsidR="00902389" w:rsidRPr="006C5E28">
          <w:rPr>
            <w:rStyle w:val="Hyperlink"/>
            <w:noProof/>
          </w:rPr>
          <w:t>3.2</w:t>
        </w:r>
        <w:r w:rsidR="00902389">
          <w:rPr>
            <w:rFonts w:asciiTheme="minorHAnsi" w:hAnsiTheme="minorHAnsi"/>
            <w:noProof/>
            <w:szCs w:val="22"/>
            <w:lang w:eastAsia="en-AU"/>
          </w:rPr>
          <w:tab/>
        </w:r>
        <w:r w:rsidR="00902389" w:rsidRPr="006C5E28">
          <w:rPr>
            <w:rStyle w:val="Hyperlink"/>
            <w:noProof/>
          </w:rPr>
          <w:t>Impact of market facilitation</w:t>
        </w:r>
        <w:r w:rsidR="00902389">
          <w:rPr>
            <w:noProof/>
            <w:webHidden/>
          </w:rPr>
          <w:tab/>
        </w:r>
        <w:r w:rsidR="00902389">
          <w:rPr>
            <w:noProof/>
            <w:webHidden/>
          </w:rPr>
          <w:fldChar w:fldCharType="begin"/>
        </w:r>
        <w:r w:rsidR="00902389">
          <w:rPr>
            <w:noProof/>
            <w:webHidden/>
          </w:rPr>
          <w:instrText xml:space="preserve"> PAGEREF _Toc136336665 \h </w:instrText>
        </w:r>
        <w:r w:rsidR="00902389">
          <w:rPr>
            <w:noProof/>
            <w:webHidden/>
          </w:rPr>
        </w:r>
        <w:r w:rsidR="00902389">
          <w:rPr>
            <w:noProof/>
            <w:webHidden/>
          </w:rPr>
          <w:fldChar w:fldCharType="separate"/>
        </w:r>
        <w:r w:rsidR="00902389">
          <w:rPr>
            <w:noProof/>
            <w:webHidden/>
          </w:rPr>
          <w:t>11</w:t>
        </w:r>
        <w:r w:rsidR="00902389">
          <w:rPr>
            <w:noProof/>
            <w:webHidden/>
          </w:rPr>
          <w:fldChar w:fldCharType="end"/>
        </w:r>
      </w:hyperlink>
    </w:p>
    <w:p w14:paraId="7B38E91B" w14:textId="6CB80899" w:rsidR="00902389" w:rsidRDefault="00000000">
      <w:pPr>
        <w:pStyle w:val="TOC2"/>
        <w:rPr>
          <w:rFonts w:asciiTheme="minorHAnsi" w:hAnsiTheme="minorHAnsi"/>
          <w:noProof/>
          <w:szCs w:val="22"/>
          <w:lang w:eastAsia="en-AU"/>
        </w:rPr>
      </w:pPr>
      <w:hyperlink w:anchor="_Toc136336666" w:history="1">
        <w:r w:rsidR="00902389" w:rsidRPr="006C5E28">
          <w:rPr>
            <w:rStyle w:val="Hyperlink"/>
            <w:noProof/>
          </w:rPr>
          <w:t>3.3</w:t>
        </w:r>
        <w:r w:rsidR="00902389">
          <w:rPr>
            <w:rFonts w:asciiTheme="minorHAnsi" w:hAnsiTheme="minorHAnsi"/>
            <w:noProof/>
            <w:szCs w:val="22"/>
            <w:lang w:eastAsia="en-AU"/>
          </w:rPr>
          <w:tab/>
        </w:r>
        <w:r w:rsidR="00902389" w:rsidRPr="006C5E28">
          <w:rPr>
            <w:rStyle w:val="Hyperlink"/>
            <w:noProof/>
          </w:rPr>
          <w:t>The extent market facilitation has operated as intended</w:t>
        </w:r>
        <w:r w:rsidR="00902389">
          <w:rPr>
            <w:noProof/>
            <w:webHidden/>
          </w:rPr>
          <w:tab/>
        </w:r>
        <w:r w:rsidR="00902389">
          <w:rPr>
            <w:noProof/>
            <w:webHidden/>
          </w:rPr>
          <w:fldChar w:fldCharType="begin"/>
        </w:r>
        <w:r w:rsidR="00902389">
          <w:rPr>
            <w:noProof/>
            <w:webHidden/>
          </w:rPr>
          <w:instrText xml:space="preserve"> PAGEREF _Toc136336666 \h </w:instrText>
        </w:r>
        <w:r w:rsidR="00902389">
          <w:rPr>
            <w:noProof/>
            <w:webHidden/>
          </w:rPr>
        </w:r>
        <w:r w:rsidR="00902389">
          <w:rPr>
            <w:noProof/>
            <w:webHidden/>
          </w:rPr>
          <w:fldChar w:fldCharType="separate"/>
        </w:r>
        <w:r w:rsidR="00902389">
          <w:rPr>
            <w:noProof/>
            <w:webHidden/>
          </w:rPr>
          <w:t>26</w:t>
        </w:r>
        <w:r w:rsidR="00902389">
          <w:rPr>
            <w:noProof/>
            <w:webHidden/>
          </w:rPr>
          <w:fldChar w:fldCharType="end"/>
        </w:r>
      </w:hyperlink>
    </w:p>
    <w:p w14:paraId="5153BD00" w14:textId="7C1858EF" w:rsidR="00902389" w:rsidRDefault="00000000">
      <w:pPr>
        <w:pStyle w:val="TOC2"/>
        <w:rPr>
          <w:rFonts w:asciiTheme="minorHAnsi" w:hAnsiTheme="minorHAnsi"/>
          <w:noProof/>
          <w:szCs w:val="22"/>
          <w:lang w:eastAsia="en-AU"/>
        </w:rPr>
      </w:pPr>
      <w:hyperlink w:anchor="_Toc136336667" w:history="1">
        <w:r w:rsidR="00902389" w:rsidRPr="006C5E28">
          <w:rPr>
            <w:rStyle w:val="Hyperlink"/>
            <w:noProof/>
          </w:rPr>
          <w:t>3.4</w:t>
        </w:r>
        <w:r w:rsidR="00902389">
          <w:rPr>
            <w:rFonts w:asciiTheme="minorHAnsi" w:hAnsiTheme="minorHAnsi"/>
            <w:noProof/>
            <w:szCs w:val="22"/>
            <w:lang w:eastAsia="en-AU"/>
          </w:rPr>
          <w:tab/>
        </w:r>
        <w:r w:rsidR="00902389" w:rsidRPr="006C5E28">
          <w:rPr>
            <w:rStyle w:val="Hyperlink"/>
            <w:noProof/>
          </w:rPr>
          <w:t>Factors affecting the success of market facilitation</w:t>
        </w:r>
        <w:r w:rsidR="00902389">
          <w:rPr>
            <w:noProof/>
            <w:webHidden/>
          </w:rPr>
          <w:tab/>
        </w:r>
        <w:r w:rsidR="00902389">
          <w:rPr>
            <w:noProof/>
            <w:webHidden/>
          </w:rPr>
          <w:fldChar w:fldCharType="begin"/>
        </w:r>
        <w:r w:rsidR="00902389">
          <w:rPr>
            <w:noProof/>
            <w:webHidden/>
          </w:rPr>
          <w:instrText xml:space="preserve"> PAGEREF _Toc136336667 \h </w:instrText>
        </w:r>
        <w:r w:rsidR="00902389">
          <w:rPr>
            <w:noProof/>
            <w:webHidden/>
          </w:rPr>
        </w:r>
        <w:r w:rsidR="00902389">
          <w:rPr>
            <w:noProof/>
            <w:webHidden/>
          </w:rPr>
          <w:fldChar w:fldCharType="separate"/>
        </w:r>
        <w:r w:rsidR="00902389">
          <w:rPr>
            <w:noProof/>
            <w:webHidden/>
          </w:rPr>
          <w:t>30</w:t>
        </w:r>
        <w:r w:rsidR="00902389">
          <w:rPr>
            <w:noProof/>
            <w:webHidden/>
          </w:rPr>
          <w:fldChar w:fldCharType="end"/>
        </w:r>
      </w:hyperlink>
    </w:p>
    <w:p w14:paraId="14867D26" w14:textId="67ED287B" w:rsidR="00902389" w:rsidRDefault="00000000">
      <w:pPr>
        <w:pStyle w:val="TOC1"/>
        <w:tabs>
          <w:tab w:val="left" w:pos="440"/>
        </w:tabs>
        <w:rPr>
          <w:rFonts w:asciiTheme="minorHAnsi" w:hAnsiTheme="minorHAnsi"/>
          <w:noProof/>
          <w:szCs w:val="22"/>
          <w:lang w:eastAsia="en-AU"/>
        </w:rPr>
      </w:pPr>
      <w:hyperlink w:anchor="_Toc136336668" w:history="1">
        <w:r w:rsidR="00902389" w:rsidRPr="006C5E28">
          <w:rPr>
            <w:rStyle w:val="Hyperlink"/>
            <w:noProof/>
          </w:rPr>
          <w:t>4.</w:t>
        </w:r>
        <w:r w:rsidR="00902389">
          <w:rPr>
            <w:rFonts w:asciiTheme="minorHAnsi" w:hAnsiTheme="minorHAnsi"/>
            <w:noProof/>
            <w:szCs w:val="22"/>
            <w:lang w:eastAsia="en-AU"/>
          </w:rPr>
          <w:tab/>
        </w:r>
        <w:r w:rsidR="00902389" w:rsidRPr="006C5E28">
          <w:rPr>
            <w:rStyle w:val="Hyperlink"/>
            <w:noProof/>
          </w:rPr>
          <w:t>Coordinated Funding Proposals</w:t>
        </w:r>
        <w:r w:rsidR="00902389">
          <w:rPr>
            <w:noProof/>
            <w:webHidden/>
          </w:rPr>
          <w:tab/>
        </w:r>
        <w:r w:rsidR="00902389">
          <w:rPr>
            <w:noProof/>
            <w:webHidden/>
          </w:rPr>
          <w:fldChar w:fldCharType="begin"/>
        </w:r>
        <w:r w:rsidR="00902389">
          <w:rPr>
            <w:noProof/>
            <w:webHidden/>
          </w:rPr>
          <w:instrText xml:space="preserve"> PAGEREF _Toc136336668 \h </w:instrText>
        </w:r>
        <w:r w:rsidR="00902389">
          <w:rPr>
            <w:noProof/>
            <w:webHidden/>
          </w:rPr>
        </w:r>
        <w:r w:rsidR="00902389">
          <w:rPr>
            <w:noProof/>
            <w:webHidden/>
          </w:rPr>
          <w:fldChar w:fldCharType="separate"/>
        </w:r>
        <w:r w:rsidR="00902389">
          <w:rPr>
            <w:noProof/>
            <w:webHidden/>
          </w:rPr>
          <w:t>36</w:t>
        </w:r>
        <w:r w:rsidR="00902389">
          <w:rPr>
            <w:noProof/>
            <w:webHidden/>
          </w:rPr>
          <w:fldChar w:fldCharType="end"/>
        </w:r>
      </w:hyperlink>
    </w:p>
    <w:p w14:paraId="067BCD9C" w14:textId="01735250" w:rsidR="00902389" w:rsidRDefault="00000000">
      <w:pPr>
        <w:pStyle w:val="TOC2"/>
        <w:rPr>
          <w:rFonts w:asciiTheme="minorHAnsi" w:hAnsiTheme="minorHAnsi"/>
          <w:noProof/>
          <w:szCs w:val="22"/>
          <w:lang w:eastAsia="en-AU"/>
        </w:rPr>
      </w:pPr>
      <w:hyperlink w:anchor="_Toc136336669" w:history="1">
        <w:r w:rsidR="00902389" w:rsidRPr="006C5E28">
          <w:rPr>
            <w:rStyle w:val="Hyperlink"/>
            <w:noProof/>
          </w:rPr>
          <w:t>4.1</w:t>
        </w:r>
        <w:r w:rsidR="00902389">
          <w:rPr>
            <w:rFonts w:asciiTheme="minorHAnsi" w:hAnsiTheme="minorHAnsi"/>
            <w:noProof/>
            <w:szCs w:val="22"/>
            <w:lang w:eastAsia="en-AU"/>
          </w:rPr>
          <w:tab/>
        </w:r>
        <w:r w:rsidR="00902389" w:rsidRPr="006C5E28">
          <w:rPr>
            <w:rStyle w:val="Hyperlink"/>
            <w:noProof/>
          </w:rPr>
          <w:t>Overview of CFP trials</w:t>
        </w:r>
        <w:r w:rsidR="00902389">
          <w:rPr>
            <w:noProof/>
            <w:webHidden/>
          </w:rPr>
          <w:tab/>
        </w:r>
        <w:r w:rsidR="00902389">
          <w:rPr>
            <w:noProof/>
            <w:webHidden/>
          </w:rPr>
          <w:fldChar w:fldCharType="begin"/>
        </w:r>
        <w:r w:rsidR="00902389">
          <w:rPr>
            <w:noProof/>
            <w:webHidden/>
          </w:rPr>
          <w:instrText xml:space="preserve"> PAGEREF _Toc136336669 \h </w:instrText>
        </w:r>
        <w:r w:rsidR="00902389">
          <w:rPr>
            <w:noProof/>
            <w:webHidden/>
          </w:rPr>
        </w:r>
        <w:r w:rsidR="00902389">
          <w:rPr>
            <w:noProof/>
            <w:webHidden/>
          </w:rPr>
          <w:fldChar w:fldCharType="separate"/>
        </w:r>
        <w:r w:rsidR="00902389">
          <w:rPr>
            <w:noProof/>
            <w:webHidden/>
          </w:rPr>
          <w:t>36</w:t>
        </w:r>
        <w:r w:rsidR="00902389">
          <w:rPr>
            <w:noProof/>
            <w:webHidden/>
          </w:rPr>
          <w:fldChar w:fldCharType="end"/>
        </w:r>
      </w:hyperlink>
    </w:p>
    <w:p w14:paraId="568B92FE" w14:textId="04A662BD" w:rsidR="00902389" w:rsidRDefault="00000000">
      <w:pPr>
        <w:pStyle w:val="TOC2"/>
        <w:rPr>
          <w:rFonts w:asciiTheme="minorHAnsi" w:hAnsiTheme="minorHAnsi"/>
          <w:noProof/>
          <w:szCs w:val="22"/>
          <w:lang w:eastAsia="en-AU"/>
        </w:rPr>
      </w:pPr>
      <w:hyperlink w:anchor="_Toc136336670" w:history="1">
        <w:r w:rsidR="00902389" w:rsidRPr="006C5E28">
          <w:rPr>
            <w:rStyle w:val="Hyperlink"/>
            <w:noProof/>
          </w:rPr>
          <w:t>4.2</w:t>
        </w:r>
        <w:r w:rsidR="00902389">
          <w:rPr>
            <w:rFonts w:asciiTheme="minorHAnsi" w:hAnsiTheme="minorHAnsi"/>
            <w:noProof/>
            <w:szCs w:val="22"/>
            <w:lang w:eastAsia="en-AU"/>
          </w:rPr>
          <w:tab/>
        </w:r>
        <w:r w:rsidR="00902389" w:rsidRPr="006C5E28">
          <w:rPr>
            <w:rStyle w:val="Hyperlink"/>
            <w:noProof/>
          </w:rPr>
          <w:t>Impact of coordinated funding proposals</w:t>
        </w:r>
        <w:r w:rsidR="00902389">
          <w:rPr>
            <w:noProof/>
            <w:webHidden/>
          </w:rPr>
          <w:tab/>
        </w:r>
        <w:r w:rsidR="00902389">
          <w:rPr>
            <w:noProof/>
            <w:webHidden/>
          </w:rPr>
          <w:fldChar w:fldCharType="begin"/>
        </w:r>
        <w:r w:rsidR="00902389">
          <w:rPr>
            <w:noProof/>
            <w:webHidden/>
          </w:rPr>
          <w:instrText xml:space="preserve"> PAGEREF _Toc136336670 \h </w:instrText>
        </w:r>
        <w:r w:rsidR="00902389">
          <w:rPr>
            <w:noProof/>
            <w:webHidden/>
          </w:rPr>
        </w:r>
        <w:r w:rsidR="00902389">
          <w:rPr>
            <w:noProof/>
            <w:webHidden/>
          </w:rPr>
          <w:fldChar w:fldCharType="separate"/>
        </w:r>
        <w:r w:rsidR="00902389">
          <w:rPr>
            <w:noProof/>
            <w:webHidden/>
          </w:rPr>
          <w:t>38</w:t>
        </w:r>
        <w:r w:rsidR="00902389">
          <w:rPr>
            <w:noProof/>
            <w:webHidden/>
          </w:rPr>
          <w:fldChar w:fldCharType="end"/>
        </w:r>
      </w:hyperlink>
    </w:p>
    <w:p w14:paraId="4392F264" w14:textId="0F600253" w:rsidR="00902389" w:rsidRDefault="00000000">
      <w:pPr>
        <w:pStyle w:val="TOC2"/>
        <w:rPr>
          <w:rFonts w:asciiTheme="minorHAnsi" w:hAnsiTheme="minorHAnsi"/>
          <w:noProof/>
          <w:szCs w:val="22"/>
          <w:lang w:eastAsia="en-AU"/>
        </w:rPr>
      </w:pPr>
      <w:hyperlink w:anchor="_Toc136336671" w:history="1">
        <w:r w:rsidR="00902389" w:rsidRPr="006C5E28">
          <w:rPr>
            <w:rStyle w:val="Hyperlink"/>
            <w:noProof/>
          </w:rPr>
          <w:t>4.3</w:t>
        </w:r>
        <w:r w:rsidR="00902389">
          <w:rPr>
            <w:rFonts w:asciiTheme="minorHAnsi" w:hAnsiTheme="minorHAnsi"/>
            <w:noProof/>
            <w:szCs w:val="22"/>
            <w:lang w:eastAsia="en-AU"/>
          </w:rPr>
          <w:tab/>
        </w:r>
        <w:r w:rsidR="00902389" w:rsidRPr="006C5E28">
          <w:rPr>
            <w:rStyle w:val="Hyperlink"/>
            <w:noProof/>
          </w:rPr>
          <w:t>The extent coordinated funding proposals have operated as intended</w:t>
        </w:r>
        <w:r w:rsidR="00902389">
          <w:rPr>
            <w:noProof/>
            <w:webHidden/>
          </w:rPr>
          <w:tab/>
        </w:r>
        <w:r w:rsidR="00902389">
          <w:rPr>
            <w:noProof/>
            <w:webHidden/>
          </w:rPr>
          <w:fldChar w:fldCharType="begin"/>
        </w:r>
        <w:r w:rsidR="00902389">
          <w:rPr>
            <w:noProof/>
            <w:webHidden/>
          </w:rPr>
          <w:instrText xml:space="preserve"> PAGEREF _Toc136336671 \h </w:instrText>
        </w:r>
        <w:r w:rsidR="00902389">
          <w:rPr>
            <w:noProof/>
            <w:webHidden/>
          </w:rPr>
        </w:r>
        <w:r w:rsidR="00902389">
          <w:rPr>
            <w:noProof/>
            <w:webHidden/>
          </w:rPr>
          <w:fldChar w:fldCharType="separate"/>
        </w:r>
        <w:r w:rsidR="00902389">
          <w:rPr>
            <w:noProof/>
            <w:webHidden/>
          </w:rPr>
          <w:t>42</w:t>
        </w:r>
        <w:r w:rsidR="00902389">
          <w:rPr>
            <w:noProof/>
            <w:webHidden/>
          </w:rPr>
          <w:fldChar w:fldCharType="end"/>
        </w:r>
      </w:hyperlink>
    </w:p>
    <w:p w14:paraId="7769B12E" w14:textId="24C5369B" w:rsidR="00902389" w:rsidRDefault="00000000">
      <w:pPr>
        <w:pStyle w:val="TOC2"/>
        <w:rPr>
          <w:rFonts w:asciiTheme="minorHAnsi" w:hAnsiTheme="minorHAnsi"/>
          <w:noProof/>
          <w:szCs w:val="22"/>
          <w:lang w:eastAsia="en-AU"/>
        </w:rPr>
      </w:pPr>
      <w:hyperlink w:anchor="_Toc136336672" w:history="1">
        <w:r w:rsidR="00902389" w:rsidRPr="006C5E28">
          <w:rPr>
            <w:rStyle w:val="Hyperlink"/>
            <w:noProof/>
          </w:rPr>
          <w:t>4.4</w:t>
        </w:r>
        <w:r w:rsidR="00902389">
          <w:rPr>
            <w:rFonts w:asciiTheme="minorHAnsi" w:hAnsiTheme="minorHAnsi"/>
            <w:noProof/>
            <w:szCs w:val="22"/>
            <w:lang w:eastAsia="en-AU"/>
          </w:rPr>
          <w:tab/>
        </w:r>
        <w:r w:rsidR="00902389" w:rsidRPr="006C5E28">
          <w:rPr>
            <w:rStyle w:val="Hyperlink"/>
            <w:noProof/>
          </w:rPr>
          <w:t>Factors affecting the success of coordinated funding proposals</w:t>
        </w:r>
        <w:r w:rsidR="00902389">
          <w:rPr>
            <w:noProof/>
            <w:webHidden/>
          </w:rPr>
          <w:tab/>
        </w:r>
        <w:r w:rsidR="00902389">
          <w:rPr>
            <w:noProof/>
            <w:webHidden/>
          </w:rPr>
          <w:fldChar w:fldCharType="begin"/>
        </w:r>
        <w:r w:rsidR="00902389">
          <w:rPr>
            <w:noProof/>
            <w:webHidden/>
          </w:rPr>
          <w:instrText xml:space="preserve"> PAGEREF _Toc136336672 \h </w:instrText>
        </w:r>
        <w:r w:rsidR="00902389">
          <w:rPr>
            <w:noProof/>
            <w:webHidden/>
          </w:rPr>
        </w:r>
        <w:r w:rsidR="00902389">
          <w:rPr>
            <w:noProof/>
            <w:webHidden/>
          </w:rPr>
          <w:fldChar w:fldCharType="separate"/>
        </w:r>
        <w:r w:rsidR="00902389">
          <w:rPr>
            <w:noProof/>
            <w:webHidden/>
          </w:rPr>
          <w:t>44</w:t>
        </w:r>
        <w:r w:rsidR="00902389">
          <w:rPr>
            <w:noProof/>
            <w:webHidden/>
          </w:rPr>
          <w:fldChar w:fldCharType="end"/>
        </w:r>
      </w:hyperlink>
    </w:p>
    <w:p w14:paraId="2CBF1D29" w14:textId="72956BA6" w:rsidR="00902389" w:rsidRDefault="00000000">
      <w:pPr>
        <w:pStyle w:val="TOC1"/>
        <w:tabs>
          <w:tab w:val="left" w:pos="440"/>
        </w:tabs>
        <w:rPr>
          <w:rFonts w:asciiTheme="minorHAnsi" w:hAnsiTheme="minorHAnsi"/>
          <w:noProof/>
          <w:szCs w:val="22"/>
          <w:lang w:eastAsia="en-AU"/>
        </w:rPr>
      </w:pPr>
      <w:hyperlink w:anchor="_Toc136336673" w:history="1">
        <w:r w:rsidR="00902389" w:rsidRPr="006C5E28">
          <w:rPr>
            <w:rStyle w:val="Hyperlink"/>
            <w:noProof/>
          </w:rPr>
          <w:t>5.</w:t>
        </w:r>
        <w:r w:rsidR="00902389">
          <w:rPr>
            <w:rFonts w:asciiTheme="minorHAnsi" w:hAnsiTheme="minorHAnsi"/>
            <w:noProof/>
            <w:szCs w:val="22"/>
            <w:lang w:eastAsia="en-AU"/>
          </w:rPr>
          <w:tab/>
        </w:r>
        <w:r w:rsidR="00902389" w:rsidRPr="006C5E28">
          <w:rPr>
            <w:rStyle w:val="Hyperlink"/>
            <w:noProof/>
          </w:rPr>
          <w:t>Direct commissioning</w:t>
        </w:r>
        <w:r w:rsidR="00902389">
          <w:rPr>
            <w:noProof/>
            <w:webHidden/>
          </w:rPr>
          <w:tab/>
        </w:r>
        <w:r w:rsidR="00902389">
          <w:rPr>
            <w:noProof/>
            <w:webHidden/>
          </w:rPr>
          <w:fldChar w:fldCharType="begin"/>
        </w:r>
        <w:r w:rsidR="00902389">
          <w:rPr>
            <w:noProof/>
            <w:webHidden/>
          </w:rPr>
          <w:instrText xml:space="preserve"> PAGEREF _Toc136336673 \h </w:instrText>
        </w:r>
        <w:r w:rsidR="00902389">
          <w:rPr>
            <w:noProof/>
            <w:webHidden/>
          </w:rPr>
        </w:r>
        <w:r w:rsidR="00902389">
          <w:rPr>
            <w:noProof/>
            <w:webHidden/>
          </w:rPr>
          <w:fldChar w:fldCharType="separate"/>
        </w:r>
        <w:r w:rsidR="00902389">
          <w:rPr>
            <w:noProof/>
            <w:webHidden/>
          </w:rPr>
          <w:t>46</w:t>
        </w:r>
        <w:r w:rsidR="00902389">
          <w:rPr>
            <w:noProof/>
            <w:webHidden/>
          </w:rPr>
          <w:fldChar w:fldCharType="end"/>
        </w:r>
      </w:hyperlink>
    </w:p>
    <w:p w14:paraId="3ACE73A7" w14:textId="2C7BB389" w:rsidR="00902389" w:rsidRDefault="00000000">
      <w:pPr>
        <w:pStyle w:val="TOC2"/>
        <w:rPr>
          <w:rFonts w:asciiTheme="minorHAnsi" w:hAnsiTheme="minorHAnsi"/>
          <w:noProof/>
          <w:szCs w:val="22"/>
          <w:lang w:eastAsia="en-AU"/>
        </w:rPr>
      </w:pPr>
      <w:hyperlink w:anchor="_Toc136336674" w:history="1">
        <w:r w:rsidR="00902389" w:rsidRPr="006C5E28">
          <w:rPr>
            <w:rStyle w:val="Hyperlink"/>
            <w:noProof/>
          </w:rPr>
          <w:t>5.1</w:t>
        </w:r>
        <w:r w:rsidR="00902389">
          <w:rPr>
            <w:rFonts w:asciiTheme="minorHAnsi" w:hAnsiTheme="minorHAnsi"/>
            <w:noProof/>
            <w:szCs w:val="22"/>
            <w:lang w:eastAsia="en-AU"/>
          </w:rPr>
          <w:tab/>
        </w:r>
        <w:r w:rsidR="00902389" w:rsidRPr="006C5E28">
          <w:rPr>
            <w:rStyle w:val="Hyperlink"/>
            <w:noProof/>
          </w:rPr>
          <w:t>Overview of direct commissioning trials</w:t>
        </w:r>
        <w:r w:rsidR="00902389">
          <w:rPr>
            <w:noProof/>
            <w:webHidden/>
          </w:rPr>
          <w:tab/>
        </w:r>
        <w:r w:rsidR="00902389">
          <w:rPr>
            <w:noProof/>
            <w:webHidden/>
          </w:rPr>
          <w:fldChar w:fldCharType="begin"/>
        </w:r>
        <w:r w:rsidR="00902389">
          <w:rPr>
            <w:noProof/>
            <w:webHidden/>
          </w:rPr>
          <w:instrText xml:space="preserve"> PAGEREF _Toc136336674 \h </w:instrText>
        </w:r>
        <w:r w:rsidR="00902389">
          <w:rPr>
            <w:noProof/>
            <w:webHidden/>
          </w:rPr>
        </w:r>
        <w:r w:rsidR="00902389">
          <w:rPr>
            <w:noProof/>
            <w:webHidden/>
          </w:rPr>
          <w:fldChar w:fldCharType="separate"/>
        </w:r>
        <w:r w:rsidR="00902389">
          <w:rPr>
            <w:noProof/>
            <w:webHidden/>
          </w:rPr>
          <w:t>46</w:t>
        </w:r>
        <w:r w:rsidR="00902389">
          <w:rPr>
            <w:noProof/>
            <w:webHidden/>
          </w:rPr>
          <w:fldChar w:fldCharType="end"/>
        </w:r>
      </w:hyperlink>
    </w:p>
    <w:p w14:paraId="1D37ABA1" w14:textId="023BACE9" w:rsidR="00902389" w:rsidRDefault="00000000">
      <w:pPr>
        <w:pStyle w:val="TOC2"/>
        <w:rPr>
          <w:rFonts w:asciiTheme="minorHAnsi" w:hAnsiTheme="minorHAnsi"/>
          <w:noProof/>
          <w:szCs w:val="22"/>
          <w:lang w:eastAsia="en-AU"/>
        </w:rPr>
      </w:pPr>
      <w:hyperlink w:anchor="_Toc136336675" w:history="1">
        <w:r w:rsidR="00902389" w:rsidRPr="006C5E28">
          <w:rPr>
            <w:rStyle w:val="Hyperlink"/>
            <w:noProof/>
          </w:rPr>
          <w:t>5.2</w:t>
        </w:r>
        <w:r w:rsidR="00902389">
          <w:rPr>
            <w:rFonts w:asciiTheme="minorHAnsi" w:hAnsiTheme="minorHAnsi"/>
            <w:noProof/>
            <w:szCs w:val="22"/>
            <w:lang w:eastAsia="en-AU"/>
          </w:rPr>
          <w:tab/>
        </w:r>
        <w:r w:rsidR="00902389" w:rsidRPr="006C5E28">
          <w:rPr>
            <w:rStyle w:val="Hyperlink"/>
            <w:noProof/>
          </w:rPr>
          <w:t>Impact of direct commissioning trials</w:t>
        </w:r>
        <w:r w:rsidR="00902389">
          <w:rPr>
            <w:noProof/>
            <w:webHidden/>
          </w:rPr>
          <w:tab/>
        </w:r>
        <w:r w:rsidR="00902389">
          <w:rPr>
            <w:noProof/>
            <w:webHidden/>
          </w:rPr>
          <w:fldChar w:fldCharType="begin"/>
        </w:r>
        <w:r w:rsidR="00902389">
          <w:rPr>
            <w:noProof/>
            <w:webHidden/>
          </w:rPr>
          <w:instrText xml:space="preserve"> PAGEREF _Toc136336675 \h </w:instrText>
        </w:r>
        <w:r w:rsidR="00902389">
          <w:rPr>
            <w:noProof/>
            <w:webHidden/>
          </w:rPr>
        </w:r>
        <w:r w:rsidR="00902389">
          <w:rPr>
            <w:noProof/>
            <w:webHidden/>
          </w:rPr>
          <w:fldChar w:fldCharType="separate"/>
        </w:r>
        <w:r w:rsidR="00902389">
          <w:rPr>
            <w:noProof/>
            <w:webHidden/>
          </w:rPr>
          <w:t>47</w:t>
        </w:r>
        <w:r w:rsidR="00902389">
          <w:rPr>
            <w:noProof/>
            <w:webHidden/>
          </w:rPr>
          <w:fldChar w:fldCharType="end"/>
        </w:r>
      </w:hyperlink>
    </w:p>
    <w:p w14:paraId="7BC010C8" w14:textId="53B323FB" w:rsidR="00902389" w:rsidRDefault="00000000">
      <w:pPr>
        <w:pStyle w:val="TOC2"/>
        <w:rPr>
          <w:rFonts w:asciiTheme="minorHAnsi" w:hAnsiTheme="minorHAnsi"/>
          <w:noProof/>
          <w:szCs w:val="22"/>
          <w:lang w:eastAsia="en-AU"/>
        </w:rPr>
      </w:pPr>
      <w:hyperlink w:anchor="_Toc136336676" w:history="1">
        <w:r w:rsidR="00902389" w:rsidRPr="006C5E28">
          <w:rPr>
            <w:rStyle w:val="Hyperlink"/>
            <w:noProof/>
          </w:rPr>
          <w:t>5.3</w:t>
        </w:r>
        <w:r w:rsidR="00902389">
          <w:rPr>
            <w:rFonts w:asciiTheme="minorHAnsi" w:hAnsiTheme="minorHAnsi"/>
            <w:noProof/>
            <w:szCs w:val="22"/>
            <w:lang w:eastAsia="en-AU"/>
          </w:rPr>
          <w:tab/>
        </w:r>
        <w:r w:rsidR="00902389" w:rsidRPr="006C5E28">
          <w:rPr>
            <w:rStyle w:val="Hyperlink"/>
            <w:noProof/>
          </w:rPr>
          <w:t>The extent direct commissioning has operated as intended</w:t>
        </w:r>
        <w:r w:rsidR="00902389">
          <w:rPr>
            <w:noProof/>
            <w:webHidden/>
          </w:rPr>
          <w:tab/>
        </w:r>
        <w:r w:rsidR="00902389">
          <w:rPr>
            <w:noProof/>
            <w:webHidden/>
          </w:rPr>
          <w:fldChar w:fldCharType="begin"/>
        </w:r>
        <w:r w:rsidR="00902389">
          <w:rPr>
            <w:noProof/>
            <w:webHidden/>
          </w:rPr>
          <w:instrText xml:space="preserve"> PAGEREF _Toc136336676 \h </w:instrText>
        </w:r>
        <w:r w:rsidR="00902389">
          <w:rPr>
            <w:noProof/>
            <w:webHidden/>
          </w:rPr>
        </w:r>
        <w:r w:rsidR="00902389">
          <w:rPr>
            <w:noProof/>
            <w:webHidden/>
          </w:rPr>
          <w:fldChar w:fldCharType="separate"/>
        </w:r>
        <w:r w:rsidR="00902389">
          <w:rPr>
            <w:noProof/>
            <w:webHidden/>
          </w:rPr>
          <w:t>51</w:t>
        </w:r>
        <w:r w:rsidR="00902389">
          <w:rPr>
            <w:noProof/>
            <w:webHidden/>
          </w:rPr>
          <w:fldChar w:fldCharType="end"/>
        </w:r>
      </w:hyperlink>
    </w:p>
    <w:p w14:paraId="1250CBEF" w14:textId="61EE419B" w:rsidR="00902389" w:rsidRDefault="00000000">
      <w:pPr>
        <w:pStyle w:val="TOC2"/>
        <w:rPr>
          <w:rFonts w:asciiTheme="minorHAnsi" w:hAnsiTheme="minorHAnsi"/>
          <w:noProof/>
          <w:szCs w:val="22"/>
          <w:lang w:eastAsia="en-AU"/>
        </w:rPr>
      </w:pPr>
      <w:hyperlink w:anchor="_Toc136336677" w:history="1">
        <w:r w:rsidR="00902389" w:rsidRPr="006C5E28">
          <w:rPr>
            <w:rStyle w:val="Hyperlink"/>
            <w:noProof/>
          </w:rPr>
          <w:t>5.4</w:t>
        </w:r>
        <w:r w:rsidR="00902389">
          <w:rPr>
            <w:rFonts w:asciiTheme="minorHAnsi" w:hAnsiTheme="minorHAnsi"/>
            <w:noProof/>
            <w:szCs w:val="22"/>
            <w:lang w:eastAsia="en-AU"/>
          </w:rPr>
          <w:tab/>
        </w:r>
        <w:r w:rsidR="00902389" w:rsidRPr="006C5E28">
          <w:rPr>
            <w:rStyle w:val="Hyperlink"/>
            <w:noProof/>
          </w:rPr>
          <w:t>Factors affecting the success of direct commissioning</w:t>
        </w:r>
        <w:r w:rsidR="00902389">
          <w:rPr>
            <w:noProof/>
            <w:webHidden/>
          </w:rPr>
          <w:tab/>
        </w:r>
        <w:r w:rsidR="00902389">
          <w:rPr>
            <w:noProof/>
            <w:webHidden/>
          </w:rPr>
          <w:fldChar w:fldCharType="begin"/>
        </w:r>
        <w:r w:rsidR="00902389">
          <w:rPr>
            <w:noProof/>
            <w:webHidden/>
          </w:rPr>
          <w:instrText xml:space="preserve"> PAGEREF _Toc136336677 \h </w:instrText>
        </w:r>
        <w:r w:rsidR="00902389">
          <w:rPr>
            <w:noProof/>
            <w:webHidden/>
          </w:rPr>
        </w:r>
        <w:r w:rsidR="00902389">
          <w:rPr>
            <w:noProof/>
            <w:webHidden/>
          </w:rPr>
          <w:fldChar w:fldCharType="separate"/>
        </w:r>
        <w:r w:rsidR="00902389">
          <w:rPr>
            <w:noProof/>
            <w:webHidden/>
          </w:rPr>
          <w:t>54</w:t>
        </w:r>
        <w:r w:rsidR="00902389">
          <w:rPr>
            <w:noProof/>
            <w:webHidden/>
          </w:rPr>
          <w:fldChar w:fldCharType="end"/>
        </w:r>
      </w:hyperlink>
    </w:p>
    <w:p w14:paraId="40AC4C4B" w14:textId="46C980C1" w:rsidR="00902389" w:rsidRDefault="00000000">
      <w:pPr>
        <w:pStyle w:val="TOC1"/>
        <w:tabs>
          <w:tab w:val="left" w:pos="440"/>
        </w:tabs>
        <w:rPr>
          <w:rFonts w:asciiTheme="minorHAnsi" w:hAnsiTheme="minorHAnsi"/>
          <w:noProof/>
          <w:szCs w:val="22"/>
          <w:lang w:eastAsia="en-AU"/>
        </w:rPr>
      </w:pPr>
      <w:hyperlink w:anchor="_Toc136336678" w:history="1">
        <w:r w:rsidR="00902389" w:rsidRPr="006C5E28">
          <w:rPr>
            <w:rStyle w:val="Hyperlink"/>
            <w:noProof/>
          </w:rPr>
          <w:t>6.</w:t>
        </w:r>
        <w:r w:rsidR="00902389">
          <w:rPr>
            <w:rFonts w:asciiTheme="minorHAnsi" w:hAnsiTheme="minorHAnsi"/>
            <w:noProof/>
            <w:szCs w:val="22"/>
            <w:lang w:eastAsia="en-AU"/>
          </w:rPr>
          <w:tab/>
        </w:r>
        <w:r w:rsidR="00902389" w:rsidRPr="006C5E28">
          <w:rPr>
            <w:rStyle w:val="Hyperlink"/>
            <w:noProof/>
          </w:rPr>
          <w:t>Conclusions</w:t>
        </w:r>
        <w:r w:rsidR="00902389">
          <w:rPr>
            <w:noProof/>
            <w:webHidden/>
          </w:rPr>
          <w:tab/>
        </w:r>
        <w:r w:rsidR="00902389">
          <w:rPr>
            <w:noProof/>
            <w:webHidden/>
          </w:rPr>
          <w:fldChar w:fldCharType="begin"/>
        </w:r>
        <w:r w:rsidR="00902389">
          <w:rPr>
            <w:noProof/>
            <w:webHidden/>
          </w:rPr>
          <w:instrText xml:space="preserve"> PAGEREF _Toc136336678 \h </w:instrText>
        </w:r>
        <w:r w:rsidR="00902389">
          <w:rPr>
            <w:noProof/>
            <w:webHidden/>
          </w:rPr>
        </w:r>
        <w:r w:rsidR="00902389">
          <w:rPr>
            <w:noProof/>
            <w:webHidden/>
          </w:rPr>
          <w:fldChar w:fldCharType="separate"/>
        </w:r>
        <w:r w:rsidR="00902389">
          <w:rPr>
            <w:noProof/>
            <w:webHidden/>
          </w:rPr>
          <w:t>56</w:t>
        </w:r>
        <w:r w:rsidR="00902389">
          <w:rPr>
            <w:noProof/>
            <w:webHidden/>
          </w:rPr>
          <w:fldChar w:fldCharType="end"/>
        </w:r>
      </w:hyperlink>
    </w:p>
    <w:p w14:paraId="2CF7A320" w14:textId="557B338F" w:rsidR="00902389" w:rsidRDefault="00000000">
      <w:pPr>
        <w:pStyle w:val="TOC2"/>
        <w:rPr>
          <w:rFonts w:asciiTheme="minorHAnsi" w:hAnsiTheme="minorHAnsi"/>
          <w:noProof/>
          <w:szCs w:val="22"/>
          <w:lang w:eastAsia="en-AU"/>
        </w:rPr>
      </w:pPr>
      <w:hyperlink w:anchor="_Toc136336679" w:history="1">
        <w:r w:rsidR="00902389" w:rsidRPr="006C5E28">
          <w:rPr>
            <w:rStyle w:val="Hyperlink"/>
            <w:noProof/>
          </w:rPr>
          <w:t>6.1</w:t>
        </w:r>
        <w:r w:rsidR="00902389">
          <w:rPr>
            <w:rFonts w:asciiTheme="minorHAnsi" w:hAnsiTheme="minorHAnsi"/>
            <w:noProof/>
            <w:szCs w:val="22"/>
            <w:lang w:eastAsia="en-AU"/>
          </w:rPr>
          <w:tab/>
        </w:r>
        <w:r w:rsidR="00902389" w:rsidRPr="006C5E28">
          <w:rPr>
            <w:rStyle w:val="Hyperlink"/>
            <w:noProof/>
          </w:rPr>
          <w:t>The impacts of market interventions</w:t>
        </w:r>
        <w:r w:rsidR="00902389">
          <w:rPr>
            <w:noProof/>
            <w:webHidden/>
          </w:rPr>
          <w:tab/>
        </w:r>
        <w:r w:rsidR="00902389">
          <w:rPr>
            <w:noProof/>
            <w:webHidden/>
          </w:rPr>
          <w:fldChar w:fldCharType="begin"/>
        </w:r>
        <w:r w:rsidR="00902389">
          <w:rPr>
            <w:noProof/>
            <w:webHidden/>
          </w:rPr>
          <w:instrText xml:space="preserve"> PAGEREF _Toc136336679 \h </w:instrText>
        </w:r>
        <w:r w:rsidR="00902389">
          <w:rPr>
            <w:noProof/>
            <w:webHidden/>
          </w:rPr>
        </w:r>
        <w:r w:rsidR="00902389">
          <w:rPr>
            <w:noProof/>
            <w:webHidden/>
          </w:rPr>
          <w:fldChar w:fldCharType="separate"/>
        </w:r>
        <w:r w:rsidR="00902389">
          <w:rPr>
            <w:noProof/>
            <w:webHidden/>
          </w:rPr>
          <w:t>56</w:t>
        </w:r>
        <w:r w:rsidR="00902389">
          <w:rPr>
            <w:noProof/>
            <w:webHidden/>
          </w:rPr>
          <w:fldChar w:fldCharType="end"/>
        </w:r>
      </w:hyperlink>
    </w:p>
    <w:p w14:paraId="3339E036" w14:textId="0986A524" w:rsidR="00902389" w:rsidRDefault="00000000">
      <w:pPr>
        <w:pStyle w:val="TOC2"/>
        <w:rPr>
          <w:rFonts w:asciiTheme="minorHAnsi" w:hAnsiTheme="minorHAnsi"/>
          <w:noProof/>
          <w:szCs w:val="22"/>
          <w:lang w:eastAsia="en-AU"/>
        </w:rPr>
      </w:pPr>
      <w:hyperlink w:anchor="_Toc136336680" w:history="1">
        <w:r w:rsidR="00902389" w:rsidRPr="006C5E28">
          <w:rPr>
            <w:rStyle w:val="Hyperlink"/>
            <w:noProof/>
          </w:rPr>
          <w:t>6.2</w:t>
        </w:r>
        <w:r w:rsidR="00902389">
          <w:rPr>
            <w:rFonts w:asciiTheme="minorHAnsi" w:hAnsiTheme="minorHAnsi"/>
            <w:noProof/>
            <w:szCs w:val="22"/>
            <w:lang w:eastAsia="en-AU"/>
          </w:rPr>
          <w:tab/>
        </w:r>
        <w:r w:rsidR="00902389" w:rsidRPr="006C5E28">
          <w:rPr>
            <w:rStyle w:val="Hyperlink"/>
            <w:noProof/>
          </w:rPr>
          <w:t>Extent market interventions worked as intended</w:t>
        </w:r>
        <w:r w:rsidR="00902389">
          <w:rPr>
            <w:noProof/>
            <w:webHidden/>
          </w:rPr>
          <w:tab/>
        </w:r>
        <w:r w:rsidR="00902389">
          <w:rPr>
            <w:noProof/>
            <w:webHidden/>
          </w:rPr>
          <w:fldChar w:fldCharType="begin"/>
        </w:r>
        <w:r w:rsidR="00902389">
          <w:rPr>
            <w:noProof/>
            <w:webHidden/>
          </w:rPr>
          <w:instrText xml:space="preserve"> PAGEREF _Toc136336680 \h </w:instrText>
        </w:r>
        <w:r w:rsidR="00902389">
          <w:rPr>
            <w:noProof/>
            <w:webHidden/>
          </w:rPr>
        </w:r>
        <w:r w:rsidR="00902389">
          <w:rPr>
            <w:noProof/>
            <w:webHidden/>
          </w:rPr>
          <w:fldChar w:fldCharType="separate"/>
        </w:r>
        <w:r w:rsidR="00902389">
          <w:rPr>
            <w:noProof/>
            <w:webHidden/>
          </w:rPr>
          <w:t>57</w:t>
        </w:r>
        <w:r w:rsidR="00902389">
          <w:rPr>
            <w:noProof/>
            <w:webHidden/>
          </w:rPr>
          <w:fldChar w:fldCharType="end"/>
        </w:r>
      </w:hyperlink>
    </w:p>
    <w:p w14:paraId="4E5B4C6F" w14:textId="42C95D7C" w:rsidR="00902389" w:rsidRDefault="00000000">
      <w:pPr>
        <w:pStyle w:val="TOC2"/>
        <w:rPr>
          <w:rFonts w:asciiTheme="minorHAnsi" w:hAnsiTheme="minorHAnsi"/>
          <w:noProof/>
          <w:szCs w:val="22"/>
          <w:lang w:eastAsia="en-AU"/>
        </w:rPr>
      </w:pPr>
      <w:hyperlink w:anchor="_Toc136336681" w:history="1">
        <w:r w:rsidR="00902389" w:rsidRPr="006C5E28">
          <w:rPr>
            <w:rStyle w:val="Hyperlink"/>
            <w:noProof/>
          </w:rPr>
          <w:t>6.3</w:t>
        </w:r>
        <w:r w:rsidR="00902389">
          <w:rPr>
            <w:rFonts w:asciiTheme="minorHAnsi" w:hAnsiTheme="minorHAnsi"/>
            <w:noProof/>
            <w:szCs w:val="22"/>
            <w:lang w:eastAsia="en-AU"/>
          </w:rPr>
          <w:tab/>
        </w:r>
        <w:r w:rsidR="00902389" w:rsidRPr="006C5E28">
          <w:rPr>
            <w:rStyle w:val="Hyperlink"/>
            <w:noProof/>
          </w:rPr>
          <w:t>Factors affecting the success of market interventions</w:t>
        </w:r>
        <w:r w:rsidR="00902389">
          <w:rPr>
            <w:noProof/>
            <w:webHidden/>
          </w:rPr>
          <w:tab/>
        </w:r>
        <w:r w:rsidR="00902389">
          <w:rPr>
            <w:noProof/>
            <w:webHidden/>
          </w:rPr>
          <w:fldChar w:fldCharType="begin"/>
        </w:r>
        <w:r w:rsidR="00902389">
          <w:rPr>
            <w:noProof/>
            <w:webHidden/>
          </w:rPr>
          <w:instrText xml:space="preserve"> PAGEREF _Toc136336681 \h </w:instrText>
        </w:r>
        <w:r w:rsidR="00902389">
          <w:rPr>
            <w:noProof/>
            <w:webHidden/>
          </w:rPr>
        </w:r>
        <w:r w:rsidR="00902389">
          <w:rPr>
            <w:noProof/>
            <w:webHidden/>
          </w:rPr>
          <w:fldChar w:fldCharType="separate"/>
        </w:r>
        <w:r w:rsidR="00902389">
          <w:rPr>
            <w:noProof/>
            <w:webHidden/>
          </w:rPr>
          <w:t>58</w:t>
        </w:r>
        <w:r w:rsidR="00902389">
          <w:rPr>
            <w:noProof/>
            <w:webHidden/>
          </w:rPr>
          <w:fldChar w:fldCharType="end"/>
        </w:r>
      </w:hyperlink>
    </w:p>
    <w:p w14:paraId="1F902FD8" w14:textId="20BBBA9C" w:rsidR="00902389" w:rsidRDefault="00000000">
      <w:pPr>
        <w:pStyle w:val="TOC2"/>
        <w:rPr>
          <w:rFonts w:asciiTheme="minorHAnsi" w:hAnsiTheme="minorHAnsi"/>
          <w:noProof/>
          <w:szCs w:val="22"/>
          <w:lang w:eastAsia="en-AU"/>
        </w:rPr>
      </w:pPr>
      <w:hyperlink w:anchor="_Toc136336682" w:history="1">
        <w:r w:rsidR="00902389" w:rsidRPr="006C5E28">
          <w:rPr>
            <w:rStyle w:val="Hyperlink"/>
            <w:noProof/>
          </w:rPr>
          <w:t>6.4</w:t>
        </w:r>
        <w:r w:rsidR="00902389">
          <w:rPr>
            <w:rFonts w:asciiTheme="minorHAnsi" w:hAnsiTheme="minorHAnsi"/>
            <w:noProof/>
            <w:szCs w:val="22"/>
            <w:lang w:eastAsia="en-AU"/>
          </w:rPr>
          <w:tab/>
        </w:r>
        <w:r w:rsidR="00902389" w:rsidRPr="006C5E28">
          <w:rPr>
            <w:rStyle w:val="Hyperlink"/>
            <w:noProof/>
          </w:rPr>
          <w:t>Conclusion</w:t>
        </w:r>
        <w:r w:rsidR="00902389">
          <w:rPr>
            <w:noProof/>
            <w:webHidden/>
          </w:rPr>
          <w:tab/>
        </w:r>
        <w:r w:rsidR="00902389">
          <w:rPr>
            <w:noProof/>
            <w:webHidden/>
          </w:rPr>
          <w:fldChar w:fldCharType="begin"/>
        </w:r>
        <w:r w:rsidR="00902389">
          <w:rPr>
            <w:noProof/>
            <w:webHidden/>
          </w:rPr>
          <w:instrText xml:space="preserve"> PAGEREF _Toc136336682 \h </w:instrText>
        </w:r>
        <w:r w:rsidR="00902389">
          <w:rPr>
            <w:noProof/>
            <w:webHidden/>
          </w:rPr>
        </w:r>
        <w:r w:rsidR="00902389">
          <w:rPr>
            <w:noProof/>
            <w:webHidden/>
          </w:rPr>
          <w:fldChar w:fldCharType="separate"/>
        </w:r>
        <w:r w:rsidR="00902389">
          <w:rPr>
            <w:noProof/>
            <w:webHidden/>
          </w:rPr>
          <w:t>59</w:t>
        </w:r>
        <w:r w:rsidR="00902389">
          <w:rPr>
            <w:noProof/>
            <w:webHidden/>
          </w:rPr>
          <w:fldChar w:fldCharType="end"/>
        </w:r>
      </w:hyperlink>
    </w:p>
    <w:p w14:paraId="79882C0F" w14:textId="28C17D2D" w:rsidR="00902389" w:rsidRDefault="00000000">
      <w:pPr>
        <w:pStyle w:val="TOC1"/>
        <w:tabs>
          <w:tab w:val="left" w:pos="440"/>
        </w:tabs>
        <w:rPr>
          <w:rFonts w:asciiTheme="minorHAnsi" w:hAnsiTheme="minorHAnsi"/>
          <w:noProof/>
          <w:szCs w:val="22"/>
          <w:lang w:eastAsia="en-AU"/>
        </w:rPr>
      </w:pPr>
      <w:hyperlink w:anchor="_Toc136336683" w:history="1">
        <w:r w:rsidR="00902389" w:rsidRPr="006C5E28">
          <w:rPr>
            <w:rStyle w:val="Hyperlink"/>
            <w:noProof/>
          </w:rPr>
          <w:t>7.</w:t>
        </w:r>
        <w:r w:rsidR="00902389">
          <w:rPr>
            <w:rFonts w:asciiTheme="minorHAnsi" w:hAnsiTheme="minorHAnsi"/>
            <w:noProof/>
            <w:szCs w:val="22"/>
            <w:lang w:eastAsia="en-AU"/>
          </w:rPr>
          <w:tab/>
        </w:r>
        <w:r w:rsidR="00902389" w:rsidRPr="006C5E28">
          <w:rPr>
            <w:rStyle w:val="Hyperlink"/>
            <w:noProof/>
          </w:rPr>
          <w:t>Recommendations</w:t>
        </w:r>
        <w:r w:rsidR="00902389">
          <w:rPr>
            <w:noProof/>
            <w:webHidden/>
          </w:rPr>
          <w:tab/>
        </w:r>
        <w:r w:rsidR="00902389">
          <w:rPr>
            <w:noProof/>
            <w:webHidden/>
          </w:rPr>
          <w:fldChar w:fldCharType="begin"/>
        </w:r>
        <w:r w:rsidR="00902389">
          <w:rPr>
            <w:noProof/>
            <w:webHidden/>
          </w:rPr>
          <w:instrText xml:space="preserve"> PAGEREF _Toc136336683 \h </w:instrText>
        </w:r>
        <w:r w:rsidR="00902389">
          <w:rPr>
            <w:noProof/>
            <w:webHidden/>
          </w:rPr>
        </w:r>
        <w:r w:rsidR="00902389">
          <w:rPr>
            <w:noProof/>
            <w:webHidden/>
          </w:rPr>
          <w:fldChar w:fldCharType="separate"/>
        </w:r>
        <w:r w:rsidR="00902389">
          <w:rPr>
            <w:noProof/>
            <w:webHidden/>
          </w:rPr>
          <w:t>60</w:t>
        </w:r>
        <w:r w:rsidR="00902389">
          <w:rPr>
            <w:noProof/>
            <w:webHidden/>
          </w:rPr>
          <w:fldChar w:fldCharType="end"/>
        </w:r>
      </w:hyperlink>
    </w:p>
    <w:p w14:paraId="780F3D4C" w14:textId="19AA9EC8" w:rsidR="00902389" w:rsidRDefault="00000000">
      <w:pPr>
        <w:pStyle w:val="TOC2"/>
        <w:rPr>
          <w:rFonts w:asciiTheme="minorHAnsi" w:hAnsiTheme="minorHAnsi"/>
          <w:noProof/>
          <w:szCs w:val="22"/>
          <w:lang w:eastAsia="en-AU"/>
        </w:rPr>
      </w:pPr>
      <w:hyperlink w:anchor="_Toc136336684" w:history="1">
        <w:r w:rsidR="00902389" w:rsidRPr="006C5E28">
          <w:rPr>
            <w:rStyle w:val="Hyperlink"/>
            <w:noProof/>
          </w:rPr>
          <w:t>7.1</w:t>
        </w:r>
        <w:r w:rsidR="00902389">
          <w:rPr>
            <w:rFonts w:asciiTheme="minorHAnsi" w:hAnsiTheme="minorHAnsi"/>
            <w:noProof/>
            <w:szCs w:val="22"/>
            <w:lang w:eastAsia="en-AU"/>
          </w:rPr>
          <w:tab/>
        </w:r>
        <w:r w:rsidR="00902389" w:rsidRPr="006C5E28">
          <w:rPr>
            <w:rStyle w:val="Hyperlink"/>
            <w:noProof/>
          </w:rPr>
          <w:t>Strategic initiatives to strengthen thin markets</w:t>
        </w:r>
        <w:r w:rsidR="00902389">
          <w:rPr>
            <w:noProof/>
            <w:webHidden/>
          </w:rPr>
          <w:tab/>
        </w:r>
        <w:r w:rsidR="00902389">
          <w:rPr>
            <w:noProof/>
            <w:webHidden/>
          </w:rPr>
          <w:fldChar w:fldCharType="begin"/>
        </w:r>
        <w:r w:rsidR="00902389">
          <w:rPr>
            <w:noProof/>
            <w:webHidden/>
          </w:rPr>
          <w:instrText xml:space="preserve"> PAGEREF _Toc136336684 \h </w:instrText>
        </w:r>
        <w:r w:rsidR="00902389">
          <w:rPr>
            <w:noProof/>
            <w:webHidden/>
          </w:rPr>
        </w:r>
        <w:r w:rsidR="00902389">
          <w:rPr>
            <w:noProof/>
            <w:webHidden/>
          </w:rPr>
          <w:fldChar w:fldCharType="separate"/>
        </w:r>
        <w:r w:rsidR="00902389">
          <w:rPr>
            <w:noProof/>
            <w:webHidden/>
          </w:rPr>
          <w:t>60</w:t>
        </w:r>
        <w:r w:rsidR="00902389">
          <w:rPr>
            <w:noProof/>
            <w:webHidden/>
          </w:rPr>
          <w:fldChar w:fldCharType="end"/>
        </w:r>
      </w:hyperlink>
    </w:p>
    <w:p w14:paraId="7BAF8491" w14:textId="58417882" w:rsidR="00902389" w:rsidRDefault="00000000">
      <w:pPr>
        <w:pStyle w:val="TOC2"/>
        <w:rPr>
          <w:rFonts w:asciiTheme="minorHAnsi" w:hAnsiTheme="minorHAnsi"/>
          <w:noProof/>
          <w:szCs w:val="22"/>
          <w:lang w:eastAsia="en-AU"/>
        </w:rPr>
      </w:pPr>
      <w:hyperlink w:anchor="_Toc136336685" w:history="1">
        <w:r w:rsidR="00902389" w:rsidRPr="006C5E28">
          <w:rPr>
            <w:rStyle w:val="Hyperlink"/>
            <w:noProof/>
          </w:rPr>
          <w:t>7.2</w:t>
        </w:r>
        <w:r w:rsidR="00902389">
          <w:rPr>
            <w:rFonts w:asciiTheme="minorHAnsi" w:hAnsiTheme="minorHAnsi"/>
            <w:noProof/>
            <w:szCs w:val="22"/>
            <w:lang w:eastAsia="en-AU"/>
          </w:rPr>
          <w:tab/>
        </w:r>
        <w:r w:rsidR="00902389" w:rsidRPr="006C5E28">
          <w:rPr>
            <w:rStyle w:val="Hyperlink"/>
            <w:noProof/>
          </w:rPr>
          <w:t>Further testing to determine effective market intervention approaches in different contexts</w:t>
        </w:r>
        <w:r w:rsidR="00902389">
          <w:rPr>
            <w:noProof/>
            <w:webHidden/>
          </w:rPr>
          <w:tab/>
        </w:r>
        <w:r w:rsidR="00902389">
          <w:rPr>
            <w:noProof/>
            <w:webHidden/>
          </w:rPr>
          <w:fldChar w:fldCharType="begin"/>
        </w:r>
        <w:r w:rsidR="00902389">
          <w:rPr>
            <w:noProof/>
            <w:webHidden/>
          </w:rPr>
          <w:instrText xml:space="preserve"> PAGEREF _Toc136336685 \h </w:instrText>
        </w:r>
        <w:r w:rsidR="00902389">
          <w:rPr>
            <w:noProof/>
            <w:webHidden/>
          </w:rPr>
        </w:r>
        <w:r w:rsidR="00902389">
          <w:rPr>
            <w:noProof/>
            <w:webHidden/>
          </w:rPr>
          <w:fldChar w:fldCharType="separate"/>
        </w:r>
        <w:r w:rsidR="00902389">
          <w:rPr>
            <w:noProof/>
            <w:webHidden/>
          </w:rPr>
          <w:t>61</w:t>
        </w:r>
        <w:r w:rsidR="00902389">
          <w:rPr>
            <w:noProof/>
            <w:webHidden/>
          </w:rPr>
          <w:fldChar w:fldCharType="end"/>
        </w:r>
      </w:hyperlink>
    </w:p>
    <w:p w14:paraId="177DA78A" w14:textId="1E9B07DD" w:rsidR="00902389" w:rsidRDefault="00000000">
      <w:pPr>
        <w:pStyle w:val="TOC2"/>
        <w:rPr>
          <w:rFonts w:asciiTheme="minorHAnsi" w:hAnsiTheme="minorHAnsi"/>
          <w:noProof/>
          <w:szCs w:val="22"/>
          <w:lang w:eastAsia="en-AU"/>
        </w:rPr>
      </w:pPr>
      <w:hyperlink w:anchor="_Toc136336686" w:history="1">
        <w:r w:rsidR="00902389" w:rsidRPr="006C5E28">
          <w:rPr>
            <w:rStyle w:val="Hyperlink"/>
            <w:noProof/>
          </w:rPr>
          <w:t>7.3</w:t>
        </w:r>
        <w:r w:rsidR="00902389">
          <w:rPr>
            <w:rFonts w:asciiTheme="minorHAnsi" w:hAnsiTheme="minorHAnsi"/>
            <w:noProof/>
            <w:szCs w:val="22"/>
            <w:lang w:eastAsia="en-AU"/>
          </w:rPr>
          <w:tab/>
        </w:r>
        <w:r w:rsidR="00902389" w:rsidRPr="006C5E28">
          <w:rPr>
            <w:rStyle w:val="Hyperlink"/>
            <w:noProof/>
          </w:rPr>
          <w:t>Enhancements to current market intervention approaches</w:t>
        </w:r>
        <w:r w:rsidR="00902389">
          <w:rPr>
            <w:noProof/>
            <w:webHidden/>
          </w:rPr>
          <w:tab/>
        </w:r>
        <w:r w:rsidR="00902389">
          <w:rPr>
            <w:noProof/>
            <w:webHidden/>
          </w:rPr>
          <w:fldChar w:fldCharType="begin"/>
        </w:r>
        <w:r w:rsidR="00902389">
          <w:rPr>
            <w:noProof/>
            <w:webHidden/>
          </w:rPr>
          <w:instrText xml:space="preserve"> PAGEREF _Toc136336686 \h </w:instrText>
        </w:r>
        <w:r w:rsidR="00902389">
          <w:rPr>
            <w:noProof/>
            <w:webHidden/>
          </w:rPr>
        </w:r>
        <w:r w:rsidR="00902389">
          <w:rPr>
            <w:noProof/>
            <w:webHidden/>
          </w:rPr>
          <w:fldChar w:fldCharType="separate"/>
        </w:r>
        <w:r w:rsidR="00902389">
          <w:rPr>
            <w:noProof/>
            <w:webHidden/>
          </w:rPr>
          <w:t>62</w:t>
        </w:r>
        <w:r w:rsidR="00902389">
          <w:rPr>
            <w:noProof/>
            <w:webHidden/>
          </w:rPr>
          <w:fldChar w:fldCharType="end"/>
        </w:r>
      </w:hyperlink>
    </w:p>
    <w:p w14:paraId="4A910C29" w14:textId="21C4D1EE" w:rsidR="00902389" w:rsidRDefault="00000000">
      <w:pPr>
        <w:pStyle w:val="TOC1"/>
        <w:tabs>
          <w:tab w:val="left" w:pos="1540"/>
        </w:tabs>
        <w:rPr>
          <w:rFonts w:asciiTheme="minorHAnsi" w:hAnsiTheme="minorHAnsi"/>
          <w:noProof/>
          <w:szCs w:val="22"/>
          <w:lang w:eastAsia="en-AU"/>
        </w:rPr>
      </w:pPr>
      <w:hyperlink w:anchor="_Toc136336687" w:history="1">
        <w:r w:rsidR="00902389" w:rsidRPr="006C5E28">
          <w:rPr>
            <w:rStyle w:val="Hyperlink"/>
            <w:noProof/>
          </w:rPr>
          <w:t>Appendix A</w:t>
        </w:r>
        <w:r w:rsidR="00902389">
          <w:rPr>
            <w:rFonts w:asciiTheme="minorHAnsi" w:hAnsiTheme="minorHAnsi"/>
            <w:noProof/>
            <w:szCs w:val="22"/>
            <w:lang w:eastAsia="en-AU"/>
          </w:rPr>
          <w:tab/>
        </w:r>
        <w:r w:rsidR="00902389" w:rsidRPr="006C5E28">
          <w:rPr>
            <w:rStyle w:val="Hyperlink"/>
            <w:noProof/>
          </w:rPr>
          <w:t>Program theory</w:t>
        </w:r>
        <w:r w:rsidR="00902389">
          <w:rPr>
            <w:noProof/>
            <w:webHidden/>
          </w:rPr>
          <w:tab/>
        </w:r>
        <w:r w:rsidR="00902389">
          <w:rPr>
            <w:noProof/>
            <w:webHidden/>
          </w:rPr>
          <w:fldChar w:fldCharType="begin"/>
        </w:r>
        <w:r w:rsidR="00902389">
          <w:rPr>
            <w:noProof/>
            <w:webHidden/>
          </w:rPr>
          <w:instrText xml:space="preserve"> PAGEREF _Toc136336687 \h </w:instrText>
        </w:r>
        <w:r w:rsidR="00902389">
          <w:rPr>
            <w:noProof/>
            <w:webHidden/>
          </w:rPr>
        </w:r>
        <w:r w:rsidR="00902389">
          <w:rPr>
            <w:noProof/>
            <w:webHidden/>
          </w:rPr>
          <w:fldChar w:fldCharType="separate"/>
        </w:r>
        <w:r w:rsidR="00902389">
          <w:rPr>
            <w:noProof/>
            <w:webHidden/>
          </w:rPr>
          <w:t>63</w:t>
        </w:r>
        <w:r w:rsidR="00902389">
          <w:rPr>
            <w:noProof/>
            <w:webHidden/>
          </w:rPr>
          <w:fldChar w:fldCharType="end"/>
        </w:r>
      </w:hyperlink>
    </w:p>
    <w:p w14:paraId="398C4F1F" w14:textId="17E8ACDB" w:rsidR="00902389" w:rsidRDefault="00000000">
      <w:pPr>
        <w:pStyle w:val="TOC1"/>
        <w:tabs>
          <w:tab w:val="left" w:pos="1540"/>
        </w:tabs>
        <w:rPr>
          <w:rFonts w:asciiTheme="minorHAnsi" w:hAnsiTheme="minorHAnsi"/>
          <w:noProof/>
          <w:szCs w:val="22"/>
          <w:lang w:eastAsia="en-AU"/>
        </w:rPr>
      </w:pPr>
      <w:hyperlink w:anchor="_Toc136336688" w:history="1">
        <w:r w:rsidR="00902389" w:rsidRPr="006C5E28">
          <w:rPr>
            <w:rStyle w:val="Hyperlink"/>
            <w:noProof/>
          </w:rPr>
          <w:t>Appendix B</w:t>
        </w:r>
        <w:r w:rsidR="00902389">
          <w:rPr>
            <w:rFonts w:asciiTheme="minorHAnsi" w:hAnsiTheme="minorHAnsi"/>
            <w:noProof/>
            <w:szCs w:val="22"/>
            <w:lang w:eastAsia="en-AU"/>
          </w:rPr>
          <w:tab/>
        </w:r>
        <w:r w:rsidR="00902389" w:rsidRPr="006C5E28">
          <w:rPr>
            <w:rStyle w:val="Hyperlink"/>
            <w:noProof/>
          </w:rPr>
          <w:t>Thin Market Trial overview</w:t>
        </w:r>
        <w:r w:rsidR="00902389">
          <w:rPr>
            <w:noProof/>
            <w:webHidden/>
          </w:rPr>
          <w:tab/>
        </w:r>
        <w:r w:rsidR="00902389">
          <w:rPr>
            <w:noProof/>
            <w:webHidden/>
          </w:rPr>
          <w:fldChar w:fldCharType="begin"/>
        </w:r>
        <w:r w:rsidR="00902389">
          <w:rPr>
            <w:noProof/>
            <w:webHidden/>
          </w:rPr>
          <w:instrText xml:space="preserve"> PAGEREF _Toc136336688 \h </w:instrText>
        </w:r>
        <w:r w:rsidR="00902389">
          <w:rPr>
            <w:noProof/>
            <w:webHidden/>
          </w:rPr>
        </w:r>
        <w:r w:rsidR="00902389">
          <w:rPr>
            <w:noProof/>
            <w:webHidden/>
          </w:rPr>
          <w:fldChar w:fldCharType="separate"/>
        </w:r>
        <w:r w:rsidR="00902389">
          <w:rPr>
            <w:noProof/>
            <w:webHidden/>
          </w:rPr>
          <w:t>64</w:t>
        </w:r>
        <w:r w:rsidR="00902389">
          <w:rPr>
            <w:noProof/>
            <w:webHidden/>
          </w:rPr>
          <w:fldChar w:fldCharType="end"/>
        </w:r>
      </w:hyperlink>
    </w:p>
    <w:p w14:paraId="56C42403" w14:textId="01393E72" w:rsidR="00902389" w:rsidRDefault="00000000">
      <w:pPr>
        <w:pStyle w:val="TOC1"/>
        <w:tabs>
          <w:tab w:val="left" w:pos="1540"/>
        </w:tabs>
        <w:rPr>
          <w:rFonts w:asciiTheme="minorHAnsi" w:hAnsiTheme="minorHAnsi"/>
          <w:noProof/>
          <w:szCs w:val="22"/>
          <w:lang w:eastAsia="en-AU"/>
        </w:rPr>
      </w:pPr>
      <w:hyperlink w:anchor="_Toc136336689" w:history="1">
        <w:r w:rsidR="00902389" w:rsidRPr="006C5E28">
          <w:rPr>
            <w:rStyle w:val="Hyperlink"/>
            <w:noProof/>
          </w:rPr>
          <w:t>Appendix C</w:t>
        </w:r>
        <w:r w:rsidR="00902389">
          <w:rPr>
            <w:rFonts w:asciiTheme="minorHAnsi" w:hAnsiTheme="minorHAnsi"/>
            <w:noProof/>
            <w:szCs w:val="22"/>
            <w:lang w:eastAsia="en-AU"/>
          </w:rPr>
          <w:tab/>
        </w:r>
        <w:r w:rsidR="00902389" w:rsidRPr="006C5E28">
          <w:rPr>
            <w:rStyle w:val="Hyperlink"/>
            <w:noProof/>
          </w:rPr>
          <w:t>Data and methods supplementary information</w:t>
        </w:r>
        <w:r w:rsidR="00902389">
          <w:rPr>
            <w:noProof/>
            <w:webHidden/>
          </w:rPr>
          <w:tab/>
        </w:r>
        <w:r w:rsidR="00902389">
          <w:rPr>
            <w:noProof/>
            <w:webHidden/>
          </w:rPr>
          <w:fldChar w:fldCharType="begin"/>
        </w:r>
        <w:r w:rsidR="00902389">
          <w:rPr>
            <w:noProof/>
            <w:webHidden/>
          </w:rPr>
          <w:instrText xml:space="preserve"> PAGEREF _Toc136336689 \h </w:instrText>
        </w:r>
        <w:r w:rsidR="00902389">
          <w:rPr>
            <w:noProof/>
            <w:webHidden/>
          </w:rPr>
        </w:r>
        <w:r w:rsidR="00902389">
          <w:rPr>
            <w:noProof/>
            <w:webHidden/>
          </w:rPr>
          <w:fldChar w:fldCharType="separate"/>
        </w:r>
        <w:r w:rsidR="00902389">
          <w:rPr>
            <w:noProof/>
            <w:webHidden/>
          </w:rPr>
          <w:t>67</w:t>
        </w:r>
        <w:r w:rsidR="00902389">
          <w:rPr>
            <w:noProof/>
            <w:webHidden/>
          </w:rPr>
          <w:fldChar w:fldCharType="end"/>
        </w:r>
      </w:hyperlink>
    </w:p>
    <w:p w14:paraId="20A70E52" w14:textId="77319C3A" w:rsidR="004D32B5" w:rsidRDefault="000E1907" w:rsidP="0074459A">
      <w:pPr>
        <w:pStyle w:val="BodyText1"/>
      </w:pPr>
      <w:r>
        <w:rPr>
          <w:color w:val="2B579A"/>
          <w:shd w:val="clear" w:color="auto" w:fill="E6E6E6"/>
        </w:rPr>
        <w:fldChar w:fldCharType="end"/>
      </w:r>
    </w:p>
    <w:p w14:paraId="50C7B789" w14:textId="77777777" w:rsidR="00ED506B" w:rsidRDefault="00ED506B">
      <w:pPr>
        <w:spacing w:line="276" w:lineRule="auto"/>
        <w:sectPr w:rsidR="00ED506B" w:rsidSect="00F75B9A">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37" w:footer="0" w:gutter="0"/>
          <w:pgNumType w:fmt="lowerRoman" w:start="1"/>
          <w:cols w:space="708"/>
          <w:titlePg/>
          <w:docGrid w:linePitch="360"/>
        </w:sectPr>
      </w:pPr>
    </w:p>
    <w:p w14:paraId="64F5D55C" w14:textId="55F5AAB8" w:rsidR="00CC5B38" w:rsidRDefault="00CC5B38" w:rsidP="00A01FA6">
      <w:pPr>
        <w:pStyle w:val="Heading2nonumber"/>
      </w:pPr>
      <w:bookmarkStart w:id="11" w:name="_Toc111206307"/>
      <w:bookmarkStart w:id="12" w:name="_Toc111206421"/>
      <w:bookmarkStart w:id="13" w:name="_Toc136336646"/>
      <w:r>
        <w:lastRenderedPageBreak/>
        <w:t>Abbreviations</w:t>
      </w:r>
      <w:bookmarkEnd w:id="11"/>
      <w:bookmarkEnd w:id="12"/>
      <w:bookmarkEnd w:id="13"/>
    </w:p>
    <w:p w14:paraId="37FD03C7" w14:textId="77777777" w:rsidR="00C47E98" w:rsidRPr="007F5B1D" w:rsidRDefault="00C47E98" w:rsidP="00136BDA">
      <w:pPr>
        <w:spacing w:before="0" w:after="200"/>
        <w:ind w:left="720" w:hanging="720"/>
      </w:pPr>
      <w:r w:rsidRPr="007F5B1D">
        <w:t>ACT</w:t>
      </w:r>
      <w:r w:rsidRPr="007F5B1D">
        <w:tab/>
      </w:r>
      <w:r w:rsidRPr="007F5B1D">
        <w:tab/>
        <w:t>Australian Capital Territory</w:t>
      </w:r>
    </w:p>
    <w:p w14:paraId="3E398E5B" w14:textId="77777777" w:rsidR="00150AB9" w:rsidRDefault="00150AB9" w:rsidP="00136BDA">
      <w:pPr>
        <w:spacing w:before="0" w:after="200"/>
        <w:ind w:left="720" w:hanging="720"/>
      </w:pPr>
      <w:r>
        <w:t>ATE</w:t>
      </w:r>
      <w:r>
        <w:tab/>
      </w:r>
      <w:r>
        <w:tab/>
        <w:t>Average Treatment Effect</w:t>
      </w:r>
    </w:p>
    <w:p w14:paraId="0086B340" w14:textId="595F5713" w:rsidR="00C47E98" w:rsidRPr="007F5B1D" w:rsidRDefault="00C47E98" w:rsidP="00136BDA">
      <w:pPr>
        <w:spacing w:before="0" w:after="200"/>
        <w:ind w:left="720" w:hanging="720"/>
      </w:pPr>
      <w:r w:rsidRPr="007F5B1D">
        <w:t>ATHM</w:t>
      </w:r>
      <w:r w:rsidRPr="007F5B1D">
        <w:tab/>
      </w:r>
      <w:r w:rsidRPr="007F5B1D">
        <w:tab/>
        <w:t>Assistive Technology and Home Modifications</w:t>
      </w:r>
    </w:p>
    <w:p w14:paraId="4A975C71" w14:textId="77777777" w:rsidR="00C47E98" w:rsidRPr="007F5B1D" w:rsidRDefault="00C47E98" w:rsidP="00136BDA">
      <w:pPr>
        <w:spacing w:before="0" w:after="200"/>
        <w:ind w:left="720" w:hanging="720"/>
      </w:pPr>
      <w:r w:rsidRPr="007F5B1D">
        <w:t xml:space="preserve">APY </w:t>
      </w:r>
      <w:r w:rsidRPr="007F5B1D">
        <w:tab/>
      </w:r>
      <w:r w:rsidRPr="007F5B1D">
        <w:tab/>
        <w:t>Anangu Pitjantjatjara Yankunytjatjara</w:t>
      </w:r>
    </w:p>
    <w:p w14:paraId="2BC22BC0" w14:textId="77777777" w:rsidR="00C47E98" w:rsidRPr="007F5B1D" w:rsidRDefault="00C47E98" w:rsidP="00136BDA">
      <w:pPr>
        <w:spacing w:before="0" w:after="200"/>
        <w:ind w:left="720" w:hanging="720"/>
      </w:pPr>
      <w:r w:rsidRPr="007F5B1D">
        <w:t>BLCW</w:t>
      </w:r>
      <w:r w:rsidRPr="007F5B1D">
        <w:tab/>
      </w:r>
      <w:r w:rsidRPr="007F5B1D">
        <w:tab/>
        <w:t>Boosting the Local Care Workforce</w:t>
      </w:r>
    </w:p>
    <w:p w14:paraId="065CE890" w14:textId="77777777" w:rsidR="00150AB9" w:rsidRDefault="00150AB9" w:rsidP="00136BDA">
      <w:pPr>
        <w:spacing w:before="0" w:after="200"/>
        <w:ind w:left="720" w:hanging="720"/>
      </w:pPr>
      <w:r>
        <w:t>BTS</w:t>
      </w:r>
      <w:r>
        <w:tab/>
      </w:r>
      <w:r>
        <w:tab/>
        <w:t>Bayesian Time Series</w:t>
      </w:r>
      <w:r>
        <w:tab/>
      </w:r>
    </w:p>
    <w:p w14:paraId="53153BBE" w14:textId="6B6958F1" w:rsidR="00C47E98" w:rsidRPr="00986987" w:rsidRDefault="00C47E98" w:rsidP="00136BDA">
      <w:pPr>
        <w:spacing w:before="0" w:after="200"/>
        <w:ind w:left="720" w:hanging="720"/>
      </w:pPr>
      <w:r w:rsidRPr="00986987">
        <w:t>CALD</w:t>
      </w:r>
      <w:r w:rsidRPr="00986987">
        <w:tab/>
      </w:r>
      <w:r w:rsidRPr="00986987">
        <w:tab/>
        <w:t>Culturally and Linguistically Diverse</w:t>
      </w:r>
    </w:p>
    <w:p w14:paraId="70A1BD70" w14:textId="77777777" w:rsidR="00C47E98" w:rsidRPr="00986987" w:rsidRDefault="00C47E98" w:rsidP="00136BDA">
      <w:pPr>
        <w:spacing w:before="0" w:after="200"/>
        <w:ind w:left="720" w:hanging="720"/>
      </w:pPr>
      <w:r w:rsidRPr="00986987">
        <w:t>CB</w:t>
      </w:r>
      <w:r w:rsidRPr="00986987">
        <w:tab/>
      </w:r>
      <w:r w:rsidRPr="00986987">
        <w:tab/>
        <w:t>Capacity Building (supports)</w:t>
      </w:r>
    </w:p>
    <w:p w14:paraId="07ED7497" w14:textId="77777777" w:rsidR="00C47E98" w:rsidRPr="00986987" w:rsidRDefault="00C47E98" w:rsidP="00136BDA">
      <w:pPr>
        <w:spacing w:before="0" w:after="200"/>
        <w:ind w:left="720" w:hanging="720"/>
      </w:pPr>
      <w:r w:rsidRPr="00986987">
        <w:t>CBIR</w:t>
      </w:r>
      <w:r w:rsidRPr="00986987">
        <w:tab/>
      </w:r>
      <w:r w:rsidRPr="00986987">
        <w:tab/>
        <w:t>Capacity Building – Improved Relationships</w:t>
      </w:r>
    </w:p>
    <w:p w14:paraId="3B9E84EB" w14:textId="77777777" w:rsidR="00C47E98" w:rsidRPr="00986987" w:rsidRDefault="00C47E98" w:rsidP="00136BDA">
      <w:pPr>
        <w:spacing w:before="0" w:after="200"/>
        <w:ind w:left="720" w:hanging="720"/>
      </w:pPr>
      <w:r w:rsidRPr="00986987">
        <w:t>CBDA</w:t>
      </w:r>
      <w:r w:rsidRPr="00986987">
        <w:tab/>
      </w:r>
      <w:r w:rsidRPr="00986987">
        <w:tab/>
        <w:t>Capacity Building – Daily Activities</w:t>
      </w:r>
    </w:p>
    <w:p w14:paraId="4B5E10D3" w14:textId="77777777" w:rsidR="00C47E98" w:rsidRPr="00986987" w:rsidRDefault="00C47E98" w:rsidP="00136BDA">
      <w:pPr>
        <w:spacing w:before="0" w:after="200"/>
        <w:ind w:left="720" w:hanging="720"/>
      </w:pPr>
      <w:r w:rsidRPr="00986987">
        <w:t>CFP</w:t>
      </w:r>
      <w:r w:rsidRPr="00986987">
        <w:tab/>
      </w:r>
      <w:r w:rsidRPr="00986987">
        <w:tab/>
        <w:t>Coordinated Funding Proposal</w:t>
      </w:r>
    </w:p>
    <w:p w14:paraId="2DF0C4D7" w14:textId="77777777" w:rsidR="00150AB9" w:rsidRDefault="00150AB9" w:rsidP="00136BDA">
      <w:pPr>
        <w:spacing w:before="0" w:after="200"/>
        <w:ind w:left="720" w:hanging="720"/>
      </w:pPr>
      <w:r>
        <w:t>DiD</w:t>
      </w:r>
      <w:r>
        <w:tab/>
      </w:r>
      <w:r>
        <w:tab/>
        <w:t>Difference-in-difference</w:t>
      </w:r>
    </w:p>
    <w:p w14:paraId="72B8463E" w14:textId="7DDAA44D" w:rsidR="00C47E98" w:rsidRPr="00986987" w:rsidRDefault="00C47E98" w:rsidP="00136BDA">
      <w:pPr>
        <w:spacing w:before="0" w:after="200"/>
        <w:ind w:left="720" w:hanging="720"/>
      </w:pPr>
      <w:r w:rsidRPr="00986987">
        <w:t>DRC</w:t>
      </w:r>
      <w:r w:rsidRPr="00986987">
        <w:tab/>
      </w:r>
      <w:r w:rsidRPr="00986987">
        <w:tab/>
        <w:t>Disability Reform Council</w:t>
      </w:r>
    </w:p>
    <w:p w14:paraId="226B9F54" w14:textId="209405A6" w:rsidR="00C47E98" w:rsidRPr="00986987" w:rsidRDefault="00C47E98" w:rsidP="00136BDA">
      <w:pPr>
        <w:spacing w:before="0" w:after="200"/>
        <w:ind w:left="720" w:hanging="720"/>
      </w:pPr>
      <w:r w:rsidRPr="00986987">
        <w:t>DRM</w:t>
      </w:r>
      <w:r w:rsidR="00421F22">
        <w:t>C</w:t>
      </w:r>
      <w:r w:rsidRPr="00986987">
        <w:tab/>
      </w:r>
      <w:r w:rsidRPr="00986987">
        <w:tab/>
        <w:t xml:space="preserve">Disability Reform Ministers </w:t>
      </w:r>
      <w:r w:rsidR="00421F22">
        <w:t>Council</w:t>
      </w:r>
    </w:p>
    <w:p w14:paraId="45D8F27F" w14:textId="77777777" w:rsidR="00C47E98" w:rsidRPr="00150AB9" w:rsidRDefault="00C47E98" w:rsidP="00136BDA">
      <w:pPr>
        <w:spacing w:before="0" w:after="200"/>
        <w:ind w:left="720" w:hanging="720"/>
      </w:pPr>
      <w:r w:rsidRPr="00150AB9">
        <w:t>LAC</w:t>
      </w:r>
      <w:r w:rsidRPr="00150AB9">
        <w:tab/>
      </w:r>
      <w:r w:rsidRPr="00150AB9">
        <w:tab/>
        <w:t>Local Area Coordinator</w:t>
      </w:r>
    </w:p>
    <w:p w14:paraId="2EDBC276" w14:textId="77777777" w:rsidR="00C47E98" w:rsidRPr="00150AB9" w:rsidRDefault="00C47E98" w:rsidP="00136BDA">
      <w:pPr>
        <w:spacing w:before="0" w:after="200"/>
        <w:ind w:left="720" w:hanging="720"/>
      </w:pPr>
      <w:r w:rsidRPr="00150AB9">
        <w:t>LGA</w:t>
      </w:r>
      <w:r w:rsidRPr="00150AB9">
        <w:tab/>
      </w:r>
      <w:r w:rsidRPr="00150AB9">
        <w:tab/>
        <w:t>Local Government Area</w:t>
      </w:r>
    </w:p>
    <w:p w14:paraId="3FBFF7EB" w14:textId="77777777" w:rsidR="00C47E98" w:rsidRPr="00150AB9" w:rsidRDefault="00C47E98" w:rsidP="00136BDA">
      <w:pPr>
        <w:spacing w:before="0" w:after="200"/>
        <w:ind w:left="720" w:hanging="720"/>
      </w:pPr>
      <w:r w:rsidRPr="00150AB9">
        <w:t>MIC</w:t>
      </w:r>
      <w:r w:rsidRPr="00150AB9">
        <w:tab/>
      </w:r>
      <w:r w:rsidRPr="00150AB9">
        <w:tab/>
        <w:t>Market Intervention and Commissioning (Branch)</w:t>
      </w:r>
    </w:p>
    <w:p w14:paraId="4296BE0D" w14:textId="77777777" w:rsidR="00C47E98" w:rsidRPr="00150AB9" w:rsidRDefault="00C47E98" w:rsidP="00136BDA">
      <w:pPr>
        <w:spacing w:before="0" w:after="200"/>
        <w:ind w:left="720" w:hanging="720"/>
      </w:pPr>
      <w:r w:rsidRPr="00150AB9">
        <w:t>MMM</w:t>
      </w:r>
      <w:r w:rsidRPr="00150AB9">
        <w:tab/>
      </w:r>
      <w:r w:rsidRPr="00150AB9">
        <w:tab/>
        <w:t>Modified Monash Model</w:t>
      </w:r>
    </w:p>
    <w:p w14:paraId="734C93EF" w14:textId="77777777" w:rsidR="00C47E98" w:rsidRPr="00150AB9" w:rsidRDefault="00C47E98" w:rsidP="00136BDA">
      <w:pPr>
        <w:spacing w:before="0" w:after="200"/>
        <w:ind w:left="720" w:hanging="720"/>
      </w:pPr>
      <w:r w:rsidRPr="00150AB9">
        <w:t>NDIA</w:t>
      </w:r>
      <w:r w:rsidRPr="00150AB9">
        <w:tab/>
      </w:r>
      <w:r w:rsidRPr="00150AB9">
        <w:tab/>
        <w:t>National Disability Insurance Agency</w:t>
      </w:r>
    </w:p>
    <w:p w14:paraId="5BD43255" w14:textId="77777777" w:rsidR="00C47E98" w:rsidRPr="00150AB9" w:rsidRDefault="00C47E98" w:rsidP="00136BDA">
      <w:pPr>
        <w:spacing w:before="0" w:after="200"/>
        <w:ind w:left="720" w:hanging="720"/>
      </w:pPr>
      <w:r w:rsidRPr="00150AB9">
        <w:t>NDIS</w:t>
      </w:r>
      <w:r w:rsidRPr="00150AB9">
        <w:tab/>
      </w:r>
      <w:r w:rsidRPr="00150AB9">
        <w:tab/>
        <w:t>National Disability Insurance Scheme</w:t>
      </w:r>
    </w:p>
    <w:p w14:paraId="17C95873" w14:textId="3F23ABFD" w:rsidR="002F5FA3" w:rsidRPr="00150AB9" w:rsidRDefault="002F5FA3" w:rsidP="00136BDA">
      <w:pPr>
        <w:spacing w:before="0" w:after="200"/>
        <w:ind w:left="720" w:hanging="720"/>
      </w:pPr>
      <w:r>
        <w:t>NHS</w:t>
      </w:r>
      <w:r>
        <w:tab/>
      </w:r>
      <w:r>
        <w:tab/>
        <w:t>National Health Service (United King</w:t>
      </w:r>
      <w:r w:rsidR="00CB0981">
        <w:t>dom)</w:t>
      </w:r>
    </w:p>
    <w:p w14:paraId="769BC01E" w14:textId="77777777" w:rsidR="00C47E98" w:rsidRPr="00150AB9" w:rsidRDefault="00C47E98" w:rsidP="00136BDA">
      <w:pPr>
        <w:spacing w:before="0" w:after="200"/>
        <w:ind w:left="720" w:hanging="720"/>
      </w:pPr>
      <w:r w:rsidRPr="00150AB9">
        <w:t>NSW</w:t>
      </w:r>
      <w:r w:rsidRPr="00150AB9">
        <w:tab/>
      </w:r>
      <w:r w:rsidRPr="00150AB9">
        <w:tab/>
        <w:t>New South Wales</w:t>
      </w:r>
    </w:p>
    <w:p w14:paraId="5026258D" w14:textId="77777777" w:rsidR="00C47E98" w:rsidRPr="00150AB9" w:rsidRDefault="00C47E98" w:rsidP="00136BDA">
      <w:pPr>
        <w:spacing w:before="0" w:after="200"/>
        <w:ind w:left="720" w:hanging="720"/>
      </w:pPr>
      <w:r w:rsidRPr="00150AB9">
        <w:t>NT</w:t>
      </w:r>
      <w:r w:rsidRPr="00150AB9">
        <w:tab/>
      </w:r>
      <w:r w:rsidRPr="00150AB9">
        <w:tab/>
        <w:t>Northern Territory</w:t>
      </w:r>
    </w:p>
    <w:p w14:paraId="627B665E" w14:textId="77777777" w:rsidR="00C47E98" w:rsidRPr="00150AB9" w:rsidRDefault="00C47E98" w:rsidP="00136BDA">
      <w:pPr>
        <w:spacing w:before="0" w:after="200"/>
        <w:ind w:left="720" w:hanging="720"/>
      </w:pPr>
      <w:r w:rsidRPr="00150AB9">
        <w:t>PITC</w:t>
      </w:r>
      <w:r w:rsidRPr="00150AB9">
        <w:tab/>
      </w:r>
      <w:r w:rsidRPr="00150AB9">
        <w:tab/>
        <w:t>Partner in the Community</w:t>
      </w:r>
    </w:p>
    <w:p w14:paraId="3AA8A040" w14:textId="7017F5FA" w:rsidR="00150AB9" w:rsidRDefault="00150AB9" w:rsidP="00136BDA">
      <w:pPr>
        <w:spacing w:before="0" w:after="200"/>
        <w:ind w:left="720" w:hanging="720"/>
      </w:pPr>
      <w:r>
        <w:t>PSM</w:t>
      </w:r>
      <w:r>
        <w:tab/>
      </w:r>
      <w:r>
        <w:tab/>
        <w:t>Propensity Score Matching</w:t>
      </w:r>
    </w:p>
    <w:p w14:paraId="62446E48" w14:textId="4368CD48" w:rsidR="00380020" w:rsidRDefault="00380020" w:rsidP="00136BDA">
      <w:pPr>
        <w:spacing w:before="0" w:after="200"/>
        <w:ind w:left="720" w:hanging="720"/>
      </w:pPr>
      <w:r>
        <w:lastRenderedPageBreak/>
        <w:t>QLD</w:t>
      </w:r>
      <w:r>
        <w:tab/>
      </w:r>
      <w:r w:rsidR="0042277D">
        <w:tab/>
        <w:t>Queensland</w:t>
      </w:r>
    </w:p>
    <w:p w14:paraId="26980F36" w14:textId="0D0D1A04" w:rsidR="0042277D" w:rsidRDefault="0042277D" w:rsidP="00136BDA">
      <w:pPr>
        <w:spacing w:before="0" w:after="200"/>
        <w:ind w:left="720" w:hanging="720"/>
      </w:pPr>
      <w:r>
        <w:t>SA</w:t>
      </w:r>
      <w:r>
        <w:tab/>
      </w:r>
      <w:r>
        <w:tab/>
        <w:t>South Australia</w:t>
      </w:r>
    </w:p>
    <w:p w14:paraId="7A8CC5BE" w14:textId="4AABC67F" w:rsidR="00C47E98" w:rsidRDefault="00C47E98" w:rsidP="00136BDA">
      <w:pPr>
        <w:spacing w:before="0" w:after="200"/>
        <w:ind w:left="720" w:hanging="720"/>
      </w:pPr>
      <w:r w:rsidRPr="00150AB9">
        <w:t>SOP</w:t>
      </w:r>
      <w:r w:rsidRPr="00150AB9">
        <w:tab/>
      </w:r>
      <w:r w:rsidRPr="00150AB9">
        <w:tab/>
        <w:t>Standard Operating Procedure</w:t>
      </w:r>
    </w:p>
    <w:p w14:paraId="3AEAD512" w14:textId="5132DDF8" w:rsidR="0042277D" w:rsidRDefault="0042277D" w:rsidP="00136BDA">
      <w:pPr>
        <w:spacing w:before="0" w:after="200"/>
        <w:ind w:left="720" w:hanging="720"/>
      </w:pPr>
      <w:r>
        <w:t>TAS</w:t>
      </w:r>
      <w:r>
        <w:tab/>
      </w:r>
      <w:r>
        <w:tab/>
        <w:t>Tasmania</w:t>
      </w:r>
    </w:p>
    <w:p w14:paraId="277A455E" w14:textId="37DEA7CF" w:rsidR="0042277D" w:rsidRPr="00150AB9" w:rsidRDefault="0042277D" w:rsidP="00136BDA">
      <w:pPr>
        <w:spacing w:before="0" w:after="200"/>
        <w:ind w:left="720" w:hanging="720"/>
      </w:pPr>
      <w:r>
        <w:t>VIC</w:t>
      </w:r>
      <w:r>
        <w:tab/>
      </w:r>
      <w:r>
        <w:tab/>
        <w:t>Victoria</w:t>
      </w:r>
    </w:p>
    <w:p w14:paraId="20A70E5C" w14:textId="49AB7D1F" w:rsidR="008D4B76" w:rsidRDefault="00C47E98" w:rsidP="00136BDA">
      <w:pPr>
        <w:spacing w:before="0" w:after="200"/>
        <w:ind w:left="720" w:hanging="720"/>
      </w:pPr>
      <w:r w:rsidRPr="00150AB9">
        <w:t>WA</w:t>
      </w:r>
      <w:r w:rsidRPr="00150AB9">
        <w:tab/>
      </w:r>
      <w:r w:rsidRPr="00150AB9">
        <w:tab/>
        <w:t>Western Australia</w:t>
      </w:r>
      <w:r w:rsidR="008D4B76">
        <w:br w:type="page"/>
      </w:r>
    </w:p>
    <w:p w14:paraId="20A70E73" w14:textId="4E9EA3BC" w:rsidR="007219F1" w:rsidRDefault="0059122B" w:rsidP="00A01FA6">
      <w:pPr>
        <w:pStyle w:val="Heading2nonumber"/>
      </w:pPr>
      <w:bookmarkStart w:id="14" w:name="_Toc111206308"/>
      <w:bookmarkStart w:id="15" w:name="_Toc111206422"/>
      <w:bookmarkStart w:id="16" w:name="_Toc136336647"/>
      <w:r>
        <w:lastRenderedPageBreak/>
        <w:t>Key findings</w:t>
      </w:r>
      <w:bookmarkEnd w:id="14"/>
      <w:bookmarkEnd w:id="15"/>
      <w:bookmarkEnd w:id="16"/>
    </w:p>
    <w:p w14:paraId="405C4552" w14:textId="3A0026CC" w:rsidR="0033731C" w:rsidRDefault="0033731C" w:rsidP="00616F95">
      <w:pPr>
        <w:pStyle w:val="Bulletlist"/>
        <w:spacing w:before="120" w:after="120"/>
        <w:ind w:left="357" w:hanging="357"/>
      </w:pPr>
      <w:r>
        <w:t xml:space="preserve">Coordinated funding proposals (CFPs) and direct </w:t>
      </w:r>
      <w:r w:rsidR="00AA7B4C">
        <w:t>commissioning</w:t>
      </w:r>
      <w:r>
        <w:t xml:space="preserve">, </w:t>
      </w:r>
      <w:r w:rsidR="00634270">
        <w:t>especially in remote and very remote locations,</w:t>
      </w:r>
      <w:r>
        <w:t xml:space="preserve"> are promising approaches to increase participant use of NDIS supports in thin markets. More so than LGA-level market facilitation.</w:t>
      </w:r>
    </w:p>
    <w:p w14:paraId="2EDC2412" w14:textId="32869637" w:rsidR="0033731C" w:rsidRDefault="0033731C" w:rsidP="00616F95">
      <w:pPr>
        <w:pStyle w:val="Bulletlist"/>
        <w:spacing w:before="120" w:after="120"/>
        <w:ind w:left="357" w:hanging="357"/>
      </w:pPr>
      <w:bookmarkStart w:id="17" w:name="_Hlk124168939"/>
      <w:r>
        <w:t xml:space="preserve">Across the </w:t>
      </w:r>
      <w:r w:rsidR="0085526F">
        <w:t>nine</w:t>
      </w:r>
      <w:r>
        <w:t xml:space="preserve"> CFPs in scope of the evaluation, 86% of participants increased their use of </w:t>
      </w:r>
      <w:r w:rsidDel="00F41861">
        <w:t xml:space="preserve">targeted </w:t>
      </w:r>
      <w:r>
        <w:t>functional assessments</w:t>
      </w:r>
      <w:r w:rsidR="00B32B94">
        <w:t>. This</w:t>
      </w:r>
      <w:r w:rsidR="00F41861">
        <w:t xml:space="preserve"> led to an increase in </w:t>
      </w:r>
      <w:r>
        <w:t>expenditure</w:t>
      </w:r>
      <w:r w:rsidR="00AF7451">
        <w:t>, including</w:t>
      </w:r>
      <w:r>
        <w:t xml:space="preserve"> </w:t>
      </w:r>
      <w:r w:rsidR="00F41861">
        <w:t xml:space="preserve">for </w:t>
      </w:r>
      <w:r>
        <w:t>relevant follow-on supports</w:t>
      </w:r>
      <w:r w:rsidR="002C44B6">
        <w:t>,</w:t>
      </w:r>
      <w:r>
        <w:t xml:space="preserve"> </w:t>
      </w:r>
      <w:r w:rsidR="002C44B6">
        <w:t>of</w:t>
      </w:r>
      <w:r>
        <w:t xml:space="preserve"> $</w:t>
      </w:r>
      <w:r w:rsidR="00BE3635">
        <w:t>4</w:t>
      </w:r>
      <w:r>
        <w:t>,</w:t>
      </w:r>
      <w:r w:rsidR="00BE3635">
        <w:t xml:space="preserve">982 </w:t>
      </w:r>
      <w:r>
        <w:t>per participant over 12-months (+</w:t>
      </w:r>
      <w:r w:rsidR="008E48FA">
        <w:t>132</w:t>
      </w:r>
      <w:r>
        <w:t>%)</w:t>
      </w:r>
      <w:bookmarkEnd w:id="17"/>
      <w:r>
        <w:t>.</w:t>
      </w:r>
    </w:p>
    <w:p w14:paraId="4E6092BE" w14:textId="10A2B68A" w:rsidR="0033731C" w:rsidRDefault="00993D54" w:rsidP="00616F95">
      <w:pPr>
        <w:pStyle w:val="Bulletlist"/>
        <w:spacing w:before="120" w:after="120"/>
        <w:ind w:left="357" w:hanging="357"/>
      </w:pPr>
      <w:bookmarkStart w:id="18" w:name="_Hlk124168978"/>
      <w:r>
        <w:t>M</w:t>
      </w:r>
      <w:r w:rsidR="0033731C">
        <w:t>ost CFPs to date have focused on</w:t>
      </w:r>
      <w:r w:rsidR="00A13594">
        <w:t xml:space="preserve"> coordinated sourcing of</w:t>
      </w:r>
      <w:r w:rsidR="0033731C">
        <w:t xml:space="preserve"> one-off functional assessments. To understand the potential of CFPs, they need testing across a wider range of support types and </w:t>
      </w:r>
      <w:r w:rsidR="00652934">
        <w:t>locations</w:t>
      </w:r>
      <w:r w:rsidR="0033731C">
        <w:t>.</w:t>
      </w:r>
    </w:p>
    <w:p w14:paraId="69EA5272" w14:textId="6CBC42C2" w:rsidR="0033731C" w:rsidRDefault="0033731C" w:rsidP="00616F95">
      <w:pPr>
        <w:pStyle w:val="Bulletlist"/>
        <w:spacing w:before="120" w:after="120"/>
        <w:ind w:left="357" w:hanging="357"/>
      </w:pPr>
      <w:bookmarkStart w:id="19" w:name="_Hlk124167585"/>
      <w:bookmarkEnd w:id="18"/>
      <w:r>
        <w:t>Direct commissioning in the ACT</w:t>
      </w:r>
      <w:r w:rsidR="00975E6C">
        <w:t xml:space="preserve"> and</w:t>
      </w:r>
      <w:r>
        <w:t xml:space="preserve"> Waratah-Wynyard (Tas) has </w:t>
      </w:r>
      <w:r w:rsidR="006147C9">
        <w:t xml:space="preserve">only seen a marginal increase in </w:t>
      </w:r>
      <w:r>
        <w:t>use of NDIS supports</w:t>
      </w:r>
      <w:r w:rsidR="006147C9">
        <w:t xml:space="preserve"> equating to </w:t>
      </w:r>
      <w:r>
        <w:t xml:space="preserve">$237 and $167 annualised per participant in the ACT and Waratah-Wynyard respectively. Direct commissioning in the APY Lands </w:t>
      </w:r>
      <w:r w:rsidR="00975E6C">
        <w:t xml:space="preserve">(SA) </w:t>
      </w:r>
      <w:r w:rsidR="00293BA5">
        <w:t xml:space="preserve">appears to have </w:t>
      </w:r>
      <w:r>
        <w:t xml:space="preserve">been more successful </w:t>
      </w:r>
      <w:r w:rsidR="00221E5A">
        <w:t>potential</w:t>
      </w:r>
      <w:r w:rsidR="00435D87">
        <w:t>ly</w:t>
      </w:r>
      <w:r>
        <w:t xml:space="preserve"> </w:t>
      </w:r>
      <w:r w:rsidR="00517605">
        <w:t xml:space="preserve">resulting in an </w:t>
      </w:r>
      <w:r>
        <w:t>increase in support use of $</w:t>
      </w:r>
      <w:r w:rsidR="00435D87">
        <w:t>6</w:t>
      </w:r>
      <w:r>
        <w:t>,</w:t>
      </w:r>
      <w:r w:rsidR="00435D87">
        <w:t>631</w:t>
      </w:r>
      <w:r>
        <w:t xml:space="preserve"> annualised per participant</w:t>
      </w:r>
      <w:r w:rsidR="00A877D3">
        <w:t xml:space="preserve"> (+</w:t>
      </w:r>
      <w:r w:rsidR="00241E25">
        <w:t>75</w:t>
      </w:r>
      <w:r w:rsidR="00A877D3">
        <w:t>%)</w:t>
      </w:r>
      <w:bookmarkEnd w:id="19"/>
      <w:r>
        <w:t>.</w:t>
      </w:r>
    </w:p>
    <w:p w14:paraId="508D0E97" w14:textId="532C5452" w:rsidR="00D868BE" w:rsidRDefault="00454162" w:rsidP="00616F95">
      <w:pPr>
        <w:pStyle w:val="Bulletlist"/>
        <w:spacing w:before="120" w:after="120"/>
        <w:ind w:left="357" w:hanging="357"/>
      </w:pPr>
      <w:bookmarkStart w:id="20" w:name="_Hlk124169021"/>
      <w:r>
        <w:t>There is a need for m</w:t>
      </w:r>
      <w:r w:rsidR="00D868BE" w:rsidRPr="00D868BE">
        <w:t>ore testing to determine whether direct commissioning might be more effective in remote/very remote LGAs or is</w:t>
      </w:r>
      <w:r w:rsidR="00546282">
        <w:t xml:space="preserve"> </w:t>
      </w:r>
      <w:r w:rsidR="00D868BE" w:rsidRPr="00D868BE">
        <w:t xml:space="preserve">better suited to Core supports than Capacity Building supports, as the preliminary evidence might suggest. </w:t>
      </w:r>
      <w:r w:rsidR="005B0CC4">
        <w:t>T</w:t>
      </w:r>
      <w:r w:rsidR="00D868BE" w:rsidRPr="00D868BE">
        <w:t xml:space="preserve">he recruitment method and provider payment arrangements </w:t>
      </w:r>
      <w:r w:rsidR="00811D69">
        <w:t>might</w:t>
      </w:r>
      <w:r w:rsidR="00D868BE" w:rsidRPr="00D868BE">
        <w:t xml:space="preserve"> </w:t>
      </w:r>
      <w:r w:rsidR="005B0CC4">
        <w:t xml:space="preserve">also </w:t>
      </w:r>
      <w:r w:rsidR="00D868BE" w:rsidRPr="00D868BE">
        <w:t>impact on the effectiveness of direct commissioning.</w:t>
      </w:r>
    </w:p>
    <w:bookmarkEnd w:id="20"/>
    <w:p w14:paraId="29021E08" w14:textId="77777777" w:rsidR="00085F48" w:rsidRDefault="00085F48" w:rsidP="00085F48">
      <w:pPr>
        <w:pStyle w:val="Bulletlist"/>
        <w:spacing w:before="120" w:after="120"/>
        <w:ind w:left="357" w:hanging="357"/>
      </w:pPr>
      <w:r>
        <w:t xml:space="preserve">Direct commissioning increased assurance of demand and financial viability for service providers. However, in the ACT and Waratah-Wynyard fewer NDIS participants agreed to take part in the trials than expected. </w:t>
      </w:r>
      <w:bookmarkStart w:id="21" w:name="_Hlk124167765"/>
      <w:r>
        <w:t>Of those that did agree, the average extent of their engagement in the trials was also less than expected. This financially challenged service providers and reduced the likelihood of them maintaining an ongoing presence.</w:t>
      </w:r>
      <w:bookmarkEnd w:id="21"/>
    </w:p>
    <w:p w14:paraId="3F0E2097" w14:textId="1129D40D" w:rsidR="0033731C" w:rsidRDefault="0033731C" w:rsidP="00616F95">
      <w:pPr>
        <w:pStyle w:val="Bulletlist"/>
        <w:spacing w:before="120" w:after="120"/>
        <w:ind w:left="357" w:hanging="357"/>
      </w:pPr>
      <w:r>
        <w:t xml:space="preserve">Across 31 LGA-level market facilitation projects, </w:t>
      </w:r>
      <w:bookmarkStart w:id="22" w:name="_Hlk124166121"/>
      <w:r w:rsidR="00221E5A">
        <w:t>there was</w:t>
      </w:r>
      <w:r>
        <w:t xml:space="preserve"> on average no statistically significant impact on use of NDIS supports above all other business as usual activities that support plan implementation</w:t>
      </w:r>
      <w:bookmarkEnd w:id="22"/>
      <w:r w:rsidR="005B0FC2">
        <w:t xml:space="preserve">. </w:t>
      </w:r>
      <w:bookmarkStart w:id="23" w:name="_Hlk124166309"/>
      <w:r>
        <w:t>This suggests that LGA-level market facilitation is not effective in thin markets</w:t>
      </w:r>
      <w:r w:rsidR="005B0FC2">
        <w:t>, however, different approaches to market facilitation across the projects makes it difficult to evaluate market facilitation as a distinct intervention.</w:t>
      </w:r>
      <w:bookmarkEnd w:id="23"/>
    </w:p>
    <w:p w14:paraId="0CD219D6" w14:textId="2E54C0DF" w:rsidR="0033731C" w:rsidRDefault="00352A1E" w:rsidP="00616F95">
      <w:pPr>
        <w:pStyle w:val="Bulletlist"/>
        <w:spacing w:before="120" w:after="120"/>
        <w:ind w:left="357" w:hanging="357"/>
      </w:pPr>
      <w:r>
        <w:t>Although</w:t>
      </w:r>
      <w:r w:rsidR="0033731C">
        <w:t xml:space="preserve"> market facilitation </w:t>
      </w:r>
      <w:r>
        <w:t>projects</w:t>
      </w:r>
      <w:r w:rsidR="0033731C">
        <w:t xml:space="preserve"> increased service provider and support coordinator knowledge of supply and demand</w:t>
      </w:r>
      <w:r>
        <w:t>,</w:t>
      </w:r>
      <w:r w:rsidR="0033731C">
        <w:t xml:space="preserve"> </w:t>
      </w:r>
      <w:r w:rsidR="002C6849">
        <w:t xml:space="preserve">it </w:t>
      </w:r>
      <w:r w:rsidR="0033731C">
        <w:t xml:space="preserve">could not overcome structural challenges to motivate providers to increase </w:t>
      </w:r>
      <w:r w:rsidR="00427727">
        <w:t xml:space="preserve">their </w:t>
      </w:r>
      <w:r w:rsidR="0033731C">
        <w:t>provision</w:t>
      </w:r>
      <w:r w:rsidR="00427727">
        <w:t xml:space="preserve"> of services within </w:t>
      </w:r>
      <w:r w:rsidR="0033731C">
        <w:t>thin markets.</w:t>
      </w:r>
      <w:r w:rsidR="001F1D5C">
        <w:t xml:space="preserve"> </w:t>
      </w:r>
      <w:r w:rsidR="0033731C">
        <w:t xml:space="preserve">Service providers and support coordinators reported </w:t>
      </w:r>
      <w:r w:rsidR="009C7AFF">
        <w:t xml:space="preserve">that </w:t>
      </w:r>
      <w:r>
        <w:t>value of</w:t>
      </w:r>
      <w:r w:rsidR="0033731C">
        <w:t xml:space="preserve"> travel allowances in the NDIS Pricing Arrangements</w:t>
      </w:r>
      <w:r w:rsidR="00526B54">
        <w:t xml:space="preserve"> </w:t>
      </w:r>
      <w:r w:rsidR="0033731C">
        <w:t>and workforce shortages</w:t>
      </w:r>
      <w:r w:rsidR="00526B54">
        <w:t xml:space="preserve"> </w:t>
      </w:r>
      <w:r w:rsidR="00F108BD">
        <w:t>contribute to</w:t>
      </w:r>
      <w:r w:rsidR="00824C2D">
        <w:t xml:space="preserve"> </w:t>
      </w:r>
      <w:r w:rsidR="003A0171">
        <w:t xml:space="preserve">service providers not seeing </w:t>
      </w:r>
      <w:r w:rsidR="001F1D5C">
        <w:t>thin markets as</w:t>
      </w:r>
      <w:r w:rsidR="003A0171">
        <w:t xml:space="preserve"> a viable business op</w:t>
      </w:r>
      <w:r w:rsidR="001B2772">
        <w:t>portunity</w:t>
      </w:r>
      <w:r w:rsidR="003A0171">
        <w:t>.</w:t>
      </w:r>
    </w:p>
    <w:p w14:paraId="3B1F03C6" w14:textId="4EE9E1DC" w:rsidR="0059122B" w:rsidRDefault="0033731C" w:rsidP="00375C2E">
      <w:pPr>
        <w:pStyle w:val="Bulletlist"/>
        <w:spacing w:before="120" w:after="200" w:line="276" w:lineRule="auto"/>
        <w:ind w:left="357" w:hanging="357"/>
      </w:pPr>
      <w:r>
        <w:t xml:space="preserve">Based on findings across all trials, participant </w:t>
      </w:r>
      <w:r w:rsidR="00471864">
        <w:t>understanding of supports appears to be a barrier to engagement</w:t>
      </w:r>
      <w:r w:rsidR="007D1F41">
        <w:t xml:space="preserve">, </w:t>
      </w:r>
      <w:r w:rsidR="00A62853">
        <w:t xml:space="preserve">as such participant </w:t>
      </w:r>
      <w:r>
        <w:t xml:space="preserve">education about supports, especially Capacity Building supports, </w:t>
      </w:r>
      <w:r w:rsidR="007D1F41">
        <w:t>is</w:t>
      </w:r>
      <w:r>
        <w:t xml:space="preserve"> key to successful market intervention.</w:t>
      </w:r>
      <w:r w:rsidR="0059122B">
        <w:br w:type="page"/>
      </w:r>
    </w:p>
    <w:p w14:paraId="3316709E" w14:textId="37577661" w:rsidR="00421062" w:rsidRDefault="0059122B" w:rsidP="00A01FA6">
      <w:pPr>
        <w:pStyle w:val="Heading2nonumber"/>
      </w:pPr>
      <w:bookmarkStart w:id="24" w:name="_Toc111206309"/>
      <w:bookmarkStart w:id="25" w:name="_Toc111206423"/>
      <w:bookmarkStart w:id="26" w:name="_Toc136336648"/>
      <w:r>
        <w:lastRenderedPageBreak/>
        <w:t>Executive Summary</w:t>
      </w:r>
      <w:bookmarkEnd w:id="24"/>
      <w:bookmarkEnd w:id="25"/>
      <w:bookmarkEnd w:id="26"/>
    </w:p>
    <w:p w14:paraId="5AF010BE" w14:textId="77777777" w:rsidR="00A40629" w:rsidRPr="005A368F" w:rsidRDefault="00A40629" w:rsidP="00A01FA6">
      <w:pPr>
        <w:pStyle w:val="ESheading3"/>
      </w:pPr>
      <w:bookmarkStart w:id="27" w:name="_Ref119072095"/>
      <w:bookmarkStart w:id="28" w:name="_Toc136336649"/>
      <w:r w:rsidRPr="005A368F">
        <w:t>Introduction</w:t>
      </w:r>
      <w:bookmarkEnd w:id="27"/>
      <w:bookmarkEnd w:id="28"/>
    </w:p>
    <w:p w14:paraId="27368005" w14:textId="45D3410A" w:rsidR="00083BC2" w:rsidRDefault="00083BC2" w:rsidP="00083BC2">
      <w:r>
        <w:t>In the context of the National Disability Insurance Scheme (NDIS), thin markets exist where there is a gap between the needs of participants and the services they access. In December 2019, the Disability Reform Council (DRC), now the Disability Reform Ministers (DRM), agreed that each State and Territory would host a thin market trial in agreed locations. The National Disability Insurance Agency (NDIA) identified other thin markets to implement projects (</w:t>
      </w:r>
      <w:r w:rsidR="00A30F27">
        <w:rPr>
          <w:color w:val="2B579A"/>
          <w:shd w:val="clear" w:color="auto" w:fill="E6E6E6"/>
        </w:rPr>
        <w:fldChar w:fldCharType="begin"/>
      </w:r>
      <w:r w:rsidR="00A30F27">
        <w:instrText xml:space="preserve"> REF _Ref115783703 \n \h </w:instrText>
      </w:r>
      <w:r w:rsidR="00A30F27">
        <w:rPr>
          <w:color w:val="2B579A"/>
          <w:shd w:val="clear" w:color="auto" w:fill="E6E6E6"/>
        </w:rPr>
      </w:r>
      <w:r w:rsidR="00A30F27">
        <w:rPr>
          <w:color w:val="2B579A"/>
          <w:shd w:val="clear" w:color="auto" w:fill="E6E6E6"/>
        </w:rPr>
        <w:fldChar w:fldCharType="separate"/>
      </w:r>
      <w:r w:rsidR="00DE04FA">
        <w:t>Appendix B</w:t>
      </w:r>
      <w:r w:rsidR="00A30F27">
        <w:rPr>
          <w:color w:val="2B579A"/>
          <w:shd w:val="clear" w:color="auto" w:fill="E6E6E6"/>
        </w:rPr>
        <w:fldChar w:fldCharType="end"/>
      </w:r>
      <w:r>
        <w:t>). The trials tested three approaches to address market challenges:</w:t>
      </w:r>
    </w:p>
    <w:p w14:paraId="70DA0366" w14:textId="77777777" w:rsidR="00083BC2" w:rsidRDefault="00083BC2" w:rsidP="00083BC2">
      <w:pPr>
        <w:pStyle w:val="Bulletlist"/>
      </w:pPr>
      <w:r w:rsidRPr="00474D12">
        <w:rPr>
          <w:b/>
          <w:bCs/>
        </w:rPr>
        <w:t>Market facilitation</w:t>
      </w:r>
      <w:r>
        <w:t xml:space="preserve">, which involves actions to improve connections between providers and participants, such as focused engagement and sharing targeted data. </w:t>
      </w:r>
    </w:p>
    <w:p w14:paraId="76C15A1C" w14:textId="6BE4D80B" w:rsidR="00083BC2" w:rsidRDefault="00083BC2" w:rsidP="00083BC2">
      <w:pPr>
        <w:pStyle w:val="Bulletlist"/>
      </w:pPr>
      <w:r w:rsidRPr="00474D12">
        <w:rPr>
          <w:b/>
          <w:bCs/>
        </w:rPr>
        <w:t>Coordinated funding proposals (CFPs)</w:t>
      </w:r>
      <w:r w:rsidRPr="00474D12">
        <w:t>,</w:t>
      </w:r>
      <w:r>
        <w:t xml:space="preserve"> which are a way </w:t>
      </w:r>
      <w:r w:rsidR="00B426BA">
        <w:t>to enable participants to pool funding</w:t>
      </w:r>
      <w:r w:rsidR="003C5E1A">
        <w:t xml:space="preserve"> to more efficiently secure services from providers</w:t>
      </w:r>
      <w:r>
        <w:t>.</w:t>
      </w:r>
    </w:p>
    <w:p w14:paraId="72AAE053" w14:textId="691A36EE" w:rsidR="00083BC2" w:rsidRDefault="00083BC2" w:rsidP="00083BC2">
      <w:pPr>
        <w:pStyle w:val="Bulletlist"/>
      </w:pPr>
      <w:r w:rsidRPr="00474D12">
        <w:rPr>
          <w:b/>
          <w:bCs/>
        </w:rPr>
        <w:t>Direct commissioning</w:t>
      </w:r>
      <w:r>
        <w:t xml:space="preserve">, which </w:t>
      </w:r>
      <w:r w:rsidR="002C091A">
        <w:t xml:space="preserve">directly </w:t>
      </w:r>
      <w:r w:rsidR="00A4422E">
        <w:t>contracts providers to deliver supports to a participants or a group of participants</w:t>
      </w:r>
      <w:r>
        <w:t xml:space="preserve">. </w:t>
      </w:r>
    </w:p>
    <w:p w14:paraId="206CCF9C" w14:textId="77777777" w:rsidR="00083BC2" w:rsidRDefault="00083BC2" w:rsidP="00A01FA6">
      <w:pPr>
        <w:pStyle w:val="ESheading4"/>
      </w:pPr>
      <w:r>
        <w:t>The evaluation</w:t>
      </w:r>
    </w:p>
    <w:p w14:paraId="0965461A" w14:textId="5BDAC33A" w:rsidR="00083BC2" w:rsidRDefault="00083BC2" w:rsidP="00083BC2">
      <w:r>
        <w:t>The evaluation aim</w:t>
      </w:r>
      <w:r w:rsidR="000864DA">
        <w:t>ed</w:t>
      </w:r>
      <w:r>
        <w:t xml:space="preserve"> to answer the following key evaluation questions:</w:t>
      </w:r>
    </w:p>
    <w:p w14:paraId="0D3F104A" w14:textId="397889B1" w:rsidR="00083BC2" w:rsidRDefault="00645EC5" w:rsidP="00083BC2">
      <w:pPr>
        <w:pStyle w:val="BodyText1"/>
        <w:numPr>
          <w:ilvl w:val="0"/>
          <w:numId w:val="27"/>
        </w:numPr>
        <w:spacing w:before="120" w:after="120"/>
        <w:ind w:left="357" w:hanging="357"/>
        <w:rPr>
          <w:lang w:eastAsia="ja-JP"/>
        </w:rPr>
      </w:pPr>
      <w:r w:rsidRPr="00645EC5">
        <w:rPr>
          <w:lang w:eastAsia="ja-JP"/>
        </w:rPr>
        <w:t>To what extent did different market interventions increase participant use of NDIS supports</w:t>
      </w:r>
      <w:r w:rsidR="00083BC2">
        <w:rPr>
          <w:lang w:eastAsia="ja-JP"/>
        </w:rPr>
        <w:t>?</w:t>
      </w:r>
    </w:p>
    <w:p w14:paraId="4760AD3E" w14:textId="77777777" w:rsidR="00083BC2" w:rsidRDefault="00083BC2" w:rsidP="00083BC2">
      <w:pPr>
        <w:pStyle w:val="BodyText1"/>
        <w:numPr>
          <w:ilvl w:val="0"/>
          <w:numId w:val="27"/>
        </w:numPr>
        <w:spacing w:before="120" w:after="120"/>
        <w:ind w:left="357" w:hanging="357"/>
        <w:rPr>
          <w:lang w:eastAsia="ja-JP"/>
        </w:rPr>
      </w:pPr>
      <w:r>
        <w:rPr>
          <w:lang w:eastAsia="ja-JP"/>
        </w:rPr>
        <w:t>Did different market interventions work as expected in different thin markets?</w:t>
      </w:r>
      <w:r>
        <w:rPr>
          <w:rStyle w:val="FootnoteReference"/>
          <w:lang w:eastAsia="ja-JP"/>
        </w:rPr>
        <w:footnoteReference w:id="2"/>
      </w:r>
    </w:p>
    <w:p w14:paraId="62E2EC80" w14:textId="77777777" w:rsidR="00083BC2" w:rsidRDefault="00083BC2" w:rsidP="00083BC2">
      <w:pPr>
        <w:pStyle w:val="BodyText1"/>
        <w:numPr>
          <w:ilvl w:val="0"/>
          <w:numId w:val="27"/>
        </w:numPr>
        <w:spacing w:before="120"/>
        <w:ind w:left="357" w:hanging="357"/>
        <w:rPr>
          <w:lang w:eastAsia="ja-JP"/>
        </w:rPr>
      </w:pPr>
      <w:r>
        <w:rPr>
          <w:lang w:eastAsia="ja-JP"/>
        </w:rPr>
        <w:t>Why did the market interventions work as intended, or not, in different thin markets?</w:t>
      </w:r>
    </w:p>
    <w:p w14:paraId="3697E78E" w14:textId="1A57EE81" w:rsidR="00083BC2" w:rsidRDefault="00083BC2" w:rsidP="00083BC2">
      <w:bookmarkStart w:id="29" w:name="_Hlk124165321"/>
      <w:r w:rsidRPr="002E74FE">
        <w:t>This report focuses on impacts and implementation of all DRM</w:t>
      </w:r>
      <w:r w:rsidR="00854B79">
        <w:t>C</w:t>
      </w:r>
      <w:r w:rsidRPr="002E74FE">
        <w:t xml:space="preserve"> and NDIA-initiated </w:t>
      </w:r>
      <w:r>
        <w:t>t</w:t>
      </w:r>
      <w:r w:rsidRPr="002E74FE">
        <w:t xml:space="preserve">hin </w:t>
      </w:r>
      <w:r>
        <w:t>m</w:t>
      </w:r>
      <w:r w:rsidRPr="002E74FE">
        <w:t xml:space="preserve">arket </w:t>
      </w:r>
      <w:r>
        <w:t>t</w:t>
      </w:r>
      <w:r w:rsidRPr="002E74FE">
        <w:t xml:space="preserve">rials </w:t>
      </w:r>
      <w:r>
        <w:t xml:space="preserve">and projects </w:t>
      </w:r>
      <w:r w:rsidRPr="002E74FE">
        <w:t xml:space="preserve">up to </w:t>
      </w:r>
      <w:r w:rsidR="0036482B">
        <w:t>30 September</w:t>
      </w:r>
      <w:r w:rsidRPr="002E74FE">
        <w:t xml:space="preserve"> 2022</w:t>
      </w:r>
      <w:bookmarkEnd w:id="29"/>
      <w:r>
        <w:t>.</w:t>
      </w:r>
    </w:p>
    <w:p w14:paraId="7C9B127E" w14:textId="77777777" w:rsidR="00083BC2" w:rsidRPr="00845534" w:rsidRDefault="00083BC2" w:rsidP="00A01FA6">
      <w:pPr>
        <w:pStyle w:val="ESheading3"/>
      </w:pPr>
      <w:bookmarkStart w:id="30" w:name="_Toc136336650"/>
      <w:r w:rsidRPr="00845534">
        <w:t>Evaluation findings</w:t>
      </w:r>
      <w:bookmarkEnd w:id="30"/>
      <w:r w:rsidRPr="00845534">
        <w:t xml:space="preserve"> </w:t>
      </w:r>
    </w:p>
    <w:p w14:paraId="642158CB" w14:textId="77777777" w:rsidR="00083BC2" w:rsidRPr="00845534" w:rsidRDefault="00083BC2" w:rsidP="00A01FA6">
      <w:pPr>
        <w:pStyle w:val="ESheading4"/>
        <w:rPr>
          <w:color w:val="6B2976"/>
        </w:rPr>
      </w:pPr>
      <w:r w:rsidRPr="00845534">
        <w:rPr>
          <w:color w:val="6B2976"/>
        </w:rPr>
        <w:t>Market facilitation</w:t>
      </w:r>
    </w:p>
    <w:p w14:paraId="6E5848AC" w14:textId="77777777" w:rsidR="00083BC2" w:rsidRDefault="00083BC2" w:rsidP="00083BC2">
      <w:pPr>
        <w:pStyle w:val="Heading5"/>
      </w:pPr>
      <w:r>
        <w:t>Impact</w:t>
      </w:r>
    </w:p>
    <w:p w14:paraId="4BE8E206" w14:textId="77777777" w:rsidR="00083BC2" w:rsidRDefault="00083BC2" w:rsidP="00083BC2">
      <w:r>
        <w:t>The evaluation analysed participant payment data to assess the impact of market facilitation trials on participant expenditure and market indicators. The analyses showed:</w:t>
      </w:r>
    </w:p>
    <w:p w14:paraId="4033DD9E" w14:textId="77777777" w:rsidR="00083BC2" w:rsidRDefault="00083BC2" w:rsidP="00083BC2">
      <w:pPr>
        <w:pStyle w:val="Bulletlist"/>
        <w:spacing w:before="120" w:after="120"/>
        <w:ind w:left="357" w:hanging="357"/>
      </w:pPr>
      <w:r>
        <w:t>On average across all targeted LGAs, participants used $1,942 per month additional targeted supports than they did before the trials ($23,304 per participant annualised).</w:t>
      </w:r>
    </w:p>
    <w:p w14:paraId="20C9BD48" w14:textId="5437E021" w:rsidR="00083BC2" w:rsidRPr="008F541E" w:rsidRDefault="00083BC2" w:rsidP="6E315BD6">
      <w:pPr>
        <w:pStyle w:val="Bulletlist"/>
        <w:spacing w:before="120" w:after="120"/>
        <w:ind w:left="357" w:hanging="357"/>
      </w:pPr>
      <w:r w:rsidRPr="008F541E">
        <w:lastRenderedPageBreak/>
        <w:t xml:space="preserve">On average this increase was $2,917 per month </w:t>
      </w:r>
      <w:r w:rsidR="00220963">
        <w:t>(</w:t>
      </w:r>
      <w:r w:rsidR="00065E5A">
        <w:t xml:space="preserve">$35,004 annualised) </w:t>
      </w:r>
      <w:r w:rsidRPr="008F541E">
        <w:t>more than for statistically matched participants in similar LGAs elsewhere. However, this difference is not statistically different from zero</w:t>
      </w:r>
      <w:r w:rsidR="00391069">
        <w:t xml:space="preserve"> </w:t>
      </w:r>
      <w:r w:rsidR="00D70EB7">
        <w:t>with</w:t>
      </w:r>
      <w:r w:rsidR="00391069">
        <w:t xml:space="preserve"> a few LGAs</w:t>
      </w:r>
      <w:r w:rsidR="00D70EB7">
        <w:t xml:space="preserve"> positively skewing the ave</w:t>
      </w:r>
      <w:r w:rsidR="00FB115B">
        <w:t>rage</w:t>
      </w:r>
      <w:r w:rsidRPr="008F541E">
        <w:t xml:space="preserve">. </w:t>
      </w:r>
    </w:p>
    <w:p w14:paraId="766F468C" w14:textId="14C511E5" w:rsidR="00083BC2" w:rsidRDefault="00083BC2" w:rsidP="00083BC2">
      <w:pPr>
        <w:pStyle w:val="Bulletlist"/>
        <w:spacing w:before="120" w:after="120"/>
        <w:ind w:left="357" w:hanging="357"/>
      </w:pPr>
      <w:bookmarkStart w:id="31" w:name="_Hlk124166223"/>
      <w:r>
        <w:t>The only LGAs where the change in monthly NDIS expenditure during trials was significantly greater than for matched participants was Aurukun (Q</w:t>
      </w:r>
      <w:r w:rsidR="00172740">
        <w:t>ld</w:t>
      </w:r>
      <w:r>
        <w:t xml:space="preserve">) (+$5,594) and Alice Springs (NT) (+$5,029). However, in Walgett, Wentworth, Tiwi Islands, Mornington and Baw </w:t>
      </w:r>
      <w:proofErr w:type="spellStart"/>
      <w:r>
        <w:t>Baw</w:t>
      </w:r>
      <w:proofErr w:type="spellEnd"/>
      <w:r>
        <w:t xml:space="preserve">, the change in monthly expenditure was significantly less than matched participants elsewhere. </w:t>
      </w:r>
    </w:p>
    <w:bookmarkEnd w:id="31"/>
    <w:p w14:paraId="25F26F6F" w14:textId="77777777" w:rsidR="00083BC2" w:rsidRDefault="00083BC2" w:rsidP="00083BC2">
      <w:pPr>
        <w:pStyle w:val="Bulletlist"/>
        <w:spacing w:before="120" w:after="120"/>
        <w:ind w:left="357" w:hanging="357"/>
      </w:pPr>
      <w:r>
        <w:t xml:space="preserve">Analysis of changes in market indicators (active providers, participant/provider ratio, payment concentration) did not show improvements compared to matched LGAs elsewhere. </w:t>
      </w:r>
    </w:p>
    <w:p w14:paraId="60A9B17D" w14:textId="0658D81B" w:rsidR="00083BC2" w:rsidRDefault="00083BC2" w:rsidP="00083BC2">
      <w:pPr>
        <w:pStyle w:val="Bulletlist"/>
        <w:numPr>
          <w:ilvl w:val="0"/>
          <w:numId w:val="0"/>
        </w:numPr>
        <w:spacing w:before="120" w:after="120"/>
      </w:pPr>
      <w:r>
        <w:t xml:space="preserve">Taken together, there is no evidence that on average market facilitation trials increased participant use of NDIS supports or strengthened local NDIS markets above all other activities </w:t>
      </w:r>
      <w:r w:rsidR="004D6BC7">
        <w:t xml:space="preserve">undertaken </w:t>
      </w:r>
      <w:r>
        <w:t>by the NDIA or other market intermediaries.</w:t>
      </w:r>
    </w:p>
    <w:p w14:paraId="690B0324" w14:textId="77777777" w:rsidR="00083BC2" w:rsidRDefault="00083BC2" w:rsidP="00083BC2">
      <w:pPr>
        <w:pStyle w:val="Heading5"/>
      </w:pPr>
      <w:r>
        <w:t>Extent market facilitation has operated as intended</w:t>
      </w:r>
    </w:p>
    <w:p w14:paraId="66846A25" w14:textId="52276680" w:rsidR="00083BC2" w:rsidRDefault="00083BC2" w:rsidP="00083BC2">
      <w:bookmarkStart w:id="32" w:name="_Hlk124166920"/>
      <w:r>
        <w:t>Market facilitation largely operated through providing market data to and directly engaging support coordinators and service providers. The purpose was to raise awareness of supply and demand and facilitate connections between support coordinators, participants, and service providers. This in turn intend</w:t>
      </w:r>
      <w:r w:rsidR="00082F75">
        <w:t>ed</w:t>
      </w:r>
      <w:r>
        <w:t xml:space="preserve"> to motivate service providers to increase service provision in target LGAs.</w:t>
      </w:r>
    </w:p>
    <w:bookmarkEnd w:id="32"/>
    <w:p w14:paraId="00E90721" w14:textId="77777777" w:rsidR="00083BC2" w:rsidRDefault="00083BC2" w:rsidP="00083BC2">
      <w:r>
        <w:t xml:space="preserve">Surveys and interviews with service providers and support coordinators showed this theory somewhat operated as intended. Providing market data and directly engaging service providers and support coordinators increased service provider and support coordinator awareness of available supply and local demand in some but not all LGAs. </w:t>
      </w:r>
    </w:p>
    <w:p w14:paraId="06C32FDE" w14:textId="07DD5F31" w:rsidR="00083BC2" w:rsidRDefault="00083BC2" w:rsidP="00083BC2">
      <w:r>
        <w:t xml:space="preserve">In Victoria, </w:t>
      </w:r>
      <w:r w:rsidR="00DA42FB">
        <w:t>the Market Development team</w:t>
      </w:r>
      <w:r>
        <w:t xml:space="preserve"> gave support coordinators a specialist behaviour support provider capacity matrix every 4 to 6 weeks and a specialist behavioural support checklist. Interviewed support coordinators reported that these helped them connect their participants with providers, although challenges with waitlists persist. In </w:t>
      </w:r>
      <w:r w:rsidR="00536E07">
        <w:t>Queensland</w:t>
      </w:r>
      <w:r>
        <w:t xml:space="preserve">, </w:t>
      </w:r>
      <w:r w:rsidR="00DA42FB">
        <w:t>the Market Development team</w:t>
      </w:r>
      <w:r>
        <w:t xml:space="preserve"> established support coordinator networking groups which support coordinators reported were useful to identify service providers. However, in NSW and the NT, most interviewed support coordinators said that market data and direct engagement did not improve their understanding of supply.</w:t>
      </w:r>
    </w:p>
    <w:p w14:paraId="091017F1" w14:textId="77777777" w:rsidR="00083BC2" w:rsidRDefault="00083BC2" w:rsidP="00083BC2">
      <w:r>
        <w:t>Despite market facilitation somewhat raising awareness, statistical analysis did not detect a significant increase in service delivery across target LGAs. Survey findings offer a possible explanation for this. Of service providers whose awareness of demand in target LGAs increased due to NDIA contact (51%), only 47% reported that they were delivering, or plan to deliver, more services. Together, this suggests that the translation of awareness to action has not operated as intended to a detectable extent.</w:t>
      </w:r>
    </w:p>
    <w:p w14:paraId="497331AF" w14:textId="77777777" w:rsidR="00083BC2" w:rsidRDefault="00083BC2" w:rsidP="00083BC2">
      <w:pPr>
        <w:pStyle w:val="Heading5"/>
      </w:pPr>
      <w:r>
        <w:lastRenderedPageBreak/>
        <w:t>Factors impacting the success of market facilitation</w:t>
      </w:r>
    </w:p>
    <w:p w14:paraId="6345E073" w14:textId="7B36B247" w:rsidR="00083BC2" w:rsidRDefault="00083BC2" w:rsidP="00083BC2">
      <w:r>
        <w:t xml:space="preserve">Service providers, support coordinators and other stakeholders reported that </w:t>
      </w:r>
      <w:r w:rsidR="00CB35A8">
        <w:t xml:space="preserve">the </w:t>
      </w:r>
      <w:r>
        <w:t xml:space="preserve">market facilitation </w:t>
      </w:r>
      <w:r w:rsidR="007E5E24">
        <w:t>trials</w:t>
      </w:r>
      <w:r>
        <w:t xml:space="preserve"> were insufficient to overcome the following market challenges and encourage greater service provision:</w:t>
      </w:r>
    </w:p>
    <w:p w14:paraId="0AC08415" w14:textId="77777777" w:rsidR="00083BC2" w:rsidRDefault="00083BC2" w:rsidP="00083BC2">
      <w:pPr>
        <w:pStyle w:val="Bulletlist"/>
        <w:spacing w:before="120" w:after="120"/>
        <w:ind w:left="357" w:hanging="357"/>
      </w:pPr>
      <w:bookmarkStart w:id="33" w:name="_Hlk124167289"/>
      <w:r>
        <w:t>Service viability – low economy of scale, logistics, and lack of infrastructure result in significant financial risk for providers.</w:t>
      </w:r>
    </w:p>
    <w:p w14:paraId="1697C71D" w14:textId="77777777" w:rsidR="00083BC2" w:rsidRDefault="00083BC2" w:rsidP="00083BC2">
      <w:pPr>
        <w:pStyle w:val="Bulletlist"/>
        <w:spacing w:before="120" w:after="120"/>
        <w:ind w:left="357" w:hanging="357"/>
      </w:pPr>
      <w:r>
        <w:t>Provider travel costs (especially in regional and remote locations) – 34% of survey respondents cited travel as a barrier to service delivery.</w:t>
      </w:r>
    </w:p>
    <w:p w14:paraId="57BE60D3" w14:textId="77777777" w:rsidR="00083BC2" w:rsidRPr="0011446C" w:rsidRDefault="00083BC2" w:rsidP="00083BC2">
      <w:pPr>
        <w:pStyle w:val="Bulletlist"/>
        <w:spacing w:before="120" w:after="120"/>
        <w:ind w:left="357" w:hanging="357"/>
      </w:pPr>
      <w:r>
        <w:t>A lack of options to transport participants to available service providers.</w:t>
      </w:r>
    </w:p>
    <w:p w14:paraId="3D956ED2" w14:textId="77777777" w:rsidR="00083BC2" w:rsidRDefault="00083BC2" w:rsidP="00083BC2">
      <w:pPr>
        <w:pStyle w:val="Bulletlist"/>
        <w:spacing w:before="120" w:after="120"/>
        <w:ind w:left="357" w:hanging="357"/>
      </w:pPr>
      <w:r>
        <w:t>Workforce shortages and turnover – 49% of survey respondents cited workforce challenges.</w:t>
      </w:r>
    </w:p>
    <w:p w14:paraId="28C944E8" w14:textId="3D9DB2AA" w:rsidR="00083BC2" w:rsidRDefault="00083BC2" w:rsidP="00083BC2">
      <w:pPr>
        <w:pStyle w:val="Bulletlist"/>
        <w:spacing w:before="120" w:after="120"/>
        <w:ind w:left="357" w:hanging="357"/>
      </w:pPr>
      <w:r>
        <w:t xml:space="preserve">Barriers for participants to access the NDIS and low participant understanding </w:t>
      </w:r>
      <w:r w:rsidR="005F2FE9">
        <w:t xml:space="preserve">of </w:t>
      </w:r>
      <w:r>
        <w:t>how to implement their plans. Participants also have low understanding of some supports such as specialist behaviour supports. The combined effects reduce effective market size.</w:t>
      </w:r>
    </w:p>
    <w:p w14:paraId="4C655138" w14:textId="77777777" w:rsidR="00083BC2" w:rsidRDefault="00083BC2" w:rsidP="00083BC2">
      <w:pPr>
        <w:pStyle w:val="Bulletlist"/>
        <w:spacing w:before="120" w:after="200"/>
        <w:ind w:left="357" w:hanging="357"/>
      </w:pPr>
      <w:r>
        <w:t>Specifically related to specialist behaviour supports, onerous registration and compliance requirements for service providers which discourages new market entrants.</w:t>
      </w:r>
    </w:p>
    <w:bookmarkEnd w:id="33"/>
    <w:p w14:paraId="65E9C27C" w14:textId="77777777" w:rsidR="00083BC2" w:rsidRDefault="00083BC2" w:rsidP="00A01FA6">
      <w:pPr>
        <w:pStyle w:val="ESheading4"/>
      </w:pPr>
      <w:r>
        <w:t>Coordinated funding proposals</w:t>
      </w:r>
    </w:p>
    <w:p w14:paraId="53D6F386" w14:textId="77777777" w:rsidR="00083BC2" w:rsidRDefault="00083BC2" w:rsidP="00083BC2">
      <w:pPr>
        <w:pStyle w:val="Heading5"/>
      </w:pPr>
      <w:r>
        <w:t>Impact</w:t>
      </w:r>
    </w:p>
    <w:p w14:paraId="4ABE9CE7" w14:textId="123CF584" w:rsidR="00083BC2" w:rsidRPr="00AA6202" w:rsidRDefault="00083BC2" w:rsidP="00083BC2">
      <w:bookmarkStart w:id="34" w:name="_Hlk124168898"/>
      <w:r>
        <w:t>NDIS expenditure data showed that CFPs have been successful at facilitating participant access to various functional assessments and probably ongoing supports. In all LGAs where the NDIA completed a CFP, at least 80% of identified participants received the CFP supports (82% across all CFPs</w:t>
      </w:r>
      <w:r>
        <w:rPr>
          <w:rStyle w:val="FootnoteReference"/>
        </w:rPr>
        <w:footnoteReference w:id="3"/>
      </w:r>
      <w:r>
        <w:t>).</w:t>
      </w:r>
      <w:r w:rsidR="003672E1">
        <w:t xml:space="preserve"> </w:t>
      </w:r>
      <w:r>
        <w:t xml:space="preserve">Importantly, </w:t>
      </w:r>
      <w:r w:rsidR="00A3709E">
        <w:t xml:space="preserve">in the 12-months after CFPs, </w:t>
      </w:r>
      <w:r>
        <w:t xml:space="preserve">the number of subsequent NDIS claims and expenditure increased </w:t>
      </w:r>
      <w:r w:rsidR="00621167">
        <w:t xml:space="preserve">by an average of $4,982 per participant (+132%) </w:t>
      </w:r>
      <w:r>
        <w:t>relative to the 12-months before.</w:t>
      </w:r>
    </w:p>
    <w:bookmarkEnd w:id="34"/>
    <w:p w14:paraId="0D961B4B" w14:textId="77777777" w:rsidR="00083BC2" w:rsidRDefault="00083BC2" w:rsidP="00083BC2">
      <w:pPr>
        <w:pStyle w:val="Heading5"/>
      </w:pPr>
      <w:r>
        <w:t>Extent CFPs have operated as intended</w:t>
      </w:r>
    </w:p>
    <w:p w14:paraId="52A1C9C3" w14:textId="77777777" w:rsidR="00083BC2" w:rsidRDefault="00083BC2" w:rsidP="00083BC2">
      <w:bookmarkStart w:id="35" w:name="_Hlk124169061"/>
      <w:r w:rsidRPr="008D56EE">
        <w:t>Interviews with service providers and support coordinators showed that CFPs operated as intended by</w:t>
      </w:r>
      <w:r>
        <w:t xml:space="preserve"> giving service providers assurance of demand. CFPs also made service delivery in remote LGAs logistically and financially more viable by sharing the actual cost of travel across all participants. </w:t>
      </w:r>
    </w:p>
    <w:p w14:paraId="23C61C8D" w14:textId="5B6E9C5D" w:rsidR="00083BC2" w:rsidRDefault="00083BC2" w:rsidP="00083BC2">
      <w:r>
        <w:t>All but one of the service providers involved were not already servicing the target LGAs. All these providers reported in interviews that the assurance of demand created by pooling participant</w:t>
      </w:r>
      <w:r w:rsidR="00F20312">
        <w:t xml:space="preserve"> funding</w:t>
      </w:r>
      <w:r>
        <w:t xml:space="preserve"> gave them the confidence to expand their service without bearing excessive financial risk.</w:t>
      </w:r>
    </w:p>
    <w:bookmarkEnd w:id="35"/>
    <w:p w14:paraId="0242177B" w14:textId="3B75DDB0" w:rsidR="00083BC2" w:rsidRPr="008D56EE" w:rsidRDefault="00083BC2" w:rsidP="00083BC2">
      <w:r>
        <w:lastRenderedPageBreak/>
        <w:t>CFPs also aim to build the capacity of support coordinators to implement CFPs in the future and use the existing NDIS Pricing Arrangements to their maximum efficiency. The theory is that this builds ongoing local capacity to address service barriers without NDIA intervention. However, while all support coordinators interviewed were willing to implement a CFP in future, few expressed they had confidence to do so without additional support. The NDIA is releasing a CFP tool</w:t>
      </w:r>
      <w:r w:rsidR="004E7B4A">
        <w:t>kit</w:t>
      </w:r>
      <w:r>
        <w:t xml:space="preserve"> to guide support coordinators, participants and others establish CFPs. This could provide the ongoing </w:t>
      </w:r>
      <w:r w:rsidR="002D5039">
        <w:t>assistance</w:t>
      </w:r>
      <w:r>
        <w:t xml:space="preserve"> support coordinators need in the future.</w:t>
      </w:r>
    </w:p>
    <w:p w14:paraId="3C8B7D62" w14:textId="77777777" w:rsidR="00083BC2" w:rsidRDefault="00083BC2" w:rsidP="00083BC2">
      <w:pPr>
        <w:pStyle w:val="Heading5"/>
      </w:pPr>
      <w:r>
        <w:t>Factors impacting the success of CFPs</w:t>
      </w:r>
    </w:p>
    <w:p w14:paraId="4E55FF2E" w14:textId="77777777" w:rsidR="00083BC2" w:rsidRDefault="00083BC2" w:rsidP="00083BC2">
      <w:r>
        <w:t>Although CFPs operated largely as intended and effectively facilitated participant access to the targeted supports, service providers, support coordinators and Trial Leads reported the following challenges:</w:t>
      </w:r>
    </w:p>
    <w:p w14:paraId="542B6BBD" w14:textId="47A39169" w:rsidR="00083BC2" w:rsidRDefault="00083BC2" w:rsidP="00083BC2">
      <w:pPr>
        <w:pStyle w:val="Bulletlist"/>
      </w:pPr>
      <w:r>
        <w:t>Difficulty for service providers coordinating across multiple support coordinators, which has flowed through to organising subsequent trips for follow-on supports.</w:t>
      </w:r>
    </w:p>
    <w:p w14:paraId="20D11E4F" w14:textId="77777777" w:rsidR="00083BC2" w:rsidRDefault="00083BC2" w:rsidP="00083BC2">
      <w:pPr>
        <w:pStyle w:val="Bulletlist"/>
      </w:pPr>
      <w:r>
        <w:t xml:space="preserve">Support coordinators not always being based in the target communities, meaning service providers had to find another key community contact to provide on the ground support. </w:t>
      </w:r>
      <w:r w:rsidRPr="00BD3D40">
        <w:t>One service provider included funding for a local community member to act in this role</w:t>
      </w:r>
      <w:r>
        <w:t>.</w:t>
      </w:r>
      <w:r w:rsidRPr="00BD3D40">
        <w:t xml:space="preserve"> </w:t>
      </w:r>
    </w:p>
    <w:p w14:paraId="11847EB7" w14:textId="77777777" w:rsidR="00083BC2" w:rsidRPr="00BD3D40" w:rsidRDefault="00083BC2" w:rsidP="00083BC2">
      <w:pPr>
        <w:pStyle w:val="Bulletlist"/>
      </w:pPr>
      <w:r>
        <w:t>CFPs rely on support coordinators working together. This was variable across candidate LGAs which meant the NDIA could not establish some potential CFPs.</w:t>
      </w:r>
    </w:p>
    <w:p w14:paraId="22FDE6EF" w14:textId="77777777" w:rsidR="00083BC2" w:rsidRDefault="00083BC2" w:rsidP="00083BC2">
      <w:pPr>
        <w:pStyle w:val="Bulletlist"/>
      </w:pPr>
      <w:bookmarkStart w:id="36" w:name="_Hlk118989236"/>
      <w:r>
        <w:t>The NDIA could not establish a CFP in other potential locations due to monopolies on support coordination and/or no market separation between support coordination and existing, albeit inadequate, service provision.</w:t>
      </w:r>
    </w:p>
    <w:bookmarkEnd w:id="36"/>
    <w:p w14:paraId="01911800" w14:textId="77777777" w:rsidR="00083BC2" w:rsidRDefault="00083BC2" w:rsidP="00A01FA6">
      <w:pPr>
        <w:pStyle w:val="ESheading4"/>
      </w:pPr>
      <w:r>
        <w:t>Direct commissioning</w:t>
      </w:r>
    </w:p>
    <w:p w14:paraId="36525BD1" w14:textId="77777777" w:rsidR="00083BC2" w:rsidRDefault="00083BC2" w:rsidP="00083BC2">
      <w:pPr>
        <w:pStyle w:val="Heading5"/>
      </w:pPr>
      <w:r>
        <w:t>Impact</w:t>
      </w:r>
    </w:p>
    <w:p w14:paraId="10993407" w14:textId="77777777" w:rsidR="00083BC2" w:rsidRDefault="00083BC2" w:rsidP="00083BC2">
      <w:r>
        <w:t>Analysis of NDIS expenditure data combined with contractual reporting by service providers suggests mixed success from the three direct commissioning trials.</w:t>
      </w:r>
    </w:p>
    <w:p w14:paraId="606D99FA" w14:textId="77777777" w:rsidR="00083BC2" w:rsidRDefault="00083BC2" w:rsidP="00083BC2">
      <w:r>
        <w:t xml:space="preserve">On average, participants in the ACT and Waratah-Wynyard (Tas) trials increased their use of specialist behaviour supports or speech and occupational therapy by </w:t>
      </w:r>
      <w:r w:rsidRPr="003229BF">
        <w:t xml:space="preserve">$2,592 annualised </w:t>
      </w:r>
      <w:r>
        <w:t>and $2,604 annualised respectively during the trials. However, compared to participants originally targeted but who chose not to participate, the average per participant increases were only $237 and $167 annualised in the ACT and Waratah-Wynyard respectively. This equates to around one-hour of additional support and is only statistically significant in Waratah-Wynyard.</w:t>
      </w:r>
    </w:p>
    <w:p w14:paraId="67B8F6D1" w14:textId="636584BC" w:rsidR="00083BC2" w:rsidRPr="001F2658" w:rsidRDefault="00083BC2" w:rsidP="00083BC2">
      <w:r>
        <w:t xml:space="preserve">Direct commissioning in the APY Lands has been more successful to date, with a </w:t>
      </w:r>
      <w:r w:rsidR="00A73BC8">
        <w:t xml:space="preserve">possible </w:t>
      </w:r>
      <w:r w:rsidR="00435D87">
        <w:t xml:space="preserve">attributable </w:t>
      </w:r>
      <w:r>
        <w:t>projected increase in average per participant expenditure on Assistance with Social, Economic and Community Participation supports of $</w:t>
      </w:r>
      <w:r w:rsidR="00A73BC8">
        <w:t>6</w:t>
      </w:r>
      <w:r>
        <w:t>,</w:t>
      </w:r>
      <w:r w:rsidR="00A73BC8">
        <w:t>631</w:t>
      </w:r>
      <w:r>
        <w:t xml:space="preserve"> annualised. </w:t>
      </w:r>
      <w:bookmarkStart w:id="37" w:name="_Hlk124167807"/>
      <w:r>
        <w:t xml:space="preserve">It is difficult to </w:t>
      </w:r>
      <w:r w:rsidR="00125D62">
        <w:t>be sure of</w:t>
      </w:r>
      <w:r>
        <w:t xml:space="preserve"> the incremental impact of </w:t>
      </w:r>
      <w:r w:rsidR="00500DA9">
        <w:t xml:space="preserve">the </w:t>
      </w:r>
      <w:r>
        <w:t xml:space="preserve">direct commissioning arrangement </w:t>
      </w:r>
      <w:r w:rsidR="00500DA9">
        <w:t xml:space="preserve">in the APY Lands </w:t>
      </w:r>
      <w:r>
        <w:t>as it has not been possible to identify a suitable comparison group</w:t>
      </w:r>
      <w:r w:rsidR="00AF6BBE">
        <w:t xml:space="preserve"> and it is early in the trial</w:t>
      </w:r>
      <w:bookmarkEnd w:id="37"/>
      <w:r>
        <w:t xml:space="preserve">. </w:t>
      </w:r>
      <w:bookmarkStart w:id="38" w:name="_Hlk124167884"/>
      <w:r w:rsidR="00500DA9">
        <w:t>However</w:t>
      </w:r>
      <w:r w:rsidR="00047E12">
        <w:t>,</w:t>
      </w:r>
      <w:r w:rsidR="00313591">
        <w:t xml:space="preserve"> on face value it </w:t>
      </w:r>
      <w:r w:rsidR="00047E12">
        <w:t>appears to have been</w:t>
      </w:r>
      <w:r w:rsidR="00313591">
        <w:t xml:space="preserve"> more effective than in the ACT or Waratah-Wynyard.</w:t>
      </w:r>
    </w:p>
    <w:bookmarkEnd w:id="38"/>
    <w:p w14:paraId="3DE19874" w14:textId="77777777" w:rsidR="00083BC2" w:rsidRDefault="00083BC2" w:rsidP="00083BC2">
      <w:pPr>
        <w:pStyle w:val="Heading5"/>
      </w:pPr>
      <w:r>
        <w:lastRenderedPageBreak/>
        <w:t>Extent direct commissioning has operated as intended</w:t>
      </w:r>
    </w:p>
    <w:p w14:paraId="12A25C88" w14:textId="4A21F33E" w:rsidR="00083BC2" w:rsidRDefault="00083BC2" w:rsidP="00083BC2">
      <w:r>
        <w:t xml:space="preserve">Like a CFP, </w:t>
      </w:r>
      <w:bookmarkStart w:id="39" w:name="_Hlk124168042"/>
      <w:r>
        <w:t xml:space="preserve">direct commissioning aims to give service providers assurance of demand at a quotable price that is financially viable. </w:t>
      </w:r>
      <w:bookmarkStart w:id="40" w:name="_Hlk124168056"/>
      <w:bookmarkEnd w:id="39"/>
      <w:r>
        <w:t xml:space="preserve">However, according to </w:t>
      </w:r>
      <w:r w:rsidR="003D2B03">
        <w:t xml:space="preserve">participating </w:t>
      </w:r>
      <w:r>
        <w:t xml:space="preserve">service providers, direct commissioning in the ACT and Waratah-Wynyard has not assured demand </w:t>
      </w:r>
      <w:r w:rsidR="00BD7232">
        <w:t xml:space="preserve">as much as expected </w:t>
      </w:r>
      <w:r>
        <w:t xml:space="preserve">nor been financially </w:t>
      </w:r>
      <w:r w:rsidR="00E54E4D">
        <w:t>rewarding</w:t>
      </w:r>
      <w:r>
        <w:t>.</w:t>
      </w:r>
    </w:p>
    <w:p w14:paraId="79C47E55" w14:textId="78014683" w:rsidR="00083BC2" w:rsidRDefault="00083BC2" w:rsidP="00083BC2">
      <w:bookmarkStart w:id="41" w:name="_Hlk124168092"/>
      <w:bookmarkEnd w:id="40"/>
      <w:r>
        <w:t xml:space="preserve">The service providers involved in these trials recruited staff based on an expected number of referrals. However, the number of referrals </w:t>
      </w:r>
      <w:r w:rsidR="00787120">
        <w:t>was</w:t>
      </w:r>
      <w:r>
        <w:t xml:space="preserve"> less than they expected which has created financial pressure to retain the additional staff. As of 30 September</w:t>
      </w:r>
      <w:r w:rsidR="00666139">
        <w:t xml:space="preserve"> 2022</w:t>
      </w:r>
      <w:r>
        <w:t xml:space="preserve">, the ACT and Waratah-Wynyard trials had used only 55% and 52% of the allocated funds. Projections estimated this would rise to </w:t>
      </w:r>
      <w:r w:rsidR="00EF2112">
        <w:t xml:space="preserve">61% and </w:t>
      </w:r>
      <w:r>
        <w:t>55% by the end of the trials. The contract guarantees the service provider in the APY Lands a minimum amount meaning referral volumes are less of an issue.</w:t>
      </w:r>
    </w:p>
    <w:bookmarkEnd w:id="41"/>
    <w:p w14:paraId="022F742D" w14:textId="26B50CF2" w:rsidR="00083BC2" w:rsidRDefault="00083BC2" w:rsidP="00083BC2">
      <w:r>
        <w:t xml:space="preserve">Other financial challenges associated service providers reported included holding vacancies for anticipated referrals and the </w:t>
      </w:r>
      <w:r w:rsidR="004F3304">
        <w:t xml:space="preserve">time </w:t>
      </w:r>
      <w:r w:rsidR="00DF61BD">
        <w:t>required for</w:t>
      </w:r>
      <w:r w:rsidR="004F3304">
        <w:t xml:space="preserve"> </w:t>
      </w:r>
      <w:r>
        <w:t>reporting, invoicing and engaging and coordinating participants.</w:t>
      </w:r>
    </w:p>
    <w:p w14:paraId="71888809" w14:textId="57D7F169" w:rsidR="00083BC2" w:rsidRDefault="00083BC2" w:rsidP="00083BC2">
      <w:r>
        <w:t xml:space="preserve">Theoretically, direct commissioning also intends to provide an opportunity for providers to establish in a new market by providing a period of guaranteed demand and financial stability. The ACT Trial appears to have realised this. The service providers involved have received ongoing referrals and intend to continue delivery in the ACT after the Trial ends. </w:t>
      </w:r>
      <w:bookmarkStart w:id="42" w:name="_Hlk124168401"/>
      <w:r>
        <w:t>However, in Tasmania the high cost of travel to Waratah-Wynyard and the low volume of participants means the service providers are less likely to maintain a presence.</w:t>
      </w:r>
    </w:p>
    <w:bookmarkEnd w:id="42"/>
    <w:p w14:paraId="1DD7A920" w14:textId="0ABE5544" w:rsidR="00083BC2" w:rsidRPr="00A563F4" w:rsidRDefault="00083BC2" w:rsidP="00083BC2">
      <w:r>
        <w:t>It is too early to see if direct commissioning in the APY Lands will lead to sustainable service delivery. Although given the extreme challenges and costs delivering services in the APY Lands, it is difficult to imagine viable service provision without guaranteed demand at a viable price.</w:t>
      </w:r>
    </w:p>
    <w:p w14:paraId="757FF1BC" w14:textId="77777777" w:rsidR="00083BC2" w:rsidRDefault="00083BC2" w:rsidP="00083BC2">
      <w:pPr>
        <w:pStyle w:val="Heading5"/>
      </w:pPr>
      <w:r>
        <w:t>Factors impacting the success of direct commissioning</w:t>
      </w:r>
    </w:p>
    <w:p w14:paraId="4869B394" w14:textId="2EE955A4" w:rsidR="00083BC2" w:rsidRDefault="00083BC2" w:rsidP="00083BC2">
      <w:r>
        <w:t>Aside from the administrative burden for the NDIA and service providers to establish and manage direct commissioning contracts, the main challenge appears to be engaging with participants. Initially, the NDIA had to take frontline staff offline for a considerable period to recruit targeted participants and then undertake plan reviews to quarantine funding from their NDIS Plans. This resulted in only one-third of targeted participants in the ACT and Waratah-Wynyard opting into the trial. Service providers also reported difficulties engaging with participants and support coordinators once enrolled.</w:t>
      </w:r>
    </w:p>
    <w:p w14:paraId="1A1B1F64" w14:textId="7AEAD19F" w:rsidR="00083BC2" w:rsidRDefault="00083BC2" w:rsidP="00083BC2">
      <w:r>
        <w:t>In the APY Lands, all participants with the targeted funding had to opt-out rather than opt-in</w:t>
      </w:r>
      <w:r w:rsidR="00F33272">
        <w:t>,</w:t>
      </w:r>
      <w:r>
        <w:t xml:space="preserve"> which was logistically easier</w:t>
      </w:r>
      <w:r w:rsidR="00313591">
        <w:t>. H</w:t>
      </w:r>
      <w:r w:rsidR="008067B1">
        <w:t>owever</w:t>
      </w:r>
      <w:r w:rsidR="00C557CE">
        <w:t xml:space="preserve">, </w:t>
      </w:r>
      <w:r w:rsidR="00313591">
        <w:t>some</w:t>
      </w:r>
      <w:r w:rsidR="005E5EA8">
        <w:t xml:space="preserve"> support coordinators and other stakeholders </w:t>
      </w:r>
      <w:r w:rsidR="00313591">
        <w:t>questioned whether this approach is in tension with participant ch</w:t>
      </w:r>
      <w:r w:rsidR="003C132A">
        <w:t>oice which is one of t</w:t>
      </w:r>
      <w:r w:rsidR="006925DD">
        <w:t>he principles of the NDIS</w:t>
      </w:r>
      <w:r>
        <w:t>.</w:t>
      </w:r>
    </w:p>
    <w:p w14:paraId="1D900504" w14:textId="77777777" w:rsidR="00083BC2" w:rsidRPr="00343F15" w:rsidRDefault="00083BC2" w:rsidP="00083BC2">
      <w:r>
        <w:t xml:space="preserve">The low enrolment of participants in the ACT and Waratah-Wynyard, and ongoing engagement challenges, indicates that bringing providers into a thin market can be </w:t>
      </w:r>
      <w:r>
        <w:lastRenderedPageBreak/>
        <w:t>insufficient to stimulate participants to access supports. Findings from the Victorian market facilitation trial targeting specialist behaviour supports indicated that low participant understanding of supports is a barrier for them to engage. It is likely that this has also been a barrier to the success of direct commissioning in the ACT and perhaps Waratah-Wynyard.</w:t>
      </w:r>
    </w:p>
    <w:p w14:paraId="391D1B15" w14:textId="77777777" w:rsidR="00083BC2" w:rsidRPr="00301D41" w:rsidRDefault="00083BC2" w:rsidP="00A01FA6">
      <w:pPr>
        <w:pStyle w:val="ESheading3"/>
      </w:pPr>
      <w:bookmarkStart w:id="43" w:name="_Toc136336651"/>
      <w:r w:rsidRPr="00825CA5">
        <w:t>Conclusions</w:t>
      </w:r>
      <w:bookmarkEnd w:id="43"/>
    </w:p>
    <w:p w14:paraId="2CA4CA0C" w14:textId="0EC3E015" w:rsidR="00083BC2" w:rsidRDefault="00083BC2" w:rsidP="00083BC2">
      <w:pPr>
        <w:pStyle w:val="BodyText1"/>
        <w:rPr>
          <w:lang w:eastAsia="ja-JP"/>
        </w:rPr>
      </w:pPr>
      <w:bookmarkStart w:id="44" w:name="_Hlk124169610"/>
      <w:r w:rsidRPr="6E315BD6">
        <w:rPr>
          <w:lang w:eastAsia="ja-JP"/>
        </w:rPr>
        <w:t>The evaluation findings suggest that CFPs and direct commissioning are promising approaches to increasing participant use of funded supports in thin markets</w:t>
      </w:r>
      <w:r w:rsidR="00C32B22">
        <w:rPr>
          <w:lang w:eastAsia="ja-JP"/>
        </w:rPr>
        <w:t xml:space="preserve"> in some conditions</w:t>
      </w:r>
      <w:r w:rsidRPr="6E315BD6">
        <w:rPr>
          <w:lang w:eastAsia="ja-JP"/>
        </w:rPr>
        <w:t xml:space="preserve">. CFPs </w:t>
      </w:r>
      <w:r w:rsidR="001B06D0">
        <w:rPr>
          <w:lang w:eastAsia="ja-JP"/>
        </w:rPr>
        <w:t xml:space="preserve">can easily be deployed using </w:t>
      </w:r>
      <w:r w:rsidRPr="6E315BD6">
        <w:rPr>
          <w:lang w:eastAsia="ja-JP"/>
        </w:rPr>
        <w:t xml:space="preserve">the existing NDIS </w:t>
      </w:r>
      <w:r w:rsidR="00037F56">
        <w:rPr>
          <w:lang w:eastAsia="ja-JP"/>
        </w:rPr>
        <w:t>pricing and purchasing</w:t>
      </w:r>
      <w:r w:rsidR="00685645">
        <w:rPr>
          <w:lang w:eastAsia="ja-JP"/>
        </w:rPr>
        <w:t xml:space="preserve"> </w:t>
      </w:r>
      <w:r w:rsidR="00307FAA">
        <w:rPr>
          <w:lang w:eastAsia="ja-JP"/>
        </w:rPr>
        <w:t>a</w:t>
      </w:r>
      <w:r w:rsidR="00307FAA" w:rsidRPr="6E315BD6">
        <w:rPr>
          <w:lang w:eastAsia="ja-JP"/>
        </w:rPr>
        <w:t>rrangements</w:t>
      </w:r>
      <w:r w:rsidRPr="6E315BD6">
        <w:rPr>
          <w:lang w:eastAsia="ja-JP"/>
        </w:rPr>
        <w:t xml:space="preserve"> to increase the financial viability</w:t>
      </w:r>
      <w:r w:rsidR="005C2E53">
        <w:rPr>
          <w:lang w:eastAsia="ja-JP"/>
        </w:rPr>
        <w:t xml:space="preserve"> of</w:t>
      </w:r>
      <w:r w:rsidRPr="6E315BD6">
        <w:rPr>
          <w:lang w:eastAsia="ja-JP"/>
        </w:rPr>
        <w:t xml:space="preserve"> </w:t>
      </w:r>
      <w:r w:rsidR="003F04A8">
        <w:rPr>
          <w:lang w:eastAsia="ja-JP"/>
        </w:rPr>
        <w:t>delivering supports</w:t>
      </w:r>
      <w:r w:rsidR="005C2E53">
        <w:rPr>
          <w:lang w:eastAsia="ja-JP"/>
        </w:rPr>
        <w:t xml:space="preserve"> in</w:t>
      </w:r>
      <w:r w:rsidRPr="6E315BD6">
        <w:rPr>
          <w:lang w:eastAsia="ja-JP"/>
        </w:rPr>
        <w:t xml:space="preserve"> rural and remote locations. Direct commissioning may be more successful for Core rather than Capacity Building supports, and in remote/very remote locations if market conditions are unfavourable for a CFP. This needs further testing.</w:t>
      </w:r>
    </w:p>
    <w:p w14:paraId="48E80AE5" w14:textId="306D43B3" w:rsidR="00083BC2" w:rsidRDefault="00083BC2" w:rsidP="00083BC2">
      <w:pPr>
        <w:pStyle w:val="BodyText1"/>
        <w:rPr>
          <w:lang w:eastAsia="ja-JP"/>
        </w:rPr>
      </w:pPr>
      <w:bookmarkStart w:id="45" w:name="_Hlk124169843"/>
      <w:bookmarkEnd w:id="44"/>
      <w:r>
        <w:rPr>
          <w:lang w:eastAsia="ja-JP"/>
        </w:rPr>
        <w:t>LGA-level market facilitation appears less effective against a backdrop of business-as-usual activities by the NDIA and NDIS market intermediaries to support participants implement their NDIS plan. Market facilitation also seems ineffective at overcoming challenges for NDIS service provision in thin markets such as assurance of demand, financial viability, workforce shortages and participant understanding of the NDIS and the supports in their NDIS Plan.</w:t>
      </w:r>
    </w:p>
    <w:p w14:paraId="08F6D98C" w14:textId="77777777" w:rsidR="00083BC2" w:rsidRDefault="00083BC2" w:rsidP="00083BC2">
      <w:pPr>
        <w:pStyle w:val="BodyText1"/>
        <w:rPr>
          <w:lang w:eastAsia="ja-JP"/>
        </w:rPr>
      </w:pPr>
      <w:r>
        <w:rPr>
          <w:lang w:eastAsia="ja-JP"/>
        </w:rPr>
        <w:t xml:space="preserve">However, business-as-usual market facilitation is largely uncoordinated without an overarching strategy </w:t>
      </w:r>
      <w:r w:rsidRPr="00E35891">
        <w:rPr>
          <w:lang w:eastAsia="ja-JP"/>
        </w:rPr>
        <w:t xml:space="preserve">to </w:t>
      </w:r>
      <w:r>
        <w:rPr>
          <w:lang w:eastAsia="ja-JP"/>
        </w:rPr>
        <w:t>address both</w:t>
      </w:r>
      <w:r w:rsidRPr="00E35891">
        <w:rPr>
          <w:lang w:eastAsia="ja-JP"/>
        </w:rPr>
        <w:t xml:space="preserve"> common challenges affecting all, or most, thin markets</w:t>
      </w:r>
      <w:r>
        <w:rPr>
          <w:lang w:eastAsia="ja-JP"/>
        </w:rPr>
        <w:t xml:space="preserve"> and unique challenges in local contexts. There is also a need to clarify the roles of the NDIA and various market intermediaries in market facilitation.</w:t>
      </w:r>
    </w:p>
    <w:bookmarkEnd w:id="45"/>
    <w:p w14:paraId="26A0A669" w14:textId="09DB8DCF" w:rsidR="00E97FCA" w:rsidRDefault="00E97FCA" w:rsidP="00E97FCA">
      <w:r>
        <w:t xml:space="preserve">Overall, the evaluation findings suggest the following for market </w:t>
      </w:r>
      <w:r w:rsidRPr="00446D26">
        <w:t>interventions in thin markets</w:t>
      </w:r>
      <w:r>
        <w:t>:</w:t>
      </w:r>
      <w:r w:rsidRPr="00446D26">
        <w:t xml:space="preserve"> </w:t>
      </w:r>
    </w:p>
    <w:p w14:paraId="16DCEAF7" w14:textId="77777777" w:rsidR="00A217AB" w:rsidRDefault="00A217AB" w:rsidP="00A217AB">
      <w:pPr>
        <w:pStyle w:val="Bulletlist"/>
      </w:pPr>
      <w:r w:rsidRPr="00387BFE">
        <w:t>Coordinated strategic macro-level market facilitation within the NDIA and local level market facilitation alongside the role of various market intermediaries should operate as business as usual, rather than as a distinct intervention in thin markets</w:t>
      </w:r>
      <w:r>
        <w:t>.</w:t>
      </w:r>
      <w:r w:rsidRPr="00387BFE">
        <w:t xml:space="preserve"> </w:t>
      </w:r>
    </w:p>
    <w:p w14:paraId="76CB611C" w14:textId="72F3ED58" w:rsidR="00E97FCA" w:rsidRDefault="00E97FCA" w:rsidP="00E97FCA">
      <w:pPr>
        <w:pStyle w:val="Bulletlist"/>
      </w:pPr>
      <w:r w:rsidRPr="00121251">
        <w:t xml:space="preserve">Where a targeted local-level intervention is necessary, a CFP should be the first option if there is sufficient support coordinator or participant </w:t>
      </w:r>
      <w:r w:rsidR="00ED565A" w:rsidRPr="00121251">
        <w:t>capacity,</w:t>
      </w:r>
      <w:r w:rsidRPr="00121251">
        <w:t xml:space="preserve"> and it is viable for a provider under the existing NDIS Pricing Arrangements and Price Limits.</w:t>
      </w:r>
    </w:p>
    <w:p w14:paraId="73596C86" w14:textId="77777777" w:rsidR="00E97FCA" w:rsidRPr="00121251" w:rsidRDefault="00E97FCA" w:rsidP="00E97FCA">
      <w:pPr>
        <w:pStyle w:val="Bulletlist"/>
      </w:pPr>
      <w:r>
        <w:t>Direct</w:t>
      </w:r>
      <w:r w:rsidRPr="00674C69">
        <w:t xml:space="preserve"> commissioning should be considered if the above market conditions are unfavourable</w:t>
      </w:r>
      <w:r>
        <w:t>.</w:t>
      </w:r>
    </w:p>
    <w:p w14:paraId="7700DAD8" w14:textId="77777777" w:rsidR="00245193" w:rsidRDefault="00245193" w:rsidP="00681331"/>
    <w:p w14:paraId="203E75AA" w14:textId="4E53917A" w:rsidR="00681331" w:rsidRDefault="00681331" w:rsidP="00681331">
      <w:pPr>
        <w:sectPr w:rsidR="00681331" w:rsidSect="00C45DDE">
          <w:footerReference w:type="default" r:id="rId23"/>
          <w:pgSz w:w="11906" w:h="16838"/>
          <w:pgMar w:top="1440" w:right="1440" w:bottom="1440" w:left="1440" w:header="709" w:footer="0" w:gutter="0"/>
          <w:pgNumType w:fmt="lowerRoman" w:start="1"/>
          <w:cols w:space="708"/>
          <w:docGrid w:linePitch="360"/>
        </w:sectPr>
      </w:pPr>
    </w:p>
    <w:p w14:paraId="083B5424" w14:textId="5A6C4817" w:rsidR="00245193" w:rsidRPr="00A01FA6" w:rsidRDefault="00AF54CF" w:rsidP="00A01FA6">
      <w:pPr>
        <w:pStyle w:val="Heading2"/>
        <w:numPr>
          <w:ilvl w:val="0"/>
          <w:numId w:val="28"/>
        </w:numPr>
        <w:ind w:left="1134" w:hanging="1134"/>
      </w:pPr>
      <w:bookmarkStart w:id="46" w:name="_Toc111206310"/>
      <w:bookmarkStart w:id="47" w:name="_Toc111206424"/>
      <w:bookmarkStart w:id="48" w:name="_Toc136336652"/>
      <w:r w:rsidRPr="00A01FA6">
        <w:lastRenderedPageBreak/>
        <w:t>Introduction</w:t>
      </w:r>
      <w:bookmarkEnd w:id="46"/>
      <w:bookmarkEnd w:id="47"/>
      <w:bookmarkEnd w:id="48"/>
    </w:p>
    <w:p w14:paraId="07167ED7" w14:textId="2157151D" w:rsidR="00AF54CF" w:rsidRPr="006F2ECB" w:rsidRDefault="00802ED5" w:rsidP="00A01FA6">
      <w:pPr>
        <w:pStyle w:val="Heading3"/>
      </w:pPr>
      <w:bookmarkStart w:id="49" w:name="_Toc111206311"/>
      <w:bookmarkStart w:id="50" w:name="_Toc111206425"/>
      <w:bookmarkStart w:id="51" w:name="_Toc136336653"/>
      <w:r w:rsidRPr="006F2ECB">
        <w:t>Background</w:t>
      </w:r>
      <w:bookmarkEnd w:id="49"/>
      <w:bookmarkEnd w:id="50"/>
      <w:bookmarkEnd w:id="51"/>
    </w:p>
    <w:p w14:paraId="70489F6F" w14:textId="0F6C8F3D" w:rsidR="008E4E92" w:rsidRDefault="008E4E92" w:rsidP="008E4E92">
      <w:r>
        <w:t xml:space="preserve">In the context of the National Disability Insurance Scheme (NDIS), thin markets exist where there is a gap between the needs of participants and the services available in the market. This can occur in a particular location, for a particular support type, and/or for certain cohorts of participants. </w:t>
      </w:r>
    </w:p>
    <w:p w14:paraId="2D196AA0" w14:textId="1F8FDCE1" w:rsidR="008E4E92" w:rsidRDefault="008E4E92" w:rsidP="00A779A2">
      <w:r>
        <w:t xml:space="preserve">Participants can face service gaps for a number of reasons </w:t>
      </w:r>
      <w:r w:rsidR="005A0231">
        <w:t>such as</w:t>
      </w:r>
      <w:r>
        <w:t>:</w:t>
      </w:r>
    </w:p>
    <w:p w14:paraId="431C34FF" w14:textId="02DFECDA" w:rsidR="008E4E92" w:rsidRPr="00A779A2" w:rsidRDefault="008E4E92" w:rsidP="004E287B">
      <w:pPr>
        <w:pStyle w:val="Bulletlist"/>
      </w:pPr>
      <w:r w:rsidRPr="00A779A2">
        <w:t>Higher operating costs for service providers due to participants being geographically isolated, highly dispersed or low in number.</w:t>
      </w:r>
    </w:p>
    <w:p w14:paraId="2C29EF4F" w14:textId="6CC2DD68" w:rsidR="008E4E92" w:rsidRPr="00A779A2" w:rsidRDefault="008E4E92" w:rsidP="004E287B">
      <w:pPr>
        <w:pStyle w:val="Bulletlist"/>
      </w:pPr>
      <w:r w:rsidRPr="00A779A2">
        <w:t>Participants with complex needs requir</w:t>
      </w:r>
      <w:r w:rsidR="00005F23" w:rsidRPr="00A779A2">
        <w:t>ing</w:t>
      </w:r>
      <w:r w:rsidRPr="00A779A2">
        <w:t xml:space="preserve"> a specialised workforce that is not available.</w:t>
      </w:r>
    </w:p>
    <w:p w14:paraId="5FCE66EA" w14:textId="74F3F9B7" w:rsidR="008E4E92" w:rsidRPr="00E5366C" w:rsidRDefault="008E4E92" w:rsidP="004E287B">
      <w:pPr>
        <w:pStyle w:val="Bulletlist"/>
      </w:pPr>
      <w:r w:rsidRPr="00A779A2">
        <w:t>Temporary supply</w:t>
      </w:r>
      <w:r w:rsidRPr="00D306AB">
        <w:t xml:space="preserve"> gaps due to transition</w:t>
      </w:r>
      <w:r w:rsidRPr="00E5366C">
        <w:t xml:space="preserve"> to full implementation of the NDIS.</w:t>
      </w:r>
    </w:p>
    <w:p w14:paraId="0C4F0836" w14:textId="4FC07FB3" w:rsidR="008E4E92" w:rsidRDefault="00D306AB" w:rsidP="00A779A2">
      <w:r>
        <w:t>T</w:t>
      </w:r>
      <w:r w:rsidR="008E4E92">
        <w:t xml:space="preserve">he National Disability Insurance Agency (NDIA) and </w:t>
      </w:r>
      <w:r w:rsidR="00AF7BB0">
        <w:t xml:space="preserve">the </w:t>
      </w:r>
      <w:r w:rsidR="008E4E92">
        <w:t xml:space="preserve">Department of Social Services jointly commissioned Ernst and Young </w:t>
      </w:r>
      <w:r>
        <w:t xml:space="preserve">in 2018 </w:t>
      </w:r>
      <w:r w:rsidR="008E4E92">
        <w:t>to identify market design and intervention options</w:t>
      </w:r>
      <w:r w:rsidR="004C4131">
        <w:t xml:space="preserve"> to address thin markets</w:t>
      </w:r>
      <w:r w:rsidR="008E4E92">
        <w:t xml:space="preserve"> through research and consultation with stakeholders. </w:t>
      </w:r>
    </w:p>
    <w:p w14:paraId="4EFAB3FE" w14:textId="0C6F5637" w:rsidR="008E4E92" w:rsidRDefault="00674A01" w:rsidP="008E4E92">
      <w:r>
        <w:t>Based upon the Ernst and Young recommendations t</w:t>
      </w:r>
      <w:r w:rsidR="008E4E92">
        <w:t xml:space="preserve">he NDIA subsequently developed a market monitoring and intervention model to outline a high-level approach to market </w:t>
      </w:r>
      <w:r w:rsidR="006A0191">
        <w:t>intervention</w:t>
      </w:r>
      <w:r w:rsidR="008E4E92">
        <w:t xml:space="preserve"> (</w:t>
      </w:r>
      <w:r w:rsidR="006A0191">
        <w:rPr>
          <w:color w:val="2B579A"/>
          <w:shd w:val="clear" w:color="auto" w:fill="E6E6E6"/>
        </w:rPr>
        <w:fldChar w:fldCharType="begin"/>
      </w:r>
      <w:r w:rsidR="006A0191">
        <w:instrText xml:space="preserve"> REF _Ref112668182 \h </w:instrText>
      </w:r>
      <w:r w:rsidR="006A0191">
        <w:rPr>
          <w:color w:val="2B579A"/>
          <w:shd w:val="clear" w:color="auto" w:fill="E6E6E6"/>
        </w:rPr>
      </w:r>
      <w:r w:rsidR="006A0191">
        <w:rPr>
          <w:color w:val="2B579A"/>
          <w:shd w:val="clear" w:color="auto" w:fill="E6E6E6"/>
        </w:rPr>
        <w:fldChar w:fldCharType="separate"/>
      </w:r>
      <w:r w:rsidR="00DE04FA" w:rsidRPr="00FD16EB">
        <w:t xml:space="preserve">Figure </w:t>
      </w:r>
      <w:r w:rsidR="00DE04FA">
        <w:rPr>
          <w:noProof/>
        </w:rPr>
        <w:t>1</w:t>
      </w:r>
      <w:r w:rsidR="006A0191">
        <w:rPr>
          <w:color w:val="2B579A"/>
          <w:shd w:val="clear" w:color="auto" w:fill="E6E6E6"/>
        </w:rPr>
        <w:fldChar w:fldCharType="end"/>
      </w:r>
      <w:r w:rsidR="008E4E92">
        <w:t xml:space="preserve">). </w:t>
      </w:r>
    </w:p>
    <w:p w14:paraId="3309571D" w14:textId="072A634E" w:rsidR="004E27FF" w:rsidRPr="00FD16EB" w:rsidRDefault="004E27FF" w:rsidP="00157C14">
      <w:pPr>
        <w:pStyle w:val="Caption"/>
      </w:pPr>
      <w:bookmarkStart w:id="52" w:name="_Ref112668182"/>
      <w:r w:rsidRPr="00FD16EB">
        <w:t xml:space="preserve">Figure </w:t>
      </w:r>
      <w:r>
        <w:fldChar w:fldCharType="begin"/>
      </w:r>
      <w:r>
        <w:instrText>SEQ Figure \* ARABIC</w:instrText>
      </w:r>
      <w:r>
        <w:fldChar w:fldCharType="separate"/>
      </w:r>
      <w:r w:rsidR="00DE04FA">
        <w:rPr>
          <w:noProof/>
        </w:rPr>
        <w:t>1</w:t>
      </w:r>
      <w:r>
        <w:fldChar w:fldCharType="end"/>
      </w:r>
      <w:bookmarkEnd w:id="52"/>
      <w:r w:rsidRPr="00FD16EB">
        <w:t>: NDIA market intervention and monitoring operating model</w:t>
      </w:r>
    </w:p>
    <w:p w14:paraId="3118D968" w14:textId="6408EE61" w:rsidR="008E4E92" w:rsidRDefault="00103C85" w:rsidP="008E4E92">
      <w:r w:rsidRPr="009C031C">
        <w:rPr>
          <w:noProof/>
          <w:lang w:eastAsia="en-AU"/>
        </w:rPr>
        <w:drawing>
          <wp:inline distT="0" distB="0" distL="0" distR="0" wp14:anchorId="45ADDC73" wp14:editId="29EB5AC4">
            <wp:extent cx="5518150" cy="2200029"/>
            <wp:effectExtent l="0" t="0" r="0" b="0"/>
            <wp:docPr id="44" name="Picture 44" descr="A diagram of a proc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diagram of a process&#10;&#10;Description automatically generated with low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2699"/>
                    <a:stretch/>
                  </pic:blipFill>
                  <pic:spPr bwMode="auto">
                    <a:xfrm>
                      <a:off x="0" y="0"/>
                      <a:ext cx="5529857" cy="2204696"/>
                    </a:xfrm>
                    <a:prstGeom prst="rect">
                      <a:avLst/>
                    </a:prstGeom>
                    <a:noFill/>
                    <a:ln>
                      <a:noFill/>
                    </a:ln>
                    <a:extLst>
                      <a:ext uri="{53640926-AAD7-44D8-BBD7-CCE9431645EC}">
                        <a14:shadowObscured xmlns:a14="http://schemas.microsoft.com/office/drawing/2010/main"/>
                      </a:ext>
                    </a:extLst>
                  </pic:spPr>
                </pic:pic>
              </a:graphicData>
            </a:graphic>
          </wp:inline>
        </w:drawing>
      </w:r>
    </w:p>
    <w:p w14:paraId="21593D82" w14:textId="4C3D1519" w:rsidR="008E4E92" w:rsidRDefault="006A0191" w:rsidP="008E4E92">
      <w:r>
        <w:t>T</w:t>
      </w:r>
      <w:r w:rsidR="008E4E92">
        <w:t xml:space="preserve">he NDIA is implementing </w:t>
      </w:r>
      <w:r w:rsidR="000710D8">
        <w:t>three</w:t>
      </w:r>
      <w:r w:rsidR="008E4E92">
        <w:t xml:space="preserve"> </w:t>
      </w:r>
      <w:r w:rsidR="00D306AB">
        <w:t>interventions</w:t>
      </w:r>
      <w:r w:rsidR="008E4E92">
        <w:t xml:space="preserve"> to address the challenges in thin markets:</w:t>
      </w:r>
    </w:p>
    <w:p w14:paraId="77995CB8" w14:textId="626B8308" w:rsidR="008E4E92" w:rsidRPr="00C54B6D" w:rsidRDefault="008E4E92" w:rsidP="00C54B6D">
      <w:pPr>
        <w:pStyle w:val="Bulletlist"/>
      </w:pPr>
      <w:r w:rsidRPr="00C54B6D">
        <w:rPr>
          <w:b/>
          <w:bCs/>
        </w:rPr>
        <w:t>Market facilitation</w:t>
      </w:r>
      <w:r w:rsidR="00D0626A" w:rsidRPr="00C54B6D">
        <w:rPr>
          <w:b/>
          <w:bCs/>
        </w:rPr>
        <w:t>:</w:t>
      </w:r>
      <w:r w:rsidR="00D0626A" w:rsidRPr="00C54B6D">
        <w:t xml:space="preserve"> </w:t>
      </w:r>
      <w:r w:rsidRPr="00C54B6D">
        <w:t xml:space="preserve">involves specific actions to improve connections between providers and participants, such as focused engagement and sharing information with the market. </w:t>
      </w:r>
    </w:p>
    <w:p w14:paraId="5186FD66" w14:textId="6742FDC4" w:rsidR="008E4E92" w:rsidRPr="00C54B6D" w:rsidRDefault="008E4E92" w:rsidP="00C54B6D">
      <w:pPr>
        <w:pStyle w:val="Bulletlist"/>
      </w:pPr>
      <w:r w:rsidRPr="00C54B6D">
        <w:rPr>
          <w:b/>
          <w:bCs/>
        </w:rPr>
        <w:t>Coordinated funding proposals (CFPs)</w:t>
      </w:r>
      <w:r w:rsidR="003C5A23" w:rsidRPr="00C54B6D">
        <w:rPr>
          <w:b/>
          <w:bCs/>
        </w:rPr>
        <w:t>:</w:t>
      </w:r>
      <w:r w:rsidRPr="00C54B6D">
        <w:t xml:space="preserve"> are a way </w:t>
      </w:r>
      <w:r w:rsidR="00BE587C">
        <w:t>to enable participants to pool funding to more efficiently secure services from providers</w:t>
      </w:r>
      <w:r w:rsidRPr="00C54B6D">
        <w:t xml:space="preserve">. </w:t>
      </w:r>
      <w:r w:rsidR="001011BE" w:rsidRPr="00C54B6D">
        <w:t>Pooling participant funds allows service providers to apportion non-labour costs such as travel across multiple participants, improving value for money for participants.</w:t>
      </w:r>
    </w:p>
    <w:p w14:paraId="42B403F4" w14:textId="6B2D7914" w:rsidR="008E4E92" w:rsidRPr="00C54B6D" w:rsidRDefault="008E4E92" w:rsidP="00C54B6D">
      <w:pPr>
        <w:pStyle w:val="Bulletlist"/>
      </w:pPr>
      <w:r w:rsidRPr="00C54B6D">
        <w:rPr>
          <w:b/>
          <w:bCs/>
        </w:rPr>
        <w:lastRenderedPageBreak/>
        <w:t>Direct commissioning</w:t>
      </w:r>
      <w:r w:rsidR="003C5A23" w:rsidRPr="00C54B6D">
        <w:rPr>
          <w:b/>
          <w:bCs/>
        </w:rPr>
        <w:t>:</w:t>
      </w:r>
      <w:r w:rsidRPr="00C54B6D">
        <w:t xml:space="preserve"> involves </w:t>
      </w:r>
      <w:r w:rsidR="004558DA">
        <w:t>directly contracting providers to d</w:t>
      </w:r>
      <w:r w:rsidR="00A82108">
        <w:t>eliver supports to a participant or a group of participants</w:t>
      </w:r>
      <w:r w:rsidRPr="00C54B6D">
        <w:t>.</w:t>
      </w:r>
    </w:p>
    <w:p w14:paraId="24D1BF5F" w14:textId="2FB0014D" w:rsidR="008E4E92" w:rsidRPr="008E4E92" w:rsidRDefault="00531E06" w:rsidP="008E4E92">
      <w:r>
        <w:rPr>
          <w:color w:val="2B579A"/>
          <w:shd w:val="clear" w:color="auto" w:fill="E6E6E6"/>
        </w:rPr>
        <w:fldChar w:fldCharType="begin"/>
      </w:r>
      <w:r>
        <w:instrText xml:space="preserve"> REF _Ref115783672 \n \h </w:instrText>
      </w:r>
      <w:r>
        <w:rPr>
          <w:color w:val="2B579A"/>
          <w:shd w:val="clear" w:color="auto" w:fill="E6E6E6"/>
        </w:rPr>
      </w:r>
      <w:r>
        <w:rPr>
          <w:color w:val="2B579A"/>
          <w:shd w:val="clear" w:color="auto" w:fill="E6E6E6"/>
        </w:rPr>
        <w:fldChar w:fldCharType="separate"/>
      </w:r>
      <w:r w:rsidR="00DE04FA">
        <w:t>Appendix A</w:t>
      </w:r>
      <w:r>
        <w:rPr>
          <w:color w:val="2B579A"/>
          <w:shd w:val="clear" w:color="auto" w:fill="E6E6E6"/>
        </w:rPr>
        <w:fldChar w:fldCharType="end"/>
      </w:r>
      <w:r>
        <w:t xml:space="preserve"> </w:t>
      </w:r>
      <w:r w:rsidR="008E4E92">
        <w:t>presents the theory of how these approaches intend to overcome market challenges, and lead to participants having better access to funded supports.</w:t>
      </w:r>
    </w:p>
    <w:p w14:paraId="4C278408" w14:textId="23B0EF31" w:rsidR="00802ED5" w:rsidRDefault="00802ED5" w:rsidP="00A01FA6">
      <w:pPr>
        <w:pStyle w:val="Heading3"/>
      </w:pPr>
      <w:bookmarkStart w:id="53" w:name="_Toc111206312"/>
      <w:bookmarkStart w:id="54" w:name="_Toc111206426"/>
      <w:bookmarkStart w:id="55" w:name="_Toc136336654"/>
      <w:r>
        <w:t>About the Thin Market Trials</w:t>
      </w:r>
      <w:bookmarkEnd w:id="53"/>
      <w:bookmarkEnd w:id="54"/>
      <w:bookmarkEnd w:id="55"/>
    </w:p>
    <w:p w14:paraId="3F6578F0" w14:textId="2B4BCF01" w:rsidR="0040638E" w:rsidRDefault="0040638E" w:rsidP="0040638E">
      <w:r>
        <w:t>In December 2019, the Disability Reform Council, now the Disability Reform Ministers</w:t>
      </w:r>
      <w:r w:rsidR="00F04ECB">
        <w:t xml:space="preserve"> </w:t>
      </w:r>
      <w:r w:rsidR="00421F22">
        <w:t>Council</w:t>
      </w:r>
      <w:r w:rsidR="0072208A">
        <w:t xml:space="preserve"> </w:t>
      </w:r>
      <w:r>
        <w:t>(DRM</w:t>
      </w:r>
      <w:r w:rsidR="00421F22">
        <w:t>C</w:t>
      </w:r>
      <w:r>
        <w:t xml:space="preserve">), agreed </w:t>
      </w:r>
      <w:r w:rsidR="00D75424">
        <w:t xml:space="preserve">that a </w:t>
      </w:r>
      <w:r>
        <w:t>flexible approach to address NDIS market gaps</w:t>
      </w:r>
      <w:r w:rsidR="00D75424">
        <w:t xml:space="preserve"> was re</w:t>
      </w:r>
      <w:r w:rsidR="00356216">
        <w:t>quired</w:t>
      </w:r>
      <w:r w:rsidR="00CD50ED">
        <w:t xml:space="preserve"> and that </w:t>
      </w:r>
      <w:r>
        <w:t>each State and Territory would host a Thin Market Trial</w:t>
      </w:r>
      <w:r w:rsidR="00356216">
        <w:t xml:space="preserve"> between 2020-2022</w:t>
      </w:r>
      <w:r w:rsidR="00A10A61">
        <w:t xml:space="preserve"> to </w:t>
      </w:r>
      <w:r w:rsidR="00F62FD1">
        <w:t>test different approaches to market intervention</w:t>
      </w:r>
      <w:r>
        <w:t xml:space="preserve">. </w:t>
      </w:r>
      <w:r w:rsidR="00274BAD">
        <w:t xml:space="preserve">The </w:t>
      </w:r>
      <w:r>
        <w:t xml:space="preserve">Market </w:t>
      </w:r>
      <w:r w:rsidR="006A1733">
        <w:t xml:space="preserve">Intervention and </w:t>
      </w:r>
      <w:r w:rsidR="001F73F3">
        <w:t>Commissioning</w:t>
      </w:r>
      <w:r>
        <w:t xml:space="preserve"> </w:t>
      </w:r>
      <w:r w:rsidR="00274BAD">
        <w:t>Branch with</w:t>
      </w:r>
      <w:r>
        <w:t>in the NDIA worked with State and Territory Governments and local working groups</w:t>
      </w:r>
      <w:r w:rsidR="00835800">
        <w:t xml:space="preserve"> (consisting of </w:t>
      </w:r>
      <w:r w:rsidR="00B97C5B">
        <w:t>Agency</w:t>
      </w:r>
      <w:r w:rsidR="00F8043A">
        <w:t xml:space="preserve"> representatives, State and Territory representatives and other local stakeholders)</w:t>
      </w:r>
      <w:r>
        <w:t xml:space="preserve"> to agree the scope and location of these trials. </w:t>
      </w:r>
    </w:p>
    <w:p w14:paraId="19A72522" w14:textId="7AF6DE6F" w:rsidR="00802ED5" w:rsidRDefault="0040638E" w:rsidP="0040638E">
      <w:r>
        <w:t xml:space="preserve">The NDIA </w:t>
      </w:r>
      <w:r w:rsidR="00DE1117">
        <w:t>subsequently</w:t>
      </w:r>
      <w:r>
        <w:t xml:space="preserve"> defined its operational model to identify and manage thin market</w:t>
      </w:r>
      <w:r w:rsidR="00D767BE">
        <w:t>s</w:t>
      </w:r>
      <w:r>
        <w:t>. This resulted in the identification of further thin markets</w:t>
      </w:r>
      <w:r w:rsidR="001D5DBD">
        <w:t xml:space="preserve"> </w:t>
      </w:r>
      <w:r w:rsidR="00566036">
        <w:t xml:space="preserve">in other local government areas (LGAs) </w:t>
      </w:r>
      <w:r>
        <w:t xml:space="preserve">where the NDIA </w:t>
      </w:r>
      <w:r w:rsidR="006863DB">
        <w:t>implemented</w:t>
      </w:r>
      <w:r w:rsidR="0079105F">
        <w:t xml:space="preserve"> additional </w:t>
      </w:r>
      <w:r>
        <w:t xml:space="preserve">market interventions. </w:t>
      </w:r>
      <w:r w:rsidR="004A103C" w:rsidRPr="00080C12">
        <w:rPr>
          <w:color w:val="2B579A"/>
          <w:shd w:val="clear" w:color="auto" w:fill="E6E6E6"/>
        </w:rPr>
        <w:fldChar w:fldCharType="begin"/>
      </w:r>
      <w:r w:rsidR="004A103C" w:rsidRPr="00080C12">
        <w:instrText xml:space="preserve"> REF _Ref115784181 \h  \* MERGEFORMAT </w:instrText>
      </w:r>
      <w:r w:rsidR="004A103C" w:rsidRPr="00080C12">
        <w:rPr>
          <w:color w:val="2B579A"/>
          <w:shd w:val="clear" w:color="auto" w:fill="E6E6E6"/>
        </w:rPr>
      </w:r>
      <w:r w:rsidR="004A103C" w:rsidRPr="00080C12">
        <w:rPr>
          <w:color w:val="2B579A"/>
          <w:shd w:val="clear" w:color="auto" w:fill="E6E6E6"/>
        </w:rPr>
        <w:fldChar w:fldCharType="separate"/>
      </w:r>
      <w:r w:rsidR="00DE04FA">
        <w:t xml:space="preserve">Figure </w:t>
      </w:r>
      <w:r w:rsidR="00DE04FA">
        <w:rPr>
          <w:noProof/>
        </w:rPr>
        <w:t>2</w:t>
      </w:r>
      <w:r w:rsidR="004A103C" w:rsidRPr="00080C12">
        <w:rPr>
          <w:color w:val="2B579A"/>
          <w:shd w:val="clear" w:color="auto" w:fill="E6E6E6"/>
        </w:rPr>
        <w:fldChar w:fldCharType="end"/>
      </w:r>
      <w:r w:rsidR="004A103C" w:rsidRPr="00080C12">
        <w:t xml:space="preserve"> shows the location of </w:t>
      </w:r>
      <w:r w:rsidR="005309E5">
        <w:t xml:space="preserve">each of </w:t>
      </w:r>
      <w:r w:rsidR="004A103C" w:rsidRPr="00080C12">
        <w:t xml:space="preserve">the thin market trials </w:t>
      </w:r>
      <w:r w:rsidR="005309E5">
        <w:t xml:space="preserve">in </w:t>
      </w:r>
      <w:r w:rsidR="004A103C" w:rsidRPr="00080C12">
        <w:t xml:space="preserve">this evaluation. </w:t>
      </w:r>
      <w:r w:rsidR="002F0594" w:rsidRPr="00080C12">
        <w:rPr>
          <w:color w:val="2B579A"/>
          <w:shd w:val="clear" w:color="auto" w:fill="E6E6E6"/>
        </w:rPr>
        <w:fldChar w:fldCharType="begin"/>
      </w:r>
      <w:r w:rsidR="002F0594" w:rsidRPr="00080C12">
        <w:instrText xml:space="preserve"> REF _Ref115783703 \r \h </w:instrText>
      </w:r>
      <w:r w:rsidR="00C937BA" w:rsidRPr="00080C12">
        <w:instrText xml:space="preserve"> \* MERGEFORMAT </w:instrText>
      </w:r>
      <w:r w:rsidR="002F0594" w:rsidRPr="00080C12">
        <w:rPr>
          <w:color w:val="2B579A"/>
          <w:shd w:val="clear" w:color="auto" w:fill="E6E6E6"/>
        </w:rPr>
      </w:r>
      <w:r w:rsidR="002F0594" w:rsidRPr="00080C12">
        <w:rPr>
          <w:color w:val="2B579A"/>
          <w:shd w:val="clear" w:color="auto" w:fill="E6E6E6"/>
        </w:rPr>
        <w:fldChar w:fldCharType="separate"/>
      </w:r>
      <w:r w:rsidR="00DE04FA">
        <w:t>Appendix B</w:t>
      </w:r>
      <w:r w:rsidR="002F0594" w:rsidRPr="00080C12">
        <w:rPr>
          <w:color w:val="2B579A"/>
          <w:shd w:val="clear" w:color="auto" w:fill="E6E6E6"/>
        </w:rPr>
        <w:fldChar w:fldCharType="end"/>
      </w:r>
      <w:r w:rsidR="002F0594">
        <w:t xml:space="preserve"> </w:t>
      </w:r>
      <w:r>
        <w:t xml:space="preserve">presents </w:t>
      </w:r>
      <w:r w:rsidR="004A103C">
        <w:t>further details about each trial.</w:t>
      </w:r>
    </w:p>
    <w:p w14:paraId="5556CC74" w14:textId="42998C6A" w:rsidR="00C34E35" w:rsidRDefault="00C34E35" w:rsidP="00157C14">
      <w:pPr>
        <w:pStyle w:val="Caption"/>
      </w:pPr>
      <w:bookmarkStart w:id="56" w:name="_Ref115784181"/>
      <w:r>
        <w:t xml:space="preserve">Figure </w:t>
      </w:r>
      <w:r>
        <w:fldChar w:fldCharType="begin"/>
      </w:r>
      <w:r>
        <w:instrText>SEQ Figure \* ARABIC</w:instrText>
      </w:r>
      <w:r>
        <w:fldChar w:fldCharType="separate"/>
      </w:r>
      <w:r w:rsidR="00DE04FA">
        <w:rPr>
          <w:noProof/>
        </w:rPr>
        <w:t>2</w:t>
      </w:r>
      <w:r>
        <w:fldChar w:fldCharType="end"/>
      </w:r>
      <w:bookmarkEnd w:id="56"/>
      <w:r>
        <w:t>: DRM</w:t>
      </w:r>
      <w:r w:rsidR="00421F22">
        <w:t>C</w:t>
      </w:r>
      <w:r>
        <w:t xml:space="preserve"> AND NDIA-initiated projects</w:t>
      </w:r>
    </w:p>
    <w:p w14:paraId="7DEE6610" w14:textId="124678DD" w:rsidR="00C34E35" w:rsidRDefault="00525484" w:rsidP="00C34E35">
      <w:pPr>
        <w:keepNext/>
      </w:pPr>
      <w:r>
        <w:rPr>
          <w:noProof/>
        </w:rPr>
        <w:drawing>
          <wp:inline distT="0" distB="0" distL="0" distR="0" wp14:anchorId="6E400D82" wp14:editId="1409C181">
            <wp:extent cx="5724525" cy="3348130"/>
            <wp:effectExtent l="0" t="0" r="0" b="5080"/>
            <wp:docPr id="1" name="Picture 1" descr="This image is a map of Australia indicating the locations of the thin market projects that are included in the report. The locations are: Katherine, Mornington, Aurukun, Doomadgee, Cloncurry, Carpentaria, Palm Island, Woorabinda, Goondiwindi, Walgett, Wentworth, Bourke, Brewarrina, Bland, Junee, Ararat, Latrobe, Bass Coast, Baw Baw, East Gippsland, South Gippsland, Wellington, Waratah-Wynyard, Berri-Barmera, APY Lands, Alice Springs, Barkly, Central Desert, MacDonnell, Broome, Wyndham-East Kimberley, Tiwi Islands, West Arnhem, West D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is a map of Australia indicating the locations of the thin market projects that are included in the report. The locations are: Katherine, Mornington, Aurukun, Doomadgee, Cloncurry, Carpentaria, Palm Island, Woorabinda, Goondiwindi, Walgett, Wentworth, Bourke, Brewarrina, Bland, Junee, Ararat, Latrobe, Bass Coast, Baw Baw, East Gippsland, South Gippsland, Wellington, Waratah-Wynyard, Berri-Barmera, APY Lands, Alice Springs, Barkly, Central Desert, MacDonnell, Broome, Wyndham-East Kimberley, Tiwi Islands, West Arnhem, West Dal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43083" cy="3358984"/>
                    </a:xfrm>
                    <a:prstGeom prst="rect">
                      <a:avLst/>
                    </a:prstGeom>
                    <a:noFill/>
                  </pic:spPr>
                </pic:pic>
              </a:graphicData>
            </a:graphic>
          </wp:inline>
        </w:drawing>
      </w:r>
    </w:p>
    <w:p w14:paraId="39A8CA52" w14:textId="7FCEDFC8" w:rsidR="00802ED5" w:rsidRDefault="00802ED5" w:rsidP="00A01FA6">
      <w:pPr>
        <w:pStyle w:val="Heading3"/>
      </w:pPr>
      <w:bookmarkStart w:id="57" w:name="_Toc111206313"/>
      <w:bookmarkStart w:id="58" w:name="_Toc111206427"/>
      <w:bookmarkStart w:id="59" w:name="_Toc136336655"/>
      <w:r>
        <w:t xml:space="preserve">The </w:t>
      </w:r>
      <w:r w:rsidR="00C34E35">
        <w:t>e</w:t>
      </w:r>
      <w:r>
        <w:t>valuation</w:t>
      </w:r>
      <w:bookmarkEnd w:id="57"/>
      <w:bookmarkEnd w:id="58"/>
      <w:bookmarkEnd w:id="59"/>
    </w:p>
    <w:p w14:paraId="2264649F" w14:textId="35914F7E" w:rsidR="00CC247E" w:rsidRDefault="00CC247E" w:rsidP="00CC247E">
      <w:r>
        <w:t xml:space="preserve">The evaluation’s overarching objective </w:t>
      </w:r>
      <w:r w:rsidR="00DD0BB9">
        <w:t>wa</w:t>
      </w:r>
      <w:r>
        <w:t>s to</w:t>
      </w:r>
      <w:r w:rsidR="00B028E7">
        <w:t xml:space="preserve"> </w:t>
      </w:r>
      <w:r w:rsidR="00C6547F">
        <w:t>examine</w:t>
      </w:r>
      <w:r w:rsidR="00B028E7">
        <w:t xml:space="preserve"> the market interventions to</w:t>
      </w:r>
      <w:r>
        <w:t xml:space="preserve"> identify the types of market interventions that are more likely to be successful in different types of </w:t>
      </w:r>
      <w:r>
        <w:lastRenderedPageBreak/>
        <w:t xml:space="preserve">thin markets. The evaluation </w:t>
      </w:r>
      <w:r w:rsidR="009C2E2D">
        <w:t xml:space="preserve">provides </w:t>
      </w:r>
      <w:r>
        <w:t>learning</w:t>
      </w:r>
      <w:r w:rsidR="009C2E2D">
        <w:t>s</w:t>
      </w:r>
      <w:r>
        <w:t xml:space="preserve"> about what works</w:t>
      </w:r>
      <w:r w:rsidR="00BD376D">
        <w:t xml:space="preserve"> </w:t>
      </w:r>
      <w:r>
        <w:t>so that the Agency can adjust its approach to market intervention</w:t>
      </w:r>
      <w:r w:rsidR="00ED3ACD">
        <w:t xml:space="preserve"> </w:t>
      </w:r>
      <w:r w:rsidR="007B6169">
        <w:t>to address thin market challenges</w:t>
      </w:r>
      <w:r>
        <w:t xml:space="preserve">. </w:t>
      </w:r>
    </w:p>
    <w:p w14:paraId="0074FB03" w14:textId="4DD4ABDB" w:rsidR="00CC247E" w:rsidRDefault="00CC247E" w:rsidP="00CC247E">
      <w:r>
        <w:t>Broadly, the evaluation is seeking to answer the following overarching question:</w:t>
      </w:r>
    </w:p>
    <w:p w14:paraId="22CE4E00" w14:textId="77777777" w:rsidR="00FC188E" w:rsidRDefault="00CC247E" w:rsidP="00CC247E">
      <w:pPr>
        <w:rPr>
          <w:b/>
          <w:bCs/>
        </w:rPr>
      </w:pPr>
      <w:r w:rsidRPr="006626BE">
        <w:rPr>
          <w:b/>
          <w:bCs/>
        </w:rPr>
        <w:t>To what extent are different market interventions successful, for which types of participants, in what contexts, and why are they successful or not?</w:t>
      </w:r>
    </w:p>
    <w:p w14:paraId="5F931A69" w14:textId="34A4B10D" w:rsidR="00CC247E" w:rsidRDefault="00C06224" w:rsidP="00CC247E">
      <w:r>
        <w:t>More specifically</w:t>
      </w:r>
      <w:r w:rsidR="006146C4">
        <w:t>,</w:t>
      </w:r>
      <w:r w:rsidR="00CC247E">
        <w:t xml:space="preserve"> the evaluation answer</w:t>
      </w:r>
      <w:r w:rsidR="001A02B2">
        <w:t>s</w:t>
      </w:r>
      <w:r w:rsidR="00CC247E">
        <w:t xml:space="preserve"> the following questions:</w:t>
      </w:r>
    </w:p>
    <w:p w14:paraId="29690D45" w14:textId="310D47F2" w:rsidR="00CC247E" w:rsidRDefault="00CC247E" w:rsidP="004E287B">
      <w:pPr>
        <w:pStyle w:val="ListParagraph"/>
        <w:numPr>
          <w:ilvl w:val="0"/>
          <w:numId w:val="6"/>
        </w:numPr>
        <w:spacing w:before="120" w:after="120"/>
        <w:ind w:left="714" w:hanging="357"/>
      </w:pPr>
      <w:r>
        <w:t xml:space="preserve">To what extent did different market interventions </w:t>
      </w:r>
      <w:r w:rsidR="00961147">
        <w:t>increase participant use of NDIS supports</w:t>
      </w:r>
      <w:r>
        <w:t>?</w:t>
      </w:r>
    </w:p>
    <w:p w14:paraId="3E2EC710" w14:textId="6758F4EC" w:rsidR="00CC247E" w:rsidRDefault="00CC247E" w:rsidP="004E287B">
      <w:pPr>
        <w:pStyle w:val="ListParagraph"/>
        <w:numPr>
          <w:ilvl w:val="0"/>
          <w:numId w:val="6"/>
        </w:numPr>
        <w:spacing w:before="120" w:after="120"/>
        <w:ind w:left="714" w:hanging="357"/>
      </w:pPr>
      <w:r>
        <w:t>Did different market interventions work as expected in different thin markets?</w:t>
      </w:r>
    </w:p>
    <w:p w14:paraId="23979717" w14:textId="6FAEE968" w:rsidR="00CC247E" w:rsidRDefault="00CC247E" w:rsidP="004E287B">
      <w:pPr>
        <w:pStyle w:val="ListParagraph"/>
        <w:numPr>
          <w:ilvl w:val="0"/>
          <w:numId w:val="6"/>
        </w:numPr>
        <w:spacing w:before="120" w:after="200"/>
        <w:ind w:left="714" w:hanging="357"/>
      </w:pPr>
      <w:r>
        <w:t>Why did the market interventions work as intended, or not, in different thin markets?</w:t>
      </w:r>
    </w:p>
    <w:p w14:paraId="64EBC31A" w14:textId="6EFE7765" w:rsidR="00E542FD" w:rsidRDefault="00CC247E" w:rsidP="00CC247E">
      <w:r>
        <w:t xml:space="preserve">While participant outcomes are an important focus of the </w:t>
      </w:r>
      <w:r w:rsidR="004A103C">
        <w:t>NDIS</w:t>
      </w:r>
      <w:r>
        <w:t xml:space="preserve">, participant outcomes </w:t>
      </w:r>
      <w:r w:rsidR="00C541C7">
        <w:t>are</w:t>
      </w:r>
      <w:r>
        <w:t xml:space="preserve"> not in scope for th</w:t>
      </w:r>
      <w:r w:rsidR="00504623">
        <w:t>is</w:t>
      </w:r>
      <w:r>
        <w:t xml:space="preserve"> evaluation.</w:t>
      </w:r>
    </w:p>
    <w:p w14:paraId="665529B4" w14:textId="308F2821" w:rsidR="00802ED5" w:rsidRDefault="00802ED5" w:rsidP="00A01FA6">
      <w:pPr>
        <w:pStyle w:val="Heading3"/>
      </w:pPr>
      <w:bookmarkStart w:id="60" w:name="_Toc111206314"/>
      <w:bookmarkStart w:id="61" w:name="_Toc111206428"/>
      <w:bookmarkStart w:id="62" w:name="_Toc136336656"/>
      <w:r>
        <w:t>Limitations</w:t>
      </w:r>
      <w:bookmarkEnd w:id="60"/>
      <w:bookmarkEnd w:id="61"/>
      <w:bookmarkEnd w:id="62"/>
    </w:p>
    <w:p w14:paraId="38C5ADF4" w14:textId="7C97661B" w:rsidR="008A25D0" w:rsidRDefault="00880FF7" w:rsidP="00880FF7">
      <w:r>
        <w:t xml:space="preserve">There are some overarching limitations to the evaluation that </w:t>
      </w:r>
      <w:r w:rsidR="00C116E2">
        <w:t>impact on our ability to answer the evaluation questions</w:t>
      </w:r>
      <w:r w:rsidR="000D6B48">
        <w:t xml:space="preserve">. The main limitation </w:t>
      </w:r>
      <w:r w:rsidR="006E5736">
        <w:t>is that</w:t>
      </w:r>
      <w:r w:rsidR="000D6B48">
        <w:t xml:space="preserve"> the </w:t>
      </w:r>
      <w:r w:rsidR="008A25D0">
        <w:t xml:space="preserve">market interventions </w:t>
      </w:r>
      <w:r w:rsidR="006E5736">
        <w:t xml:space="preserve">have not been trialled </w:t>
      </w:r>
      <w:r w:rsidR="008A25D0">
        <w:t xml:space="preserve">in enough different types of locations or with enough support types to fully compare their effectiveness to each other and in different contexts. </w:t>
      </w:r>
      <w:r w:rsidR="003E3609">
        <w:t>T</w:t>
      </w:r>
      <w:r w:rsidR="008A25D0">
        <w:t xml:space="preserve">here is </w:t>
      </w:r>
      <w:r w:rsidR="00FF7711">
        <w:t>existing</w:t>
      </w:r>
      <w:r w:rsidR="004219C0">
        <w:t xml:space="preserve"> </w:t>
      </w:r>
      <w:r w:rsidR="008A25D0">
        <w:t xml:space="preserve">market facilitation </w:t>
      </w:r>
      <w:r w:rsidR="004219C0">
        <w:t xml:space="preserve">undertaken </w:t>
      </w:r>
      <w:r w:rsidR="008A25D0">
        <w:t xml:space="preserve">by the NDIA and NDIS market intermediaries </w:t>
      </w:r>
      <w:r w:rsidR="003E3609">
        <w:t xml:space="preserve">which </w:t>
      </w:r>
      <w:r w:rsidR="008A25D0">
        <w:t xml:space="preserve">could have confounded the impacts of specific market intervention trials. </w:t>
      </w:r>
    </w:p>
    <w:p w14:paraId="58DB1EE1" w14:textId="006BF2BE" w:rsidR="00B05C3E" w:rsidRDefault="00B05C3E" w:rsidP="00880FF7">
      <w:r>
        <w:t>Other limitations to the evaluation are as follows:</w:t>
      </w:r>
    </w:p>
    <w:p w14:paraId="484C1E4B" w14:textId="32E63464" w:rsidR="00B05C3E" w:rsidRPr="00880FF7" w:rsidRDefault="00C35407" w:rsidP="004E287B">
      <w:pPr>
        <w:pStyle w:val="Bulletlist"/>
      </w:pPr>
      <w:r>
        <w:t>Market Development teams</w:t>
      </w:r>
      <w:r w:rsidR="00C255A5" w:rsidRPr="00C255A5">
        <w:t xml:space="preserve"> provided a list of </w:t>
      </w:r>
      <w:r w:rsidR="00C255A5">
        <w:t xml:space="preserve">service providers and </w:t>
      </w:r>
      <w:r w:rsidR="00C255A5" w:rsidRPr="00C255A5">
        <w:t xml:space="preserve">potential interviewees within the stakeholder groups the Research and Evaluation Branch identified. Therefore, the sentiment of service providers and support coordinators </w:t>
      </w:r>
      <w:r w:rsidR="0091785E">
        <w:t>surveyed/</w:t>
      </w:r>
      <w:r w:rsidR="00C255A5" w:rsidRPr="00C255A5">
        <w:t>interviewed may not be generalisable.</w:t>
      </w:r>
    </w:p>
    <w:p w14:paraId="706F5921" w14:textId="1DED8254" w:rsidR="00B530B3" w:rsidRPr="00B530B3" w:rsidRDefault="00C35407" w:rsidP="004E287B">
      <w:pPr>
        <w:pStyle w:val="Bulletlist"/>
      </w:pPr>
      <w:r>
        <w:t>Market Development teams</w:t>
      </w:r>
      <w:r w:rsidRPr="00C255A5">
        <w:t xml:space="preserve"> </w:t>
      </w:r>
      <w:r w:rsidR="00B530B3" w:rsidRPr="00B530B3">
        <w:t>implemented a range of approaches under the umbrella of market facilitation</w:t>
      </w:r>
      <w:r w:rsidR="00B530B3">
        <w:t xml:space="preserve">, </w:t>
      </w:r>
      <w:r w:rsidR="00B530B3" w:rsidRPr="00B530B3">
        <w:t>making it difficult to evaluate an approach to market facilitation</w:t>
      </w:r>
      <w:r w:rsidR="001652DE">
        <w:t xml:space="preserve"> as a distinct intervention.</w:t>
      </w:r>
    </w:p>
    <w:p w14:paraId="5D6FF2CD" w14:textId="5A15081D" w:rsidR="003258EB" w:rsidRPr="003258EB" w:rsidRDefault="003258EB" w:rsidP="003258EB">
      <w:pPr>
        <w:pStyle w:val="Bulletlist"/>
      </w:pPr>
      <w:r w:rsidRPr="003258EB">
        <w:t xml:space="preserve">Chapter 2 outlines specific data limitations. </w:t>
      </w:r>
    </w:p>
    <w:p w14:paraId="416A460F" w14:textId="2FDF3F35" w:rsidR="00802ED5" w:rsidRDefault="00802ED5" w:rsidP="00A01FA6">
      <w:pPr>
        <w:pStyle w:val="Heading3"/>
      </w:pPr>
      <w:bookmarkStart w:id="63" w:name="_Toc111206315"/>
      <w:bookmarkStart w:id="64" w:name="_Toc111206429"/>
      <w:bookmarkStart w:id="65" w:name="_Toc136336657"/>
      <w:r>
        <w:t>This report</w:t>
      </w:r>
      <w:bookmarkEnd w:id="63"/>
      <w:bookmarkEnd w:id="64"/>
      <w:bookmarkEnd w:id="65"/>
      <w:r>
        <w:t xml:space="preserve"> </w:t>
      </w:r>
    </w:p>
    <w:p w14:paraId="3F21FB2A" w14:textId="2692A1E0" w:rsidR="00802ED5" w:rsidRPr="00A01FA6" w:rsidRDefault="00802ED5" w:rsidP="00A01FA6">
      <w:pPr>
        <w:pStyle w:val="Heading4"/>
      </w:pPr>
      <w:r w:rsidRPr="00A01FA6">
        <w:t>Scope</w:t>
      </w:r>
    </w:p>
    <w:p w14:paraId="6C97280D" w14:textId="1EEDC36C" w:rsidR="0030404C" w:rsidRDefault="0030404C" w:rsidP="0030404C">
      <w:r>
        <w:t>This report focuses on impacts and implementation of</w:t>
      </w:r>
      <w:r w:rsidR="00FA55E7">
        <w:t xml:space="preserve"> all </w:t>
      </w:r>
      <w:r w:rsidR="00A3543F">
        <w:t>DRM,</w:t>
      </w:r>
      <w:r w:rsidR="00FA55E7">
        <w:t xml:space="preserve"> and NDIA-initiated </w:t>
      </w:r>
      <w:r>
        <w:t xml:space="preserve">Thin Market Trials </w:t>
      </w:r>
      <w:r w:rsidR="00FA55E7" w:rsidRPr="00EA1CE8">
        <w:t xml:space="preserve">shown in </w:t>
      </w:r>
      <w:r w:rsidR="00FA55E7" w:rsidRPr="00EA1CE8">
        <w:rPr>
          <w:color w:val="2B579A"/>
          <w:shd w:val="clear" w:color="auto" w:fill="E6E6E6"/>
        </w:rPr>
        <w:fldChar w:fldCharType="begin"/>
      </w:r>
      <w:r w:rsidR="00FA55E7" w:rsidRPr="00EA1CE8">
        <w:instrText xml:space="preserve"> REF _Ref115784181 \h  \* MERGEFORMAT </w:instrText>
      </w:r>
      <w:r w:rsidR="00FA55E7" w:rsidRPr="00EA1CE8">
        <w:rPr>
          <w:color w:val="2B579A"/>
          <w:shd w:val="clear" w:color="auto" w:fill="E6E6E6"/>
        </w:rPr>
      </w:r>
      <w:r w:rsidR="00FA55E7" w:rsidRPr="00EA1CE8">
        <w:rPr>
          <w:color w:val="2B579A"/>
          <w:shd w:val="clear" w:color="auto" w:fill="E6E6E6"/>
        </w:rPr>
        <w:fldChar w:fldCharType="separate"/>
      </w:r>
      <w:r w:rsidR="00DE04FA">
        <w:t xml:space="preserve">Figure </w:t>
      </w:r>
      <w:r w:rsidR="00DE04FA">
        <w:rPr>
          <w:noProof/>
        </w:rPr>
        <w:t>2</w:t>
      </w:r>
      <w:r w:rsidR="00FA55E7" w:rsidRPr="00EA1CE8">
        <w:rPr>
          <w:color w:val="2B579A"/>
          <w:shd w:val="clear" w:color="auto" w:fill="E6E6E6"/>
        </w:rPr>
        <w:fldChar w:fldCharType="end"/>
      </w:r>
      <w:r w:rsidR="00FA55E7">
        <w:t xml:space="preserve"> </w:t>
      </w:r>
      <w:r>
        <w:t xml:space="preserve">up </w:t>
      </w:r>
      <w:r w:rsidRPr="009E0068">
        <w:t xml:space="preserve">to </w:t>
      </w:r>
      <w:r w:rsidR="0036482B">
        <w:t>30 September</w:t>
      </w:r>
      <w:r w:rsidRPr="009E0068">
        <w:t xml:space="preserve"> 2022.</w:t>
      </w:r>
      <w:r>
        <w:t xml:space="preserve"> </w:t>
      </w:r>
    </w:p>
    <w:p w14:paraId="4D8EE091" w14:textId="67B04FBF" w:rsidR="009E5981" w:rsidRDefault="009E5981" w:rsidP="0030404C">
      <w:r>
        <w:t xml:space="preserve">Findings related to the </w:t>
      </w:r>
      <w:r w:rsidR="00B62DCA">
        <w:t>t</w:t>
      </w:r>
      <w:r>
        <w:t xml:space="preserve">rial in </w:t>
      </w:r>
      <w:r w:rsidR="00FA55E7">
        <w:t>An</w:t>
      </w:r>
      <w:r w:rsidR="00FA55E7">
        <w:rPr>
          <w:rFonts w:cs="Arial"/>
        </w:rPr>
        <w:t>a</w:t>
      </w:r>
      <w:r w:rsidR="00FA55E7" w:rsidRPr="00C836A7">
        <w:t>n</w:t>
      </w:r>
      <w:r w:rsidR="00FA55E7">
        <w:t>gu</w:t>
      </w:r>
      <w:r>
        <w:t xml:space="preserve"> Pitjantjatjara Yankunytjatjara (APY) Lands in South Australia</w:t>
      </w:r>
      <w:r w:rsidR="00453F36">
        <w:t xml:space="preserve"> </w:t>
      </w:r>
      <w:r w:rsidR="00FA55E7">
        <w:t>are</w:t>
      </w:r>
      <w:r w:rsidR="00453F36">
        <w:t xml:space="preserve"> </w:t>
      </w:r>
      <w:r w:rsidR="006E3307">
        <w:t>preliminary</w:t>
      </w:r>
      <w:r w:rsidR="00453F36">
        <w:t xml:space="preserve"> findings only</w:t>
      </w:r>
      <w:r w:rsidR="006E3307">
        <w:t>,</w:t>
      </w:r>
      <w:r w:rsidR="00453F36">
        <w:t xml:space="preserve"> as it is too early to </w:t>
      </w:r>
      <w:r w:rsidR="00FA55E7">
        <w:t xml:space="preserve">make conclusions about </w:t>
      </w:r>
      <w:r w:rsidR="00453F36">
        <w:t xml:space="preserve">the impacts of this </w:t>
      </w:r>
      <w:r w:rsidR="00B62DCA">
        <w:t>t</w:t>
      </w:r>
      <w:r w:rsidR="00453F36">
        <w:t xml:space="preserve">rial. </w:t>
      </w:r>
    </w:p>
    <w:p w14:paraId="5214D702" w14:textId="36E79044" w:rsidR="00802ED5" w:rsidRDefault="00802ED5" w:rsidP="00A01FA6">
      <w:pPr>
        <w:pStyle w:val="Heading4"/>
      </w:pPr>
      <w:r>
        <w:lastRenderedPageBreak/>
        <w:t>Report structure</w:t>
      </w:r>
    </w:p>
    <w:p w14:paraId="28E6FBD5" w14:textId="77777777" w:rsidR="005E4F39" w:rsidRDefault="005E4F39" w:rsidP="005E4F39">
      <w:r>
        <w:t>The structure of the rest of this report is as follows:</w:t>
      </w:r>
    </w:p>
    <w:p w14:paraId="35CB6FF9" w14:textId="77777777" w:rsidR="001B33F5" w:rsidRPr="00EA1CE8" w:rsidRDefault="001B33F5" w:rsidP="001B33F5">
      <w:pPr>
        <w:pStyle w:val="Bulletlist"/>
      </w:pPr>
      <w:r w:rsidRPr="00EA1CE8">
        <w:t xml:space="preserve">Chapter 2 – </w:t>
      </w:r>
      <w:r>
        <w:t>Data and methods</w:t>
      </w:r>
    </w:p>
    <w:p w14:paraId="5893635F" w14:textId="77777777" w:rsidR="001B33F5" w:rsidRPr="00EA1CE8" w:rsidRDefault="001B33F5" w:rsidP="001B33F5">
      <w:pPr>
        <w:pStyle w:val="Bulletlist"/>
      </w:pPr>
      <w:r w:rsidRPr="00EA1CE8">
        <w:t xml:space="preserve">Chapter 3 – </w:t>
      </w:r>
      <w:r>
        <w:t>Market facilitation</w:t>
      </w:r>
    </w:p>
    <w:p w14:paraId="29580B08" w14:textId="77777777" w:rsidR="001B33F5" w:rsidRPr="00EA1CE8" w:rsidRDefault="001B33F5" w:rsidP="001B33F5">
      <w:pPr>
        <w:pStyle w:val="Bulletlist"/>
      </w:pPr>
      <w:r w:rsidRPr="00EA1CE8">
        <w:t xml:space="preserve">Chapter 4 – </w:t>
      </w:r>
      <w:r>
        <w:t xml:space="preserve">Coordinated funding proposals </w:t>
      </w:r>
    </w:p>
    <w:p w14:paraId="31ABEB61" w14:textId="77777777" w:rsidR="001B33F5" w:rsidRDefault="001B33F5" w:rsidP="001B33F5">
      <w:pPr>
        <w:pStyle w:val="Bulletlist"/>
      </w:pPr>
      <w:r w:rsidRPr="00EA1CE8">
        <w:t xml:space="preserve">Chapter 5 – </w:t>
      </w:r>
      <w:r>
        <w:t>Direct commissioning</w:t>
      </w:r>
    </w:p>
    <w:p w14:paraId="2B71A7EE" w14:textId="77777777" w:rsidR="001B33F5" w:rsidRDefault="001B33F5" w:rsidP="001B33F5">
      <w:pPr>
        <w:pStyle w:val="Bulletlist"/>
      </w:pPr>
      <w:r>
        <w:t>Chapter 6 – Conclusions and recommendations</w:t>
      </w:r>
    </w:p>
    <w:p w14:paraId="42441813" w14:textId="77777777" w:rsidR="001B33F5" w:rsidRPr="00691FD0" w:rsidRDefault="001B33F5" w:rsidP="001B33F5">
      <w:pPr>
        <w:pStyle w:val="Bulletlist"/>
      </w:pPr>
      <w:r>
        <w:t>Chapter 7 - Recommendations</w:t>
      </w:r>
    </w:p>
    <w:p w14:paraId="495C56BC" w14:textId="77777777" w:rsidR="001B33F5" w:rsidRDefault="001B33F5" w:rsidP="001B33F5">
      <w:pPr>
        <w:pStyle w:val="Bulletlist"/>
      </w:pPr>
      <w:r w:rsidRPr="00EA1CE8">
        <w:t>Appendi</w:t>
      </w:r>
      <w:r>
        <w:t>x A – Program theory for market interventions</w:t>
      </w:r>
    </w:p>
    <w:p w14:paraId="76784F39" w14:textId="77777777" w:rsidR="001B33F5" w:rsidRDefault="001B33F5" w:rsidP="001B33F5">
      <w:pPr>
        <w:pStyle w:val="Bulletlist"/>
      </w:pPr>
      <w:r>
        <w:t>Appendix B – Overview of thin market trials</w:t>
      </w:r>
    </w:p>
    <w:p w14:paraId="00843140" w14:textId="77777777" w:rsidR="001B33F5" w:rsidRPr="00EA1CE8" w:rsidRDefault="001B33F5" w:rsidP="001B33F5">
      <w:pPr>
        <w:pStyle w:val="Bulletlist"/>
      </w:pPr>
      <w:r>
        <w:t>Appendix C – Supplementary data and methods.</w:t>
      </w:r>
    </w:p>
    <w:p w14:paraId="329EC0E7" w14:textId="268DDE5E" w:rsidR="00C640FC" w:rsidRPr="00A01FA6" w:rsidRDefault="005E4F39" w:rsidP="00A01FA6">
      <w:pPr>
        <w:pStyle w:val="Heading2"/>
      </w:pPr>
      <w:bookmarkStart w:id="66" w:name="_Toc111206316"/>
      <w:bookmarkStart w:id="67" w:name="_Toc111206430"/>
      <w:bookmarkStart w:id="68" w:name="_Ref115783786"/>
      <w:bookmarkStart w:id="69" w:name="_Toc136336658"/>
      <w:r w:rsidRPr="00A01FA6">
        <w:lastRenderedPageBreak/>
        <w:t>Data and methods</w:t>
      </w:r>
      <w:bookmarkEnd w:id="66"/>
      <w:bookmarkEnd w:id="67"/>
      <w:bookmarkEnd w:id="68"/>
      <w:bookmarkEnd w:id="69"/>
    </w:p>
    <w:p w14:paraId="2B9882BC" w14:textId="61FE2E05" w:rsidR="005E4F39" w:rsidRPr="005E4F39" w:rsidRDefault="00604E31" w:rsidP="005E4F39">
      <w:r w:rsidRPr="00604E31">
        <w:t>The Research and Evaluation Branch used the following data and methods for this report.</w:t>
      </w:r>
    </w:p>
    <w:p w14:paraId="1B06F2DB" w14:textId="2A278C3D" w:rsidR="00681331" w:rsidRPr="00A01FA6" w:rsidRDefault="00BA124F" w:rsidP="00A01FA6">
      <w:pPr>
        <w:pStyle w:val="Heading3"/>
      </w:pPr>
      <w:bookmarkStart w:id="70" w:name="_Toc111206317"/>
      <w:bookmarkStart w:id="71" w:name="_Toc111206431"/>
      <w:bookmarkStart w:id="72" w:name="_Toc136336659"/>
      <w:r w:rsidRPr="00A01FA6">
        <w:t>Administrative data and documents</w:t>
      </w:r>
      <w:bookmarkEnd w:id="70"/>
      <w:bookmarkEnd w:id="71"/>
      <w:bookmarkEnd w:id="72"/>
    </w:p>
    <w:p w14:paraId="7B0D0768" w14:textId="7A50724C" w:rsidR="0027458B" w:rsidRDefault="0027458B" w:rsidP="0027458B">
      <w:r>
        <w:rPr>
          <w:color w:val="2B579A"/>
          <w:shd w:val="clear" w:color="auto" w:fill="E6E6E6"/>
        </w:rPr>
        <w:fldChar w:fldCharType="begin"/>
      </w:r>
      <w:r>
        <w:instrText xml:space="preserve"> REF _Ref113270048 \h </w:instrText>
      </w:r>
      <w:r>
        <w:rPr>
          <w:color w:val="2B579A"/>
          <w:shd w:val="clear" w:color="auto" w:fill="E6E6E6"/>
        </w:rPr>
      </w:r>
      <w:r>
        <w:rPr>
          <w:color w:val="2B579A"/>
          <w:shd w:val="clear" w:color="auto" w:fill="E6E6E6"/>
        </w:rPr>
        <w:fldChar w:fldCharType="separate"/>
      </w:r>
      <w:r w:rsidR="00DE04FA">
        <w:t xml:space="preserve">Table </w:t>
      </w:r>
      <w:r w:rsidR="00DE04FA">
        <w:rPr>
          <w:noProof/>
        </w:rPr>
        <w:t>1</w:t>
      </w:r>
      <w:r>
        <w:rPr>
          <w:color w:val="2B579A"/>
          <w:shd w:val="clear" w:color="auto" w:fill="E6E6E6"/>
        </w:rPr>
        <w:fldChar w:fldCharType="end"/>
      </w:r>
      <w:r>
        <w:t xml:space="preserve"> shows the administrative data and documents that were analysed for this report.</w:t>
      </w:r>
    </w:p>
    <w:p w14:paraId="36E1A084" w14:textId="08C689CC" w:rsidR="00D76154" w:rsidRDefault="0027458B" w:rsidP="00157C14">
      <w:pPr>
        <w:pStyle w:val="Caption"/>
      </w:pPr>
      <w:bookmarkStart w:id="73" w:name="_Ref113270048"/>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w:t>
      </w:r>
      <w:r>
        <w:rPr>
          <w:color w:val="2B579A"/>
          <w:shd w:val="clear" w:color="auto" w:fill="E6E6E6"/>
        </w:rPr>
        <w:fldChar w:fldCharType="end"/>
      </w:r>
      <w:bookmarkEnd w:id="73"/>
      <w:r>
        <w:t>: Administrative data and documents analysed</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Caption w:val="Data analysed"/>
        <w:tblDescription w:val="This table details the data used and the sources of these data for analysis."/>
      </w:tblPr>
      <w:tblGrid>
        <w:gridCol w:w="6091"/>
        <w:gridCol w:w="2925"/>
      </w:tblGrid>
      <w:tr w:rsidR="00855118" w:rsidRPr="0079449C" w14:paraId="38C177B7" w14:textId="77777777" w:rsidTr="006D7EFE">
        <w:trPr>
          <w:trHeight w:val="357"/>
          <w:tblHeader/>
        </w:trPr>
        <w:tc>
          <w:tcPr>
            <w:tcW w:w="3378" w:type="pct"/>
            <w:shd w:val="clear" w:color="auto" w:fill="6A2875"/>
          </w:tcPr>
          <w:p w14:paraId="6AEBF01E" w14:textId="77777777" w:rsidR="00855118" w:rsidRPr="0079449C" w:rsidRDefault="00855118">
            <w:pPr>
              <w:spacing w:before="0" w:after="0"/>
              <w:rPr>
                <w:b/>
                <w:color w:val="FEFFFF" w:themeColor="background1"/>
                <w:sz w:val="20"/>
                <w:szCs w:val="20"/>
              </w:rPr>
            </w:pPr>
            <w:r w:rsidRPr="0079449C">
              <w:rPr>
                <w:b/>
                <w:color w:val="FEFFFF" w:themeColor="background1"/>
                <w:sz w:val="20"/>
                <w:szCs w:val="20"/>
              </w:rPr>
              <w:t>Data</w:t>
            </w:r>
            <w:r>
              <w:rPr>
                <w:b/>
                <w:color w:val="FEFFFF" w:themeColor="background1"/>
                <w:sz w:val="20"/>
                <w:szCs w:val="20"/>
              </w:rPr>
              <w:t xml:space="preserve"> and documents</w:t>
            </w:r>
          </w:p>
        </w:tc>
        <w:tc>
          <w:tcPr>
            <w:tcW w:w="1622" w:type="pct"/>
            <w:shd w:val="clear" w:color="auto" w:fill="6A2875"/>
          </w:tcPr>
          <w:p w14:paraId="786794B9" w14:textId="77777777" w:rsidR="00855118" w:rsidRPr="0079449C" w:rsidRDefault="00855118">
            <w:pPr>
              <w:spacing w:before="0" w:after="0"/>
              <w:rPr>
                <w:b/>
                <w:color w:val="FEFFFF" w:themeColor="background1"/>
                <w:sz w:val="20"/>
                <w:szCs w:val="20"/>
              </w:rPr>
            </w:pPr>
            <w:r w:rsidRPr="0079449C">
              <w:rPr>
                <w:b/>
                <w:color w:val="FEFFFF" w:themeColor="background1"/>
                <w:sz w:val="20"/>
                <w:szCs w:val="20"/>
              </w:rPr>
              <w:t>Source</w:t>
            </w:r>
          </w:p>
        </w:tc>
      </w:tr>
      <w:tr w:rsidR="00855118" w:rsidRPr="0079449C" w14:paraId="03979B13" w14:textId="77777777" w:rsidTr="006D7EFE">
        <w:trPr>
          <w:trHeight w:val="3482"/>
        </w:trPr>
        <w:tc>
          <w:tcPr>
            <w:tcW w:w="3378" w:type="pct"/>
            <w:shd w:val="clear" w:color="auto" w:fill="F7EEF7"/>
            <w:vAlign w:val="center"/>
          </w:tcPr>
          <w:p w14:paraId="711A80B8" w14:textId="77777777" w:rsidR="00855118" w:rsidRPr="00DC2396" w:rsidRDefault="00855118" w:rsidP="00855118">
            <w:pPr>
              <w:pStyle w:val="BodyText1"/>
              <w:spacing w:before="0" w:after="0"/>
              <w:rPr>
                <w:sz w:val="20"/>
              </w:rPr>
            </w:pPr>
            <w:r w:rsidRPr="00DC2396">
              <w:rPr>
                <w:sz w:val="20"/>
              </w:rPr>
              <w:t>The following NDI</w:t>
            </w:r>
            <w:r>
              <w:rPr>
                <w:sz w:val="20"/>
              </w:rPr>
              <w:t>S</w:t>
            </w:r>
            <w:r w:rsidRPr="00DC2396">
              <w:rPr>
                <w:sz w:val="20"/>
              </w:rPr>
              <w:t xml:space="preserve"> participant data:</w:t>
            </w:r>
          </w:p>
          <w:p w14:paraId="20C8F97F" w14:textId="77777777" w:rsidR="00855118" w:rsidRPr="00DC2396" w:rsidRDefault="00855118" w:rsidP="004E287B">
            <w:pPr>
              <w:pStyle w:val="BodyText1"/>
              <w:numPr>
                <w:ilvl w:val="0"/>
                <w:numId w:val="9"/>
              </w:numPr>
              <w:spacing w:before="0" w:after="0"/>
              <w:ind w:left="318" w:hanging="284"/>
              <w:rPr>
                <w:rFonts w:cs="Arial"/>
                <w:sz w:val="20"/>
              </w:rPr>
            </w:pPr>
            <w:r w:rsidRPr="00DC2396">
              <w:rPr>
                <w:rFonts w:cs="Arial"/>
                <w:sz w:val="20"/>
              </w:rPr>
              <w:t>Detailed payment data (DSREPMA.PMTTXN_2207)</w:t>
            </w:r>
          </w:p>
          <w:p w14:paraId="59185148" w14:textId="77777777" w:rsidR="00855118" w:rsidRPr="00DC2396" w:rsidRDefault="00855118" w:rsidP="004E287B">
            <w:pPr>
              <w:pStyle w:val="BodyText1"/>
              <w:numPr>
                <w:ilvl w:val="0"/>
                <w:numId w:val="9"/>
              </w:numPr>
              <w:spacing w:before="0" w:after="0"/>
              <w:ind w:left="318" w:hanging="284"/>
              <w:rPr>
                <w:rFonts w:cs="Arial"/>
                <w:sz w:val="20"/>
              </w:rPr>
            </w:pPr>
            <w:r w:rsidRPr="00DC2396">
              <w:rPr>
                <w:rFonts w:cs="Arial"/>
                <w:sz w:val="20"/>
              </w:rPr>
              <w:t>Plan information and breakdown (ACARRMA.R03_REG_ALL_PLANS_2207)</w:t>
            </w:r>
          </w:p>
          <w:p w14:paraId="14F31053" w14:textId="77777777" w:rsidR="00855118" w:rsidRPr="00DC2396" w:rsidRDefault="00855118" w:rsidP="004E287B">
            <w:pPr>
              <w:pStyle w:val="BodyText1"/>
              <w:numPr>
                <w:ilvl w:val="0"/>
                <w:numId w:val="9"/>
              </w:numPr>
              <w:spacing w:before="0" w:after="0"/>
              <w:ind w:left="318" w:hanging="284"/>
              <w:rPr>
                <w:rFonts w:cs="Arial"/>
                <w:sz w:val="20"/>
              </w:rPr>
            </w:pPr>
            <w:r w:rsidRPr="00DC2396">
              <w:rPr>
                <w:rFonts w:cs="Arial"/>
                <w:sz w:val="20"/>
              </w:rPr>
              <w:t xml:space="preserve">Demographic information about participants (DSNAROM.PARTICIPANT_DEMOGRAPHICS_2207) </w:t>
            </w:r>
          </w:p>
          <w:p w14:paraId="4BC5F979" w14:textId="77777777" w:rsidR="00855118" w:rsidRPr="00DC2396" w:rsidRDefault="00855118" w:rsidP="004E287B">
            <w:pPr>
              <w:pStyle w:val="BodyText1"/>
              <w:numPr>
                <w:ilvl w:val="0"/>
                <w:numId w:val="9"/>
              </w:numPr>
              <w:spacing w:before="0" w:after="0"/>
              <w:ind w:left="318" w:hanging="284"/>
              <w:rPr>
                <w:rFonts w:cs="Arial"/>
                <w:sz w:val="20"/>
              </w:rPr>
            </w:pPr>
            <w:r w:rsidRPr="00DC2396">
              <w:rPr>
                <w:rFonts w:cs="Arial"/>
                <w:sz w:val="20"/>
              </w:rPr>
              <w:t>Committed support budgets by participant, month and support category (ACARRMA.R04_REGS_FS_2209)</w:t>
            </w:r>
          </w:p>
          <w:p w14:paraId="05006F14" w14:textId="77777777" w:rsidR="00855118" w:rsidRPr="00DC2396" w:rsidRDefault="00855118" w:rsidP="004E287B">
            <w:pPr>
              <w:pStyle w:val="BodyText1"/>
              <w:numPr>
                <w:ilvl w:val="0"/>
                <w:numId w:val="9"/>
              </w:numPr>
              <w:spacing w:before="0" w:after="0"/>
              <w:ind w:left="318" w:hanging="284"/>
              <w:rPr>
                <w:rFonts w:cs="Arial"/>
                <w:sz w:val="20"/>
              </w:rPr>
            </w:pPr>
            <w:r w:rsidRPr="00DC2396">
              <w:rPr>
                <w:rFonts w:cs="Arial"/>
                <w:sz w:val="20"/>
              </w:rPr>
              <w:t>Scheme entry, plan approval dates and plan status (ACARRMA.R02_AR_ELIGIBLE_2209)</w:t>
            </w:r>
          </w:p>
          <w:p w14:paraId="7CB1F6C1" w14:textId="77777777" w:rsidR="00855118" w:rsidRPr="00FA5A74" w:rsidRDefault="00855118" w:rsidP="004E287B">
            <w:pPr>
              <w:pStyle w:val="BodyText1"/>
              <w:numPr>
                <w:ilvl w:val="0"/>
                <w:numId w:val="9"/>
              </w:numPr>
              <w:spacing w:before="0" w:after="0"/>
              <w:ind w:left="318" w:hanging="284"/>
              <w:rPr>
                <w:rFonts w:cs="Arial"/>
                <w:sz w:val="20"/>
              </w:rPr>
            </w:pPr>
            <w:r>
              <w:rPr>
                <w:rFonts w:cs="Arial"/>
                <w:sz w:val="20"/>
              </w:rPr>
              <w:t>Budgets and plan usage data (</w:t>
            </w:r>
            <w:r w:rsidRPr="00FA5A74">
              <w:rPr>
                <w:rFonts w:cs="Arial"/>
                <w:sz w:val="20"/>
              </w:rPr>
              <w:t>ACARRMA.R04_REG_UTILISATION_2209</w:t>
            </w:r>
            <w:r>
              <w:rPr>
                <w:rFonts w:cs="Arial"/>
                <w:sz w:val="20"/>
              </w:rPr>
              <w:t>)</w:t>
            </w:r>
          </w:p>
        </w:tc>
        <w:tc>
          <w:tcPr>
            <w:tcW w:w="1622" w:type="pct"/>
            <w:shd w:val="clear" w:color="auto" w:fill="F7EEF7"/>
            <w:vAlign w:val="center"/>
          </w:tcPr>
          <w:p w14:paraId="5254358F" w14:textId="77777777" w:rsidR="00855118" w:rsidRPr="0061125F" w:rsidRDefault="00855118" w:rsidP="00855118">
            <w:pPr>
              <w:spacing w:before="0" w:after="0"/>
              <w:rPr>
                <w:sz w:val="20"/>
                <w:szCs w:val="20"/>
              </w:rPr>
            </w:pPr>
            <w:r w:rsidRPr="0061125F">
              <w:rPr>
                <w:sz w:val="20"/>
                <w:szCs w:val="20"/>
              </w:rPr>
              <w:t>NDIA Enterprise Data Warehouse</w:t>
            </w:r>
          </w:p>
        </w:tc>
      </w:tr>
      <w:tr w:rsidR="00855118" w:rsidRPr="0079449C" w14:paraId="263B2906" w14:textId="77777777" w:rsidTr="006D7EFE">
        <w:trPr>
          <w:trHeight w:val="289"/>
        </w:trPr>
        <w:tc>
          <w:tcPr>
            <w:tcW w:w="3378" w:type="pct"/>
            <w:shd w:val="clear" w:color="auto" w:fill="auto"/>
            <w:vAlign w:val="center"/>
          </w:tcPr>
          <w:p w14:paraId="6A24DF7F" w14:textId="77777777" w:rsidR="00855118" w:rsidRPr="0079449C" w:rsidRDefault="00855118" w:rsidP="00855118">
            <w:pPr>
              <w:spacing w:before="0" w:after="0"/>
              <w:rPr>
                <w:sz w:val="20"/>
                <w:szCs w:val="20"/>
              </w:rPr>
            </w:pPr>
            <w:r>
              <w:rPr>
                <w:sz w:val="20"/>
                <w:szCs w:val="20"/>
              </w:rPr>
              <w:t>Reports prepared for Trial Working Groups</w:t>
            </w:r>
          </w:p>
        </w:tc>
        <w:tc>
          <w:tcPr>
            <w:tcW w:w="1622" w:type="pct"/>
            <w:shd w:val="clear" w:color="auto" w:fill="auto"/>
            <w:vAlign w:val="center"/>
          </w:tcPr>
          <w:p w14:paraId="239F02CD" w14:textId="77777777" w:rsidR="00855118" w:rsidRPr="0079449C" w:rsidRDefault="00855118" w:rsidP="00855118">
            <w:pPr>
              <w:spacing w:before="0" w:after="0"/>
              <w:rPr>
                <w:sz w:val="20"/>
                <w:szCs w:val="20"/>
              </w:rPr>
            </w:pPr>
            <w:r>
              <w:rPr>
                <w:sz w:val="20"/>
                <w:szCs w:val="20"/>
              </w:rPr>
              <w:t>MIC Branch</w:t>
            </w:r>
          </w:p>
        </w:tc>
      </w:tr>
      <w:tr w:rsidR="00855118" w:rsidRPr="0079449C" w14:paraId="7D7CA9A8" w14:textId="77777777" w:rsidTr="006D7EFE">
        <w:trPr>
          <w:trHeight w:val="382"/>
        </w:trPr>
        <w:tc>
          <w:tcPr>
            <w:tcW w:w="3378" w:type="pct"/>
            <w:shd w:val="clear" w:color="auto" w:fill="F7EEF7"/>
            <w:vAlign w:val="center"/>
          </w:tcPr>
          <w:p w14:paraId="46A187A6" w14:textId="77777777" w:rsidR="00855118" w:rsidRDefault="00855118" w:rsidP="00855118">
            <w:pPr>
              <w:spacing w:before="0" w:after="0"/>
              <w:rPr>
                <w:sz w:val="20"/>
                <w:szCs w:val="20"/>
              </w:rPr>
            </w:pPr>
            <w:r>
              <w:rPr>
                <w:sz w:val="20"/>
                <w:szCs w:val="20"/>
              </w:rPr>
              <w:t>Request for Quote documentation to directly commission providers</w:t>
            </w:r>
          </w:p>
        </w:tc>
        <w:tc>
          <w:tcPr>
            <w:tcW w:w="1622" w:type="pct"/>
            <w:shd w:val="clear" w:color="auto" w:fill="F7EEF7"/>
            <w:vAlign w:val="center"/>
          </w:tcPr>
          <w:p w14:paraId="3DDDB52F" w14:textId="77777777" w:rsidR="00855118" w:rsidRDefault="00855118" w:rsidP="00855118">
            <w:pPr>
              <w:spacing w:before="0" w:after="0"/>
              <w:rPr>
                <w:sz w:val="20"/>
                <w:szCs w:val="20"/>
              </w:rPr>
            </w:pPr>
            <w:r>
              <w:rPr>
                <w:sz w:val="20"/>
                <w:szCs w:val="20"/>
              </w:rPr>
              <w:t>MIC Branch</w:t>
            </w:r>
          </w:p>
        </w:tc>
      </w:tr>
      <w:tr w:rsidR="00855118" w:rsidRPr="0079449C" w14:paraId="0800F350" w14:textId="77777777" w:rsidTr="006D7EFE">
        <w:trPr>
          <w:trHeight w:val="237"/>
        </w:trPr>
        <w:tc>
          <w:tcPr>
            <w:tcW w:w="3378" w:type="pct"/>
            <w:shd w:val="clear" w:color="auto" w:fill="auto"/>
            <w:vAlign w:val="center"/>
          </w:tcPr>
          <w:p w14:paraId="32858D37" w14:textId="77777777" w:rsidR="00855118" w:rsidRPr="0079449C" w:rsidRDefault="00855118" w:rsidP="00855118">
            <w:pPr>
              <w:spacing w:before="0" w:after="0"/>
              <w:rPr>
                <w:sz w:val="20"/>
                <w:szCs w:val="20"/>
              </w:rPr>
            </w:pPr>
            <w:r>
              <w:rPr>
                <w:sz w:val="20"/>
                <w:szCs w:val="20"/>
              </w:rPr>
              <w:t xml:space="preserve">Trial Closure reports </w:t>
            </w:r>
          </w:p>
        </w:tc>
        <w:tc>
          <w:tcPr>
            <w:tcW w:w="1622" w:type="pct"/>
            <w:shd w:val="clear" w:color="auto" w:fill="auto"/>
            <w:vAlign w:val="center"/>
          </w:tcPr>
          <w:p w14:paraId="48874222" w14:textId="77777777" w:rsidR="00855118" w:rsidRPr="0079449C" w:rsidRDefault="00855118" w:rsidP="00855118">
            <w:pPr>
              <w:spacing w:before="0" w:after="0"/>
              <w:rPr>
                <w:sz w:val="20"/>
                <w:szCs w:val="20"/>
              </w:rPr>
            </w:pPr>
            <w:r>
              <w:rPr>
                <w:sz w:val="20"/>
                <w:szCs w:val="20"/>
              </w:rPr>
              <w:t>MIC Branch</w:t>
            </w:r>
          </w:p>
        </w:tc>
      </w:tr>
      <w:tr w:rsidR="00855118" w:rsidRPr="004B00EA" w14:paraId="686CE3D1" w14:textId="77777777" w:rsidTr="006D7EFE">
        <w:trPr>
          <w:trHeight w:val="257"/>
        </w:trPr>
        <w:tc>
          <w:tcPr>
            <w:tcW w:w="3378" w:type="pct"/>
            <w:shd w:val="clear" w:color="auto" w:fill="F7EEF7"/>
            <w:vAlign w:val="center"/>
          </w:tcPr>
          <w:p w14:paraId="2782F930" w14:textId="77777777" w:rsidR="00855118" w:rsidRPr="004B00EA" w:rsidRDefault="00855118" w:rsidP="00855118">
            <w:pPr>
              <w:spacing w:before="0" w:after="0"/>
              <w:rPr>
                <w:color w:val="000000"/>
                <w:sz w:val="20"/>
                <w:szCs w:val="20"/>
              </w:rPr>
            </w:pPr>
            <w:r w:rsidRPr="004B00EA">
              <w:rPr>
                <w:color w:val="000000"/>
                <w:sz w:val="20"/>
                <w:szCs w:val="20"/>
              </w:rPr>
              <w:t>Market intervention guidance documents</w:t>
            </w:r>
          </w:p>
        </w:tc>
        <w:tc>
          <w:tcPr>
            <w:tcW w:w="1622" w:type="pct"/>
            <w:shd w:val="clear" w:color="auto" w:fill="F7EEF7"/>
            <w:vAlign w:val="center"/>
          </w:tcPr>
          <w:p w14:paraId="669E77F5" w14:textId="77777777" w:rsidR="00855118" w:rsidRPr="004B00EA" w:rsidRDefault="00855118" w:rsidP="00855118">
            <w:pPr>
              <w:spacing w:before="0" w:after="0"/>
              <w:rPr>
                <w:color w:val="000000"/>
                <w:sz w:val="20"/>
                <w:szCs w:val="20"/>
              </w:rPr>
            </w:pPr>
            <w:r w:rsidRPr="004B00EA">
              <w:rPr>
                <w:color w:val="000000"/>
                <w:sz w:val="20"/>
                <w:szCs w:val="20"/>
              </w:rPr>
              <w:t>MIC Branch</w:t>
            </w:r>
          </w:p>
        </w:tc>
      </w:tr>
      <w:tr w:rsidR="00855118" w:rsidRPr="0079449C" w14:paraId="21FA37B5" w14:textId="77777777" w:rsidTr="006D7EFE">
        <w:trPr>
          <w:trHeight w:val="291"/>
        </w:trPr>
        <w:tc>
          <w:tcPr>
            <w:tcW w:w="3378" w:type="pct"/>
            <w:shd w:val="clear" w:color="auto" w:fill="auto"/>
            <w:vAlign w:val="center"/>
          </w:tcPr>
          <w:p w14:paraId="346CC5C2" w14:textId="77777777" w:rsidR="00855118" w:rsidRDefault="00855118" w:rsidP="00855118">
            <w:pPr>
              <w:spacing w:before="0" w:after="0"/>
              <w:rPr>
                <w:sz w:val="20"/>
                <w:szCs w:val="20"/>
              </w:rPr>
            </w:pPr>
            <w:r>
              <w:rPr>
                <w:sz w:val="20"/>
                <w:szCs w:val="20"/>
              </w:rPr>
              <w:t>Quarterly reports prepared for market prioritisation meetings</w:t>
            </w:r>
          </w:p>
        </w:tc>
        <w:tc>
          <w:tcPr>
            <w:tcW w:w="1622" w:type="pct"/>
            <w:shd w:val="clear" w:color="auto" w:fill="auto"/>
            <w:vAlign w:val="center"/>
          </w:tcPr>
          <w:p w14:paraId="4BEB6E7B" w14:textId="77777777" w:rsidR="00855118" w:rsidRDefault="00855118" w:rsidP="00855118">
            <w:pPr>
              <w:spacing w:before="0" w:after="0"/>
              <w:rPr>
                <w:sz w:val="20"/>
                <w:szCs w:val="20"/>
              </w:rPr>
            </w:pPr>
            <w:r>
              <w:rPr>
                <w:sz w:val="20"/>
                <w:szCs w:val="20"/>
              </w:rPr>
              <w:t>MIC Branch</w:t>
            </w:r>
          </w:p>
        </w:tc>
      </w:tr>
      <w:tr w:rsidR="00855118" w:rsidRPr="004B00EA" w14:paraId="253AA1C4" w14:textId="77777777" w:rsidTr="006D7EFE">
        <w:trPr>
          <w:trHeight w:val="382"/>
        </w:trPr>
        <w:tc>
          <w:tcPr>
            <w:tcW w:w="3378" w:type="pct"/>
            <w:shd w:val="clear" w:color="auto" w:fill="F7EEF7"/>
            <w:vAlign w:val="center"/>
          </w:tcPr>
          <w:p w14:paraId="1737D81F" w14:textId="77777777" w:rsidR="00855118" w:rsidRPr="004B00EA" w:rsidRDefault="00855118" w:rsidP="00855118">
            <w:pPr>
              <w:spacing w:before="0" w:after="0"/>
              <w:rPr>
                <w:color w:val="000000"/>
                <w:sz w:val="20"/>
                <w:szCs w:val="20"/>
              </w:rPr>
            </w:pPr>
            <w:r w:rsidRPr="004B00EA">
              <w:rPr>
                <w:color w:val="000000"/>
                <w:sz w:val="20"/>
                <w:szCs w:val="20"/>
              </w:rPr>
              <w:t>Executive briefs</w:t>
            </w:r>
          </w:p>
        </w:tc>
        <w:tc>
          <w:tcPr>
            <w:tcW w:w="1622" w:type="pct"/>
            <w:shd w:val="clear" w:color="auto" w:fill="F7EEF7"/>
            <w:vAlign w:val="center"/>
          </w:tcPr>
          <w:p w14:paraId="546AEE09" w14:textId="77777777" w:rsidR="00855118" w:rsidRPr="004B00EA" w:rsidRDefault="00855118" w:rsidP="00855118">
            <w:pPr>
              <w:spacing w:before="0" w:after="0"/>
              <w:rPr>
                <w:color w:val="000000"/>
                <w:sz w:val="20"/>
                <w:szCs w:val="20"/>
              </w:rPr>
            </w:pPr>
            <w:r w:rsidRPr="004B00EA">
              <w:rPr>
                <w:color w:val="000000"/>
                <w:sz w:val="20"/>
                <w:szCs w:val="20"/>
              </w:rPr>
              <w:t>MIC Branch</w:t>
            </w:r>
          </w:p>
        </w:tc>
      </w:tr>
      <w:tr w:rsidR="00855118" w:rsidRPr="0079449C" w14:paraId="534DB546" w14:textId="77777777" w:rsidTr="006D7EFE">
        <w:trPr>
          <w:trHeight w:val="382"/>
        </w:trPr>
        <w:tc>
          <w:tcPr>
            <w:tcW w:w="3378" w:type="pct"/>
            <w:shd w:val="clear" w:color="auto" w:fill="auto"/>
            <w:vAlign w:val="center"/>
          </w:tcPr>
          <w:p w14:paraId="555CB584" w14:textId="77777777" w:rsidR="00855118" w:rsidRDefault="00855118" w:rsidP="00855118">
            <w:pPr>
              <w:spacing w:before="0" w:after="0"/>
              <w:rPr>
                <w:sz w:val="20"/>
                <w:szCs w:val="20"/>
              </w:rPr>
            </w:pPr>
            <w:r>
              <w:rPr>
                <w:sz w:val="20"/>
                <w:szCs w:val="20"/>
              </w:rPr>
              <w:t>CFP documentation</w:t>
            </w:r>
          </w:p>
        </w:tc>
        <w:tc>
          <w:tcPr>
            <w:tcW w:w="1622" w:type="pct"/>
            <w:shd w:val="clear" w:color="auto" w:fill="auto"/>
            <w:vAlign w:val="center"/>
          </w:tcPr>
          <w:p w14:paraId="60AC7692" w14:textId="77777777" w:rsidR="00855118" w:rsidRDefault="00855118" w:rsidP="00855118">
            <w:pPr>
              <w:spacing w:before="0" w:after="0"/>
              <w:rPr>
                <w:sz w:val="20"/>
                <w:szCs w:val="20"/>
              </w:rPr>
            </w:pPr>
            <w:r>
              <w:rPr>
                <w:sz w:val="20"/>
                <w:szCs w:val="20"/>
              </w:rPr>
              <w:t>MIC Branch</w:t>
            </w:r>
          </w:p>
        </w:tc>
      </w:tr>
      <w:tr w:rsidR="00855118" w:rsidRPr="0079449C" w14:paraId="058EBCD9" w14:textId="77777777" w:rsidTr="006D7EFE">
        <w:trPr>
          <w:trHeight w:val="382"/>
        </w:trPr>
        <w:tc>
          <w:tcPr>
            <w:tcW w:w="3378" w:type="pct"/>
            <w:shd w:val="clear" w:color="auto" w:fill="F7EEF7"/>
            <w:vAlign w:val="center"/>
          </w:tcPr>
          <w:p w14:paraId="67303065" w14:textId="77777777" w:rsidR="00855118" w:rsidRDefault="00855118" w:rsidP="00855118">
            <w:pPr>
              <w:spacing w:before="0" w:after="0"/>
              <w:rPr>
                <w:sz w:val="20"/>
                <w:szCs w:val="20"/>
              </w:rPr>
            </w:pPr>
            <w:r>
              <w:rPr>
                <w:sz w:val="20"/>
                <w:szCs w:val="20"/>
              </w:rPr>
              <w:t>Directly commissioned provider reports</w:t>
            </w:r>
          </w:p>
        </w:tc>
        <w:tc>
          <w:tcPr>
            <w:tcW w:w="1622" w:type="pct"/>
            <w:shd w:val="clear" w:color="auto" w:fill="F7EEF7"/>
            <w:vAlign w:val="center"/>
          </w:tcPr>
          <w:p w14:paraId="3EBD7719" w14:textId="77777777" w:rsidR="00855118" w:rsidRDefault="00855118" w:rsidP="00855118">
            <w:pPr>
              <w:spacing w:before="0" w:after="0"/>
              <w:rPr>
                <w:sz w:val="20"/>
                <w:szCs w:val="20"/>
              </w:rPr>
            </w:pPr>
            <w:r>
              <w:rPr>
                <w:sz w:val="20"/>
                <w:szCs w:val="20"/>
              </w:rPr>
              <w:t>MIC Branch</w:t>
            </w:r>
          </w:p>
        </w:tc>
      </w:tr>
    </w:tbl>
    <w:p w14:paraId="09709E1D" w14:textId="3685F9A7" w:rsidR="00D42B93" w:rsidRDefault="00D42B93" w:rsidP="00A01FA6">
      <w:pPr>
        <w:pStyle w:val="Heading3"/>
      </w:pPr>
      <w:bookmarkStart w:id="74" w:name="_Toc111206318"/>
      <w:bookmarkStart w:id="75" w:name="_Toc111206432"/>
      <w:bookmarkStart w:id="76" w:name="_Toc136336660"/>
      <w:r>
        <w:t>Service provider survey</w:t>
      </w:r>
      <w:bookmarkEnd w:id="74"/>
      <w:bookmarkEnd w:id="75"/>
      <w:bookmarkEnd w:id="76"/>
      <w:r>
        <w:t xml:space="preserve"> </w:t>
      </w:r>
    </w:p>
    <w:p w14:paraId="77ADFF0B" w14:textId="07C87261" w:rsidR="00F44399" w:rsidRDefault="00F44399" w:rsidP="00F44399">
      <w:bookmarkStart w:id="77" w:name="_Toc111206319"/>
      <w:bookmarkStart w:id="78" w:name="_Toc111206433"/>
      <w:r>
        <w:t xml:space="preserve">The Research and Evaluation Branch developed an online survey that </w:t>
      </w:r>
      <w:r w:rsidR="002039F1">
        <w:t>Market Development teams</w:t>
      </w:r>
      <w:r>
        <w:t xml:space="preserve"> disseminated to service providers in their target LGAs. There were two survey rounds depending on </w:t>
      </w:r>
      <w:r w:rsidR="007D3258">
        <w:t>t</w:t>
      </w:r>
      <w:r>
        <w:t>rial implementation. The first round was from March to June 2021 and the second from March to June 2022.</w:t>
      </w:r>
    </w:p>
    <w:p w14:paraId="691E3D6F" w14:textId="77777777" w:rsidR="00F44399" w:rsidRDefault="00F44399" w:rsidP="00F44399">
      <w:r>
        <w:t>The first round mostly focused on market facilitation trials due to timing, although included the providers involved in the Katherine and Broome CFPs. The second round only focused on LGAs with market facilitation trials. The Evaluation Team interviewed providers involved in CFPs and direct commissioning instead.</w:t>
      </w:r>
    </w:p>
    <w:p w14:paraId="4827AFA7" w14:textId="0B55AA2D" w:rsidR="00F44399" w:rsidRDefault="00F44399" w:rsidP="00F44399">
      <w:r>
        <w:lastRenderedPageBreak/>
        <w:t>There was a total of 104 responses.</w:t>
      </w:r>
      <w:r w:rsidR="009E0068">
        <w:t xml:space="preserve"> Appendix</w:t>
      </w:r>
      <w:r>
        <w:t xml:space="preserve"> </w:t>
      </w:r>
      <w:r w:rsidR="009E0068">
        <w:rPr>
          <w:color w:val="2B579A"/>
          <w:shd w:val="clear" w:color="auto" w:fill="E6E6E6"/>
        </w:rPr>
        <w:fldChar w:fldCharType="begin"/>
      </w:r>
      <w:r w:rsidR="009E0068">
        <w:instrText xml:space="preserve"> REF _Ref119069084 \n \h </w:instrText>
      </w:r>
      <w:r w:rsidR="009E0068">
        <w:rPr>
          <w:color w:val="2B579A"/>
          <w:shd w:val="clear" w:color="auto" w:fill="E6E6E6"/>
        </w:rPr>
      </w:r>
      <w:r w:rsidR="009E0068">
        <w:rPr>
          <w:color w:val="2B579A"/>
          <w:shd w:val="clear" w:color="auto" w:fill="E6E6E6"/>
        </w:rPr>
        <w:fldChar w:fldCharType="separate"/>
      </w:r>
      <w:r w:rsidR="00DE04FA">
        <w:t>C.1</w:t>
      </w:r>
      <w:r w:rsidR="009E0068">
        <w:rPr>
          <w:color w:val="2B579A"/>
          <w:shd w:val="clear" w:color="auto" w:fill="E6E6E6"/>
        </w:rPr>
        <w:fldChar w:fldCharType="end"/>
      </w:r>
      <w:r w:rsidR="009E0068">
        <w:t xml:space="preserve"> </w:t>
      </w:r>
      <w:r>
        <w:t>gives a breakdown of respondents, although it is not possible to determine their representativeness of the provider market.</w:t>
      </w:r>
    </w:p>
    <w:p w14:paraId="3C3429F9" w14:textId="65E0C8DA" w:rsidR="00D42B93" w:rsidRDefault="00D42B93" w:rsidP="00A01FA6">
      <w:pPr>
        <w:pStyle w:val="Heading3"/>
      </w:pPr>
      <w:bookmarkStart w:id="79" w:name="_Toc136336661"/>
      <w:r>
        <w:t>Stakeholder interviews</w:t>
      </w:r>
      <w:bookmarkEnd w:id="77"/>
      <w:bookmarkEnd w:id="78"/>
      <w:bookmarkEnd w:id="79"/>
    </w:p>
    <w:p w14:paraId="531C846C" w14:textId="3FAD77CB" w:rsidR="004A7CEC" w:rsidRDefault="004A7CEC" w:rsidP="004A7CEC">
      <w:pPr>
        <w:pStyle w:val="BodyText1"/>
      </w:pPr>
      <w:bookmarkStart w:id="80" w:name="_Toc111206320"/>
      <w:bookmarkStart w:id="81" w:name="_Toc111206434"/>
      <w:r>
        <w:t>Semi-structured interviews were conducted with service providers, support coordinators, members of the DRM-</w:t>
      </w:r>
      <w:r w:rsidR="00281EF2">
        <w:t>t</w:t>
      </w:r>
      <w:r>
        <w:t xml:space="preserve">rial Working Groups, NDIA National Delivery representatives, representatives from the NDIA’s Partners in the Community (PITC) and </w:t>
      </w:r>
      <w:r w:rsidR="00281EF2">
        <w:t>Market Development teams</w:t>
      </w:r>
      <w:r>
        <w:t xml:space="preserve"> in all DRM </w:t>
      </w:r>
      <w:r w:rsidR="00281EF2">
        <w:t>t</w:t>
      </w:r>
      <w:r>
        <w:t xml:space="preserve">rial LGAs and selected other LGAs.  Interviews explored stakeholder views on challenges in their location, effectiveness of </w:t>
      </w:r>
      <w:r w:rsidR="00281EF2">
        <w:t>t</w:t>
      </w:r>
      <w:r>
        <w:t xml:space="preserve">rial activities and impacts on supply of funded supports. </w:t>
      </w:r>
    </w:p>
    <w:p w14:paraId="0811028C" w14:textId="77777777" w:rsidR="004A7CEC" w:rsidRDefault="004A7CEC" w:rsidP="004A7CEC">
      <w:pPr>
        <w:pStyle w:val="BodyText1"/>
      </w:pPr>
      <w:r>
        <w:t xml:space="preserve">The Evaluation Team conducted two rounds of interviews depending on the implementation of individual trials. The first round was between January and July 2021 while the second was between March and August 2022. </w:t>
      </w:r>
    </w:p>
    <w:p w14:paraId="0F9B6A23" w14:textId="5451A3FD" w:rsidR="004A7CEC" w:rsidRDefault="004A7CEC" w:rsidP="004A7CEC">
      <w:pPr>
        <w:pStyle w:val="BodyText1"/>
      </w:pPr>
      <w:r>
        <w:t xml:space="preserve">There was a total of 114 interviews across all trials. </w:t>
      </w:r>
      <w:r w:rsidRPr="006461B2">
        <w:t>Appendix</w:t>
      </w:r>
      <w:r w:rsidR="006461B2" w:rsidRPr="006461B2">
        <w:t xml:space="preserve"> </w:t>
      </w:r>
      <w:r w:rsidR="006461B2" w:rsidRPr="006461B2">
        <w:fldChar w:fldCharType="begin"/>
      </w:r>
      <w:r w:rsidR="006461B2" w:rsidRPr="006461B2">
        <w:instrText xml:space="preserve"> REF _Ref122614375 \r \h </w:instrText>
      </w:r>
      <w:r w:rsidR="006461B2" w:rsidRPr="006461B2">
        <w:fldChar w:fldCharType="separate"/>
      </w:r>
      <w:r w:rsidR="006461B2" w:rsidRPr="006461B2">
        <w:t>C.2</w:t>
      </w:r>
      <w:r w:rsidR="006461B2" w:rsidRPr="006461B2">
        <w:fldChar w:fldCharType="end"/>
      </w:r>
      <w:r w:rsidR="006461B2" w:rsidRPr="006461B2">
        <w:t xml:space="preserve"> </w:t>
      </w:r>
      <w:r w:rsidRPr="006461B2">
        <w:t xml:space="preserve">gives </w:t>
      </w:r>
      <w:r>
        <w:t>a breakdown of interviewee characteristics. It is not possible to determine their representativeness of the provider market.</w:t>
      </w:r>
    </w:p>
    <w:p w14:paraId="7E612411" w14:textId="0572CCB1" w:rsidR="00D42B93" w:rsidRDefault="00D42B93" w:rsidP="00A01FA6">
      <w:pPr>
        <w:pStyle w:val="Heading3"/>
      </w:pPr>
      <w:bookmarkStart w:id="82" w:name="_Ref119069754"/>
      <w:bookmarkStart w:id="83" w:name="_Toc136336662"/>
      <w:r>
        <w:t>Data analysis</w:t>
      </w:r>
      <w:bookmarkEnd w:id="80"/>
      <w:bookmarkEnd w:id="81"/>
      <w:bookmarkEnd w:id="82"/>
      <w:bookmarkEnd w:id="83"/>
    </w:p>
    <w:p w14:paraId="45FBF611" w14:textId="09E13FDF" w:rsidR="000C7E2D" w:rsidRPr="00160247" w:rsidRDefault="000C7E2D" w:rsidP="00A01FA6">
      <w:pPr>
        <w:pStyle w:val="Heading4"/>
      </w:pPr>
      <w:r>
        <w:t>Statistical analysis of NDIS participant payments data</w:t>
      </w:r>
    </w:p>
    <w:p w14:paraId="6E1BB8FF" w14:textId="76DB9B0C" w:rsidR="000C7E2D" w:rsidRDefault="000C7E2D" w:rsidP="000C7E2D">
      <w:r>
        <w:t xml:space="preserve">The evaluation estimated the impact of each Thin Market Trial on participants’ use of funded supports using approaches tailored for the type of market intervention. </w:t>
      </w:r>
    </w:p>
    <w:p w14:paraId="38951223" w14:textId="63D8A318" w:rsidR="000C7E2D" w:rsidRDefault="000C7E2D" w:rsidP="000C7E2D">
      <w:r>
        <w:t xml:space="preserve">For all trials/market intervention types, analyses compared participant use of funded supports for up to 12-months before and after the trials commenced. </w:t>
      </w:r>
      <w:r w:rsidRPr="002B3C4A">
        <w:t xml:space="preserve">Given that trials began at different </w:t>
      </w:r>
      <w:r>
        <w:t>dates</w:t>
      </w:r>
      <w:r w:rsidRPr="002B3C4A">
        <w:t xml:space="preserve">, time was normalised </w:t>
      </w:r>
      <w:r>
        <w:t>to give</w:t>
      </w:r>
      <w:r w:rsidRPr="002B3C4A">
        <w:t xml:space="preserve"> </w:t>
      </w:r>
      <w:r>
        <w:t xml:space="preserve">the number of </w:t>
      </w:r>
      <w:r w:rsidRPr="002B3C4A">
        <w:t xml:space="preserve">months </w:t>
      </w:r>
      <w:r>
        <w:t>before trials started</w:t>
      </w:r>
      <w:r w:rsidRPr="002B3C4A">
        <w:t xml:space="preserve"> (negative values), </w:t>
      </w:r>
      <w:r>
        <w:t xml:space="preserve">the </w:t>
      </w:r>
      <w:r w:rsidRPr="002B3C4A">
        <w:t xml:space="preserve">month </w:t>
      </w:r>
      <w:r>
        <w:t>trials started</w:t>
      </w:r>
      <w:r w:rsidRPr="002B3C4A">
        <w:t xml:space="preserve"> (zero value) and months after the trial </w:t>
      </w:r>
      <w:r>
        <w:t>started</w:t>
      </w:r>
      <w:r w:rsidRPr="002B3C4A">
        <w:t xml:space="preserve"> (positive values)</w:t>
      </w:r>
      <w:r>
        <w:t>. All analyses adjusted the value of funded supports for inflation.</w:t>
      </w:r>
    </w:p>
    <w:p w14:paraId="49E59A29" w14:textId="772C989A" w:rsidR="000C7E2D" w:rsidRDefault="000C7E2D" w:rsidP="000C7E2D">
      <w:r>
        <w:t xml:space="preserve">All analyses used R </w:t>
      </w:r>
      <w:r w:rsidR="009810EF">
        <w:t xml:space="preserve">Version </w:t>
      </w:r>
      <w:r w:rsidR="009810EF" w:rsidRPr="009810EF">
        <w:t>x64 4.0.2</w:t>
      </w:r>
    </w:p>
    <w:p w14:paraId="085801BF" w14:textId="294F49DB" w:rsidR="000C7E2D" w:rsidRDefault="000C7E2D" w:rsidP="000C7E2D">
      <w:r>
        <w:t xml:space="preserve">Appendix </w:t>
      </w:r>
      <w:r w:rsidR="003905F7">
        <w:rPr>
          <w:color w:val="2B579A"/>
          <w:shd w:val="clear" w:color="auto" w:fill="E6E6E6"/>
        </w:rPr>
        <w:fldChar w:fldCharType="begin"/>
      </w:r>
      <w:r w:rsidR="003905F7">
        <w:instrText xml:space="preserve"> REF _Ref119069136 \n \h </w:instrText>
      </w:r>
      <w:r w:rsidR="003905F7">
        <w:rPr>
          <w:color w:val="2B579A"/>
          <w:shd w:val="clear" w:color="auto" w:fill="E6E6E6"/>
        </w:rPr>
      </w:r>
      <w:r w:rsidR="003905F7">
        <w:rPr>
          <w:color w:val="2B579A"/>
          <w:shd w:val="clear" w:color="auto" w:fill="E6E6E6"/>
        </w:rPr>
        <w:fldChar w:fldCharType="separate"/>
      </w:r>
      <w:r w:rsidR="00DE04FA">
        <w:t>C.2</w:t>
      </w:r>
      <w:r w:rsidR="003905F7">
        <w:rPr>
          <w:color w:val="2B579A"/>
          <w:shd w:val="clear" w:color="auto" w:fill="E6E6E6"/>
        </w:rPr>
        <w:fldChar w:fldCharType="end"/>
      </w:r>
      <w:r w:rsidR="003905F7">
        <w:t xml:space="preserve"> </w:t>
      </w:r>
      <w:r>
        <w:t xml:space="preserve">gives detailed statistical methods. The sections below </w:t>
      </w:r>
      <w:r w:rsidR="00BA7BD0">
        <w:t>provide a</w:t>
      </w:r>
      <w:r>
        <w:t xml:space="preserve"> summar</w:t>
      </w:r>
      <w:r w:rsidR="00BA7BD0">
        <w:t>y</w:t>
      </w:r>
      <w:r>
        <w:t>.</w:t>
      </w:r>
    </w:p>
    <w:p w14:paraId="3347B09D" w14:textId="77777777" w:rsidR="000C7E2D" w:rsidRDefault="000C7E2D" w:rsidP="004E287B">
      <w:pPr>
        <w:pStyle w:val="Heading5"/>
      </w:pPr>
      <w:r>
        <w:t>Market facilitation</w:t>
      </w:r>
    </w:p>
    <w:p w14:paraId="604F41A9" w14:textId="0DBBB6B0" w:rsidR="000C7E2D" w:rsidRDefault="000C7E2D" w:rsidP="000C7E2D">
      <w:r>
        <w:t xml:space="preserve">The evaluation analysed data at the participant and </w:t>
      </w:r>
      <w:r w:rsidR="00366E98">
        <w:t>the LG</w:t>
      </w:r>
      <w:r>
        <w:t xml:space="preserve">A </w:t>
      </w:r>
      <w:r w:rsidR="00366E98">
        <w:t>(</w:t>
      </w:r>
      <w:r>
        <w:t>market</w:t>
      </w:r>
      <w:r w:rsidR="00366E98">
        <w:t>)</w:t>
      </w:r>
      <w:r>
        <w:t xml:space="preserve"> level. </w:t>
      </w:r>
      <w:r w:rsidR="00160202">
        <w:t xml:space="preserve">To standardise the length of trials the comparison period </w:t>
      </w:r>
      <w:r w:rsidR="00B5694F">
        <w:t>was</w:t>
      </w:r>
      <w:r w:rsidR="00160202">
        <w:t xml:space="preserve"> 10-months before and after the start date of trials.</w:t>
      </w:r>
    </w:p>
    <w:p w14:paraId="5B96ED4C" w14:textId="77777777" w:rsidR="000C7E2D" w:rsidRPr="004D5FD0" w:rsidRDefault="000C7E2D" w:rsidP="00F71AD5">
      <w:pPr>
        <w:pStyle w:val="Heading6"/>
        <w:rPr>
          <w:color w:val="auto"/>
        </w:rPr>
      </w:pPr>
      <w:r w:rsidRPr="00D5735C">
        <w:rPr>
          <w:color w:val="auto"/>
        </w:rPr>
        <w:t xml:space="preserve">Analysis of participant-level </w:t>
      </w:r>
      <w:r w:rsidRPr="004D5FD0">
        <w:rPr>
          <w:color w:val="auto"/>
        </w:rPr>
        <w:t>expenditure</w:t>
      </w:r>
    </w:p>
    <w:p w14:paraId="481A74F2" w14:textId="10DAFAAF" w:rsidR="000C7E2D" w:rsidRDefault="000C7E2D" w:rsidP="000C7E2D">
      <w:r>
        <w:t xml:space="preserve">Participant-level analysis used difference-in-difference (DiD) modelling to compare the changes in participant use of funded supports after the start of market facilitation trials, with matched participants from other LGAs. </w:t>
      </w:r>
    </w:p>
    <w:p w14:paraId="3A0536D0" w14:textId="0A84BBD4" w:rsidR="000C7E2D" w:rsidRDefault="000C7E2D" w:rsidP="000C7E2D">
      <w:r>
        <w:lastRenderedPageBreak/>
        <w:t>The evaluation used propensity score matching</w:t>
      </w:r>
      <w:r w:rsidR="00FA2A63">
        <w:t xml:space="preserve">, which involves matching trial participants to similar </w:t>
      </w:r>
      <w:r>
        <w:t>participants from other LGAs where the NDIA did not implement any thin market trials. Every trial participant was matched to three non-trial participants based on the propensity scores.</w:t>
      </w:r>
    </w:p>
    <w:p w14:paraId="7514ADAA" w14:textId="2FA81CD5" w:rsidR="000C7E2D" w:rsidRDefault="007E3072" w:rsidP="000C7E2D">
      <w:r>
        <w:t xml:space="preserve">A </w:t>
      </w:r>
      <w:r w:rsidR="000C7E2D">
        <w:t>DiD regression</w:t>
      </w:r>
      <w:r w:rsidR="00FA2A63">
        <w:t xml:space="preserve"> was performed </w:t>
      </w:r>
      <w:r w:rsidR="000C7E2D">
        <w:t>to give the causal effect of the</w:t>
      </w:r>
      <w:r w:rsidR="008448D4">
        <w:t xml:space="preserve"> t</w:t>
      </w:r>
      <w:r w:rsidR="000C7E2D">
        <w:t xml:space="preserve">rial. The outcome of interest </w:t>
      </w:r>
      <w:r w:rsidR="008448D4">
        <w:t>wa</w:t>
      </w:r>
      <w:r w:rsidR="000C7E2D">
        <w:t>s the participant’s</w:t>
      </w:r>
      <w:r w:rsidR="00AF2831">
        <w:t xml:space="preserve"> monthly</w:t>
      </w:r>
      <w:r w:rsidR="000C7E2D">
        <w:t xml:space="preserve"> total expenditure on NDIS-funded supports. The DiD regression also included a series of covariates to control for any residual differences between the characteristics of participants. </w:t>
      </w:r>
      <w:r w:rsidR="000C7E2D" w:rsidRPr="00570123">
        <w:t xml:space="preserve">Appendix </w:t>
      </w:r>
      <w:r w:rsidR="00C96551">
        <w:rPr>
          <w:color w:val="2B579A"/>
          <w:shd w:val="clear" w:color="auto" w:fill="E6E6E6"/>
        </w:rPr>
        <w:fldChar w:fldCharType="begin"/>
      </w:r>
      <w:r w:rsidR="00C96551">
        <w:instrText xml:space="preserve"> REF _Ref120615385 \r \h </w:instrText>
      </w:r>
      <w:r w:rsidR="00C96551">
        <w:rPr>
          <w:color w:val="2B579A"/>
          <w:shd w:val="clear" w:color="auto" w:fill="E6E6E6"/>
        </w:rPr>
      </w:r>
      <w:r w:rsidR="00C96551">
        <w:rPr>
          <w:color w:val="2B579A"/>
          <w:shd w:val="clear" w:color="auto" w:fill="E6E6E6"/>
        </w:rPr>
        <w:fldChar w:fldCharType="separate"/>
      </w:r>
      <w:r w:rsidR="00DE04FA">
        <w:t>C.2.1</w:t>
      </w:r>
      <w:r w:rsidR="00C96551">
        <w:rPr>
          <w:color w:val="2B579A"/>
          <w:shd w:val="clear" w:color="auto" w:fill="E6E6E6"/>
        </w:rPr>
        <w:fldChar w:fldCharType="end"/>
      </w:r>
      <w:r w:rsidR="00C96551">
        <w:t xml:space="preserve"> </w:t>
      </w:r>
      <w:r w:rsidR="000C7E2D">
        <w:t>gives a detailed description of the DiD modelling approach.</w:t>
      </w:r>
    </w:p>
    <w:p w14:paraId="35574660" w14:textId="77777777" w:rsidR="000C7E2D" w:rsidRPr="00D5735C" w:rsidRDefault="000C7E2D" w:rsidP="00F71AD5">
      <w:pPr>
        <w:pStyle w:val="Heading6"/>
        <w:rPr>
          <w:color w:val="auto"/>
        </w:rPr>
      </w:pPr>
      <w:r w:rsidRPr="00D5735C">
        <w:rPr>
          <w:color w:val="auto"/>
        </w:rPr>
        <w:t xml:space="preserve">Analysis of LGA-level market indicators </w:t>
      </w:r>
    </w:p>
    <w:p w14:paraId="70338ED7" w14:textId="77777777" w:rsidR="000C7E2D" w:rsidRDefault="000C7E2D" w:rsidP="000C7E2D">
      <w:r>
        <w:t xml:space="preserve">The evaluation used </w:t>
      </w:r>
      <w:r w:rsidRPr="0023331F">
        <w:t>Bayesian time series (BTS) analys</w:t>
      </w:r>
      <w:r>
        <w:t>e</w:t>
      </w:r>
      <w:r w:rsidRPr="0023331F">
        <w:t xml:space="preserve">s to assess the </w:t>
      </w:r>
      <w:r>
        <w:t>impact of market facilitation trials on the LGA-level participant to provider ratio, the distribution of expenditure across both participants and providers (using Gini Coefficients</w:t>
      </w:r>
      <w:r>
        <w:rPr>
          <w:rStyle w:val="FootnoteReference"/>
        </w:rPr>
        <w:footnoteReference w:id="4"/>
      </w:r>
      <w:r>
        <w:t xml:space="preserve">) and indicators of participant choice around supports captured by the NDIS Short Form Outcomes Questionnaire. </w:t>
      </w:r>
    </w:p>
    <w:p w14:paraId="04FBB044" w14:textId="1649B797" w:rsidR="000C7E2D" w:rsidRDefault="000C7E2D" w:rsidP="000C7E2D">
      <w:r>
        <w:t>BTS is an approach to estimate the causal effect of an intervention using time series data. It predicts the counterfactual observation (i.e.</w:t>
      </w:r>
      <w:r w:rsidR="008A2ECA">
        <w:t>,</w:t>
      </w:r>
      <w:r>
        <w:t xml:space="preserve"> the level of a particular market indicator in the absence of a market facilitation trial</w:t>
      </w:r>
      <w:r w:rsidR="008A2ECA">
        <w:t>)</w:t>
      </w:r>
      <w:r>
        <w:t>. It then compares the observed level to that prediction.</w:t>
      </w:r>
    </w:p>
    <w:p w14:paraId="46A5D261" w14:textId="0B690135" w:rsidR="000C7E2D" w:rsidRDefault="00D30CFD" w:rsidP="000C7E2D">
      <w:r>
        <w:t>W</w:t>
      </w:r>
      <w:r w:rsidR="000C7E2D">
        <w:t xml:space="preserve">e used a similar propensity score matching process to the one described for participant expenditure </w:t>
      </w:r>
      <w:r w:rsidR="00746448">
        <w:t xml:space="preserve">to identify similar LGAs </w:t>
      </w:r>
      <w:r w:rsidR="00AB6F12">
        <w:t xml:space="preserve">for comparison. </w:t>
      </w:r>
      <w:r w:rsidR="00570123" w:rsidRPr="00570123">
        <w:t xml:space="preserve">Appendix </w:t>
      </w:r>
      <w:r w:rsidR="00C96551">
        <w:rPr>
          <w:color w:val="2B579A"/>
          <w:shd w:val="clear" w:color="auto" w:fill="E6E6E6"/>
        </w:rPr>
        <w:fldChar w:fldCharType="begin"/>
      </w:r>
      <w:r w:rsidR="00C96551">
        <w:instrText xml:space="preserve"> REF _Ref120615362 \r \h </w:instrText>
      </w:r>
      <w:r w:rsidR="00C96551">
        <w:rPr>
          <w:color w:val="2B579A"/>
          <w:shd w:val="clear" w:color="auto" w:fill="E6E6E6"/>
        </w:rPr>
      </w:r>
      <w:r w:rsidR="00C96551">
        <w:rPr>
          <w:color w:val="2B579A"/>
          <w:shd w:val="clear" w:color="auto" w:fill="E6E6E6"/>
        </w:rPr>
        <w:fldChar w:fldCharType="separate"/>
      </w:r>
      <w:r w:rsidR="00DE04FA">
        <w:t>C.2.2</w:t>
      </w:r>
      <w:r w:rsidR="00C96551">
        <w:rPr>
          <w:color w:val="2B579A"/>
          <w:shd w:val="clear" w:color="auto" w:fill="E6E6E6"/>
        </w:rPr>
        <w:fldChar w:fldCharType="end"/>
      </w:r>
      <w:r w:rsidR="00C96551">
        <w:t xml:space="preserve"> </w:t>
      </w:r>
      <w:r w:rsidR="000C7E2D">
        <w:t>gives a detailed description of the matching and BTS modelling approach.</w:t>
      </w:r>
    </w:p>
    <w:p w14:paraId="6284BD7C" w14:textId="77777777" w:rsidR="000C7E2D" w:rsidRDefault="000C7E2D" w:rsidP="004E287B">
      <w:pPr>
        <w:pStyle w:val="Heading5"/>
      </w:pPr>
      <w:r>
        <w:t xml:space="preserve">Coordinated funding proposals </w:t>
      </w:r>
    </w:p>
    <w:p w14:paraId="19662D9E" w14:textId="42127D81" w:rsidR="000C7E2D" w:rsidRDefault="000C7E2D" w:rsidP="000C7E2D">
      <w:pPr>
        <w:spacing w:before="0" w:after="200"/>
      </w:pPr>
      <w:r>
        <w:t xml:space="preserve">Given the highly individualised approach to CFPs and the small sample sizes in each LGA, it was not feasible to use statistical matching to compare CFP </w:t>
      </w:r>
      <w:r w:rsidR="00E420E3">
        <w:t>participants</w:t>
      </w:r>
      <w:r>
        <w:t xml:space="preserve"> to a comparison group. Therefore, we assessed the extent the participants received the commissioned supports by analysing their payment data for the duration of the CFP without comparing to other participants. </w:t>
      </w:r>
    </w:p>
    <w:p w14:paraId="7FF0CBA1" w14:textId="61880991" w:rsidR="000C7E2D" w:rsidRDefault="000C7E2D" w:rsidP="000C7E2D">
      <w:pPr>
        <w:spacing w:before="0" w:after="200"/>
      </w:pPr>
      <w:r>
        <w:t xml:space="preserve">As all but </w:t>
      </w:r>
      <w:r w:rsidR="00E022F5">
        <w:t>two</w:t>
      </w:r>
      <w:r>
        <w:t xml:space="preserve"> CFP</w:t>
      </w:r>
      <w:r w:rsidR="00E022F5">
        <w:t>s</w:t>
      </w:r>
      <w:r>
        <w:t xml:space="preserve"> targeted some form of functional assessment that is necessary to access further supports (e.g., ATHM assessment), we also compared expenditure within relevant support categories 12-months either side of the CFP start dates.</w:t>
      </w:r>
    </w:p>
    <w:p w14:paraId="53C0D965" w14:textId="77777777" w:rsidR="000C7E2D" w:rsidRDefault="000C7E2D" w:rsidP="004E287B">
      <w:pPr>
        <w:pStyle w:val="Heading5"/>
      </w:pPr>
      <w:r>
        <w:t xml:space="preserve">Direct commissioning </w:t>
      </w:r>
    </w:p>
    <w:p w14:paraId="2860E5EA" w14:textId="379D8482" w:rsidR="000C7E2D" w:rsidRDefault="000C7E2D" w:rsidP="000C7E2D">
      <w:r>
        <w:t xml:space="preserve">As part of direct commissioning, the NDIA quarantined the relevant portion of a participant’s budget and reimbursed service providers directly. </w:t>
      </w:r>
      <w:r w:rsidR="00B901D2">
        <w:t xml:space="preserve">Market Development teams </w:t>
      </w:r>
      <w:r>
        <w:t xml:space="preserve">manually recorded these amounts. The evaluation used these payment records to determine participant expenditure during the period of direct commissioning. Expenditure on the same </w:t>
      </w:r>
      <w:r>
        <w:lastRenderedPageBreak/>
        <w:t>support type before the period of direct commissioning came from the NDIA’s Enterprise Data Warehouse.</w:t>
      </w:r>
    </w:p>
    <w:p w14:paraId="2860FCE7" w14:textId="3EF81488" w:rsidR="000C7E2D" w:rsidRDefault="000C7E2D" w:rsidP="000C7E2D">
      <w:r>
        <w:t xml:space="preserve">A comparison group came from participants who the NDIA identified for the </w:t>
      </w:r>
      <w:r w:rsidR="00F74C41">
        <w:t>t</w:t>
      </w:r>
      <w:r>
        <w:t xml:space="preserve">rials but who chose not to participate. DiD analyses </w:t>
      </w:r>
      <w:r w:rsidR="00AF440F">
        <w:t>compare</w:t>
      </w:r>
      <w:r>
        <w:t xml:space="preserve"> changes in expenditure on the commissioned support type during the direct commissioning period. </w:t>
      </w:r>
      <w:r w:rsidR="00C43928" w:rsidRPr="00570123">
        <w:t xml:space="preserve">Appendix </w:t>
      </w:r>
      <w:r w:rsidR="00C96551">
        <w:rPr>
          <w:color w:val="2B579A"/>
          <w:shd w:val="clear" w:color="auto" w:fill="E6E6E6"/>
        </w:rPr>
        <w:fldChar w:fldCharType="begin"/>
      </w:r>
      <w:r w:rsidR="00C96551">
        <w:instrText xml:space="preserve"> REF _Ref120615385 \r \h </w:instrText>
      </w:r>
      <w:r w:rsidR="00C96551">
        <w:rPr>
          <w:color w:val="2B579A"/>
          <w:shd w:val="clear" w:color="auto" w:fill="E6E6E6"/>
        </w:rPr>
      </w:r>
      <w:r w:rsidR="00C96551">
        <w:rPr>
          <w:color w:val="2B579A"/>
          <w:shd w:val="clear" w:color="auto" w:fill="E6E6E6"/>
        </w:rPr>
        <w:fldChar w:fldCharType="separate"/>
      </w:r>
      <w:r w:rsidR="00DE04FA">
        <w:t>C.2.1</w:t>
      </w:r>
      <w:r w:rsidR="00C96551">
        <w:rPr>
          <w:color w:val="2B579A"/>
          <w:shd w:val="clear" w:color="auto" w:fill="E6E6E6"/>
        </w:rPr>
        <w:fldChar w:fldCharType="end"/>
      </w:r>
      <w:r w:rsidR="00C96551">
        <w:t xml:space="preserve"> </w:t>
      </w:r>
      <w:r>
        <w:t xml:space="preserve">gives a detailed description of the </w:t>
      </w:r>
      <w:r w:rsidR="00C43928">
        <w:t>DiD</w:t>
      </w:r>
      <w:r>
        <w:t xml:space="preserve"> approach.</w:t>
      </w:r>
    </w:p>
    <w:p w14:paraId="7E450877" w14:textId="0ADD8818" w:rsidR="007B1680" w:rsidRDefault="007B1680" w:rsidP="00A01FA6">
      <w:pPr>
        <w:pStyle w:val="Heading4"/>
      </w:pPr>
      <w:r>
        <w:t>Data limitations</w:t>
      </w:r>
    </w:p>
    <w:p w14:paraId="6FBAB1CB" w14:textId="2D069CC2" w:rsidR="007D232D" w:rsidRDefault="00C45C6B" w:rsidP="007D232D">
      <w:r>
        <w:t xml:space="preserve">There are </w:t>
      </w:r>
      <w:r w:rsidR="003259B5">
        <w:t>several</w:t>
      </w:r>
      <w:r>
        <w:t xml:space="preserve"> data limitations </w:t>
      </w:r>
      <w:r w:rsidR="00A76502">
        <w:t xml:space="preserve">that should be considered in interpreting the </w:t>
      </w:r>
      <w:r w:rsidR="002F1862">
        <w:t>results of the analyses:</w:t>
      </w:r>
    </w:p>
    <w:p w14:paraId="79487AC8" w14:textId="743DCAEE" w:rsidR="003259B5" w:rsidRDefault="001A32DB" w:rsidP="004E287B">
      <w:pPr>
        <w:pStyle w:val="ListParagraph"/>
        <w:numPr>
          <w:ilvl w:val="0"/>
          <w:numId w:val="18"/>
        </w:numPr>
      </w:pPr>
      <w:r>
        <w:t>Participants are</w:t>
      </w:r>
      <w:r w:rsidR="00494937">
        <w:t xml:space="preserve"> only observed if they have made a claim in the </w:t>
      </w:r>
      <w:r w:rsidR="005979A7">
        <w:t>time period of interest</w:t>
      </w:r>
      <w:r w:rsidR="004D5DBF">
        <w:t xml:space="preserve"> (i.e., participants </w:t>
      </w:r>
      <w:r w:rsidR="003259B5">
        <w:t xml:space="preserve">that </w:t>
      </w:r>
      <w:r w:rsidR="004D5DBF">
        <w:t xml:space="preserve">have used none of their budget </w:t>
      </w:r>
      <w:r w:rsidR="00CF6213">
        <w:t xml:space="preserve">in the time before and/or after the </w:t>
      </w:r>
      <w:r w:rsidR="00AF440F">
        <w:t>t</w:t>
      </w:r>
      <w:r w:rsidR="00CF6213">
        <w:t xml:space="preserve">rial </w:t>
      </w:r>
      <w:r w:rsidR="004D5DBF">
        <w:t xml:space="preserve">are not </w:t>
      </w:r>
      <w:r w:rsidR="003259B5">
        <w:t>observed</w:t>
      </w:r>
      <w:r w:rsidR="004D5DBF">
        <w:t>)</w:t>
      </w:r>
      <w:r w:rsidR="003259B5">
        <w:t>.</w:t>
      </w:r>
    </w:p>
    <w:p w14:paraId="2BACC908" w14:textId="79AFC174" w:rsidR="00886A1B" w:rsidRDefault="00886A1B" w:rsidP="004E287B">
      <w:pPr>
        <w:pStyle w:val="Bulletlist"/>
      </w:pPr>
      <w:r w:rsidRPr="00886A1B">
        <w:t>Data pertaining to participant use of funded supports includes payments to both registered and non-registered providers to the extent that a provider is linked to a specific payment (i.e.</w:t>
      </w:r>
      <w:r w:rsidR="00B96E4B">
        <w:t>,</w:t>
      </w:r>
      <w:r w:rsidRPr="00886A1B">
        <w:t xml:space="preserve"> there is a provider number).</w:t>
      </w:r>
      <w:r w:rsidR="00B96E4B">
        <w:t xml:space="preserve"> In addition, payments via plan managers </w:t>
      </w:r>
      <w:r w:rsidR="00416739">
        <w:t xml:space="preserve">identify the plan management provider as the service provider </w:t>
      </w:r>
      <w:r w:rsidR="001B0A68">
        <w:t>due to the way the NDIA captures the data. As a result, the number of service providers are likely to be underestimates.</w:t>
      </w:r>
    </w:p>
    <w:p w14:paraId="12201E63" w14:textId="1818E857" w:rsidR="00035B8E" w:rsidRDefault="00035B8E" w:rsidP="004E287B">
      <w:pPr>
        <w:pStyle w:val="ListParagraph"/>
        <w:numPr>
          <w:ilvl w:val="0"/>
          <w:numId w:val="18"/>
        </w:numPr>
      </w:pPr>
      <w:r>
        <w:t>Only claims greater than zero (i.e., no refunds) are included in the dataset.</w:t>
      </w:r>
    </w:p>
    <w:p w14:paraId="0E961FD6" w14:textId="044EC16E" w:rsidR="00035B8E" w:rsidRDefault="00035B8E" w:rsidP="004E287B">
      <w:pPr>
        <w:pStyle w:val="ListParagraph"/>
        <w:numPr>
          <w:ilvl w:val="0"/>
          <w:numId w:val="18"/>
        </w:numPr>
      </w:pPr>
      <w:r>
        <w:t>Participants may move during the</w:t>
      </w:r>
      <w:r w:rsidR="00806600">
        <w:t xml:space="preserve"> time before or after the </w:t>
      </w:r>
      <w:r w:rsidR="00480769">
        <w:t>t</w:t>
      </w:r>
      <w:r w:rsidR="00806600">
        <w:t xml:space="preserve">rials. While we have tried to account for this movement, </w:t>
      </w:r>
      <w:r w:rsidR="00B40A51">
        <w:t xml:space="preserve">there may be delays in Agency data reflecting </w:t>
      </w:r>
      <w:r w:rsidR="00A641C9">
        <w:t xml:space="preserve">this movement. </w:t>
      </w:r>
    </w:p>
    <w:p w14:paraId="4C5AB217" w14:textId="33FF6663" w:rsidR="001C26A1" w:rsidRDefault="00B13499" w:rsidP="004E287B">
      <w:pPr>
        <w:pStyle w:val="ListParagraph"/>
        <w:numPr>
          <w:ilvl w:val="0"/>
          <w:numId w:val="18"/>
        </w:numPr>
      </w:pPr>
      <w:r>
        <w:t xml:space="preserve">We have used </w:t>
      </w:r>
      <w:r w:rsidR="00607BCD">
        <w:t>“LGANm2016</w:t>
      </w:r>
      <w:r w:rsidR="00E46FED">
        <w:t>” given the tim</w:t>
      </w:r>
      <w:r w:rsidR="00940166">
        <w:t>ing</w:t>
      </w:r>
      <w:r w:rsidR="00E46FED">
        <w:t xml:space="preserve"> of the market interventions. There may be small discrepancies in comparison to the latest release “LGANm2021”.</w:t>
      </w:r>
    </w:p>
    <w:p w14:paraId="0E182039" w14:textId="2FFAABFD" w:rsidR="001D428A" w:rsidRDefault="001D428A" w:rsidP="004E287B">
      <w:pPr>
        <w:pStyle w:val="ListParagraph"/>
        <w:numPr>
          <w:ilvl w:val="0"/>
          <w:numId w:val="18"/>
        </w:numPr>
      </w:pPr>
      <w:r>
        <w:t xml:space="preserve">Data entry errors exist that cannot be accounted for, however, on average we assume the impact of these is negligible. </w:t>
      </w:r>
    </w:p>
    <w:p w14:paraId="5063CD2B" w14:textId="1DD5ECA2" w:rsidR="000D5068" w:rsidRDefault="0015406F" w:rsidP="00A01FA6">
      <w:pPr>
        <w:pStyle w:val="Heading4"/>
      </w:pPr>
      <w:r>
        <w:t>S</w:t>
      </w:r>
      <w:r w:rsidR="000D5068">
        <w:t>urvey and interview data</w:t>
      </w:r>
    </w:p>
    <w:p w14:paraId="73FA4F51" w14:textId="02AA20D4" w:rsidR="00E272BC" w:rsidRDefault="000D5068" w:rsidP="00251CEF">
      <w:r>
        <w:t>Microsoft Excel was used to descriptively analyse close</w:t>
      </w:r>
      <w:r w:rsidR="00CC2E8A">
        <w:t>d</w:t>
      </w:r>
      <w:r>
        <w:t xml:space="preserve"> survey responses, while NVivo was used to thematically analyse free text survey responses and stakeholder interview transcripts.</w:t>
      </w:r>
    </w:p>
    <w:p w14:paraId="27F2E7D8" w14:textId="6F7F7DA2" w:rsidR="009E780B" w:rsidRDefault="009E780B" w:rsidP="00A01FA6">
      <w:pPr>
        <w:pStyle w:val="Heading2"/>
      </w:pPr>
      <w:bookmarkStart w:id="84" w:name="_Toc111206321"/>
      <w:bookmarkStart w:id="85" w:name="_Toc111206435"/>
      <w:bookmarkStart w:id="86" w:name="_Ref119070139"/>
      <w:bookmarkStart w:id="87" w:name="_Toc136336663"/>
      <w:r>
        <w:lastRenderedPageBreak/>
        <w:t>Market facilitation</w:t>
      </w:r>
      <w:bookmarkEnd w:id="84"/>
      <w:bookmarkEnd w:id="85"/>
      <w:bookmarkEnd w:id="86"/>
      <w:bookmarkEnd w:id="87"/>
    </w:p>
    <w:tbl>
      <w:tblPr>
        <w:tblStyle w:val="TableGrid"/>
        <w:tblW w:w="0" w:type="auto"/>
        <w:tblLook w:val="04A0" w:firstRow="1" w:lastRow="0" w:firstColumn="1" w:lastColumn="0" w:noHBand="0" w:noVBand="1"/>
      </w:tblPr>
      <w:tblGrid>
        <w:gridCol w:w="9016"/>
      </w:tblGrid>
      <w:tr w:rsidR="00444BBF" w14:paraId="12E655D2" w14:textId="77777777" w:rsidTr="6E315BD6">
        <w:tc>
          <w:tcPr>
            <w:tcW w:w="9016" w:type="dxa"/>
          </w:tcPr>
          <w:p w14:paraId="3DC0981A" w14:textId="77777777" w:rsidR="00444BBF" w:rsidRDefault="00444BBF" w:rsidP="00A01FA6">
            <w:pPr>
              <w:pStyle w:val="ESheading4"/>
            </w:pPr>
            <w:r>
              <w:t>Key findings</w:t>
            </w:r>
          </w:p>
          <w:p w14:paraId="43C61845" w14:textId="558F025E" w:rsidR="00444BBF" w:rsidRDefault="00BF62ED" w:rsidP="00444BBF">
            <w:pPr>
              <w:pStyle w:val="ListParagraph"/>
              <w:numPr>
                <w:ilvl w:val="0"/>
                <w:numId w:val="35"/>
              </w:numPr>
              <w:spacing w:before="120" w:after="120"/>
              <w:ind w:left="357" w:hanging="357"/>
            </w:pPr>
            <w:r>
              <w:t xml:space="preserve">On average across </w:t>
            </w:r>
            <w:r w:rsidR="002B4978">
              <w:t xml:space="preserve">the </w:t>
            </w:r>
            <w:r>
              <w:t xml:space="preserve">31 LGAs where </w:t>
            </w:r>
            <w:r w:rsidR="000020F6">
              <w:t xml:space="preserve">the NDIA delivered </w:t>
            </w:r>
            <w:r>
              <w:t xml:space="preserve">market facilitation </w:t>
            </w:r>
            <w:r w:rsidR="000F49F9">
              <w:t>trials</w:t>
            </w:r>
            <w:r>
              <w:t xml:space="preserve">, </w:t>
            </w:r>
            <w:r w:rsidR="000020F6" w:rsidRPr="000020F6">
              <w:t>participants used on average</w:t>
            </w:r>
            <w:r w:rsidR="000020F6">
              <w:t xml:space="preserve"> $23,30</w:t>
            </w:r>
            <w:r w:rsidR="002E4073">
              <w:t xml:space="preserve">4 </w:t>
            </w:r>
            <w:r w:rsidR="002B4978">
              <w:t>(</w:t>
            </w:r>
            <w:r w:rsidR="002E4073">
              <w:t>annualised</w:t>
            </w:r>
            <w:r w:rsidR="002B4978">
              <w:t>)</w:t>
            </w:r>
            <w:r w:rsidR="002E4073">
              <w:t xml:space="preserve"> more NDIS supports compared to the 12-months prior.</w:t>
            </w:r>
          </w:p>
          <w:p w14:paraId="601129E5" w14:textId="3DE943BF" w:rsidR="00444BBF" w:rsidRDefault="00024BC3" w:rsidP="00444BBF">
            <w:pPr>
              <w:pStyle w:val="ListParagraph"/>
              <w:numPr>
                <w:ilvl w:val="0"/>
                <w:numId w:val="35"/>
              </w:numPr>
              <w:spacing w:before="120" w:after="120"/>
              <w:ind w:left="357" w:hanging="357"/>
            </w:pPr>
            <w:r>
              <w:t xml:space="preserve">However, compared to matched participants </w:t>
            </w:r>
            <w:r w:rsidR="002C540E">
              <w:t xml:space="preserve">in similar LGAs </w:t>
            </w:r>
            <w:r>
              <w:t xml:space="preserve">elsewhere, this increase was </w:t>
            </w:r>
            <w:r w:rsidR="00E13D3B">
              <w:t xml:space="preserve">not </w:t>
            </w:r>
            <w:r w:rsidR="002C540E">
              <w:t>statistically sig</w:t>
            </w:r>
            <w:r w:rsidR="00C30B83">
              <w:t>nificant.</w:t>
            </w:r>
            <w:r w:rsidR="001471EB">
              <w:t xml:space="preserve"> </w:t>
            </w:r>
            <w:r w:rsidR="001471EB" w:rsidRPr="001471EB">
              <w:t>This suggests that on average, market facilitation</w:t>
            </w:r>
            <w:r w:rsidR="001471EB">
              <w:t xml:space="preserve"> </w:t>
            </w:r>
            <w:r w:rsidR="001471EB" w:rsidRPr="001471EB">
              <w:t xml:space="preserve">did not </w:t>
            </w:r>
            <w:r w:rsidR="001471EB">
              <w:t xml:space="preserve">significantly increase participant use of </w:t>
            </w:r>
            <w:r w:rsidR="00672381">
              <w:t xml:space="preserve">NDIS supports above all other </w:t>
            </w:r>
            <w:r w:rsidR="0080322A">
              <w:t xml:space="preserve">business as usual actions that could affect </w:t>
            </w:r>
            <w:r w:rsidR="0036356D">
              <w:t>NDIS plan implementation.</w:t>
            </w:r>
          </w:p>
          <w:p w14:paraId="01E3BD17" w14:textId="7931B42F" w:rsidR="0036356D" w:rsidRDefault="0036356D" w:rsidP="00444BBF">
            <w:pPr>
              <w:pStyle w:val="ListParagraph"/>
              <w:numPr>
                <w:ilvl w:val="0"/>
                <w:numId w:val="35"/>
              </w:numPr>
              <w:spacing w:before="120" w:after="120"/>
              <w:ind w:left="357" w:hanging="357"/>
            </w:pPr>
            <w:r>
              <w:t>On average, market facilitation also did not</w:t>
            </w:r>
            <w:r w:rsidR="00CB13D6">
              <w:t xml:space="preserve"> </w:t>
            </w:r>
            <w:r w:rsidR="002613C0">
              <w:t xml:space="preserve">significantly </w:t>
            </w:r>
            <w:r w:rsidR="0075181E">
              <w:t>affect indicators of market strength including the number of service providers that delivered supports in the target LGA</w:t>
            </w:r>
            <w:r w:rsidR="002613C0">
              <w:t>s</w:t>
            </w:r>
            <w:r w:rsidR="0075181E">
              <w:t xml:space="preserve">, </w:t>
            </w:r>
            <w:r w:rsidR="002613C0">
              <w:t xml:space="preserve">the participant-to-provider ratio, market concentration or participant choice in who supports them. This suggests that market facilitation </w:t>
            </w:r>
            <w:r w:rsidR="00742929">
              <w:t xml:space="preserve">also </w:t>
            </w:r>
            <w:r w:rsidR="00C25B70">
              <w:t xml:space="preserve">did not </w:t>
            </w:r>
            <w:r w:rsidR="00742929">
              <w:t>significantly change</w:t>
            </w:r>
            <w:r w:rsidR="009332CA">
              <w:t xml:space="preserve"> the functioning of local NDIS markets</w:t>
            </w:r>
            <w:r w:rsidR="008D7CA6">
              <w:t>.</w:t>
            </w:r>
          </w:p>
          <w:p w14:paraId="15E05B54" w14:textId="1062BD3B" w:rsidR="0085040D" w:rsidRDefault="0085040D" w:rsidP="0085040D">
            <w:pPr>
              <w:pStyle w:val="ListParagraph"/>
              <w:numPr>
                <w:ilvl w:val="0"/>
                <w:numId w:val="35"/>
              </w:numPr>
              <w:spacing w:before="120" w:after="120"/>
              <w:ind w:left="357" w:hanging="357"/>
            </w:pPr>
            <w:r>
              <w:t>The market facilitation projects m</w:t>
            </w:r>
            <w:r w:rsidR="4BB1F8BC">
              <w:t xml:space="preserve">ostly </w:t>
            </w:r>
            <w:r w:rsidR="54306215">
              <w:t xml:space="preserve">focused on </w:t>
            </w:r>
            <w:r>
              <w:t>four mechanisms to increase service provider understanding of market opportunities and demand:</w:t>
            </w:r>
          </w:p>
          <w:p w14:paraId="5B1C523F" w14:textId="77777777" w:rsidR="0085040D" w:rsidRPr="002F2CBD" w:rsidRDefault="0085040D" w:rsidP="00E70BFA">
            <w:pPr>
              <w:pStyle w:val="ListParagraph"/>
              <w:numPr>
                <w:ilvl w:val="0"/>
                <w:numId w:val="36"/>
              </w:numPr>
              <w:spacing w:before="120" w:after="120"/>
              <w:ind w:left="714" w:hanging="357"/>
              <w:contextualSpacing/>
            </w:pPr>
            <w:r w:rsidRPr="002F2CBD">
              <w:t>Providing market data to service providers</w:t>
            </w:r>
          </w:p>
          <w:p w14:paraId="688C2595" w14:textId="5083AC99" w:rsidR="0085040D" w:rsidRPr="002F2CBD" w:rsidRDefault="0085040D" w:rsidP="00E70BFA">
            <w:pPr>
              <w:pStyle w:val="ListParagraph"/>
              <w:numPr>
                <w:ilvl w:val="0"/>
                <w:numId w:val="36"/>
              </w:numPr>
              <w:spacing w:before="120" w:after="120"/>
              <w:ind w:left="714" w:hanging="357"/>
              <w:contextualSpacing/>
            </w:pPr>
            <w:r w:rsidRPr="002F2CBD">
              <w:t>Direc</w:t>
            </w:r>
            <w:r w:rsidR="00A329A7">
              <w:t>t</w:t>
            </w:r>
            <w:r w:rsidRPr="002F2CBD">
              <w:t xml:space="preserve"> engag</w:t>
            </w:r>
            <w:r w:rsidR="00A329A7">
              <w:t>ement with</w:t>
            </w:r>
            <w:r w:rsidRPr="002F2CBD">
              <w:t xml:space="preserve"> service providers</w:t>
            </w:r>
          </w:p>
          <w:p w14:paraId="638AB824" w14:textId="77777777" w:rsidR="0085040D" w:rsidRPr="002F2CBD" w:rsidRDefault="0085040D" w:rsidP="00E70BFA">
            <w:pPr>
              <w:pStyle w:val="ListParagraph"/>
              <w:numPr>
                <w:ilvl w:val="0"/>
                <w:numId w:val="36"/>
              </w:numPr>
              <w:spacing w:before="120" w:after="120"/>
              <w:ind w:left="714" w:hanging="357"/>
              <w:contextualSpacing/>
            </w:pPr>
            <w:r w:rsidRPr="002F2CBD">
              <w:t>Connecting service providers with support coordinators</w:t>
            </w:r>
          </w:p>
          <w:p w14:paraId="5BC73650" w14:textId="15200E9B" w:rsidR="0085040D" w:rsidRPr="002F2CBD" w:rsidRDefault="0085040D" w:rsidP="00861A57">
            <w:pPr>
              <w:pStyle w:val="ListParagraph"/>
              <w:numPr>
                <w:ilvl w:val="0"/>
                <w:numId w:val="36"/>
              </w:numPr>
              <w:spacing w:before="120" w:after="120"/>
            </w:pPr>
            <w:r>
              <w:t>Provider and participant forums.</w:t>
            </w:r>
          </w:p>
          <w:p w14:paraId="322297F3" w14:textId="2D2B6BBC" w:rsidR="008D7CA6" w:rsidRDefault="00905022" w:rsidP="00444BBF">
            <w:pPr>
              <w:pStyle w:val="ListParagraph"/>
              <w:numPr>
                <w:ilvl w:val="0"/>
                <w:numId w:val="35"/>
              </w:numPr>
              <w:spacing w:before="120" w:after="120"/>
              <w:ind w:left="357" w:hanging="357"/>
            </w:pPr>
            <w:r>
              <w:t xml:space="preserve">Based on survey findings, </w:t>
            </w:r>
            <w:r w:rsidR="008F288A">
              <w:t xml:space="preserve">70% of </w:t>
            </w:r>
            <w:r w:rsidR="00054146">
              <w:t xml:space="preserve">service providers in the targeted LGAs </w:t>
            </w:r>
            <w:r w:rsidR="008B1789">
              <w:t>we</w:t>
            </w:r>
            <w:r w:rsidR="00054146">
              <w:t>re</w:t>
            </w:r>
            <w:r w:rsidR="00B862B9">
              <w:t xml:space="preserve"> </w:t>
            </w:r>
            <w:r w:rsidR="008F288A">
              <w:t xml:space="preserve">aware of </w:t>
            </w:r>
            <w:r w:rsidR="00CD0BAF">
              <w:t>the NDIS market data and most of those f</w:t>
            </w:r>
            <w:r w:rsidR="00774747">
              <w:t>oun</w:t>
            </w:r>
            <w:r w:rsidR="00CD0BAF">
              <w:t>d it useful (82%)</w:t>
            </w:r>
            <w:r w:rsidR="00E1602F">
              <w:t xml:space="preserve"> as it gave them greater </w:t>
            </w:r>
            <w:r w:rsidR="00C37119">
              <w:t>awareness of demand</w:t>
            </w:r>
            <w:r w:rsidR="00CD0BAF">
              <w:t xml:space="preserve">. </w:t>
            </w:r>
            <w:r w:rsidR="00C37119">
              <w:t xml:space="preserve">Similarly, directly engaging service providers and support coordinators </w:t>
            </w:r>
            <w:r w:rsidR="00057017">
              <w:t xml:space="preserve">helped to </w:t>
            </w:r>
            <w:r w:rsidR="00F36D42">
              <w:t xml:space="preserve">increase </w:t>
            </w:r>
            <w:r w:rsidR="006E79E4">
              <w:t>awareness of supply</w:t>
            </w:r>
            <w:r w:rsidR="00F36D42">
              <w:t xml:space="preserve"> and demand</w:t>
            </w:r>
            <w:r w:rsidR="006E79E4">
              <w:t>.</w:t>
            </w:r>
          </w:p>
          <w:p w14:paraId="2BF3C263" w14:textId="1E1B0278" w:rsidR="006E79E4" w:rsidRDefault="00470781" w:rsidP="00444BBF">
            <w:pPr>
              <w:pStyle w:val="ListParagraph"/>
              <w:numPr>
                <w:ilvl w:val="0"/>
                <w:numId w:val="35"/>
              </w:numPr>
              <w:spacing w:before="120" w:after="120"/>
              <w:ind w:left="357" w:hanging="357"/>
            </w:pPr>
            <w:r>
              <w:t>However,</w:t>
            </w:r>
            <w:r w:rsidR="00F7118B">
              <w:t xml:space="preserve"> o</w:t>
            </w:r>
            <w:r w:rsidR="00F7118B" w:rsidRPr="00F7118B">
              <w:t xml:space="preserve">f </w:t>
            </w:r>
            <w:r w:rsidR="00B473E1">
              <w:t xml:space="preserve">surveyed </w:t>
            </w:r>
            <w:r w:rsidR="00F7118B" w:rsidRPr="00F7118B">
              <w:t>service providers whose awareness of demand in target LGAs increased due to NDIA contact (51%), only 47% reported that they were delivering, or plan</w:t>
            </w:r>
            <w:r w:rsidR="00546B65">
              <w:t>ning</w:t>
            </w:r>
            <w:r w:rsidR="00F7118B" w:rsidRPr="00F7118B">
              <w:t xml:space="preserve"> to deliver, more services. </w:t>
            </w:r>
            <w:r w:rsidR="006D09B8">
              <w:t>T</w:t>
            </w:r>
            <w:r w:rsidR="00F7118B" w:rsidRPr="00F7118B">
              <w:t>his suggests that the translation of awareness to action has not operated as intended</w:t>
            </w:r>
            <w:r w:rsidR="006D09B8">
              <w:t>.</w:t>
            </w:r>
          </w:p>
          <w:p w14:paraId="01902BA0" w14:textId="54A9A472" w:rsidR="00444BBF" w:rsidRDefault="00CB35A8" w:rsidP="00444BBF">
            <w:pPr>
              <w:pStyle w:val="ListParagraph"/>
              <w:numPr>
                <w:ilvl w:val="0"/>
                <w:numId w:val="35"/>
              </w:numPr>
              <w:spacing w:before="120" w:after="120"/>
              <w:ind w:left="357" w:hanging="357"/>
            </w:pPr>
            <w:r>
              <w:t xml:space="preserve">Service providers and support coordinators </w:t>
            </w:r>
            <w:r w:rsidRPr="00CB35A8">
              <w:t xml:space="preserve">reported that market facilitation </w:t>
            </w:r>
            <w:r w:rsidR="005C33F8">
              <w:t>activities</w:t>
            </w:r>
            <w:r w:rsidRPr="00CB35A8">
              <w:t xml:space="preserve"> were insufficient to overcome </w:t>
            </w:r>
            <w:r w:rsidR="000A72C2">
              <w:t xml:space="preserve">several </w:t>
            </w:r>
            <w:r w:rsidRPr="00CB35A8">
              <w:t>market challenges and encourage greater service provision</w:t>
            </w:r>
            <w:r w:rsidR="00782A3D">
              <w:t xml:space="preserve">. </w:t>
            </w:r>
            <w:r w:rsidR="000A72C2">
              <w:t xml:space="preserve">The challenges </w:t>
            </w:r>
            <w:r w:rsidR="00E70BFA">
              <w:t xml:space="preserve">they reported </w:t>
            </w:r>
            <w:r w:rsidR="000A72C2">
              <w:t xml:space="preserve">include </w:t>
            </w:r>
            <w:r w:rsidR="00AA049B">
              <w:t>low economies of scale</w:t>
            </w:r>
            <w:r w:rsidR="00DA555D">
              <w:t xml:space="preserve">, </w:t>
            </w:r>
            <w:r w:rsidR="004B5782">
              <w:t>travel costs against allowances in the NDIS Pricing Arrangements and Price Limits</w:t>
            </w:r>
            <w:r w:rsidR="00A57B9D">
              <w:t xml:space="preserve">, </w:t>
            </w:r>
            <w:r w:rsidR="00E70BFA">
              <w:t>limited or no</w:t>
            </w:r>
            <w:r w:rsidR="00A57B9D">
              <w:t xml:space="preserve"> transport options for participants</w:t>
            </w:r>
            <w:r w:rsidR="00B84DF6">
              <w:t xml:space="preserve">, workforce shortages </w:t>
            </w:r>
            <w:r w:rsidR="00E70BFA">
              <w:t>and limited participant understanding of the NDIS and their NDIS plan.</w:t>
            </w:r>
          </w:p>
        </w:tc>
      </w:tr>
    </w:tbl>
    <w:p w14:paraId="7D71B50B" w14:textId="77777777" w:rsidR="00811FAE" w:rsidRDefault="00811FAE" w:rsidP="00811FAE">
      <w:pPr>
        <w:pStyle w:val="BodyText1"/>
      </w:pPr>
      <w:r>
        <w:br w:type="page"/>
      </w:r>
    </w:p>
    <w:p w14:paraId="031B154F" w14:textId="15B28A56" w:rsidR="00157C14" w:rsidRPr="00157C14" w:rsidRDefault="00157C14" w:rsidP="00A01FA6">
      <w:pPr>
        <w:pStyle w:val="Heading3"/>
      </w:pPr>
      <w:bookmarkStart w:id="88" w:name="_Toc136336664"/>
      <w:r>
        <w:lastRenderedPageBreak/>
        <w:t>Overview of market facilitation trials</w:t>
      </w:r>
      <w:bookmarkEnd w:id="88"/>
    </w:p>
    <w:p w14:paraId="5F0603F6" w14:textId="480B0B0F" w:rsidR="00F803C1" w:rsidRDefault="00157C14" w:rsidP="0083320B">
      <w:r>
        <w:t xml:space="preserve">The most common market intervention across </w:t>
      </w:r>
      <w:r w:rsidR="003212DC">
        <w:t>the</w:t>
      </w:r>
      <w:r>
        <w:t xml:space="preserve"> </w:t>
      </w:r>
      <w:r w:rsidR="002A1A49">
        <w:t>t</w:t>
      </w:r>
      <w:r>
        <w:t>rial LGAs has been m</w:t>
      </w:r>
      <w:r w:rsidR="00FD2667">
        <w:t>arket facilitation</w:t>
      </w:r>
      <w:r w:rsidR="00A416DC">
        <w:t xml:space="preserve">. Most market facilitation </w:t>
      </w:r>
      <w:r w:rsidR="00751A67">
        <w:t>trials</w:t>
      </w:r>
      <w:r w:rsidR="00032B93">
        <w:t xml:space="preserve"> (</w:t>
      </w:r>
      <w:r w:rsidR="008745B1">
        <w:t>19</w:t>
      </w:r>
      <w:r w:rsidR="00032B93">
        <w:t xml:space="preserve"> LGAs)</w:t>
      </w:r>
      <w:r w:rsidR="00EE5C0C">
        <w:t xml:space="preserve"> have focused on all </w:t>
      </w:r>
      <w:r>
        <w:t>NDIS-</w:t>
      </w:r>
      <w:r w:rsidR="00EE5C0C">
        <w:t>supports, although some have focused on a specific support category</w:t>
      </w:r>
      <w:r w:rsidR="00032B93">
        <w:t xml:space="preserve"> (12 LGAs)</w:t>
      </w:r>
      <w:r w:rsidR="00EE5C0C">
        <w:t xml:space="preserve">. </w:t>
      </w:r>
      <w:r w:rsidRPr="00B61BBD">
        <w:rPr>
          <w:color w:val="2B579A"/>
          <w:shd w:val="clear" w:color="auto" w:fill="E6E6E6"/>
        </w:rPr>
        <w:fldChar w:fldCharType="begin"/>
      </w:r>
      <w:r w:rsidRPr="00B61BBD">
        <w:instrText xml:space="preserve"> REF _Ref114491797 \h  \* MERGEFORMAT </w:instrText>
      </w:r>
      <w:r w:rsidRPr="00B61BBD">
        <w:rPr>
          <w:color w:val="2B579A"/>
          <w:shd w:val="clear" w:color="auto" w:fill="E6E6E6"/>
        </w:rPr>
      </w:r>
      <w:r w:rsidRPr="00B61BBD">
        <w:rPr>
          <w:color w:val="2B579A"/>
          <w:shd w:val="clear" w:color="auto" w:fill="E6E6E6"/>
        </w:rPr>
        <w:fldChar w:fldCharType="separate"/>
      </w:r>
      <w:r w:rsidR="00DE04FA" w:rsidRPr="00157C14">
        <w:t xml:space="preserve">Table </w:t>
      </w:r>
      <w:r w:rsidR="00DE04FA">
        <w:rPr>
          <w:noProof/>
        </w:rPr>
        <w:t>2</w:t>
      </w:r>
      <w:r w:rsidRPr="00B61BBD">
        <w:rPr>
          <w:color w:val="2B579A"/>
          <w:shd w:val="clear" w:color="auto" w:fill="E6E6E6"/>
        </w:rPr>
        <w:fldChar w:fldCharType="end"/>
      </w:r>
      <w:r w:rsidRPr="00B61BBD">
        <w:t xml:space="preserve"> </w:t>
      </w:r>
      <w:r w:rsidR="002D3582" w:rsidRPr="00B61BBD">
        <w:t>outlines</w:t>
      </w:r>
      <w:r w:rsidR="002D3582">
        <w:t xml:space="preserve"> the market facilitation </w:t>
      </w:r>
      <w:r w:rsidR="00751A67">
        <w:t>t</w:t>
      </w:r>
      <w:r w:rsidR="002D3582">
        <w:t xml:space="preserve">rials in scope for </w:t>
      </w:r>
      <w:r>
        <w:t xml:space="preserve">this </w:t>
      </w:r>
      <w:r w:rsidR="002D3582">
        <w:t>evaluation</w:t>
      </w:r>
      <w:r w:rsidR="00FB0641">
        <w:t xml:space="preserve">. </w:t>
      </w:r>
      <w:r w:rsidR="00AB3967">
        <w:t xml:space="preserve">In several </w:t>
      </w:r>
      <w:r w:rsidR="00BF614D">
        <w:t>t</w:t>
      </w:r>
      <w:r w:rsidR="00AB3967">
        <w:t xml:space="preserve">rial LGAs, </w:t>
      </w:r>
      <w:r w:rsidR="00BF614D">
        <w:t>Market Development teams</w:t>
      </w:r>
      <w:r w:rsidR="00AB3967">
        <w:t xml:space="preserve"> identified participants that would be the focus of </w:t>
      </w:r>
      <w:r w:rsidR="005117C6">
        <w:t>ongoing</w:t>
      </w:r>
      <w:r w:rsidR="00AB3967">
        <w:t xml:space="preserve"> monitoring</w:t>
      </w:r>
      <w:r w:rsidR="004019E6">
        <w:t xml:space="preserve"> </w:t>
      </w:r>
      <w:r w:rsidR="005117C6">
        <w:t>of their use of NDIS-supports</w:t>
      </w:r>
      <w:r w:rsidR="00AB3967">
        <w:t xml:space="preserve">. </w:t>
      </w:r>
      <w:r>
        <w:t>T</w:t>
      </w:r>
      <w:r w:rsidR="00AB3967">
        <w:t>his report</w:t>
      </w:r>
      <w:r>
        <w:t xml:space="preserve"> refers to</w:t>
      </w:r>
      <w:r w:rsidR="00AB3967">
        <w:t xml:space="preserve"> these participants </w:t>
      </w:r>
      <w:r>
        <w:t>as priority participants</w:t>
      </w:r>
      <w:r w:rsidR="00EB519C">
        <w:t>.</w:t>
      </w:r>
    </w:p>
    <w:p w14:paraId="5E11BBFF" w14:textId="20ADB3ED" w:rsidR="004B490E" w:rsidRPr="00157C14" w:rsidRDefault="004B490E" w:rsidP="00157C14">
      <w:pPr>
        <w:pStyle w:val="Caption"/>
      </w:pPr>
      <w:bookmarkStart w:id="89" w:name="_Ref114491797"/>
      <w:r w:rsidRPr="00157C14">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2</w:t>
      </w:r>
      <w:r>
        <w:rPr>
          <w:color w:val="2B579A"/>
          <w:shd w:val="clear" w:color="auto" w:fill="E6E6E6"/>
        </w:rPr>
        <w:fldChar w:fldCharType="end"/>
      </w:r>
      <w:bookmarkEnd w:id="89"/>
      <w:r w:rsidRPr="00157C14">
        <w:t xml:space="preserve">: </w:t>
      </w:r>
      <w:r w:rsidR="00F639C1">
        <w:t>I</w:t>
      </w:r>
      <w:r w:rsidR="00F639C1" w:rsidRPr="00157C14">
        <w:t xml:space="preserve">n </w:t>
      </w:r>
      <w:r w:rsidRPr="00157C14">
        <w:t xml:space="preserve">scope </w:t>
      </w:r>
      <w:r w:rsidR="00157C14" w:rsidRPr="00157C14">
        <w:t>market facilitation</w:t>
      </w:r>
      <w:r w:rsidRPr="00157C14">
        <w:t xml:space="preserve"> trials </w:t>
      </w:r>
    </w:p>
    <w:tbl>
      <w:tblPr>
        <w:tblStyle w:val="GridTable1Light"/>
        <w:tblW w:w="892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Description w:val="This table provides the list of LGAs with market faciliation trials, the support focus of the trial and the number of priority participants (if any)."/>
      </w:tblPr>
      <w:tblGrid>
        <w:gridCol w:w="3418"/>
        <w:gridCol w:w="2821"/>
        <w:gridCol w:w="2687"/>
      </w:tblGrid>
      <w:tr w:rsidR="002914E3" w:rsidRPr="00157C14" w14:paraId="4B7EB964" w14:textId="77777777" w:rsidTr="00B61B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6B2976" w:themeFill="background2"/>
          </w:tcPr>
          <w:p w14:paraId="111A0E8E" w14:textId="6ED4E112" w:rsidR="002914E3" w:rsidRPr="00B61BBD" w:rsidRDefault="002914E3" w:rsidP="00B61BBD">
            <w:pPr>
              <w:spacing w:before="0" w:after="0"/>
              <w:rPr>
                <w:color w:val="FEFFFF" w:themeColor="background1"/>
                <w:sz w:val="20"/>
                <w:szCs w:val="20"/>
              </w:rPr>
            </w:pPr>
            <w:r w:rsidRPr="00B61BBD">
              <w:rPr>
                <w:color w:val="FEFFFF" w:themeColor="background1"/>
                <w:sz w:val="20"/>
                <w:szCs w:val="20"/>
              </w:rPr>
              <w:t>LGA (State</w:t>
            </w:r>
            <w:r w:rsidR="00206B39">
              <w:rPr>
                <w:color w:val="FEFFFF" w:themeColor="background1"/>
                <w:sz w:val="20"/>
                <w:szCs w:val="20"/>
              </w:rPr>
              <w:t>/Territory</w:t>
            </w:r>
            <w:r w:rsidRPr="00B61BBD">
              <w:rPr>
                <w:color w:val="FEFFFF" w:themeColor="background1"/>
                <w:sz w:val="20"/>
                <w:szCs w:val="20"/>
              </w:rPr>
              <w:t>)</w:t>
            </w:r>
          </w:p>
        </w:tc>
        <w:tc>
          <w:tcPr>
            <w:tcW w:w="0" w:type="dxa"/>
            <w:shd w:val="clear" w:color="auto" w:fill="6B2976" w:themeFill="background2"/>
          </w:tcPr>
          <w:p w14:paraId="2FAD085F" w14:textId="0F865A75" w:rsidR="002914E3" w:rsidRPr="00B61BBD" w:rsidRDefault="002914E3" w:rsidP="00B61BBD">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 w:val="20"/>
                <w:szCs w:val="20"/>
              </w:rPr>
            </w:pPr>
            <w:r w:rsidRPr="00B61BBD">
              <w:rPr>
                <w:color w:val="FEFFFF" w:themeColor="background1"/>
                <w:sz w:val="20"/>
                <w:szCs w:val="20"/>
              </w:rPr>
              <w:t>Focus of market facilitation activities</w:t>
            </w:r>
          </w:p>
        </w:tc>
        <w:tc>
          <w:tcPr>
            <w:tcW w:w="0" w:type="dxa"/>
            <w:shd w:val="clear" w:color="auto" w:fill="6B2976" w:themeFill="background2"/>
          </w:tcPr>
          <w:p w14:paraId="1C26F37D" w14:textId="1DDD1C8B" w:rsidR="002914E3" w:rsidRPr="00B61BBD" w:rsidRDefault="002914E3" w:rsidP="00B61BBD">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 w:val="20"/>
                <w:szCs w:val="20"/>
              </w:rPr>
            </w:pPr>
            <w:r w:rsidRPr="00B61BBD">
              <w:rPr>
                <w:color w:val="FEFFFF" w:themeColor="background1"/>
                <w:sz w:val="20"/>
                <w:szCs w:val="20"/>
              </w:rPr>
              <w:t>Priority participants</w:t>
            </w:r>
          </w:p>
        </w:tc>
      </w:tr>
      <w:tr w:rsidR="002914E3" w:rsidRPr="00157C14" w14:paraId="44C2BECF"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F7EEF7"/>
          </w:tcPr>
          <w:p w14:paraId="579B15F5" w14:textId="4D52D013" w:rsidR="002914E3" w:rsidRPr="00B61BBD" w:rsidRDefault="00A1294E" w:rsidP="00B61BBD">
            <w:pPr>
              <w:spacing w:before="0" w:after="0"/>
              <w:rPr>
                <w:b w:val="0"/>
                <w:bCs w:val="0"/>
                <w:sz w:val="20"/>
                <w:szCs w:val="20"/>
              </w:rPr>
            </w:pPr>
            <w:r w:rsidRPr="00B61BBD">
              <w:rPr>
                <w:sz w:val="20"/>
                <w:szCs w:val="20"/>
              </w:rPr>
              <w:t xml:space="preserve">Walgett, Wentworth, </w:t>
            </w:r>
            <w:r w:rsidR="00B2776F" w:rsidRPr="00B61BBD">
              <w:rPr>
                <w:sz w:val="20"/>
                <w:szCs w:val="20"/>
              </w:rPr>
              <w:t>Bourke, Brewarrina (NSW)</w:t>
            </w:r>
          </w:p>
        </w:tc>
        <w:tc>
          <w:tcPr>
            <w:tcW w:w="0" w:type="dxa"/>
            <w:shd w:val="clear" w:color="auto" w:fill="F7EEF7"/>
          </w:tcPr>
          <w:p w14:paraId="73A62FAB" w14:textId="4DF57695" w:rsidR="002914E3" w:rsidRPr="00B61BBD" w:rsidRDefault="00B2776F"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shd w:val="clear" w:color="auto" w:fill="F7EEF7"/>
          </w:tcPr>
          <w:p w14:paraId="497FA0E4" w14:textId="6E119B69" w:rsidR="002914E3"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187</w:t>
            </w:r>
          </w:p>
        </w:tc>
      </w:tr>
      <w:tr w:rsidR="00383458" w:rsidRPr="00157C14" w14:paraId="74D1E910" w14:textId="77777777" w:rsidTr="00B61BBD">
        <w:tc>
          <w:tcPr>
            <w:cnfStyle w:val="001000000000" w:firstRow="0" w:lastRow="0" w:firstColumn="1" w:lastColumn="0" w:oddVBand="0" w:evenVBand="0" w:oddHBand="0" w:evenHBand="0" w:firstRowFirstColumn="0" w:firstRowLastColumn="0" w:lastRowFirstColumn="0" w:lastRowLastColumn="0"/>
            <w:tcW w:w="0" w:type="dxa"/>
          </w:tcPr>
          <w:p w14:paraId="7E1EEC3A" w14:textId="2F880AEC" w:rsidR="00383458" w:rsidRPr="00B61BBD" w:rsidRDefault="00383458" w:rsidP="00B61BBD">
            <w:pPr>
              <w:spacing w:before="0" w:after="0"/>
              <w:rPr>
                <w:b w:val="0"/>
                <w:bCs w:val="0"/>
                <w:sz w:val="20"/>
                <w:szCs w:val="20"/>
              </w:rPr>
            </w:pPr>
            <w:r w:rsidRPr="00B61BBD">
              <w:rPr>
                <w:sz w:val="20"/>
                <w:szCs w:val="20"/>
              </w:rPr>
              <w:t>Alice Springs, Barkly, Central Desert, MacDonnell (NT)</w:t>
            </w:r>
          </w:p>
        </w:tc>
        <w:tc>
          <w:tcPr>
            <w:tcW w:w="0" w:type="dxa"/>
          </w:tcPr>
          <w:p w14:paraId="035975E5" w14:textId="6C8A2961" w:rsidR="00383458" w:rsidRPr="00B61BBD" w:rsidRDefault="00383458"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tcPr>
          <w:p w14:paraId="1A0C7962" w14:textId="0D9E9C99" w:rsidR="00383458"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304</w:t>
            </w:r>
          </w:p>
        </w:tc>
      </w:tr>
      <w:tr w:rsidR="00383458" w:rsidRPr="00157C14" w14:paraId="41ACE045"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F7EEF7"/>
          </w:tcPr>
          <w:p w14:paraId="33E70EC3" w14:textId="5A3104C8" w:rsidR="00383458" w:rsidRPr="00B61BBD" w:rsidRDefault="00383458" w:rsidP="00B61BBD">
            <w:pPr>
              <w:spacing w:before="0" w:after="0"/>
              <w:rPr>
                <w:b w:val="0"/>
                <w:bCs w:val="0"/>
                <w:sz w:val="20"/>
                <w:szCs w:val="20"/>
              </w:rPr>
            </w:pPr>
            <w:r w:rsidRPr="00B61BBD">
              <w:rPr>
                <w:sz w:val="20"/>
                <w:szCs w:val="20"/>
              </w:rPr>
              <w:t xml:space="preserve">Ararat, Latrobe, Baw </w:t>
            </w:r>
            <w:proofErr w:type="spellStart"/>
            <w:r w:rsidRPr="00B61BBD">
              <w:rPr>
                <w:sz w:val="20"/>
                <w:szCs w:val="20"/>
              </w:rPr>
              <w:t>Baw</w:t>
            </w:r>
            <w:proofErr w:type="spellEnd"/>
            <w:r w:rsidRPr="00B61BBD">
              <w:rPr>
                <w:sz w:val="20"/>
                <w:szCs w:val="20"/>
              </w:rPr>
              <w:t>, Bass Coast, East Gippsland, South Gippsland, Wellington (V</w:t>
            </w:r>
            <w:r w:rsidR="00B61BBD">
              <w:rPr>
                <w:sz w:val="20"/>
                <w:szCs w:val="20"/>
              </w:rPr>
              <w:t>ic</w:t>
            </w:r>
            <w:r w:rsidRPr="00B61BBD">
              <w:rPr>
                <w:sz w:val="20"/>
                <w:szCs w:val="20"/>
              </w:rPr>
              <w:t>)</w:t>
            </w:r>
          </w:p>
        </w:tc>
        <w:tc>
          <w:tcPr>
            <w:tcW w:w="0" w:type="dxa"/>
            <w:shd w:val="clear" w:color="auto" w:fill="F7EEF7"/>
          </w:tcPr>
          <w:p w14:paraId="422E23BC" w14:textId="78E970CB" w:rsidR="00383458" w:rsidRPr="00B61BBD" w:rsidRDefault="00383458"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Capacity Building – Improved Relationships (CBIR)</w:t>
            </w:r>
          </w:p>
        </w:tc>
        <w:tc>
          <w:tcPr>
            <w:tcW w:w="0" w:type="dxa"/>
            <w:shd w:val="clear" w:color="auto" w:fill="F7EEF7"/>
          </w:tcPr>
          <w:p w14:paraId="7F1DB56A" w14:textId="2206562F" w:rsidR="00383458"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81</w:t>
            </w:r>
          </w:p>
        </w:tc>
      </w:tr>
      <w:tr w:rsidR="00CB1B13" w:rsidRPr="00157C14" w14:paraId="1A362B08"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4D0D8B73" w14:textId="77777777" w:rsidR="00CB1B13" w:rsidRPr="00B61BBD" w:rsidRDefault="00CB1B13" w:rsidP="00B61BBD">
            <w:pPr>
              <w:spacing w:before="0" w:after="0"/>
              <w:rPr>
                <w:b w:val="0"/>
                <w:bCs w:val="0"/>
                <w:sz w:val="20"/>
                <w:szCs w:val="20"/>
              </w:rPr>
            </w:pPr>
            <w:r w:rsidRPr="00B61BBD">
              <w:rPr>
                <w:color w:val="000000"/>
                <w:sz w:val="20"/>
                <w:szCs w:val="20"/>
              </w:rPr>
              <w:t>Halls Creek, Wyndham-East Kimberley (WA)</w:t>
            </w:r>
          </w:p>
        </w:tc>
        <w:tc>
          <w:tcPr>
            <w:tcW w:w="0" w:type="dxa"/>
            <w:shd w:val="clear" w:color="auto" w:fill="auto"/>
          </w:tcPr>
          <w:p w14:paraId="1BABA241" w14:textId="77777777" w:rsidR="00CB1B13" w:rsidRPr="00B61BBD" w:rsidRDefault="00CB1B13"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Capacity Building – Daily Activities (CBDA)</w:t>
            </w:r>
          </w:p>
        </w:tc>
        <w:tc>
          <w:tcPr>
            <w:tcW w:w="0" w:type="dxa"/>
            <w:shd w:val="clear" w:color="auto" w:fill="auto"/>
          </w:tcPr>
          <w:p w14:paraId="227C6B89" w14:textId="68251221" w:rsidR="00CB1B13"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30</w:t>
            </w:r>
          </w:p>
        </w:tc>
      </w:tr>
      <w:tr w:rsidR="00CB1B13" w:rsidRPr="00157C14" w14:paraId="672B87C9"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F7EEF7"/>
          </w:tcPr>
          <w:p w14:paraId="2B1D9797" w14:textId="77777777" w:rsidR="00CB1B13" w:rsidRPr="00B61BBD" w:rsidRDefault="00CB1B13" w:rsidP="00B61BBD">
            <w:pPr>
              <w:spacing w:before="0" w:after="0"/>
              <w:rPr>
                <w:b w:val="0"/>
                <w:bCs w:val="0"/>
                <w:color w:val="000000"/>
                <w:sz w:val="20"/>
                <w:szCs w:val="20"/>
              </w:rPr>
            </w:pPr>
            <w:r w:rsidRPr="00B61BBD">
              <w:rPr>
                <w:color w:val="000000"/>
                <w:sz w:val="20"/>
                <w:szCs w:val="20"/>
              </w:rPr>
              <w:t>Palm Island (Qld)</w:t>
            </w:r>
          </w:p>
        </w:tc>
        <w:tc>
          <w:tcPr>
            <w:tcW w:w="0" w:type="dxa"/>
            <w:shd w:val="clear" w:color="auto" w:fill="F7EEF7"/>
          </w:tcPr>
          <w:p w14:paraId="294D52D9" w14:textId="312AC20D" w:rsidR="00CB1B13" w:rsidRPr="00B61BBD" w:rsidRDefault="00D20C74"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 xml:space="preserve">Participants with psychosocial </w:t>
            </w:r>
            <w:r w:rsidR="00CB1B13" w:rsidRPr="00B61BBD">
              <w:rPr>
                <w:sz w:val="20"/>
                <w:szCs w:val="20"/>
              </w:rPr>
              <w:t>(CBDA</w:t>
            </w:r>
            <w:r w:rsidRPr="00B61BBD">
              <w:rPr>
                <w:sz w:val="20"/>
                <w:szCs w:val="20"/>
              </w:rPr>
              <w:t xml:space="preserve"> supports</w:t>
            </w:r>
            <w:r w:rsidR="00CB1B13" w:rsidRPr="00B61BBD">
              <w:rPr>
                <w:sz w:val="20"/>
                <w:szCs w:val="20"/>
              </w:rPr>
              <w:t>)</w:t>
            </w:r>
          </w:p>
        </w:tc>
        <w:tc>
          <w:tcPr>
            <w:tcW w:w="0" w:type="dxa"/>
            <w:shd w:val="clear" w:color="auto" w:fill="F7EEF7"/>
          </w:tcPr>
          <w:p w14:paraId="16702441" w14:textId="713559A5" w:rsidR="00CB1B13"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14</w:t>
            </w:r>
          </w:p>
        </w:tc>
      </w:tr>
      <w:tr w:rsidR="00383458" w:rsidRPr="00157C14" w14:paraId="23338A6B"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0249029" w14:textId="0BAE4F06" w:rsidR="00383458" w:rsidRPr="00B61BBD" w:rsidRDefault="00383458" w:rsidP="00B61BBD">
            <w:pPr>
              <w:spacing w:before="0" w:after="0"/>
              <w:rPr>
                <w:b w:val="0"/>
                <w:bCs w:val="0"/>
                <w:sz w:val="20"/>
                <w:szCs w:val="20"/>
              </w:rPr>
            </w:pPr>
            <w:r w:rsidRPr="00B61BBD">
              <w:rPr>
                <w:sz w:val="20"/>
                <w:szCs w:val="20"/>
              </w:rPr>
              <w:t>Aurukun (Qld)</w:t>
            </w:r>
          </w:p>
        </w:tc>
        <w:tc>
          <w:tcPr>
            <w:tcW w:w="0" w:type="dxa"/>
            <w:shd w:val="clear" w:color="auto" w:fill="auto"/>
          </w:tcPr>
          <w:p w14:paraId="35BB273F" w14:textId="3AEADCC3" w:rsidR="00383458" w:rsidRPr="00B61BBD" w:rsidRDefault="00383458"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shd w:val="clear" w:color="auto" w:fill="auto"/>
          </w:tcPr>
          <w:p w14:paraId="67DD781F" w14:textId="26BD1118" w:rsidR="00383458"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NA</w:t>
            </w:r>
          </w:p>
        </w:tc>
      </w:tr>
      <w:tr w:rsidR="00383458" w:rsidRPr="00157C14" w14:paraId="3F64D947"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F7EEF7"/>
          </w:tcPr>
          <w:p w14:paraId="0B51DEBA" w14:textId="391A50DA" w:rsidR="00383458" w:rsidRPr="00B61BBD" w:rsidRDefault="00383458" w:rsidP="00B61BBD">
            <w:pPr>
              <w:spacing w:before="0" w:after="0"/>
              <w:rPr>
                <w:b w:val="0"/>
                <w:bCs w:val="0"/>
                <w:sz w:val="20"/>
                <w:szCs w:val="20"/>
              </w:rPr>
            </w:pPr>
            <w:r w:rsidRPr="00B61BBD">
              <w:rPr>
                <w:sz w:val="20"/>
                <w:szCs w:val="20"/>
              </w:rPr>
              <w:t>Berri-Barmera (SA)</w:t>
            </w:r>
          </w:p>
        </w:tc>
        <w:tc>
          <w:tcPr>
            <w:tcW w:w="0" w:type="dxa"/>
            <w:shd w:val="clear" w:color="auto" w:fill="F7EEF7"/>
          </w:tcPr>
          <w:p w14:paraId="5EDA2D5B" w14:textId="0FF4E31F" w:rsidR="00383458" w:rsidRPr="00B61BBD" w:rsidRDefault="00383458"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Core – Social and community participation</w:t>
            </w:r>
          </w:p>
        </w:tc>
        <w:tc>
          <w:tcPr>
            <w:tcW w:w="0" w:type="dxa"/>
            <w:shd w:val="clear" w:color="auto" w:fill="F7EEF7"/>
          </w:tcPr>
          <w:p w14:paraId="730AE734" w14:textId="3E458CD3" w:rsidR="00383458"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NA</w:t>
            </w:r>
          </w:p>
        </w:tc>
      </w:tr>
      <w:tr w:rsidR="00383458" w:rsidRPr="00157C14" w14:paraId="6E60FF7D"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1AF057CE" w14:textId="419C9376" w:rsidR="00383458" w:rsidRPr="00B61BBD" w:rsidRDefault="00383458" w:rsidP="00B61BBD">
            <w:pPr>
              <w:spacing w:before="0" w:after="0"/>
              <w:rPr>
                <w:b w:val="0"/>
                <w:bCs w:val="0"/>
                <w:sz w:val="20"/>
                <w:szCs w:val="20"/>
              </w:rPr>
            </w:pPr>
            <w:r w:rsidRPr="00B61BBD">
              <w:rPr>
                <w:sz w:val="20"/>
                <w:szCs w:val="20"/>
              </w:rPr>
              <w:t>Bland, Junee (NSW)</w:t>
            </w:r>
          </w:p>
        </w:tc>
        <w:tc>
          <w:tcPr>
            <w:tcW w:w="0" w:type="dxa"/>
            <w:shd w:val="clear" w:color="auto" w:fill="auto"/>
          </w:tcPr>
          <w:p w14:paraId="1165399A" w14:textId="6EDF3CDE" w:rsidR="00383458" w:rsidRPr="00B61BBD" w:rsidRDefault="00383458"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shd w:val="clear" w:color="auto" w:fill="auto"/>
          </w:tcPr>
          <w:p w14:paraId="735F9286" w14:textId="0D3862F5" w:rsidR="00383458"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NA</w:t>
            </w:r>
          </w:p>
        </w:tc>
      </w:tr>
      <w:tr w:rsidR="00474575" w:rsidRPr="00157C14" w14:paraId="11A13D7E"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F7EEF7"/>
          </w:tcPr>
          <w:p w14:paraId="1A365566" w14:textId="772E1FBC" w:rsidR="00474575" w:rsidRPr="00B61BBD" w:rsidRDefault="00474575" w:rsidP="00B61BBD">
            <w:pPr>
              <w:spacing w:before="0" w:after="0"/>
              <w:rPr>
                <w:b w:val="0"/>
                <w:bCs w:val="0"/>
                <w:sz w:val="20"/>
                <w:szCs w:val="20"/>
              </w:rPr>
            </w:pPr>
            <w:r w:rsidRPr="00B61BBD">
              <w:rPr>
                <w:sz w:val="20"/>
                <w:szCs w:val="20"/>
              </w:rPr>
              <w:t>Carpentaria (Qld)</w:t>
            </w:r>
          </w:p>
        </w:tc>
        <w:tc>
          <w:tcPr>
            <w:tcW w:w="0" w:type="dxa"/>
            <w:shd w:val="clear" w:color="auto" w:fill="F7EEF7"/>
          </w:tcPr>
          <w:p w14:paraId="3176EE9E" w14:textId="0A578E9B" w:rsidR="00474575" w:rsidRPr="00B61BBD" w:rsidRDefault="0037433E"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shd w:val="clear" w:color="auto" w:fill="F7EEF7"/>
          </w:tcPr>
          <w:p w14:paraId="3AACDE98" w14:textId="4738FE7C" w:rsidR="00474575"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NA</w:t>
            </w:r>
          </w:p>
        </w:tc>
      </w:tr>
      <w:tr w:rsidR="00474575" w:rsidRPr="00157C14" w14:paraId="604854A4"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1C0B2DB" w14:textId="3F84792A" w:rsidR="00474575" w:rsidRPr="00B61BBD" w:rsidRDefault="00474575" w:rsidP="00B61BBD">
            <w:pPr>
              <w:spacing w:before="0" w:after="0"/>
              <w:rPr>
                <w:b w:val="0"/>
                <w:bCs w:val="0"/>
                <w:sz w:val="20"/>
                <w:szCs w:val="20"/>
              </w:rPr>
            </w:pPr>
            <w:r w:rsidRPr="00B61BBD">
              <w:rPr>
                <w:sz w:val="20"/>
                <w:szCs w:val="20"/>
              </w:rPr>
              <w:t>Cloncurry, Doomadgee, Woorabinda, Mornington (Qld)</w:t>
            </w:r>
          </w:p>
        </w:tc>
        <w:tc>
          <w:tcPr>
            <w:tcW w:w="0" w:type="dxa"/>
            <w:shd w:val="clear" w:color="auto" w:fill="auto"/>
          </w:tcPr>
          <w:p w14:paraId="089A8295" w14:textId="29758450" w:rsidR="00474575" w:rsidRPr="00B61BBD" w:rsidRDefault="0037433E"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shd w:val="clear" w:color="auto" w:fill="auto"/>
          </w:tcPr>
          <w:p w14:paraId="2A904DE5" w14:textId="7087BEB3" w:rsidR="00474575" w:rsidRPr="00B61BBD" w:rsidRDefault="00157C14" w:rsidP="00B61BBD">
            <w:pPr>
              <w:spacing w:before="0" w:after="0"/>
              <w:ind w:left="425" w:hanging="425"/>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NA</w:t>
            </w:r>
          </w:p>
        </w:tc>
      </w:tr>
      <w:tr w:rsidR="00474575" w:rsidRPr="00157C14" w14:paraId="19300308"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F7EEF7"/>
          </w:tcPr>
          <w:p w14:paraId="51E3FCF5" w14:textId="5829227D" w:rsidR="00474575" w:rsidRPr="00B61BBD" w:rsidRDefault="00474575" w:rsidP="00B61BBD">
            <w:pPr>
              <w:spacing w:before="0" w:after="0"/>
              <w:rPr>
                <w:b w:val="0"/>
                <w:bCs w:val="0"/>
                <w:sz w:val="20"/>
                <w:szCs w:val="20"/>
              </w:rPr>
            </w:pPr>
            <w:r w:rsidRPr="00B61BBD">
              <w:rPr>
                <w:sz w:val="20"/>
                <w:szCs w:val="20"/>
              </w:rPr>
              <w:t>Goondiwindi (Qld)</w:t>
            </w:r>
          </w:p>
        </w:tc>
        <w:tc>
          <w:tcPr>
            <w:tcW w:w="0" w:type="dxa"/>
            <w:shd w:val="clear" w:color="auto" w:fill="F7EEF7"/>
          </w:tcPr>
          <w:p w14:paraId="326C13A1" w14:textId="53883965" w:rsidR="00474575" w:rsidRPr="00B61BBD" w:rsidRDefault="0037433E" w:rsidP="00CF3097">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Core</w:t>
            </w:r>
            <w:r w:rsidR="000F77E3" w:rsidRPr="00B61BBD">
              <w:rPr>
                <w:sz w:val="20"/>
                <w:szCs w:val="20"/>
              </w:rPr>
              <w:t xml:space="preserve"> –</w:t>
            </w:r>
            <w:r w:rsidRPr="00B61BBD">
              <w:rPr>
                <w:sz w:val="20"/>
                <w:szCs w:val="20"/>
              </w:rPr>
              <w:t xml:space="preserve"> Assistance with Daily Life</w:t>
            </w:r>
          </w:p>
        </w:tc>
        <w:tc>
          <w:tcPr>
            <w:tcW w:w="0" w:type="dxa"/>
            <w:shd w:val="clear" w:color="auto" w:fill="F7EEF7"/>
          </w:tcPr>
          <w:p w14:paraId="7739CC0B" w14:textId="335259DB" w:rsidR="00474575"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114</w:t>
            </w:r>
          </w:p>
        </w:tc>
      </w:tr>
      <w:tr w:rsidR="003E28FD" w:rsidRPr="00157C14" w14:paraId="1F7C263F" w14:textId="77777777" w:rsidTr="00B61BBD">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1B3083E" w14:textId="1302A38F" w:rsidR="003E28FD" w:rsidRPr="00B61BBD" w:rsidRDefault="003E28FD" w:rsidP="00B61BBD">
            <w:pPr>
              <w:spacing w:before="0" w:after="0"/>
              <w:rPr>
                <w:b w:val="0"/>
                <w:bCs w:val="0"/>
                <w:color w:val="000000"/>
                <w:sz w:val="20"/>
                <w:szCs w:val="20"/>
              </w:rPr>
            </w:pPr>
            <w:r w:rsidRPr="00B61BBD">
              <w:rPr>
                <w:sz w:val="20"/>
                <w:szCs w:val="20"/>
              </w:rPr>
              <w:t>Tiwi Islands, West Arnhem, West Daly (NT)</w:t>
            </w:r>
          </w:p>
        </w:tc>
        <w:tc>
          <w:tcPr>
            <w:tcW w:w="0" w:type="dxa"/>
            <w:shd w:val="clear" w:color="auto" w:fill="auto"/>
          </w:tcPr>
          <w:p w14:paraId="7C50216A" w14:textId="62D57DCF" w:rsidR="003E28FD" w:rsidRPr="00B61BBD" w:rsidRDefault="003E28FD" w:rsidP="00CF3097">
            <w:pPr>
              <w:spacing w:before="0" w:after="0"/>
              <w:ind w:left="425" w:hanging="425"/>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All supports</w:t>
            </w:r>
          </w:p>
        </w:tc>
        <w:tc>
          <w:tcPr>
            <w:tcW w:w="0" w:type="dxa"/>
            <w:shd w:val="clear" w:color="auto" w:fill="auto"/>
          </w:tcPr>
          <w:p w14:paraId="291ED91E" w14:textId="794E0677" w:rsidR="003E28FD" w:rsidRPr="00B61BBD" w:rsidRDefault="00157C14" w:rsidP="00B61BBD">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B61BBD">
              <w:rPr>
                <w:sz w:val="20"/>
                <w:szCs w:val="20"/>
              </w:rPr>
              <w:t>NA</w:t>
            </w:r>
          </w:p>
        </w:tc>
      </w:tr>
    </w:tbl>
    <w:p w14:paraId="7E553D0A" w14:textId="1DDBB2BE" w:rsidR="004921A7" w:rsidRDefault="004921A7" w:rsidP="004921A7">
      <w:r>
        <w:t xml:space="preserve">LGAs where </w:t>
      </w:r>
      <w:r w:rsidR="00157C14">
        <w:t xml:space="preserve">the NDIA trialled </w:t>
      </w:r>
      <w:r>
        <w:t xml:space="preserve">direct commissioning </w:t>
      </w:r>
      <w:r w:rsidR="00157C14">
        <w:t>also</w:t>
      </w:r>
      <w:r>
        <w:t xml:space="preserve"> had a period of market facilitation prior to </w:t>
      </w:r>
      <w:r w:rsidR="00157C14">
        <w:t>the commissioning phase. However</w:t>
      </w:r>
      <w:r>
        <w:t xml:space="preserve">, the </w:t>
      </w:r>
      <w:r w:rsidR="00157C14">
        <w:t>final evaluation</w:t>
      </w:r>
      <w:r>
        <w:t xml:space="preserve"> has not analysed data </w:t>
      </w:r>
      <w:r w:rsidR="00157C14">
        <w:t>related to the market facilitation phase of these trials</w:t>
      </w:r>
      <w:r>
        <w:t>.</w:t>
      </w:r>
    </w:p>
    <w:p w14:paraId="7632AB5F" w14:textId="5C555A4D" w:rsidR="009E780B" w:rsidRDefault="009E780B" w:rsidP="00A01FA6">
      <w:pPr>
        <w:pStyle w:val="Heading3"/>
      </w:pPr>
      <w:bookmarkStart w:id="90" w:name="_Toc111206322"/>
      <w:bookmarkStart w:id="91" w:name="_Toc111206436"/>
      <w:bookmarkStart w:id="92" w:name="_Toc136336665"/>
      <w:r>
        <w:lastRenderedPageBreak/>
        <w:t>Impact of market facilitation</w:t>
      </w:r>
      <w:bookmarkEnd w:id="90"/>
      <w:bookmarkEnd w:id="91"/>
      <w:bookmarkEnd w:id="92"/>
    </w:p>
    <w:p w14:paraId="0BA93912" w14:textId="3161A78E" w:rsidR="00B30728" w:rsidRDefault="00B30728" w:rsidP="00B30728">
      <w:bookmarkStart w:id="93" w:name="_Toc111206323"/>
      <w:bookmarkStart w:id="94" w:name="_Toc111206437"/>
      <w:r>
        <w:t>This section presents the evaluation findings on the impact of market facilitation trials on participant use of NDIS- funded supports and changes in market indicators in target LGAs.</w:t>
      </w:r>
      <w:r w:rsidR="00374907">
        <w:rPr>
          <w:rStyle w:val="FootnoteReference"/>
        </w:rPr>
        <w:footnoteReference w:id="5"/>
      </w:r>
    </w:p>
    <w:p w14:paraId="75FF2D12" w14:textId="59BC1450" w:rsidR="00B30728" w:rsidRPr="00A50DB0" w:rsidRDefault="00B30728" w:rsidP="00A50DB0">
      <w:r>
        <w:t xml:space="preserve">Where market facilitation focused on a single support type, </w:t>
      </w:r>
      <w:r w:rsidRPr="00A50DB0">
        <w:t xml:space="preserve">analyses used expenditure data related to only this support type. </w:t>
      </w:r>
      <w:r>
        <w:t xml:space="preserve">Where market facilitation focused on all NDIS supports, </w:t>
      </w:r>
      <w:r w:rsidRPr="00A50DB0">
        <w:t>analyses combined data across all support types.</w:t>
      </w:r>
    </w:p>
    <w:p w14:paraId="5E5866BD" w14:textId="77777777" w:rsidR="00B30728" w:rsidRDefault="00B30728" w:rsidP="00A01FA6">
      <w:pPr>
        <w:pStyle w:val="Heading4"/>
      </w:pPr>
      <w:r>
        <w:t>Participant use of funded supports</w:t>
      </w:r>
    </w:p>
    <w:p w14:paraId="006A436B" w14:textId="77777777" w:rsidR="00B30728" w:rsidRDefault="00B30728" w:rsidP="004E287B">
      <w:pPr>
        <w:pStyle w:val="Heading5"/>
      </w:pPr>
      <w:r>
        <w:t>Average participant expenditure</w:t>
      </w:r>
    </w:p>
    <w:p w14:paraId="07A922C9" w14:textId="6504BAC9" w:rsidR="00B30728" w:rsidRDefault="00B30728" w:rsidP="00B30728">
      <w:r>
        <w:rPr>
          <w:color w:val="2B579A"/>
          <w:shd w:val="clear" w:color="auto" w:fill="E6E6E6"/>
        </w:rPr>
        <w:fldChar w:fldCharType="begin"/>
      </w:r>
      <w:r>
        <w:instrText xml:space="preserve"> REF _Ref118117369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3</w:t>
      </w:r>
      <w:r>
        <w:rPr>
          <w:color w:val="2B579A"/>
          <w:shd w:val="clear" w:color="auto" w:fill="E6E6E6"/>
        </w:rPr>
        <w:fldChar w:fldCharType="end"/>
      </w:r>
      <w:r>
        <w:t xml:space="preserve"> shows that across trial LGAs, participants used on </w:t>
      </w:r>
      <w:r w:rsidRPr="00044E9A">
        <w:t>average $1,942 more</w:t>
      </w:r>
      <w:r>
        <w:t xml:space="preserve"> of the NDIS supports targeted in the 10-months after trials started compared to the 10-months before. This equates to an average increase of </w:t>
      </w:r>
      <w:r w:rsidRPr="00044D97">
        <w:t>$23,304</w:t>
      </w:r>
      <w:r>
        <w:t xml:space="preserve"> per participant annualised. Most</w:t>
      </w:r>
      <w:r w:rsidRPr="00FF5294">
        <w:t xml:space="preserve"> LGAs</w:t>
      </w:r>
      <w:r>
        <w:t xml:space="preserve"> had</w:t>
      </w:r>
      <w:r w:rsidRPr="00FF5294">
        <w:t xml:space="preserve"> an increase in monthly expenditure per participant with the largest increase</w:t>
      </w:r>
      <w:r>
        <w:t>s</w:t>
      </w:r>
      <w:r w:rsidRPr="00FF5294">
        <w:t xml:space="preserve"> in MacDonnell (</w:t>
      </w:r>
      <w:r>
        <w:t>+</w:t>
      </w:r>
      <w:r w:rsidRPr="00FF5294">
        <w:t>$8,363)</w:t>
      </w:r>
      <w:r>
        <w:t xml:space="preserve"> and Alice Springs (+$5,771)</w:t>
      </w:r>
      <w:r w:rsidRPr="00FF5294">
        <w:t>.</w:t>
      </w:r>
      <w:r>
        <w:t xml:space="preserve"> Monthly expenditure decreased in </w:t>
      </w:r>
      <w:r w:rsidRPr="00FF5294">
        <w:t>Bland, Bourke, Brewarrina, Wentworth (NSW), Central Desert (NT) and Aurukun (Qld)</w:t>
      </w:r>
      <w:r>
        <w:t>.</w:t>
      </w:r>
    </w:p>
    <w:p w14:paraId="7EA8345C" w14:textId="752AF9C3" w:rsidR="00B30728" w:rsidRDefault="00B30728" w:rsidP="00B30728">
      <w:pPr>
        <w:pStyle w:val="Caption"/>
      </w:pPr>
      <w:bookmarkStart w:id="95" w:name="_Ref118117369"/>
      <w:r>
        <w:lastRenderedPageBreak/>
        <w:t xml:space="preserve">Figure </w:t>
      </w:r>
      <w:r>
        <w:fldChar w:fldCharType="begin"/>
      </w:r>
      <w:r>
        <w:instrText>SEQ Figure \* ARABIC</w:instrText>
      </w:r>
      <w:r>
        <w:fldChar w:fldCharType="separate"/>
      </w:r>
      <w:r w:rsidR="00DE04FA">
        <w:rPr>
          <w:noProof/>
        </w:rPr>
        <w:t>3</w:t>
      </w:r>
      <w:r>
        <w:fldChar w:fldCharType="end"/>
      </w:r>
      <w:bookmarkEnd w:id="95"/>
      <w:r>
        <w:t>: Change in average monthly participant expenditure</w:t>
      </w:r>
    </w:p>
    <w:p w14:paraId="55F51D17" w14:textId="77777777" w:rsidR="00D01844" w:rsidRDefault="00D01844" w:rsidP="00D01844">
      <w:pPr>
        <w:pStyle w:val="Source"/>
        <w:keepNext/>
      </w:pPr>
      <w:r>
        <w:t xml:space="preserve">Note: Comparison period is 10 </w:t>
      </w:r>
      <w:r w:rsidRPr="005B29FE">
        <w:t>months before market facilitation trial commenced versus 10 months before</w:t>
      </w:r>
    </w:p>
    <w:p w14:paraId="15EDB3BC" w14:textId="4C7AEFF9" w:rsidR="00B30728" w:rsidRDefault="00523E68" w:rsidP="00B30728">
      <w:pPr>
        <w:keepNext/>
      </w:pPr>
      <w:r w:rsidRPr="00525623">
        <w:rPr>
          <w:noProof/>
          <w:shd w:val="clear" w:color="auto" w:fill="822E08"/>
        </w:rPr>
        <w:drawing>
          <wp:inline distT="0" distB="0" distL="0" distR="0" wp14:anchorId="23550072" wp14:editId="7201390B">
            <wp:extent cx="6057900" cy="6496050"/>
            <wp:effectExtent l="0" t="0" r="0" b="0"/>
            <wp:docPr id="3" name="Chart 3" descr="Figure 3 is a bar diagram showing the change in average monthly participant expenditure in each trial LGA."/>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14EA5E" w14:textId="1EC25E86" w:rsidR="00B30728" w:rsidRDefault="00B30728" w:rsidP="005B29FE">
      <w:pPr>
        <w:pStyle w:val="Source"/>
        <w:keepNext/>
        <w:contextualSpacing w:val="0"/>
      </w:pPr>
      <w:r w:rsidRPr="002A6490">
        <w:t>Source:</w:t>
      </w:r>
      <w:r>
        <w:t xml:space="preserve"> Research and Evaluation Branch analysis of NDIS payments data.</w:t>
      </w:r>
    </w:p>
    <w:p w14:paraId="4C700565" w14:textId="7E839BFD" w:rsidR="00B30728" w:rsidRPr="00E730A1" w:rsidRDefault="00C94A98" w:rsidP="00B30728">
      <w:r>
        <w:t xml:space="preserve">To </w:t>
      </w:r>
      <w:r w:rsidR="005C01B2">
        <w:t>better understand the effectiveness of market facilitation</w:t>
      </w:r>
      <w:r w:rsidR="003745F0">
        <w:t>,</w:t>
      </w:r>
      <w:r w:rsidR="005C01B2">
        <w:t xml:space="preserve"> the </w:t>
      </w:r>
      <w:r w:rsidR="003F38A3">
        <w:t xml:space="preserve">change in </w:t>
      </w:r>
      <w:r w:rsidR="00B30728">
        <w:t xml:space="preserve">average monthly expenditure per participant </w:t>
      </w:r>
      <w:r w:rsidR="005C01B2">
        <w:t>was compared to similar participants</w:t>
      </w:r>
      <w:r w:rsidR="00E25437">
        <w:t xml:space="preserve"> </w:t>
      </w:r>
      <w:r w:rsidR="00F050C0">
        <w:t>using</w:t>
      </w:r>
      <w:r w:rsidR="003F38A3">
        <w:t xml:space="preserve"> the</w:t>
      </w:r>
      <w:r w:rsidR="00F050C0">
        <w:t xml:space="preserve"> “average treatment effect</w:t>
      </w:r>
      <w:r w:rsidR="0069239A">
        <w:t>”</w:t>
      </w:r>
      <w:r w:rsidR="00F050C0">
        <w:t xml:space="preserve"> (ATE)</w:t>
      </w:r>
      <w:r w:rsidR="005C01B2">
        <w:t>.</w:t>
      </w:r>
      <w:r w:rsidR="00A22522">
        <w:rPr>
          <w:rStyle w:val="FootnoteReference"/>
        </w:rPr>
        <w:footnoteReference w:id="6"/>
      </w:r>
    </w:p>
    <w:p w14:paraId="008BC717" w14:textId="1B111233" w:rsidR="00B30728" w:rsidRDefault="00B30728" w:rsidP="00B30728">
      <w:r w:rsidRPr="008D7421">
        <w:rPr>
          <w:color w:val="2B579A"/>
          <w:shd w:val="clear" w:color="auto" w:fill="E6E6E6"/>
        </w:rPr>
        <w:fldChar w:fldCharType="begin"/>
      </w:r>
      <w:r w:rsidRPr="008D7421">
        <w:instrText xml:space="preserve"> REF _Ref116395645 \h  \* MERGEFORMAT </w:instrText>
      </w:r>
      <w:r w:rsidRPr="008D7421">
        <w:rPr>
          <w:color w:val="2B579A"/>
          <w:shd w:val="clear" w:color="auto" w:fill="E6E6E6"/>
        </w:rPr>
      </w:r>
      <w:r w:rsidRPr="008D7421">
        <w:rPr>
          <w:color w:val="2B579A"/>
          <w:shd w:val="clear" w:color="auto" w:fill="E6E6E6"/>
        </w:rPr>
        <w:fldChar w:fldCharType="separate"/>
      </w:r>
      <w:r w:rsidR="00DE04FA">
        <w:t xml:space="preserve">Figure </w:t>
      </w:r>
      <w:r w:rsidR="00DE04FA">
        <w:rPr>
          <w:noProof/>
        </w:rPr>
        <w:t>4</w:t>
      </w:r>
      <w:r w:rsidRPr="008D7421">
        <w:rPr>
          <w:color w:val="2B579A"/>
          <w:shd w:val="clear" w:color="auto" w:fill="E6E6E6"/>
        </w:rPr>
        <w:fldChar w:fldCharType="end"/>
      </w:r>
      <w:r>
        <w:t xml:space="preserve"> shows the ATE across all target LGAs combined and for each LGA individually. Across all target LGAs, the ATE was </w:t>
      </w:r>
      <w:r w:rsidR="00EE1CE6">
        <w:t>+</w:t>
      </w:r>
      <w:r w:rsidR="006269CB">
        <w:t>$</w:t>
      </w:r>
      <w:r>
        <w:t xml:space="preserve">2,917 across the 10 months after market facilitation trials started compared to the comparison group. However, this effect is not statistically </w:t>
      </w:r>
      <w:r>
        <w:lastRenderedPageBreak/>
        <w:t>different from zero, as evidenced by the 95% confidence interval spanning $0. Put another way, the change in average participant use of the targeted NDIS supports across trial LGAs was statistically the same as the change for similar participants elsewhere. This suggests that</w:t>
      </w:r>
      <w:r w:rsidR="008A7781">
        <w:t>,</w:t>
      </w:r>
      <w:r>
        <w:t xml:space="preserve"> on average, the market facilitation trials did not have a significant impact </w:t>
      </w:r>
      <w:bookmarkStart w:id="96" w:name="_Hlk118716399"/>
      <w:r>
        <w:t xml:space="preserve">above all other activities that could have </w:t>
      </w:r>
      <w:r w:rsidR="00156B84">
        <w:t xml:space="preserve">contributed to </w:t>
      </w:r>
      <w:r>
        <w:t>participant</w:t>
      </w:r>
      <w:r w:rsidR="00156B84">
        <w:t>s</w:t>
      </w:r>
      <w:r w:rsidR="008A7781">
        <w:t>’</w:t>
      </w:r>
      <w:r w:rsidR="00156B84">
        <w:t xml:space="preserve"> use </w:t>
      </w:r>
      <w:r>
        <w:t>of their NDIS plans</w:t>
      </w:r>
      <w:bookmarkEnd w:id="96"/>
      <w:r>
        <w:t>.</w:t>
      </w:r>
    </w:p>
    <w:p w14:paraId="0D617734" w14:textId="49A933F6" w:rsidR="00B30728" w:rsidRDefault="00B30728" w:rsidP="00B30728">
      <w:r>
        <w:t>Supporting this, the evaluation could only detect a significant increase in average use of funded supports (i.e.</w:t>
      </w:r>
      <w:r w:rsidR="00911ECA">
        <w:t>,</w:t>
      </w:r>
      <w:r>
        <w:t xml:space="preserve"> a significantly positive ATE) in two of the 31 LGAs. Aurukun (Qld) and Alice Springs (NT) had ATEs of $5,594 and $5,029 respectively. This suggests that market facilitation contributed to </w:t>
      </w:r>
      <w:r w:rsidR="00CE3E0E">
        <w:t>an</w:t>
      </w:r>
      <w:r>
        <w:t xml:space="preserve"> increase in Alice Springs. </w:t>
      </w:r>
      <w:r w:rsidR="00FC51E0">
        <w:t xml:space="preserve">In Aurukun, on </w:t>
      </w:r>
      <w:r>
        <w:t>average participant use of NDIS supports decreased during the trial</w:t>
      </w:r>
      <w:r w:rsidR="00FC51E0">
        <w:t xml:space="preserve"> indicating </w:t>
      </w:r>
      <w:r>
        <w:t xml:space="preserve">that participant use of supports decreased to a larger extent amongst similar participants elsewhere. This suggests that the market facilitation </w:t>
      </w:r>
      <w:r w:rsidR="00FC51E0">
        <w:t>in Aurukun</w:t>
      </w:r>
      <w:r>
        <w:t xml:space="preserve"> mitigated some of this decrease. In five LGAs, the ATEs were statistically negative (Walgett and Wentworth (NSW), Tiwi Islands (NT), Mornington (Qld) and Baw </w:t>
      </w:r>
      <w:proofErr w:type="spellStart"/>
      <w:r>
        <w:t>Baw</w:t>
      </w:r>
      <w:proofErr w:type="spellEnd"/>
      <w:r>
        <w:t xml:space="preserve"> (Vic)).</w:t>
      </w:r>
    </w:p>
    <w:p w14:paraId="6F26C20F" w14:textId="1F8636B1" w:rsidR="00B30728" w:rsidRDefault="00B30728" w:rsidP="00B30728">
      <w:pPr>
        <w:pStyle w:val="Caption"/>
      </w:pPr>
      <w:bookmarkStart w:id="97" w:name="_Ref116395645"/>
      <w:r>
        <w:lastRenderedPageBreak/>
        <w:t xml:space="preserve">Figure </w:t>
      </w:r>
      <w:r>
        <w:fldChar w:fldCharType="begin"/>
      </w:r>
      <w:r>
        <w:instrText>SEQ Figure \* ARABIC</w:instrText>
      </w:r>
      <w:r>
        <w:fldChar w:fldCharType="separate"/>
      </w:r>
      <w:r w:rsidR="00DE04FA">
        <w:rPr>
          <w:noProof/>
        </w:rPr>
        <w:t>4</w:t>
      </w:r>
      <w:r>
        <w:fldChar w:fldCharType="end"/>
      </w:r>
      <w:bookmarkEnd w:id="97"/>
      <w:r>
        <w:t xml:space="preserve">: Average </w:t>
      </w:r>
      <w:r w:rsidR="000D55D7">
        <w:t xml:space="preserve">monthly </w:t>
      </w:r>
      <w:r>
        <w:t>treatment effect</w:t>
      </w:r>
      <w:r w:rsidR="00156B84">
        <w:t xml:space="preserve"> </w:t>
      </w:r>
      <w:r>
        <w:t>of market facilitation on participant expenditure</w:t>
      </w:r>
    </w:p>
    <w:p w14:paraId="04D81E8C" w14:textId="721897DB" w:rsidR="00D01844" w:rsidRPr="00D01844" w:rsidRDefault="00D01844" w:rsidP="00D01844">
      <w:pPr>
        <w:pStyle w:val="Source"/>
        <w:keepNext/>
      </w:pPr>
      <w:r>
        <w:t xml:space="preserve">Note: Comparison period is 10 </w:t>
      </w:r>
      <w:r w:rsidRPr="005B29FE">
        <w:t>months before market facilitation trial commenced versus 10 months before</w:t>
      </w:r>
    </w:p>
    <w:p w14:paraId="3CEF9952" w14:textId="356C1DE7" w:rsidR="00B30728" w:rsidRDefault="008B3C8A" w:rsidP="003873CC">
      <w:pPr>
        <w:keepNext/>
      </w:pPr>
      <w:r>
        <w:rPr>
          <w:noProof/>
        </w:rPr>
        <w:drawing>
          <wp:inline distT="0" distB="0" distL="0" distR="0" wp14:anchorId="0FC3E5A3" wp14:editId="257FA567">
            <wp:extent cx="5534025" cy="6172200"/>
            <wp:effectExtent l="0" t="0" r="0" b="0"/>
            <wp:docPr id="6" name="Chart 6" descr="Figure 4 is a 'forest plot' graph that shows the ATE across all target LGAs combined and for each LGA individually. Across all target LGAs, the ATE was +$2,917 across the 10 months after market facilitation trials started compared to the comparison group. However, this effect is not statistically different from zero, as evidenced by the 95% confidence interval spanning $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4096449" w14:textId="77777777" w:rsidR="00E86F34" w:rsidRDefault="00E86F34" w:rsidP="003873CC">
      <w:pPr>
        <w:pStyle w:val="Source"/>
        <w:keepNext/>
        <w:contextualSpacing w:val="0"/>
      </w:pPr>
      <w:r w:rsidRPr="002A6490">
        <w:t>Source:</w:t>
      </w:r>
      <w:r>
        <w:t xml:space="preserve"> Research and Evaluation Branch analysis of NDIS payments data.</w:t>
      </w:r>
    </w:p>
    <w:p w14:paraId="1108901D" w14:textId="1DFBF4E5" w:rsidR="00B30728" w:rsidRDefault="00B30728" w:rsidP="00B30728">
      <w:r>
        <w:rPr>
          <w:color w:val="2B579A"/>
          <w:shd w:val="clear" w:color="auto" w:fill="E6E6E6"/>
        </w:rPr>
        <w:fldChar w:fldCharType="begin"/>
      </w:r>
      <w:r>
        <w:instrText xml:space="preserve"> REF _Ref118116603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5</w:t>
      </w:r>
      <w:r>
        <w:rPr>
          <w:color w:val="2B579A"/>
          <w:shd w:val="clear" w:color="auto" w:fill="E6E6E6"/>
        </w:rPr>
        <w:fldChar w:fldCharType="end"/>
      </w:r>
      <w:r>
        <w:t xml:space="preserve"> shows the ATE for priority participants across the relevant LGAs. For all priority participants</w:t>
      </w:r>
      <w:r w:rsidRPr="00074CEF">
        <w:t xml:space="preserve">, the ATE was </w:t>
      </w:r>
      <w:r w:rsidR="00B73FDF">
        <w:t>+</w:t>
      </w:r>
      <w:r w:rsidRPr="00074CEF">
        <w:t>$</w:t>
      </w:r>
      <w:r>
        <w:t>7,483</w:t>
      </w:r>
      <w:r w:rsidRPr="00074CEF">
        <w:t xml:space="preserve"> in the 10 months after market facilitation started compared to the comparison group. However, this effect is not statistically different from zero</w:t>
      </w:r>
      <w:r>
        <w:t>. This suggests that on average, market facilitation did not have a significant impact on priority participant use of NDIS-supports.</w:t>
      </w:r>
    </w:p>
    <w:p w14:paraId="108D5951" w14:textId="16A55CF6" w:rsidR="00B30728" w:rsidRDefault="00B30728" w:rsidP="00B30728">
      <w:pPr>
        <w:pStyle w:val="Caption"/>
      </w:pPr>
      <w:bookmarkStart w:id="98" w:name="_Ref118116603"/>
      <w:r>
        <w:lastRenderedPageBreak/>
        <w:t xml:space="preserve">Figure </w:t>
      </w:r>
      <w:r>
        <w:rPr>
          <w:color w:val="2B579A"/>
          <w:shd w:val="clear" w:color="auto" w:fill="E6E6E6"/>
        </w:rPr>
        <w:fldChar w:fldCharType="begin"/>
      </w:r>
      <w:r>
        <w:instrText>SEQ Figure \* ARABIC</w:instrText>
      </w:r>
      <w:r>
        <w:rPr>
          <w:color w:val="2B579A"/>
          <w:shd w:val="clear" w:color="auto" w:fill="E6E6E6"/>
        </w:rPr>
        <w:fldChar w:fldCharType="separate"/>
      </w:r>
      <w:r w:rsidR="00DE04FA">
        <w:rPr>
          <w:noProof/>
        </w:rPr>
        <w:t>5</w:t>
      </w:r>
      <w:r>
        <w:rPr>
          <w:color w:val="2B579A"/>
          <w:shd w:val="clear" w:color="auto" w:fill="E6E6E6"/>
        </w:rPr>
        <w:fldChar w:fldCharType="end"/>
      </w:r>
      <w:bookmarkEnd w:id="98"/>
      <w:r>
        <w:t>:</w:t>
      </w:r>
      <w:r w:rsidRPr="009568AB">
        <w:t xml:space="preserve"> </w:t>
      </w:r>
      <w:r>
        <w:t>Average treatment effect</w:t>
      </w:r>
      <w:r w:rsidR="00174F78">
        <w:t xml:space="preserve"> (ATE)</w:t>
      </w:r>
      <w:r>
        <w:t xml:space="preserve"> of market facilitation on priority participant expenditure</w:t>
      </w:r>
    </w:p>
    <w:p w14:paraId="7C694957" w14:textId="77777777" w:rsidR="00D01844" w:rsidRPr="00D01844" w:rsidRDefault="00D01844" w:rsidP="00D01844">
      <w:pPr>
        <w:pStyle w:val="Source"/>
        <w:keepNext/>
      </w:pPr>
      <w:r>
        <w:t xml:space="preserve">Note: Comparison period is 10 </w:t>
      </w:r>
      <w:r w:rsidRPr="005B29FE">
        <w:t>months before market facilitation trial commenced versus 10 months before</w:t>
      </w:r>
    </w:p>
    <w:p w14:paraId="19A8356C" w14:textId="20BB6A5D" w:rsidR="00B30728" w:rsidRDefault="002F4106" w:rsidP="00B30728">
      <w:pPr>
        <w:keepNext/>
      </w:pPr>
      <w:r>
        <w:rPr>
          <w:noProof/>
        </w:rPr>
        <w:drawing>
          <wp:inline distT="0" distB="0" distL="0" distR="0" wp14:anchorId="50EC379E" wp14:editId="6C3A95D1">
            <wp:extent cx="5600700" cy="4295775"/>
            <wp:effectExtent l="0" t="0" r="0" b="0"/>
            <wp:docPr id="7" name="Chart 7" descr="Figure 5 is a 'forest plot' graph that shows the ATE for priority participants across the relevant LGAs. For all priority participants, the ATE was +$7,483 in the 10 months after market facilitation started compared to the comparison group. However, this effect is not statistically different from zero. "/>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28293C9" w14:textId="77777777" w:rsidR="00E86F34" w:rsidRDefault="00E86F34" w:rsidP="00E86F34">
      <w:pPr>
        <w:pStyle w:val="Source"/>
        <w:keepNext/>
        <w:contextualSpacing w:val="0"/>
      </w:pPr>
      <w:r w:rsidRPr="002A6490">
        <w:t>Source:</w:t>
      </w:r>
      <w:r>
        <w:t xml:space="preserve"> Research and Evaluation Branch analysis of NDIS payments data.</w:t>
      </w:r>
    </w:p>
    <w:p w14:paraId="1C90185D" w14:textId="106D0A7B" w:rsidR="00B30728" w:rsidRDefault="00B30728" w:rsidP="00B30728">
      <w:r>
        <w:t>For trials where market facilitation targeted all NDIS support types, we undertook the same analyses for Core and Capacity building supports individually.</w:t>
      </w:r>
      <w:r>
        <w:rPr>
          <w:rStyle w:val="FootnoteReference"/>
        </w:rPr>
        <w:footnoteReference w:id="7"/>
      </w:r>
      <w:r>
        <w:t xml:space="preserve"> </w:t>
      </w:r>
      <w:r w:rsidRPr="006108F5">
        <w:rPr>
          <w:color w:val="2B579A"/>
          <w:shd w:val="clear" w:color="auto" w:fill="E6E6E6"/>
        </w:rPr>
        <w:fldChar w:fldCharType="begin"/>
      </w:r>
      <w:r w:rsidRPr="006108F5">
        <w:instrText xml:space="preserve"> REF _Ref116547226 \h  \* MERGEFORMAT </w:instrText>
      </w:r>
      <w:r w:rsidRPr="006108F5">
        <w:rPr>
          <w:color w:val="2B579A"/>
          <w:shd w:val="clear" w:color="auto" w:fill="E6E6E6"/>
        </w:rPr>
      </w:r>
      <w:r w:rsidRPr="006108F5">
        <w:rPr>
          <w:color w:val="2B579A"/>
          <w:shd w:val="clear" w:color="auto" w:fill="E6E6E6"/>
        </w:rPr>
        <w:fldChar w:fldCharType="separate"/>
      </w:r>
      <w:r w:rsidR="00DE04FA">
        <w:t xml:space="preserve">Figure </w:t>
      </w:r>
      <w:r w:rsidR="00DE04FA">
        <w:rPr>
          <w:noProof/>
        </w:rPr>
        <w:t>6</w:t>
      </w:r>
      <w:r w:rsidRPr="006108F5">
        <w:rPr>
          <w:color w:val="2B579A"/>
          <w:shd w:val="clear" w:color="auto" w:fill="E6E6E6"/>
        </w:rPr>
        <w:fldChar w:fldCharType="end"/>
      </w:r>
      <w:r>
        <w:t xml:space="preserve"> shows that across </w:t>
      </w:r>
      <w:r w:rsidR="004752B7">
        <w:t>t</w:t>
      </w:r>
      <w:r>
        <w:t>rial LGAs, the change in average use of Core supports in the 10-months after trials commenced was $1,043 less than for similar participants in non-Trial LGAs</w:t>
      </w:r>
      <w:r w:rsidRPr="006108F5">
        <w:t>.</w:t>
      </w:r>
      <w:r>
        <w:t xml:space="preserve"> However, this difference is not statistically significant suggesting that on average market facilitation had no impact on participant use of Core supports. For individual LGAs, the ATEs on Core supports were only statistically significant for Aurukun (Qld) (+$3,640 per month) and West Arnhem (NT) (-$3,083 per month</w:t>
      </w:r>
      <w:r w:rsidRPr="006108F5">
        <w:t>).</w:t>
      </w:r>
      <w:r>
        <w:t xml:space="preserve"> Interviews with support coordinators suggested that the increase in Aurukun was due to a new Core support provider because of the NDIA’s market facilitation.</w:t>
      </w:r>
    </w:p>
    <w:p w14:paraId="5F0358DD" w14:textId="5DBE5FC0" w:rsidR="00B30728" w:rsidRDefault="00B30728" w:rsidP="00B30728">
      <w:pPr>
        <w:pStyle w:val="Caption"/>
      </w:pPr>
      <w:bookmarkStart w:id="99" w:name="_Ref116547226"/>
      <w:r>
        <w:lastRenderedPageBreak/>
        <w:t xml:space="preserve">Figure </w:t>
      </w:r>
      <w:r>
        <w:fldChar w:fldCharType="begin"/>
      </w:r>
      <w:r>
        <w:instrText>SEQ Figure \* ARABIC</w:instrText>
      </w:r>
      <w:r>
        <w:fldChar w:fldCharType="separate"/>
      </w:r>
      <w:r w:rsidR="00DE04FA">
        <w:rPr>
          <w:noProof/>
        </w:rPr>
        <w:t>6</w:t>
      </w:r>
      <w:r>
        <w:fldChar w:fldCharType="end"/>
      </w:r>
      <w:bookmarkEnd w:id="99"/>
      <w:r>
        <w:t xml:space="preserve">: Average treatment effect </w:t>
      </w:r>
      <w:r w:rsidR="00174F78">
        <w:t>(ATE)</w:t>
      </w:r>
      <w:r w:rsidR="00483072">
        <w:t xml:space="preserve"> </w:t>
      </w:r>
      <w:r>
        <w:t>of market facilitation on Core supports</w:t>
      </w:r>
    </w:p>
    <w:p w14:paraId="049CA1CE" w14:textId="77777777" w:rsidR="00D01844" w:rsidRPr="00D01844" w:rsidRDefault="00D01844" w:rsidP="00D01844">
      <w:pPr>
        <w:pStyle w:val="Source"/>
        <w:keepNext/>
      </w:pPr>
      <w:r>
        <w:t xml:space="preserve">Note: Comparison period is 10 </w:t>
      </w:r>
      <w:r w:rsidRPr="005B29FE">
        <w:t>months before market facilitation trial commenced versus 10 months before</w:t>
      </w:r>
    </w:p>
    <w:p w14:paraId="1E74EF27" w14:textId="59325D44" w:rsidR="00B30728" w:rsidRDefault="00690FC4" w:rsidP="00B30728">
      <w:r>
        <w:rPr>
          <w:noProof/>
        </w:rPr>
        <w:drawing>
          <wp:inline distT="0" distB="0" distL="0" distR="0" wp14:anchorId="7C30D70F" wp14:editId="00A8AE89">
            <wp:extent cx="5534025" cy="4486275"/>
            <wp:effectExtent l="0" t="0" r="0" b="0"/>
            <wp:docPr id="8" name="Chart 8" descr="Figure 6 is a 'forest plot' graph that shows the average treatment effect (ATE) of market facilitation on core supports. Across trial LGAs, the change in average use of Core supports in the 10-months after trials commenced was $1,043 less than for similar participants in non-Trial LGAs. However, this difference is not statistically significant suggesting that on average market facilitation had no impact on participant use of Core supports. For individual LGAs, the ATEs on Core supports were only statistically significant for Aurukun (Qld) (+$3,640 per month) and West Arnhem (NT) (-$3,083 per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E70BE0" w14:textId="77777777" w:rsidR="00E86F34" w:rsidRDefault="00E86F34" w:rsidP="00E86F34">
      <w:pPr>
        <w:pStyle w:val="Source"/>
        <w:keepNext/>
        <w:contextualSpacing w:val="0"/>
      </w:pPr>
      <w:r w:rsidRPr="002A6490">
        <w:t>Source:</w:t>
      </w:r>
      <w:r>
        <w:t xml:space="preserve"> Research and Evaluation Branch analysis of NDIS payments data.</w:t>
      </w:r>
    </w:p>
    <w:p w14:paraId="4339556C" w14:textId="026D73B2" w:rsidR="00B30728" w:rsidRDefault="00B30728" w:rsidP="00B30728">
      <w:r w:rsidRPr="002B120B">
        <w:rPr>
          <w:color w:val="2B579A"/>
          <w:shd w:val="clear" w:color="auto" w:fill="E6E6E6"/>
        </w:rPr>
        <w:fldChar w:fldCharType="begin"/>
      </w:r>
      <w:r w:rsidRPr="002B120B">
        <w:instrText xml:space="preserve"> REF _Ref116549417 \h  \* MERGEFORMAT </w:instrText>
      </w:r>
      <w:r w:rsidRPr="002B120B">
        <w:rPr>
          <w:color w:val="2B579A"/>
          <w:shd w:val="clear" w:color="auto" w:fill="E6E6E6"/>
        </w:rPr>
      </w:r>
      <w:r w:rsidRPr="002B120B">
        <w:rPr>
          <w:color w:val="2B579A"/>
          <w:shd w:val="clear" w:color="auto" w:fill="E6E6E6"/>
        </w:rPr>
        <w:fldChar w:fldCharType="separate"/>
      </w:r>
      <w:r w:rsidR="00DE04FA">
        <w:t xml:space="preserve">Figure </w:t>
      </w:r>
      <w:r w:rsidR="00DE04FA">
        <w:rPr>
          <w:noProof/>
        </w:rPr>
        <w:t>7</w:t>
      </w:r>
      <w:r w:rsidRPr="002B120B">
        <w:rPr>
          <w:color w:val="2B579A"/>
          <w:shd w:val="clear" w:color="auto" w:fill="E6E6E6"/>
        </w:rPr>
        <w:fldChar w:fldCharType="end"/>
      </w:r>
      <w:r>
        <w:t xml:space="preserve"> shows that for Capacity Building supports, the ATE across all Trial LGAs was -$94 per month</w:t>
      </w:r>
      <w:r w:rsidR="00711295">
        <w:t>,</w:t>
      </w:r>
      <w:r>
        <w:t xml:space="preserve"> which is not statistically different from zer</w:t>
      </w:r>
      <w:r w:rsidRPr="002B120B">
        <w:t>o</w:t>
      </w:r>
      <w:r>
        <w:t>. This suggests that as with Core supports, the market facilitation trials did not have a significant impact on participant use of Capacity Building supports.</w:t>
      </w:r>
    </w:p>
    <w:p w14:paraId="098ED998" w14:textId="68C6DE30" w:rsidR="00B30728" w:rsidRDefault="00B30728" w:rsidP="00B30728">
      <w:r>
        <w:t xml:space="preserve">The only significant ATEs for Capacity Building supports were in Junee (NSW) and West Arnhem (NT) </w:t>
      </w:r>
      <w:r w:rsidRPr="002B120B">
        <w:t>(</w:t>
      </w:r>
      <w:r w:rsidRPr="002B120B">
        <w:rPr>
          <w:color w:val="2B579A"/>
          <w:shd w:val="clear" w:color="auto" w:fill="E6E6E6"/>
        </w:rPr>
        <w:fldChar w:fldCharType="begin"/>
      </w:r>
      <w:r w:rsidRPr="002B120B">
        <w:instrText xml:space="preserve"> REF _Ref116549417 \h  \* MERGEFORMAT </w:instrText>
      </w:r>
      <w:r w:rsidRPr="002B120B">
        <w:rPr>
          <w:color w:val="2B579A"/>
          <w:shd w:val="clear" w:color="auto" w:fill="E6E6E6"/>
        </w:rPr>
      </w:r>
      <w:r w:rsidRPr="002B120B">
        <w:rPr>
          <w:color w:val="2B579A"/>
          <w:shd w:val="clear" w:color="auto" w:fill="E6E6E6"/>
        </w:rPr>
        <w:fldChar w:fldCharType="separate"/>
      </w:r>
      <w:r w:rsidR="00DE04FA">
        <w:t xml:space="preserve">Figure </w:t>
      </w:r>
      <w:r w:rsidR="00DE04FA">
        <w:rPr>
          <w:noProof/>
        </w:rPr>
        <w:t>7</w:t>
      </w:r>
      <w:r w:rsidRPr="002B120B">
        <w:rPr>
          <w:color w:val="2B579A"/>
          <w:shd w:val="clear" w:color="auto" w:fill="E6E6E6"/>
        </w:rPr>
        <w:fldChar w:fldCharType="end"/>
      </w:r>
      <w:r>
        <w:t>). In Junee, the change in average use of Capacity Building supports in the 10-months after the trial started was $145 more than for similar participants in non-Trial LGAs. However, in West Arnhem the average change was $663 less than for similar participants in non-Trial LGAs.</w:t>
      </w:r>
    </w:p>
    <w:p w14:paraId="483E4907" w14:textId="0615DAFD" w:rsidR="00B30728" w:rsidRDefault="00B30728" w:rsidP="00B30728">
      <w:pPr>
        <w:pStyle w:val="Caption"/>
      </w:pPr>
      <w:bookmarkStart w:id="100" w:name="_Ref116549417"/>
      <w:r>
        <w:lastRenderedPageBreak/>
        <w:t xml:space="preserve">Figure </w:t>
      </w:r>
      <w:r>
        <w:fldChar w:fldCharType="begin"/>
      </w:r>
      <w:r>
        <w:instrText>SEQ Figure \* ARABIC</w:instrText>
      </w:r>
      <w:r>
        <w:fldChar w:fldCharType="separate"/>
      </w:r>
      <w:r w:rsidR="00DE04FA">
        <w:rPr>
          <w:noProof/>
        </w:rPr>
        <w:t>7</w:t>
      </w:r>
      <w:r>
        <w:fldChar w:fldCharType="end"/>
      </w:r>
      <w:bookmarkEnd w:id="100"/>
      <w:r>
        <w:t xml:space="preserve">: Average treatment effect </w:t>
      </w:r>
      <w:r w:rsidR="00483072">
        <w:t xml:space="preserve">(ATE) </w:t>
      </w:r>
      <w:r>
        <w:t>of market facilitation on Capacity Building supports</w:t>
      </w:r>
    </w:p>
    <w:p w14:paraId="73C8BD04" w14:textId="77777777" w:rsidR="00D01844" w:rsidRPr="00D01844" w:rsidRDefault="00D01844" w:rsidP="00D01844">
      <w:pPr>
        <w:pStyle w:val="Source"/>
        <w:keepNext/>
      </w:pPr>
      <w:r>
        <w:t xml:space="preserve">Note: Comparison period is 10 </w:t>
      </w:r>
      <w:r w:rsidRPr="005B29FE">
        <w:t>months before market facilitation trial commenced versus 10 months before</w:t>
      </w:r>
    </w:p>
    <w:p w14:paraId="18845CD9" w14:textId="3102B0B2" w:rsidR="00B30728" w:rsidRDefault="00C70039" w:rsidP="00B30728">
      <w:r>
        <w:rPr>
          <w:noProof/>
        </w:rPr>
        <w:drawing>
          <wp:inline distT="0" distB="0" distL="0" distR="0" wp14:anchorId="4F41772D" wp14:editId="09BD5518">
            <wp:extent cx="5534025" cy="4257675"/>
            <wp:effectExtent l="0" t="0" r="0" b="0"/>
            <wp:docPr id="14" name="Chart 14" descr="Figure 7 is a 'forest plot' graph showing the Average treatment effect (ATE) of market facilitation on Capacity Building support. For Capacity Building supports, the ATE across all Trial LGAs was -$94 per month, which is not statistically different from zero. The only significant ATEs for Capacity Building supports were in Junee (NSW) and West Arnhem (NT). "/>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356E56C" w14:textId="77777777" w:rsidR="00E86F34" w:rsidRDefault="00E86F34" w:rsidP="00E86F34">
      <w:pPr>
        <w:pStyle w:val="Source"/>
        <w:keepNext/>
        <w:contextualSpacing w:val="0"/>
      </w:pPr>
      <w:r w:rsidRPr="002A6490">
        <w:t>Source:</w:t>
      </w:r>
      <w:r>
        <w:t xml:space="preserve"> Research and Evaluation Branch analysis of NDIS payments data.</w:t>
      </w:r>
    </w:p>
    <w:p w14:paraId="4FD5F808" w14:textId="77777777" w:rsidR="00B30728" w:rsidRDefault="00B30728" w:rsidP="004E287B">
      <w:pPr>
        <w:pStyle w:val="Heading5"/>
      </w:pPr>
      <w:r>
        <w:t>Month-by-month impact of market facilitation</w:t>
      </w:r>
    </w:p>
    <w:p w14:paraId="5E991D2D" w14:textId="52B02838" w:rsidR="00B30728" w:rsidRDefault="00B30728" w:rsidP="00B30728">
      <w:r>
        <w:t>The above results comparing expenditure across 10 combined months either side of the trials starting suggests that in most cases market facilitation did not have a significant impact. This could be because the impacts were not sustainable over 10-months. To explore this, we calculated and plotted the ATEs for to</w:t>
      </w:r>
      <w:r w:rsidR="009A29BE">
        <w:t>t</w:t>
      </w:r>
      <w:r>
        <w:t xml:space="preserve">al expenditure across all </w:t>
      </w:r>
      <w:r w:rsidR="00AC3543">
        <w:t>t</w:t>
      </w:r>
      <w:r>
        <w:t>rial participants month-by-month (</w:t>
      </w:r>
      <w:r w:rsidRPr="00720798">
        <w:rPr>
          <w:color w:val="2B579A"/>
          <w:shd w:val="clear" w:color="auto" w:fill="E6E6E6"/>
        </w:rPr>
        <w:fldChar w:fldCharType="begin"/>
      </w:r>
      <w:r w:rsidRPr="00720798">
        <w:instrText xml:space="preserve"> REF _Ref116393400 \h  \* MERGEFORMAT </w:instrText>
      </w:r>
      <w:r w:rsidRPr="00720798">
        <w:rPr>
          <w:color w:val="2B579A"/>
          <w:shd w:val="clear" w:color="auto" w:fill="E6E6E6"/>
        </w:rPr>
      </w:r>
      <w:r w:rsidRPr="00720798">
        <w:rPr>
          <w:color w:val="2B579A"/>
          <w:shd w:val="clear" w:color="auto" w:fill="E6E6E6"/>
        </w:rPr>
        <w:fldChar w:fldCharType="separate"/>
      </w:r>
      <w:r w:rsidR="00DE04FA">
        <w:t xml:space="preserve">Figure </w:t>
      </w:r>
      <w:r w:rsidR="00DE04FA">
        <w:rPr>
          <w:noProof/>
        </w:rPr>
        <w:t>8</w:t>
      </w:r>
      <w:r w:rsidRPr="00720798">
        <w:rPr>
          <w:color w:val="2B579A"/>
          <w:shd w:val="clear" w:color="auto" w:fill="E6E6E6"/>
        </w:rPr>
        <w:fldChar w:fldCharType="end"/>
      </w:r>
      <w:r>
        <w:t xml:space="preserve">). As there is some uncertainty exactly when market facilitation activities began, we considered the start of trials to be one month either side of the start date (indicated by the shaded area). </w:t>
      </w:r>
    </w:p>
    <w:p w14:paraId="3301321F" w14:textId="363EAF25" w:rsidR="00B30728" w:rsidRDefault="00B30728" w:rsidP="00B30728">
      <w:r>
        <w:t>The analysis shows that on average, there is a significant jump in total expenditure one month either side of the start date across all market facilitation trials (</w:t>
      </w:r>
      <w:r w:rsidR="00D96870">
        <w:t>+</w:t>
      </w:r>
      <w:r>
        <w:t>$25,000 per month) (</w:t>
      </w:r>
      <w:r w:rsidRPr="00720798">
        <w:rPr>
          <w:color w:val="2B579A"/>
          <w:shd w:val="clear" w:color="auto" w:fill="E6E6E6"/>
        </w:rPr>
        <w:fldChar w:fldCharType="begin"/>
      </w:r>
      <w:r w:rsidRPr="00720798">
        <w:instrText xml:space="preserve"> REF _Ref116393400 \h  \* MERGEFORMAT </w:instrText>
      </w:r>
      <w:r w:rsidRPr="00720798">
        <w:rPr>
          <w:color w:val="2B579A"/>
          <w:shd w:val="clear" w:color="auto" w:fill="E6E6E6"/>
        </w:rPr>
      </w:r>
      <w:r w:rsidRPr="00720798">
        <w:rPr>
          <w:color w:val="2B579A"/>
          <w:shd w:val="clear" w:color="auto" w:fill="E6E6E6"/>
        </w:rPr>
        <w:fldChar w:fldCharType="separate"/>
      </w:r>
      <w:r w:rsidR="00DE04FA">
        <w:t xml:space="preserve">Figure </w:t>
      </w:r>
      <w:r w:rsidR="00DE04FA">
        <w:rPr>
          <w:noProof/>
        </w:rPr>
        <w:t>8</w:t>
      </w:r>
      <w:r w:rsidRPr="00720798">
        <w:rPr>
          <w:color w:val="2B579A"/>
          <w:shd w:val="clear" w:color="auto" w:fill="E6E6E6"/>
        </w:rPr>
        <w:fldChar w:fldCharType="end"/>
      </w:r>
      <w:r>
        <w:t xml:space="preserve">). This quickly diminishes and by three months the ATEs are statistically </w:t>
      </w:r>
      <w:r w:rsidR="006A30A9">
        <w:t>the same as</w:t>
      </w:r>
      <w:r>
        <w:t xml:space="preserve"> most months prior to the start of trials. This suggests that the trials may have had an immediate </w:t>
      </w:r>
      <w:r w:rsidR="0026250E">
        <w:t xml:space="preserve">but not sustained </w:t>
      </w:r>
      <w:r>
        <w:t>impact</w:t>
      </w:r>
      <w:r w:rsidR="00174F78">
        <w:t xml:space="preserve">. </w:t>
      </w:r>
    </w:p>
    <w:p w14:paraId="4FECA2E2" w14:textId="7367F152" w:rsidR="00B30728" w:rsidRDefault="00B30728" w:rsidP="00B30728">
      <w:pPr>
        <w:pStyle w:val="Caption"/>
      </w:pPr>
      <w:bookmarkStart w:id="101" w:name="_Ref116393400"/>
      <w:r>
        <w:lastRenderedPageBreak/>
        <w:t xml:space="preserve">Figure </w:t>
      </w:r>
      <w:r>
        <w:fldChar w:fldCharType="begin"/>
      </w:r>
      <w:r>
        <w:instrText>SEQ Figure \* ARABIC</w:instrText>
      </w:r>
      <w:r>
        <w:fldChar w:fldCharType="separate"/>
      </w:r>
      <w:r w:rsidR="00DE04FA">
        <w:rPr>
          <w:noProof/>
        </w:rPr>
        <w:t>8</w:t>
      </w:r>
      <w:r>
        <w:fldChar w:fldCharType="end"/>
      </w:r>
      <w:bookmarkEnd w:id="101"/>
      <w:r>
        <w:t xml:space="preserve">: Average treatment effect </w:t>
      </w:r>
      <w:r w:rsidR="00174F78">
        <w:t>(ATE)</w:t>
      </w:r>
      <w:r w:rsidR="006F3583">
        <w:t xml:space="preserve"> </w:t>
      </w:r>
      <w:r>
        <w:t>of market facilitation on participant spend by month</w:t>
      </w:r>
    </w:p>
    <w:p w14:paraId="443186DA" w14:textId="0EA9BC87" w:rsidR="00B30728" w:rsidRDefault="003A3713" w:rsidP="00B30728">
      <w:r>
        <w:rPr>
          <w:noProof/>
        </w:rPr>
        <w:drawing>
          <wp:inline distT="0" distB="0" distL="0" distR="0" wp14:anchorId="20B24BD4" wp14:editId="517EBE71">
            <wp:extent cx="5486400" cy="3200400"/>
            <wp:effectExtent l="0" t="0" r="0" b="0"/>
            <wp:docPr id="20" name="Chart 20" descr="Figure 8 is a 'forest plot' graph showing the average treatment effect (ATE) of market facilitation on participant spend by month. The analysis shows that on average, there is a significant jump in total expenditure one month either side of the start date across all market facilitation trials (+$25,000 per month). This quickly diminishes and by three months the ATEs are statistically the same as most months prior to the start of trials. This suggests that the trials may have had an immediate but not sustained impac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B0F2F5D" w14:textId="77777777" w:rsidR="00B30728" w:rsidRPr="001435D9" w:rsidRDefault="00B30728" w:rsidP="00B30728">
      <w:pPr>
        <w:rPr>
          <w:sz w:val="18"/>
        </w:rPr>
      </w:pPr>
      <w:r w:rsidRPr="001435D9">
        <w:rPr>
          <w:sz w:val="18"/>
        </w:rPr>
        <w:t>Source: Research and Evaluation Branch analysis of NDIS payments data.</w:t>
      </w:r>
    </w:p>
    <w:p w14:paraId="5098D847" w14:textId="77777777" w:rsidR="00B30728" w:rsidRDefault="00B30728" w:rsidP="00A01FA6">
      <w:pPr>
        <w:pStyle w:val="Heading4"/>
      </w:pPr>
      <w:r>
        <w:t>Market indicators</w:t>
      </w:r>
    </w:p>
    <w:p w14:paraId="12ADFF4D" w14:textId="199F25CF" w:rsidR="00B30728" w:rsidRDefault="00B30728" w:rsidP="00B30728">
      <w:r>
        <w:t xml:space="preserve">LGA-level analyses were undertaken (refer </w:t>
      </w:r>
      <w:r w:rsidR="005A5AE2">
        <w:t>section</w:t>
      </w:r>
      <w:r>
        <w:t xml:space="preserve"> </w:t>
      </w:r>
      <w:r w:rsidR="005A5AE2">
        <w:rPr>
          <w:color w:val="2B579A"/>
          <w:highlight w:val="yellow"/>
          <w:shd w:val="clear" w:color="auto" w:fill="E6E6E6"/>
        </w:rPr>
        <w:fldChar w:fldCharType="begin"/>
      </w:r>
      <w:r w:rsidR="005A5AE2">
        <w:instrText xml:space="preserve"> REF _Ref119069754 \r \h </w:instrText>
      </w:r>
      <w:r w:rsidR="005A5AE2">
        <w:rPr>
          <w:color w:val="2B579A"/>
          <w:highlight w:val="yellow"/>
          <w:shd w:val="clear" w:color="auto" w:fill="E6E6E6"/>
        </w:rPr>
      </w:r>
      <w:r w:rsidR="005A5AE2">
        <w:rPr>
          <w:color w:val="2B579A"/>
          <w:highlight w:val="yellow"/>
          <w:shd w:val="clear" w:color="auto" w:fill="E6E6E6"/>
        </w:rPr>
        <w:fldChar w:fldCharType="separate"/>
      </w:r>
      <w:r w:rsidR="00DE04FA">
        <w:t>2.4</w:t>
      </w:r>
      <w:r w:rsidR="005A5AE2">
        <w:rPr>
          <w:color w:val="2B579A"/>
          <w:highlight w:val="yellow"/>
          <w:shd w:val="clear" w:color="auto" w:fill="E6E6E6"/>
        </w:rPr>
        <w:fldChar w:fldCharType="end"/>
      </w:r>
      <w:r>
        <w:t xml:space="preserve"> for details) to assess the impact of market facilitation on the provider market in target LGAs.</w:t>
      </w:r>
      <w:r w:rsidR="00BE25B9">
        <w:t xml:space="preserve"> </w:t>
      </w:r>
      <w:r w:rsidR="004E287B">
        <w:t>Note that d</w:t>
      </w:r>
      <w:r w:rsidR="00BE25B9" w:rsidRPr="00BE25B9">
        <w:t>ue to</w:t>
      </w:r>
      <w:r w:rsidR="00C26FEB">
        <w:t xml:space="preserve"> the</w:t>
      </w:r>
      <w:r w:rsidR="00BE25B9" w:rsidRPr="00BE25B9">
        <w:t xml:space="preserve"> way that the NDIA captures data related to plan-managed and self-managed participants, the number of active providers is likely an underestimate.</w:t>
      </w:r>
    </w:p>
    <w:p w14:paraId="3827E8D7" w14:textId="77777777" w:rsidR="00B30728" w:rsidRDefault="00B30728" w:rsidP="004E287B">
      <w:pPr>
        <w:pStyle w:val="Heading5"/>
      </w:pPr>
      <w:r>
        <w:t>Active providers</w:t>
      </w:r>
    </w:p>
    <w:p w14:paraId="6E1C5EF6" w14:textId="2DF11EF4" w:rsidR="00B30728" w:rsidRPr="00657317" w:rsidRDefault="00B30728" w:rsidP="00B30728">
      <w:r>
        <w:rPr>
          <w:color w:val="2B579A"/>
          <w:shd w:val="clear" w:color="auto" w:fill="E6E6E6"/>
        </w:rPr>
        <w:fldChar w:fldCharType="begin"/>
      </w:r>
      <w:r>
        <w:instrText xml:space="preserve"> REF _Ref118283277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9</w:t>
      </w:r>
      <w:r>
        <w:rPr>
          <w:color w:val="2B579A"/>
          <w:shd w:val="clear" w:color="auto" w:fill="E6E6E6"/>
        </w:rPr>
        <w:fldChar w:fldCharType="end"/>
      </w:r>
      <w:r>
        <w:t xml:space="preserve"> shows the change in active providers</w:t>
      </w:r>
      <w:r>
        <w:rPr>
          <w:rStyle w:val="FootnoteReference"/>
        </w:rPr>
        <w:footnoteReference w:id="8"/>
      </w:r>
      <w:r>
        <w:t xml:space="preserve"> over the market facilitation period compared to the 10 months prior. It shows the largest increase in active providers was in MacDonnell (+13) followed by Barkly (+9), while the greatest decrease was in Walgett (-4).</w:t>
      </w:r>
    </w:p>
    <w:p w14:paraId="517401EC" w14:textId="647D5BAA" w:rsidR="00B30728" w:rsidRDefault="00B30728" w:rsidP="00B30728">
      <w:pPr>
        <w:pStyle w:val="Caption"/>
      </w:pPr>
      <w:bookmarkStart w:id="102" w:name="_Ref118283277"/>
      <w:r>
        <w:lastRenderedPageBreak/>
        <w:t xml:space="preserve">Figure </w:t>
      </w:r>
      <w:r>
        <w:fldChar w:fldCharType="begin"/>
      </w:r>
      <w:r>
        <w:instrText>SEQ Figure \* ARABIC</w:instrText>
      </w:r>
      <w:r>
        <w:fldChar w:fldCharType="separate"/>
      </w:r>
      <w:r w:rsidR="00DE04FA">
        <w:rPr>
          <w:noProof/>
        </w:rPr>
        <w:t>9</w:t>
      </w:r>
      <w:r>
        <w:fldChar w:fldCharType="end"/>
      </w:r>
      <w:bookmarkEnd w:id="102"/>
      <w:r>
        <w:t>: Change in number of active providers</w:t>
      </w:r>
    </w:p>
    <w:p w14:paraId="51740CD5" w14:textId="77777777" w:rsidR="00D01844" w:rsidRPr="00D01844" w:rsidRDefault="00D01844" w:rsidP="00D01844">
      <w:pPr>
        <w:pStyle w:val="Source"/>
        <w:keepNext/>
      </w:pPr>
      <w:r>
        <w:t xml:space="preserve">Note: Comparison period is 10 </w:t>
      </w:r>
      <w:r w:rsidRPr="005B29FE">
        <w:t>months before market facilitation trial commenced versus 10 months before</w:t>
      </w:r>
    </w:p>
    <w:p w14:paraId="6A7A8CA1" w14:textId="2521CA98" w:rsidR="00B30728" w:rsidRDefault="00B85481" w:rsidP="00B30728">
      <w:pPr>
        <w:keepNext/>
      </w:pPr>
      <w:r w:rsidRPr="00525623">
        <w:rPr>
          <w:noProof/>
          <w:shd w:val="clear" w:color="auto" w:fill="822E08"/>
        </w:rPr>
        <w:drawing>
          <wp:inline distT="0" distB="0" distL="0" distR="0" wp14:anchorId="1C65F02E" wp14:editId="763D842B">
            <wp:extent cx="5731510" cy="6146053"/>
            <wp:effectExtent l="0" t="0" r="2540" b="7620"/>
            <wp:docPr id="22" name="Chart 22" descr="Figure 9 is a graph showing the change in active providers over the market facilitation period compared to the 10 months prior in each target LGA. It shows the largest increase in active providers was in MacDonnell (+13) followed by Barkly (+9), while the greatest decrease was in Walget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4752B0A" w14:textId="77777777" w:rsidR="00F1636B" w:rsidRDefault="00F1636B" w:rsidP="00F1636B">
      <w:pPr>
        <w:pStyle w:val="Source"/>
        <w:keepNext/>
        <w:contextualSpacing w:val="0"/>
      </w:pPr>
      <w:r w:rsidRPr="002A6490">
        <w:t>Source:</w:t>
      </w:r>
      <w:r>
        <w:t xml:space="preserve"> Research and Evaluation Branch analysis of NDIS payments data.</w:t>
      </w:r>
    </w:p>
    <w:p w14:paraId="7F48E2E1" w14:textId="5390EE84" w:rsidR="00B30728" w:rsidRDefault="00013317" w:rsidP="00B30728">
      <w:r>
        <w:t xml:space="preserve">The </w:t>
      </w:r>
      <w:r w:rsidR="00F02DE5">
        <w:t>analyses</w:t>
      </w:r>
      <w:r>
        <w:t xml:space="preserve"> show that market facilitation has not had an impact on the number of providers in target LGAs.</w:t>
      </w:r>
      <w:r w:rsidR="00F02DE5">
        <w:rPr>
          <w:rStyle w:val="FootnoteReference"/>
        </w:rPr>
        <w:footnoteReference w:id="9"/>
      </w:r>
      <w:r>
        <w:t xml:space="preserve"> </w:t>
      </w:r>
      <w:r w:rsidR="00B30728">
        <w:t>The analyses show that the largest increase in active providers during market facilitation trials was in MacDonnell (NT) (</w:t>
      </w:r>
      <w:r w:rsidR="00BD3D5F">
        <w:t>+</w:t>
      </w:r>
      <w:r w:rsidR="00B30728">
        <w:t>7.04)</w:t>
      </w:r>
      <w:r w:rsidR="003E6523">
        <w:t xml:space="preserve"> and t</w:t>
      </w:r>
      <w:r w:rsidR="00B30728">
        <w:t xml:space="preserve">he largest decrease in Walgett </w:t>
      </w:r>
      <w:r w:rsidR="00B30728">
        <w:lastRenderedPageBreak/>
        <w:t xml:space="preserve">(NSW) (-5.15). However, </w:t>
      </w:r>
      <w:r w:rsidR="006441F2">
        <w:t>the results suggest that the probability of these changes</w:t>
      </w:r>
      <w:r w:rsidR="00B30728">
        <w:t xml:space="preserve">, and those for any other LGA, </w:t>
      </w:r>
      <w:r w:rsidR="006441F2">
        <w:t>is random rather than systematic</w:t>
      </w:r>
      <w:r w:rsidR="00B30728">
        <w:t xml:space="preserve"> (</w:t>
      </w:r>
      <w:r w:rsidR="00B30728" w:rsidRPr="005358B3">
        <w:rPr>
          <w:color w:val="2B579A"/>
          <w:shd w:val="clear" w:color="auto" w:fill="E6E6E6"/>
        </w:rPr>
        <w:fldChar w:fldCharType="begin"/>
      </w:r>
      <w:r w:rsidR="00B30728" w:rsidRPr="005358B3">
        <w:instrText xml:space="preserve"> REF _Ref116562828 \h  \* MERGEFORMAT </w:instrText>
      </w:r>
      <w:r w:rsidR="00B30728" w:rsidRPr="005358B3">
        <w:rPr>
          <w:color w:val="2B579A"/>
          <w:shd w:val="clear" w:color="auto" w:fill="E6E6E6"/>
        </w:rPr>
      </w:r>
      <w:r w:rsidR="00B30728" w:rsidRPr="005358B3">
        <w:rPr>
          <w:color w:val="2B579A"/>
          <w:shd w:val="clear" w:color="auto" w:fill="E6E6E6"/>
        </w:rPr>
        <w:fldChar w:fldCharType="separate"/>
      </w:r>
      <w:r w:rsidR="00DE04FA">
        <w:t xml:space="preserve">Figure </w:t>
      </w:r>
      <w:r w:rsidR="00DE04FA">
        <w:rPr>
          <w:noProof/>
        </w:rPr>
        <w:t>10</w:t>
      </w:r>
      <w:r w:rsidR="00B30728" w:rsidRPr="005358B3">
        <w:rPr>
          <w:color w:val="2B579A"/>
          <w:shd w:val="clear" w:color="auto" w:fill="E6E6E6"/>
        </w:rPr>
        <w:fldChar w:fldCharType="end"/>
      </w:r>
      <w:r w:rsidR="00B30728">
        <w:t xml:space="preserve">). </w:t>
      </w:r>
    </w:p>
    <w:p w14:paraId="2A34C50E" w14:textId="40531D2D" w:rsidR="00B30728" w:rsidRDefault="00B30728" w:rsidP="00B30728">
      <w:pPr>
        <w:pStyle w:val="Caption"/>
      </w:pPr>
      <w:bookmarkStart w:id="103" w:name="_Ref116562828"/>
      <w:bookmarkStart w:id="104" w:name="_Ref116562737"/>
      <w:r>
        <w:t xml:space="preserve">Figure </w:t>
      </w:r>
      <w:r>
        <w:fldChar w:fldCharType="begin"/>
      </w:r>
      <w:r>
        <w:instrText>SEQ Figure \* ARABIC</w:instrText>
      </w:r>
      <w:r>
        <w:fldChar w:fldCharType="separate"/>
      </w:r>
      <w:r w:rsidR="00DE04FA">
        <w:rPr>
          <w:noProof/>
        </w:rPr>
        <w:t>10</w:t>
      </w:r>
      <w:r>
        <w:fldChar w:fldCharType="end"/>
      </w:r>
      <w:bookmarkEnd w:id="103"/>
      <w:r>
        <w:t xml:space="preserve">: Estimated change in number of active providers due to market facilitation </w:t>
      </w:r>
      <w:bookmarkEnd w:id="104"/>
      <w:r>
        <w:t xml:space="preserve">trials </w:t>
      </w:r>
    </w:p>
    <w:p w14:paraId="54540934" w14:textId="77777777" w:rsidR="007B703F" w:rsidRPr="00D01844" w:rsidRDefault="007B703F" w:rsidP="007B703F">
      <w:pPr>
        <w:pStyle w:val="Source"/>
        <w:keepNext/>
      </w:pPr>
      <w:r>
        <w:t xml:space="preserve">Note: Comparison period is 10 </w:t>
      </w:r>
      <w:r w:rsidRPr="005B29FE">
        <w:t>months before market facilitation trial commenced versus 10 months before</w:t>
      </w:r>
    </w:p>
    <w:p w14:paraId="4578728B" w14:textId="3D1BB659" w:rsidR="00B30728" w:rsidRDefault="005D6547" w:rsidP="00B30728">
      <w:r>
        <w:rPr>
          <w:noProof/>
        </w:rPr>
        <w:drawing>
          <wp:inline distT="0" distB="0" distL="0" distR="0" wp14:anchorId="6B2F4FE5" wp14:editId="1118F3B0">
            <wp:extent cx="5534025" cy="6172200"/>
            <wp:effectExtent l="0" t="0" r="0" b="0"/>
            <wp:docPr id="23" name="Chart 23" descr="Figure 10 is a 'forest plot' graph showing the estimated change in number of active providers due to market facilitation trials in each target LGA, The analyses show that the largest increase in active providers during market facilitation trials was in MacDonnell (NT) (+7.04) and the largest decrease in Walgett (NSW) (-5.15). "/>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BCBC33D" w14:textId="77777777" w:rsidR="00F1636B" w:rsidRDefault="00F1636B" w:rsidP="00F1636B">
      <w:pPr>
        <w:pStyle w:val="Source"/>
        <w:keepNext/>
        <w:contextualSpacing w:val="0"/>
      </w:pPr>
      <w:bookmarkStart w:id="105" w:name="_Hlk118119043"/>
      <w:r w:rsidRPr="002A6490">
        <w:t>Source:</w:t>
      </w:r>
      <w:r>
        <w:t xml:space="preserve"> Research and Evaluation Branch analysis of NDIS payments data.</w:t>
      </w:r>
    </w:p>
    <w:p w14:paraId="79DD2452" w14:textId="77777777" w:rsidR="00B30728" w:rsidRDefault="00B30728" w:rsidP="004E287B">
      <w:pPr>
        <w:pStyle w:val="Heading5"/>
      </w:pPr>
      <w:r>
        <w:t>Participant-to-provider ratio</w:t>
      </w:r>
    </w:p>
    <w:p w14:paraId="33C74830" w14:textId="3B2C5F0D" w:rsidR="00B30728" w:rsidRPr="009B6B34" w:rsidRDefault="00B30728" w:rsidP="00B30728">
      <w:r>
        <w:rPr>
          <w:color w:val="2B579A"/>
          <w:shd w:val="clear" w:color="auto" w:fill="E6E6E6"/>
        </w:rPr>
        <w:fldChar w:fldCharType="begin"/>
      </w:r>
      <w:r>
        <w:instrText xml:space="preserve"> REF _Ref118292754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11</w:t>
      </w:r>
      <w:r>
        <w:rPr>
          <w:color w:val="2B579A"/>
          <w:shd w:val="clear" w:color="auto" w:fill="E6E6E6"/>
        </w:rPr>
        <w:fldChar w:fldCharType="end"/>
      </w:r>
      <w:r>
        <w:t xml:space="preserve"> shows the change in participant/provider ratio in the market facilitation periods compared to 10 months prior. In most LGAs, the participant/provider ratio increased. The largest increases were in Woorabinda (+4.83), Doomadgee (+3.2), Mornington (+3.0) and the Tiwi Islands (+2.03). This indicates that even though new providers entered these LGAs, </w:t>
      </w:r>
      <w:r>
        <w:lastRenderedPageBreak/>
        <w:t xml:space="preserve">the number of new participants increased at a faster rate. In other market facilitation trial LGAs the change in the participant/provider ratio was generally less than </w:t>
      </w:r>
      <w:r w:rsidR="00DB5C81">
        <w:t xml:space="preserve">plus or minus </w:t>
      </w:r>
      <w:r>
        <w:t>1.0 suggesting little if any material change.</w:t>
      </w:r>
    </w:p>
    <w:p w14:paraId="7F293093" w14:textId="6C5DC06D" w:rsidR="00B30728" w:rsidRDefault="00B30728" w:rsidP="00B30728">
      <w:pPr>
        <w:pStyle w:val="Caption"/>
      </w:pPr>
      <w:bookmarkStart w:id="106" w:name="_Ref118292754"/>
      <w:r>
        <w:t xml:space="preserve">Figure </w:t>
      </w:r>
      <w:r>
        <w:fldChar w:fldCharType="begin"/>
      </w:r>
      <w:r>
        <w:instrText>SEQ Figure \* ARABIC</w:instrText>
      </w:r>
      <w:r>
        <w:fldChar w:fldCharType="separate"/>
      </w:r>
      <w:r w:rsidR="00DE04FA">
        <w:rPr>
          <w:noProof/>
        </w:rPr>
        <w:t>11</w:t>
      </w:r>
      <w:r>
        <w:fldChar w:fldCharType="end"/>
      </w:r>
      <w:bookmarkEnd w:id="106"/>
      <w:r>
        <w:t>: Change in participant/provider ratio</w:t>
      </w:r>
    </w:p>
    <w:p w14:paraId="19042728" w14:textId="77777777" w:rsidR="007B703F" w:rsidRPr="00D01844" w:rsidRDefault="007B703F" w:rsidP="007B703F">
      <w:pPr>
        <w:pStyle w:val="Source"/>
        <w:keepNext/>
      </w:pPr>
      <w:r>
        <w:t xml:space="preserve">Note: Comparison period is 10 </w:t>
      </w:r>
      <w:r w:rsidRPr="005B29FE">
        <w:t>months before market facilitation trial commenced versus 10 months before</w:t>
      </w:r>
    </w:p>
    <w:p w14:paraId="6A39811E" w14:textId="6235E05D" w:rsidR="00B30728" w:rsidRDefault="00A00C79" w:rsidP="00B30728">
      <w:r w:rsidRPr="00525623">
        <w:rPr>
          <w:noProof/>
          <w:shd w:val="clear" w:color="auto" w:fill="822E08"/>
        </w:rPr>
        <w:drawing>
          <wp:inline distT="0" distB="0" distL="0" distR="0" wp14:anchorId="47ED2906" wp14:editId="71E794D0">
            <wp:extent cx="5731510" cy="6145530"/>
            <wp:effectExtent l="0" t="0" r="2540" b="7620"/>
            <wp:docPr id="5" name="Chart 5" descr="Figure 11 is a bar graph that shows the change in participant/provider ratio in the market facilitation periods compared to 10 months prior in each LGA. In most LGAs, the participant/provider ratio increased. The largest increases were in Woorabinda (+4.83), Doomadgee (+3.2), Mornington (+3.0) and the Tiwi Islands (+2.03). "/>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06216BE" w14:textId="77777777" w:rsidR="00F1636B" w:rsidRDefault="00F1636B" w:rsidP="00F1636B">
      <w:pPr>
        <w:pStyle w:val="Source"/>
        <w:keepNext/>
        <w:contextualSpacing w:val="0"/>
      </w:pPr>
      <w:r w:rsidRPr="002A6490">
        <w:t>Source:</w:t>
      </w:r>
      <w:r>
        <w:t xml:space="preserve"> Research and Evaluation Branch analysis of NDIS payments data.</w:t>
      </w:r>
    </w:p>
    <w:p w14:paraId="6BAF4F38" w14:textId="1362EFB6" w:rsidR="006441F2" w:rsidRDefault="00D329C8" w:rsidP="00B30728">
      <w:r>
        <w:t xml:space="preserve">The </w:t>
      </w:r>
      <w:r w:rsidR="00B30728">
        <w:t xml:space="preserve">analyses show that across the trial LGAs, there was little change in participant-to-provider ratios in the 10-months after trials started compared to similar LGAs. </w:t>
      </w:r>
      <w:r w:rsidR="006441F2">
        <w:t>T</w:t>
      </w:r>
      <w:r w:rsidR="00B30728">
        <w:t>he biggest increases were in Mornington (Qld) (+3.69) and Woorabinda (Qld) (+3.04) (</w:t>
      </w:r>
      <w:r w:rsidR="00B30728" w:rsidRPr="00EC61B2">
        <w:rPr>
          <w:color w:val="2B579A"/>
          <w:shd w:val="clear" w:color="auto" w:fill="E6E6E6"/>
        </w:rPr>
        <w:fldChar w:fldCharType="begin"/>
      </w:r>
      <w:r w:rsidR="00B30728" w:rsidRPr="00EC61B2">
        <w:instrText xml:space="preserve"> REF _Ref116568086 \h  \* MERGEFORMAT </w:instrText>
      </w:r>
      <w:r w:rsidR="00B30728" w:rsidRPr="00EC61B2">
        <w:rPr>
          <w:color w:val="2B579A"/>
          <w:shd w:val="clear" w:color="auto" w:fill="E6E6E6"/>
        </w:rPr>
      </w:r>
      <w:r w:rsidR="00B30728" w:rsidRPr="00EC61B2">
        <w:rPr>
          <w:color w:val="2B579A"/>
          <w:shd w:val="clear" w:color="auto" w:fill="E6E6E6"/>
        </w:rPr>
        <w:fldChar w:fldCharType="separate"/>
      </w:r>
      <w:r w:rsidR="00DE04FA">
        <w:t xml:space="preserve">Figure </w:t>
      </w:r>
      <w:r w:rsidR="00DE04FA">
        <w:rPr>
          <w:noProof/>
        </w:rPr>
        <w:t>12</w:t>
      </w:r>
      <w:r w:rsidR="00B30728" w:rsidRPr="00EC61B2">
        <w:rPr>
          <w:color w:val="2B579A"/>
          <w:shd w:val="clear" w:color="auto" w:fill="E6E6E6"/>
        </w:rPr>
        <w:fldChar w:fldCharType="end"/>
      </w:r>
      <w:r w:rsidR="00B30728">
        <w:t>)</w:t>
      </w:r>
      <w:r w:rsidR="006441F2">
        <w:t xml:space="preserve">, although the results suggest that these changes </w:t>
      </w:r>
      <w:r w:rsidR="00E64D16">
        <w:t xml:space="preserve">were </w:t>
      </w:r>
      <w:r w:rsidR="006441F2">
        <w:t>random rather than systematic.</w:t>
      </w:r>
    </w:p>
    <w:p w14:paraId="26E74729" w14:textId="4619B053" w:rsidR="00B30728" w:rsidRDefault="00B30728" w:rsidP="00B30728">
      <w:pPr>
        <w:pStyle w:val="Caption"/>
      </w:pPr>
      <w:bookmarkStart w:id="107" w:name="_Ref116568086"/>
      <w:r>
        <w:lastRenderedPageBreak/>
        <w:t xml:space="preserve">Figure </w:t>
      </w:r>
      <w:r>
        <w:fldChar w:fldCharType="begin"/>
      </w:r>
      <w:r>
        <w:instrText>SEQ Figure \* ARABIC</w:instrText>
      </w:r>
      <w:r>
        <w:fldChar w:fldCharType="separate"/>
      </w:r>
      <w:r w:rsidR="00DE04FA">
        <w:rPr>
          <w:noProof/>
        </w:rPr>
        <w:t>12</w:t>
      </w:r>
      <w:r>
        <w:fldChar w:fldCharType="end"/>
      </w:r>
      <w:bookmarkEnd w:id="107"/>
      <w:r>
        <w:t>: Estimated change in participant-to-provider ratios due to market facilitation trials</w:t>
      </w:r>
    </w:p>
    <w:p w14:paraId="3F9B0814" w14:textId="77777777" w:rsidR="006A5F2B" w:rsidRPr="00D01844" w:rsidRDefault="006A5F2B" w:rsidP="006A5F2B">
      <w:pPr>
        <w:pStyle w:val="Source"/>
        <w:keepNext/>
      </w:pPr>
      <w:r>
        <w:t xml:space="preserve">Note: Comparison period is 10 </w:t>
      </w:r>
      <w:r w:rsidRPr="005B29FE">
        <w:t>months before market facilitation trial commenced versus 10 months before</w:t>
      </w:r>
    </w:p>
    <w:p w14:paraId="11A1C983" w14:textId="0B796687" w:rsidR="00B30728" w:rsidRDefault="00932E1C" w:rsidP="00B30728">
      <w:r>
        <w:rPr>
          <w:noProof/>
        </w:rPr>
        <w:drawing>
          <wp:inline distT="0" distB="0" distL="0" distR="0" wp14:anchorId="4B5EF6C0" wp14:editId="152CF5F3">
            <wp:extent cx="5534025" cy="6172200"/>
            <wp:effectExtent l="0" t="0" r="0" b="0"/>
            <wp:docPr id="11" name="Chart 11" descr="Figure 12 is a 'forest plot' graph showing the estimated change in participant-to-provider ratios in each LGA due to market facilitation trials. The biggest increases were in Mornington (Qld) (+3.69) and Woorabinda (Qld) (+3.04). "/>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bookmarkEnd w:id="105"/>
    <w:p w14:paraId="00866ADF" w14:textId="77777777" w:rsidR="00F1636B" w:rsidRDefault="00F1636B" w:rsidP="00F1636B">
      <w:pPr>
        <w:pStyle w:val="Source"/>
        <w:keepNext/>
        <w:contextualSpacing w:val="0"/>
      </w:pPr>
      <w:r w:rsidRPr="002A6490">
        <w:t>Source:</w:t>
      </w:r>
      <w:r>
        <w:t xml:space="preserve"> Research and Evaluation Branch analysis of NDIS payments data.</w:t>
      </w:r>
    </w:p>
    <w:p w14:paraId="043C7FD1" w14:textId="77777777" w:rsidR="00B30728" w:rsidRDefault="00B30728" w:rsidP="004E287B">
      <w:pPr>
        <w:pStyle w:val="Heading5"/>
      </w:pPr>
      <w:r>
        <w:t>Market concentration</w:t>
      </w:r>
    </w:p>
    <w:p w14:paraId="684DA334" w14:textId="78DC5A29" w:rsidR="00F61CE4" w:rsidRPr="0069000B" w:rsidRDefault="00B30728" w:rsidP="00F61CE4">
      <w:pPr>
        <w:pStyle w:val="BodyText1"/>
        <w:rPr>
          <w:sz w:val="18"/>
        </w:rPr>
      </w:pPr>
      <w:r>
        <w:t>In the context of a NDIS market, a Gini coefficient measures the distribution of expenditure on funded supports across participants or providers. A higher Gini coefficient indicates greater expenditure concentrated amongst some participants or providers.</w:t>
      </w:r>
      <w:r w:rsidR="00805013">
        <w:rPr>
          <w:rStyle w:val="FootnoteReference"/>
        </w:rPr>
        <w:footnoteReference w:id="10"/>
      </w:r>
      <w:r w:rsidR="00805013" w:rsidRPr="009C1334">
        <w:t xml:space="preserve"> </w:t>
      </w:r>
      <w:r w:rsidR="00F61CE4">
        <w:t xml:space="preserve">We sought to determine a </w:t>
      </w:r>
      <w:r w:rsidR="00F61CE4">
        <w:lastRenderedPageBreak/>
        <w:t>benchmark figure for the Gini coefficients that would help understand how the concentration of NDIS markets in trial LGAs compares to the broader NDIS. However, due to a high prevalence of plan-managed participants, which distorts the provider payment data, we could not produce reliable benchmark figures.</w:t>
      </w:r>
      <w:r w:rsidR="0091131E">
        <w:t xml:space="preserve"> As a result, this section focuses only on change in Gini coefficient.</w:t>
      </w:r>
    </w:p>
    <w:p w14:paraId="3F321F13" w14:textId="1EC69E16" w:rsidR="00B30728" w:rsidRDefault="00B30728" w:rsidP="00B30728">
      <w:r w:rsidRPr="00F37D30">
        <w:rPr>
          <w:color w:val="2B579A"/>
          <w:shd w:val="clear" w:color="auto" w:fill="E6E6E6"/>
        </w:rPr>
        <w:fldChar w:fldCharType="begin"/>
      </w:r>
      <w:r w:rsidRPr="00F37D30">
        <w:instrText xml:space="preserve"> REF _Ref116899830 \h  \* MERGEFORMAT </w:instrText>
      </w:r>
      <w:r w:rsidRPr="00F37D30">
        <w:rPr>
          <w:color w:val="2B579A"/>
          <w:shd w:val="clear" w:color="auto" w:fill="E6E6E6"/>
        </w:rPr>
      </w:r>
      <w:r w:rsidRPr="00F37D30">
        <w:rPr>
          <w:color w:val="2B579A"/>
          <w:shd w:val="clear" w:color="auto" w:fill="E6E6E6"/>
        </w:rPr>
        <w:fldChar w:fldCharType="separate"/>
      </w:r>
      <w:r w:rsidR="00DE04FA">
        <w:t xml:space="preserve">Figure </w:t>
      </w:r>
      <w:r w:rsidR="00DE04FA">
        <w:rPr>
          <w:noProof/>
        </w:rPr>
        <w:t>13</w:t>
      </w:r>
      <w:r w:rsidRPr="00F37D30">
        <w:rPr>
          <w:color w:val="2B579A"/>
          <w:shd w:val="clear" w:color="auto" w:fill="E6E6E6"/>
        </w:rPr>
        <w:fldChar w:fldCharType="end"/>
      </w:r>
      <w:r w:rsidRPr="00F37D30">
        <w:t xml:space="preserve"> shows</w:t>
      </w:r>
      <w:r>
        <w:t xml:space="preserve"> Gini coefficients for providers (green line) and participants (purple line) across all trial LGAs </w:t>
      </w:r>
      <w:r w:rsidR="00E97FFE">
        <w:t>12</w:t>
      </w:r>
      <w:r>
        <w:t>-months</w:t>
      </w:r>
      <w:r w:rsidR="0061772E">
        <w:rPr>
          <w:rStyle w:val="FootnoteReference"/>
        </w:rPr>
        <w:footnoteReference w:id="11"/>
      </w:r>
      <w:r>
        <w:t xml:space="preserve"> before and after the start of market facilitation activities. Notably, both participant expenditure and the market share of providers are highly concentrated across all LGAs. The slightly upward trends in participant and provider concentration continued in the 1</w:t>
      </w:r>
      <w:r w:rsidR="005B08F1">
        <w:t>2</w:t>
      </w:r>
      <w:r>
        <w:t xml:space="preserve">-months after market facilitation activities commenced, especially for participants. This likely reflects increases in the number of participants in </w:t>
      </w:r>
      <w:r w:rsidR="00211B31">
        <w:t>t</w:t>
      </w:r>
      <w:r>
        <w:t>rial LGAs without sufficient corresponding increases in the number of active providers.</w:t>
      </w:r>
    </w:p>
    <w:p w14:paraId="00DEFF56" w14:textId="6B9AB0ED" w:rsidR="00B30728" w:rsidRDefault="00B30728" w:rsidP="00B30728">
      <w:pPr>
        <w:pStyle w:val="Caption"/>
      </w:pPr>
      <w:bookmarkStart w:id="108" w:name="_Ref116899830"/>
      <w:r>
        <w:t xml:space="preserve">Figure </w:t>
      </w:r>
      <w:r>
        <w:fldChar w:fldCharType="begin"/>
      </w:r>
      <w:r>
        <w:instrText>SEQ Figure \* ARABIC</w:instrText>
      </w:r>
      <w:r>
        <w:fldChar w:fldCharType="separate"/>
      </w:r>
      <w:r w:rsidR="00DE04FA">
        <w:rPr>
          <w:noProof/>
        </w:rPr>
        <w:t>13</w:t>
      </w:r>
      <w:r>
        <w:fldChar w:fldCharType="end"/>
      </w:r>
      <w:bookmarkEnd w:id="108"/>
      <w:r>
        <w:t>: Provider and Participant Gini coefficients before and after the start of market facilitation activities across all Trials</w:t>
      </w:r>
    </w:p>
    <w:p w14:paraId="48035645" w14:textId="3B0BD6CD" w:rsidR="006A5F2B" w:rsidRPr="00D01844" w:rsidRDefault="006A5F2B" w:rsidP="006A5F2B">
      <w:pPr>
        <w:pStyle w:val="Source"/>
        <w:keepNext/>
      </w:pPr>
      <w:r>
        <w:t xml:space="preserve">Note: Comparison period is 12 </w:t>
      </w:r>
      <w:r w:rsidRPr="005B29FE">
        <w:t>months before market facilitation trial commenced versus 1</w:t>
      </w:r>
      <w:r>
        <w:t>2</w:t>
      </w:r>
      <w:r w:rsidRPr="005B29FE">
        <w:t xml:space="preserve"> months before</w:t>
      </w:r>
    </w:p>
    <w:p w14:paraId="05F63B25" w14:textId="7ACA6C27" w:rsidR="00B30728" w:rsidRDefault="005F2694" w:rsidP="00B30728">
      <w:r>
        <w:rPr>
          <w:noProof/>
        </w:rPr>
        <w:drawing>
          <wp:inline distT="0" distB="0" distL="0" distR="0" wp14:anchorId="42A41C50" wp14:editId="2D387D30">
            <wp:extent cx="5486400" cy="3200400"/>
            <wp:effectExtent l="0" t="0" r="0" b="0"/>
            <wp:docPr id="24" name="Chart 24" descr="Figure 13 is a line graph showing Gini coefficients for providers (green line) and participants (purple line) across all trial LGAs 12-months before and after the start of market facilitation activiti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47B70F" w14:textId="5996A129" w:rsidR="00B30728" w:rsidRDefault="00B30728" w:rsidP="00B30728">
      <w:pPr>
        <w:rPr>
          <w:sz w:val="18"/>
        </w:rPr>
      </w:pPr>
      <w:r w:rsidRPr="001435D9">
        <w:rPr>
          <w:sz w:val="18"/>
        </w:rPr>
        <w:t>Source: Research and Evaluation Branch analysis of NDIS payments data.</w:t>
      </w:r>
    </w:p>
    <w:p w14:paraId="74C2CD3C" w14:textId="295DD0D7" w:rsidR="0043409C" w:rsidRDefault="00D329C8" w:rsidP="006441F2">
      <w:pPr>
        <w:pStyle w:val="BodyText1"/>
      </w:pPr>
      <w:r>
        <w:t xml:space="preserve">The </w:t>
      </w:r>
      <w:r w:rsidR="00AE49A4">
        <w:t>analyses show</w:t>
      </w:r>
      <w:r w:rsidR="007E5F7E">
        <w:t xml:space="preserve"> that</w:t>
      </w:r>
      <w:r w:rsidR="00AE49A4">
        <w:t xml:space="preserve"> </w:t>
      </w:r>
      <w:r w:rsidR="00E97053">
        <w:t xml:space="preserve">in </w:t>
      </w:r>
      <w:r w:rsidR="007E5F7E">
        <w:t xml:space="preserve">most target LGAs there was little change in participant Gini coefficient </w:t>
      </w:r>
      <w:r w:rsidR="002D5E55">
        <w:t xml:space="preserve">compared to similar LGAs </w:t>
      </w:r>
      <w:r w:rsidR="0021245B">
        <w:t>due to</w:t>
      </w:r>
      <w:r w:rsidR="002D5E55">
        <w:t xml:space="preserve"> market facilitation</w:t>
      </w:r>
      <w:r w:rsidR="00582B90">
        <w:t xml:space="preserve"> (</w:t>
      </w:r>
      <w:r w:rsidR="00582B90">
        <w:rPr>
          <w:color w:val="2B579A"/>
          <w:shd w:val="clear" w:color="auto" w:fill="E6E6E6"/>
        </w:rPr>
        <w:fldChar w:fldCharType="begin"/>
      </w:r>
      <w:r w:rsidR="00582B90">
        <w:instrText xml:space="preserve"> REF _Ref118450720 \h </w:instrText>
      </w:r>
      <w:r w:rsidR="00582B90">
        <w:rPr>
          <w:color w:val="2B579A"/>
          <w:shd w:val="clear" w:color="auto" w:fill="E6E6E6"/>
        </w:rPr>
      </w:r>
      <w:r w:rsidR="00582B90">
        <w:rPr>
          <w:color w:val="2B579A"/>
          <w:shd w:val="clear" w:color="auto" w:fill="E6E6E6"/>
        </w:rPr>
        <w:fldChar w:fldCharType="separate"/>
      </w:r>
      <w:r w:rsidR="00DE04FA">
        <w:t xml:space="preserve">Figure </w:t>
      </w:r>
      <w:r w:rsidR="00DE04FA">
        <w:rPr>
          <w:noProof/>
        </w:rPr>
        <w:t>14</w:t>
      </w:r>
      <w:r w:rsidR="00582B90">
        <w:rPr>
          <w:color w:val="2B579A"/>
          <w:shd w:val="clear" w:color="auto" w:fill="E6E6E6"/>
        </w:rPr>
        <w:fldChar w:fldCharType="end"/>
      </w:r>
      <w:r w:rsidR="00582B90">
        <w:t>)</w:t>
      </w:r>
      <w:r w:rsidR="002D5E55">
        <w:t xml:space="preserve">. </w:t>
      </w:r>
      <w:r w:rsidR="00637B6C">
        <w:t>There w</w:t>
      </w:r>
      <w:r w:rsidR="006441F2">
        <w:t>ere</w:t>
      </w:r>
      <w:r w:rsidR="00637B6C">
        <w:t xml:space="preserve"> large increase</w:t>
      </w:r>
      <w:r w:rsidR="006441F2">
        <w:t>s</w:t>
      </w:r>
      <w:r w:rsidR="00637B6C">
        <w:t xml:space="preserve"> in Woorabinda</w:t>
      </w:r>
      <w:r w:rsidR="007E63AD">
        <w:t xml:space="preserve"> (+0.3</w:t>
      </w:r>
      <w:r w:rsidR="00075873">
        <w:t>1</w:t>
      </w:r>
      <w:r w:rsidR="007E63AD">
        <w:t>)</w:t>
      </w:r>
      <w:r w:rsidR="00A932FA">
        <w:t xml:space="preserve"> and Palm Island (+0.18)</w:t>
      </w:r>
      <w:r w:rsidR="00DB5C81">
        <w:t>, that is unlikely to be random</w:t>
      </w:r>
      <w:r w:rsidR="006441F2">
        <w:t>. This suggests</w:t>
      </w:r>
      <w:r w:rsidR="007E63AD">
        <w:t xml:space="preserve"> that </w:t>
      </w:r>
      <w:r w:rsidR="006441F2">
        <w:t>NDIS</w:t>
      </w:r>
      <w:r w:rsidR="0021245B">
        <w:t>-</w:t>
      </w:r>
      <w:r w:rsidR="006441F2">
        <w:t>support use</w:t>
      </w:r>
      <w:r w:rsidR="00A24D12">
        <w:t xml:space="preserve"> became more concentrated</w:t>
      </w:r>
      <w:r w:rsidR="00973978">
        <w:t xml:space="preserve"> to a small proportion of participants.</w:t>
      </w:r>
      <w:r w:rsidR="007E63AD">
        <w:t xml:space="preserve"> </w:t>
      </w:r>
      <w:r w:rsidR="0052419E">
        <w:t xml:space="preserve">Conversely, </w:t>
      </w:r>
      <w:r w:rsidR="001D5C3E">
        <w:t xml:space="preserve">compared to similar LGAs, </w:t>
      </w:r>
      <w:r w:rsidR="00893B8A">
        <w:t xml:space="preserve">participant </w:t>
      </w:r>
      <w:r w:rsidR="001D5C3E">
        <w:t>payments</w:t>
      </w:r>
      <w:r w:rsidR="00893B8A">
        <w:t xml:space="preserve"> </w:t>
      </w:r>
      <w:r w:rsidR="001D5C3E">
        <w:t xml:space="preserve">become less concentrated </w:t>
      </w:r>
      <w:r w:rsidR="00893B8A">
        <w:t>in MacDonnell (-0.1) and Carpentaria (-</w:t>
      </w:r>
      <w:r w:rsidR="00301AD5">
        <w:t>0.44)</w:t>
      </w:r>
      <w:r w:rsidR="006441F2">
        <w:t>, above random fluctuation alone</w:t>
      </w:r>
      <w:r w:rsidR="00301AD5">
        <w:t xml:space="preserve">. </w:t>
      </w:r>
    </w:p>
    <w:p w14:paraId="23A196DF" w14:textId="00286141" w:rsidR="00012C6F" w:rsidRDefault="00012C6F" w:rsidP="00012C6F">
      <w:pPr>
        <w:pStyle w:val="Caption"/>
      </w:pPr>
      <w:bookmarkStart w:id="109" w:name="_Ref118450720"/>
      <w:r>
        <w:lastRenderedPageBreak/>
        <w:t xml:space="preserve">Figure </w:t>
      </w:r>
      <w:r>
        <w:fldChar w:fldCharType="begin"/>
      </w:r>
      <w:r>
        <w:instrText>SEQ Figure \* ARABIC</w:instrText>
      </w:r>
      <w:r>
        <w:fldChar w:fldCharType="separate"/>
      </w:r>
      <w:r w:rsidR="00DE04FA">
        <w:rPr>
          <w:noProof/>
        </w:rPr>
        <w:t>14</w:t>
      </w:r>
      <w:r>
        <w:fldChar w:fldCharType="end"/>
      </w:r>
      <w:bookmarkEnd w:id="109"/>
      <w:r>
        <w:t xml:space="preserve">: </w:t>
      </w:r>
      <w:r w:rsidR="00214774">
        <w:t>Estimated change in participant Gini coefficient</w:t>
      </w:r>
    </w:p>
    <w:p w14:paraId="409D4C47" w14:textId="3AFE1386" w:rsidR="006A5F2B" w:rsidRPr="00D01844" w:rsidRDefault="006A5F2B" w:rsidP="006A5F2B">
      <w:pPr>
        <w:pStyle w:val="Source"/>
        <w:keepNext/>
      </w:pPr>
      <w:r>
        <w:t xml:space="preserve">Note: Comparison period is 12 </w:t>
      </w:r>
      <w:r w:rsidRPr="005B29FE">
        <w:t>months before market facilitation trial commenced versus 1</w:t>
      </w:r>
      <w:r>
        <w:t>2</w:t>
      </w:r>
      <w:r w:rsidRPr="005B29FE">
        <w:t xml:space="preserve"> months before</w:t>
      </w:r>
    </w:p>
    <w:p w14:paraId="706E10F0" w14:textId="6D0B9556" w:rsidR="00012C6F" w:rsidRDefault="00B023A2" w:rsidP="00B30728">
      <w:pPr>
        <w:pStyle w:val="BodyText1"/>
      </w:pPr>
      <w:r>
        <w:rPr>
          <w:noProof/>
        </w:rPr>
        <w:drawing>
          <wp:inline distT="0" distB="0" distL="0" distR="0" wp14:anchorId="706CE858" wp14:editId="0196548F">
            <wp:extent cx="5534025" cy="6172200"/>
            <wp:effectExtent l="0" t="0" r="0" b="0"/>
            <wp:docPr id="28" name="Chart 28" descr="Figure 14 is a 'forest plot' graph showing the estimated change in participant Gini coefficient. The analyses show that in most target LGAs there was little change in participant Gini coefficient compared to similar LGAs due to market facilitation (Figure 14). There were large increases in Woorabinda (+0.31) and Palm Island (+0.18), that is unlikely to be random. "/>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3AF378C" w14:textId="77777777" w:rsidR="004978D4" w:rsidRDefault="004978D4" w:rsidP="004978D4">
      <w:pPr>
        <w:pStyle w:val="Source"/>
        <w:keepNext/>
        <w:contextualSpacing w:val="0"/>
      </w:pPr>
      <w:r w:rsidRPr="002A6490">
        <w:t>Source:</w:t>
      </w:r>
      <w:r>
        <w:t xml:space="preserve"> Research and Evaluation Branch analysis of NDIS payments data.</w:t>
      </w:r>
    </w:p>
    <w:p w14:paraId="1ACDF017" w14:textId="74E045B0" w:rsidR="00582B90" w:rsidRDefault="00DB5C81" w:rsidP="00582B90">
      <w:pPr>
        <w:pStyle w:val="BodyText1"/>
      </w:pPr>
      <w:r>
        <w:t>The</w:t>
      </w:r>
      <w:r w:rsidR="00E97053">
        <w:t xml:space="preserve"> analyses show that</w:t>
      </w:r>
      <w:r w:rsidR="00A86CBC">
        <w:t xml:space="preserve"> in</w:t>
      </w:r>
      <w:r w:rsidR="00E97053">
        <w:t xml:space="preserve"> most target LGAs there was </w:t>
      </w:r>
      <w:r w:rsidR="007D7DDF">
        <w:t xml:space="preserve">also </w:t>
      </w:r>
      <w:r w:rsidR="00E97053">
        <w:t xml:space="preserve">little change in </w:t>
      </w:r>
      <w:r w:rsidR="007D7DDF">
        <w:t>provider</w:t>
      </w:r>
      <w:r w:rsidR="00E97053">
        <w:t xml:space="preserve"> Gini coefficient compared to similar LGAs </w:t>
      </w:r>
      <w:r w:rsidR="00FE0A4A">
        <w:t>due to</w:t>
      </w:r>
      <w:r w:rsidR="00E97053">
        <w:t xml:space="preserve"> market facilitation (</w:t>
      </w:r>
      <w:r w:rsidR="007D7DDF">
        <w:rPr>
          <w:color w:val="2B579A"/>
          <w:shd w:val="clear" w:color="auto" w:fill="E6E6E6"/>
        </w:rPr>
        <w:fldChar w:fldCharType="begin"/>
      </w:r>
      <w:r w:rsidR="007D7DDF">
        <w:instrText xml:space="preserve"> REF _Ref118451135 \h </w:instrText>
      </w:r>
      <w:r w:rsidR="007D7DDF">
        <w:rPr>
          <w:color w:val="2B579A"/>
          <w:shd w:val="clear" w:color="auto" w:fill="E6E6E6"/>
        </w:rPr>
      </w:r>
      <w:r w:rsidR="007D7DDF">
        <w:rPr>
          <w:color w:val="2B579A"/>
          <w:shd w:val="clear" w:color="auto" w:fill="E6E6E6"/>
        </w:rPr>
        <w:fldChar w:fldCharType="separate"/>
      </w:r>
      <w:r w:rsidR="00DE04FA">
        <w:t xml:space="preserve">Figure </w:t>
      </w:r>
      <w:r w:rsidR="00DE04FA">
        <w:rPr>
          <w:noProof/>
        </w:rPr>
        <w:t>15</w:t>
      </w:r>
      <w:r w:rsidR="007D7DDF">
        <w:rPr>
          <w:color w:val="2B579A"/>
          <w:shd w:val="clear" w:color="auto" w:fill="E6E6E6"/>
        </w:rPr>
        <w:fldChar w:fldCharType="end"/>
      </w:r>
      <w:r w:rsidR="00E97053">
        <w:t xml:space="preserve">). There </w:t>
      </w:r>
      <w:r w:rsidR="00F12F83">
        <w:t>were</w:t>
      </w:r>
      <w:r w:rsidR="00E97053">
        <w:t xml:space="preserve"> </w:t>
      </w:r>
      <w:r w:rsidR="004E3430">
        <w:t>decrease</w:t>
      </w:r>
      <w:r w:rsidR="00F12F83">
        <w:t>s</w:t>
      </w:r>
      <w:r w:rsidR="00E97053">
        <w:t xml:space="preserve"> in </w:t>
      </w:r>
      <w:r w:rsidR="00F12F83">
        <w:t>Bland</w:t>
      </w:r>
      <w:r w:rsidR="00E97053">
        <w:t xml:space="preserve"> (</w:t>
      </w:r>
      <w:r w:rsidR="004E3430">
        <w:t>-</w:t>
      </w:r>
      <w:r w:rsidR="00E97053">
        <w:t>0.</w:t>
      </w:r>
      <w:r w:rsidR="00F12F83">
        <w:t>08</w:t>
      </w:r>
      <w:r w:rsidR="00E97053">
        <w:t>)</w:t>
      </w:r>
      <w:r w:rsidR="009B6AFF">
        <w:t xml:space="preserve"> and</w:t>
      </w:r>
      <w:r w:rsidR="00F12F83">
        <w:t xml:space="preserve"> MacDonnell (-0.</w:t>
      </w:r>
      <w:r w:rsidR="00B863AD">
        <w:t>09)</w:t>
      </w:r>
      <w:r w:rsidR="00E97053">
        <w:t xml:space="preserve"> </w:t>
      </w:r>
      <w:r w:rsidR="006441F2">
        <w:t>above random fluctuation alone. This suggests</w:t>
      </w:r>
      <w:r w:rsidR="00E97053">
        <w:t xml:space="preserve"> that </w:t>
      </w:r>
      <w:r w:rsidR="004E3430">
        <w:t>the market</w:t>
      </w:r>
      <w:r w:rsidR="009B6AFF">
        <w:t xml:space="preserve"> in these LGAs</w:t>
      </w:r>
      <w:r w:rsidR="004E3430">
        <w:t xml:space="preserve"> became less concentrated relative to similar LGAs</w:t>
      </w:r>
      <w:r w:rsidR="00E97053">
        <w:t xml:space="preserve">. </w:t>
      </w:r>
    </w:p>
    <w:p w14:paraId="2C18B1CD" w14:textId="60AEC8B3" w:rsidR="00582B90" w:rsidRDefault="00582B90" w:rsidP="00582B90">
      <w:pPr>
        <w:pStyle w:val="Caption"/>
      </w:pPr>
      <w:bookmarkStart w:id="110" w:name="_Ref118451135"/>
      <w:r>
        <w:lastRenderedPageBreak/>
        <w:t xml:space="preserve">Figure </w:t>
      </w:r>
      <w:r>
        <w:fldChar w:fldCharType="begin"/>
      </w:r>
      <w:r>
        <w:instrText>SEQ Figure \* ARABIC</w:instrText>
      </w:r>
      <w:r>
        <w:fldChar w:fldCharType="separate"/>
      </w:r>
      <w:r w:rsidR="00DE04FA">
        <w:rPr>
          <w:noProof/>
        </w:rPr>
        <w:t>15</w:t>
      </w:r>
      <w:r>
        <w:fldChar w:fldCharType="end"/>
      </w:r>
      <w:bookmarkEnd w:id="110"/>
      <w:r>
        <w:t xml:space="preserve">: Estimated change in provider Gini coefficient </w:t>
      </w:r>
    </w:p>
    <w:p w14:paraId="5D07B21C" w14:textId="77777777" w:rsidR="006A5F2B" w:rsidRPr="00D01844" w:rsidRDefault="006A5F2B" w:rsidP="006A5F2B">
      <w:pPr>
        <w:pStyle w:val="Source"/>
        <w:keepNext/>
      </w:pPr>
      <w:r>
        <w:t xml:space="preserve">Note: Comparison period is 12 </w:t>
      </w:r>
      <w:r w:rsidRPr="005B29FE">
        <w:t>months before market facilitation trial commenced versus 1</w:t>
      </w:r>
      <w:r>
        <w:t>2</w:t>
      </w:r>
      <w:r w:rsidRPr="005B29FE">
        <w:t xml:space="preserve"> months before</w:t>
      </w:r>
    </w:p>
    <w:p w14:paraId="1716BEC6" w14:textId="01E22164" w:rsidR="00973978" w:rsidRDefault="000629E6" w:rsidP="00B30728">
      <w:pPr>
        <w:pStyle w:val="BodyText1"/>
      </w:pPr>
      <w:r>
        <w:rPr>
          <w:noProof/>
        </w:rPr>
        <w:drawing>
          <wp:inline distT="0" distB="0" distL="0" distR="0" wp14:anchorId="5B27A83B" wp14:editId="1FBCC6A7">
            <wp:extent cx="5534025" cy="6172200"/>
            <wp:effectExtent l="0" t="0" r="0" b="0"/>
            <wp:docPr id="30" name="Chart 30" descr="Figure 15 is a 'forest plot' graph showing the estimated change in provider Gini coefficient. The analyses show that in most target LGAs there was little change in provider Gini coefficient compared to similar LGAs due to market facilitation. There were decreases in Bland (-0.08) and MacDonnell (-0.09) above random fluctuation alone. "/>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CB45B6F" w14:textId="62DC385A" w:rsidR="007F6CEB" w:rsidRDefault="00582B90" w:rsidP="00582B90">
      <w:pPr>
        <w:pStyle w:val="Source"/>
        <w:keepNext/>
        <w:contextualSpacing w:val="0"/>
      </w:pPr>
      <w:r w:rsidRPr="002A6490">
        <w:t>Source:</w:t>
      </w:r>
      <w:r>
        <w:t xml:space="preserve"> Research and Evaluation Branch analysis of NDIS payments data.</w:t>
      </w:r>
    </w:p>
    <w:p w14:paraId="314FF0F8" w14:textId="6734FCB3" w:rsidR="00582B90" w:rsidRDefault="007F6CEB" w:rsidP="007F6CEB">
      <w:pPr>
        <w:spacing w:before="0" w:after="200" w:line="276" w:lineRule="auto"/>
      </w:pPr>
      <w:r>
        <w:br w:type="page"/>
      </w:r>
    </w:p>
    <w:p w14:paraId="4D557735" w14:textId="6A0F2735" w:rsidR="00FC1B1E" w:rsidRDefault="2C8A3C9E" w:rsidP="00A01FA6">
      <w:pPr>
        <w:pStyle w:val="Heading3"/>
      </w:pPr>
      <w:bookmarkStart w:id="111" w:name="_Toc136336666"/>
      <w:r>
        <w:lastRenderedPageBreak/>
        <w:t xml:space="preserve">The extent market </w:t>
      </w:r>
      <w:r w:rsidR="00E507D2">
        <w:t>facilitation</w:t>
      </w:r>
      <w:r>
        <w:t xml:space="preserve"> has operated as intended</w:t>
      </w:r>
      <w:bookmarkEnd w:id="93"/>
      <w:bookmarkEnd w:id="94"/>
      <w:bookmarkEnd w:id="111"/>
    </w:p>
    <w:p w14:paraId="151086DA" w14:textId="23BB3769" w:rsidR="00FC1B1E" w:rsidRDefault="00FC1B1E" w:rsidP="00FC1B1E">
      <w:r>
        <w:t xml:space="preserve">The program theory </w:t>
      </w:r>
      <w:r w:rsidR="00624779">
        <w:t>(</w:t>
      </w:r>
      <w:r w:rsidR="00A25A6E">
        <w:rPr>
          <w:color w:val="2B579A"/>
          <w:shd w:val="clear" w:color="auto" w:fill="E6E6E6"/>
        </w:rPr>
        <w:fldChar w:fldCharType="begin"/>
      </w:r>
      <w:r w:rsidR="00A25A6E">
        <w:instrText xml:space="preserve"> REF _Ref115783672 \n \h </w:instrText>
      </w:r>
      <w:r w:rsidR="00A25A6E">
        <w:rPr>
          <w:color w:val="2B579A"/>
          <w:shd w:val="clear" w:color="auto" w:fill="E6E6E6"/>
        </w:rPr>
      </w:r>
      <w:r w:rsidR="00A25A6E">
        <w:rPr>
          <w:color w:val="2B579A"/>
          <w:shd w:val="clear" w:color="auto" w:fill="E6E6E6"/>
        </w:rPr>
        <w:fldChar w:fldCharType="separate"/>
      </w:r>
      <w:r w:rsidR="00DE04FA">
        <w:t>Appendix A</w:t>
      </w:r>
      <w:r w:rsidR="00A25A6E">
        <w:rPr>
          <w:color w:val="2B579A"/>
          <w:shd w:val="clear" w:color="auto" w:fill="E6E6E6"/>
        </w:rPr>
        <w:fldChar w:fldCharType="end"/>
      </w:r>
      <w:r w:rsidR="00624779">
        <w:t xml:space="preserve">) </w:t>
      </w:r>
      <w:r>
        <w:t>shows that market facilitation aims to encourage service providers to increase their supply of funded supports by:</w:t>
      </w:r>
    </w:p>
    <w:p w14:paraId="361203C1" w14:textId="32FD6BA9" w:rsidR="00FC1B1E" w:rsidRPr="00FB3492" w:rsidRDefault="00624779" w:rsidP="004E287B">
      <w:pPr>
        <w:pStyle w:val="Bulletlist"/>
        <w:spacing w:before="120" w:after="200"/>
        <w:ind w:left="357" w:hanging="357"/>
        <w:contextualSpacing/>
      </w:pPr>
      <w:r>
        <w:t>i</w:t>
      </w:r>
      <w:r w:rsidR="00FC1B1E" w:rsidRPr="00FB3492">
        <w:t xml:space="preserve">ncreasing </w:t>
      </w:r>
      <w:r w:rsidR="003C3521" w:rsidRPr="00FB3492">
        <w:t>their</w:t>
      </w:r>
      <w:r w:rsidR="00FC1B1E" w:rsidRPr="00FB3492">
        <w:t xml:space="preserve"> understanding of market opportunities</w:t>
      </w:r>
      <w:r w:rsidR="002A3278" w:rsidRPr="00FB3492">
        <w:t xml:space="preserve"> and g</w:t>
      </w:r>
      <w:r w:rsidR="005C55BE" w:rsidRPr="00FB3492">
        <w:t>reater certainty of demand</w:t>
      </w:r>
    </w:p>
    <w:p w14:paraId="2AF442EF" w14:textId="3F17EEF0" w:rsidR="00FC1B1E" w:rsidRPr="00FB3492" w:rsidRDefault="00624779" w:rsidP="004E287B">
      <w:pPr>
        <w:pStyle w:val="Bulletlist"/>
        <w:spacing w:before="120" w:after="200"/>
        <w:ind w:left="357" w:hanging="357"/>
        <w:contextualSpacing/>
      </w:pPr>
      <w:r>
        <w:t>i</w:t>
      </w:r>
      <w:r w:rsidRPr="00FB3492">
        <w:t xml:space="preserve">mproving </w:t>
      </w:r>
      <w:r w:rsidR="00FC1B1E" w:rsidRPr="00FB3492">
        <w:t>the awareness of support coordinators about service providers and their vacancies</w:t>
      </w:r>
    </w:p>
    <w:p w14:paraId="77B892FA" w14:textId="14363E0A" w:rsidR="00FC1B1E" w:rsidRPr="003A214C" w:rsidRDefault="00624779" w:rsidP="004E287B">
      <w:pPr>
        <w:pStyle w:val="Bulletlist"/>
        <w:spacing w:before="120" w:after="200"/>
        <w:ind w:left="357" w:hanging="357"/>
        <w:contextualSpacing/>
      </w:pPr>
      <w:r>
        <w:t>i</w:t>
      </w:r>
      <w:r w:rsidRPr="00FB3492">
        <w:t xml:space="preserve">mproving </w:t>
      </w:r>
      <w:r w:rsidR="00FC1B1E" w:rsidRPr="00FB3492">
        <w:t>the extent</w:t>
      </w:r>
      <w:r w:rsidR="00FC1B1E" w:rsidRPr="003A214C">
        <w:t xml:space="preserve"> NDIS plans meet participant needs and reflect market challenges.</w:t>
      </w:r>
    </w:p>
    <w:p w14:paraId="2B4BBA4E" w14:textId="0EC8D169" w:rsidR="00FC1B1E" w:rsidRDefault="005869F3" w:rsidP="00FC1B1E">
      <w:r>
        <w:t xml:space="preserve">Market Development teams </w:t>
      </w:r>
      <w:r w:rsidR="00FC1B1E">
        <w:t>implemented a range of market facilitation activities to achieve the above outcomes. The sections below describe the extent market facilitation activities in Thin Market Trial locations ha</w:t>
      </w:r>
      <w:r w:rsidR="003A2E08">
        <w:t>ve</w:t>
      </w:r>
      <w:r w:rsidR="00FC1B1E">
        <w:t xml:space="preserve"> achieved these aims.</w:t>
      </w:r>
    </w:p>
    <w:p w14:paraId="133712E3" w14:textId="5C4382E7" w:rsidR="00FC1B1E" w:rsidRDefault="00FC1B1E" w:rsidP="00A01FA6">
      <w:pPr>
        <w:pStyle w:val="Heading4"/>
      </w:pPr>
      <w:r>
        <w:t>Service provider understanding of market opportunities and demand</w:t>
      </w:r>
    </w:p>
    <w:p w14:paraId="42DC4C0E" w14:textId="42524096" w:rsidR="00FC1B1E" w:rsidRDefault="00A44E17" w:rsidP="00FC1B1E">
      <w:r>
        <w:t>M</w:t>
      </w:r>
      <w:r w:rsidR="0085040D">
        <w:t xml:space="preserve">arket facilitation </w:t>
      </w:r>
      <w:r w:rsidR="00FC1B1E">
        <w:t>predominantly focused on four mechanisms to increase service provider understanding of market opportunities and demand:</w:t>
      </w:r>
    </w:p>
    <w:p w14:paraId="185E9AC4" w14:textId="03FE19EB" w:rsidR="00FC1B1E" w:rsidRPr="002F2CBD" w:rsidRDefault="00FC1B1E" w:rsidP="004E287B">
      <w:pPr>
        <w:pStyle w:val="Bulletlist"/>
      </w:pPr>
      <w:r w:rsidRPr="002F2CBD">
        <w:t>Providing market data to service providers</w:t>
      </w:r>
    </w:p>
    <w:p w14:paraId="00641757" w14:textId="53BE665F" w:rsidR="00FC1B1E" w:rsidRPr="002F2CBD" w:rsidRDefault="00FC1B1E" w:rsidP="004E287B">
      <w:pPr>
        <w:pStyle w:val="Bulletlist"/>
      </w:pPr>
      <w:r w:rsidRPr="002F2CBD">
        <w:t xml:space="preserve">Direct </w:t>
      </w:r>
      <w:r w:rsidR="000C545F">
        <w:t>engagement with</w:t>
      </w:r>
      <w:r w:rsidRPr="002F2CBD">
        <w:t xml:space="preserve"> service providers</w:t>
      </w:r>
    </w:p>
    <w:p w14:paraId="1AE018AF" w14:textId="4B8030F4" w:rsidR="00FC1B1E" w:rsidRPr="002F2CBD" w:rsidRDefault="00FC1B1E" w:rsidP="004E287B">
      <w:pPr>
        <w:pStyle w:val="Bulletlist"/>
      </w:pPr>
      <w:r w:rsidRPr="002F2CBD">
        <w:t>Connecting service providers with support coordinators</w:t>
      </w:r>
    </w:p>
    <w:p w14:paraId="221FAE45" w14:textId="2B5AC3DC" w:rsidR="00FC1B1E" w:rsidRPr="002F2CBD" w:rsidRDefault="00DE1ED1" w:rsidP="004E287B">
      <w:pPr>
        <w:pStyle w:val="Bulletlist"/>
      </w:pPr>
      <w:r>
        <w:t>Provider and participant f</w:t>
      </w:r>
      <w:r w:rsidR="00FC1B1E" w:rsidRPr="002F2CBD">
        <w:t>orums.</w:t>
      </w:r>
    </w:p>
    <w:p w14:paraId="346D53E0" w14:textId="77777777" w:rsidR="00FC1B1E" w:rsidRDefault="00FC1B1E" w:rsidP="004E287B">
      <w:pPr>
        <w:pStyle w:val="Heading5"/>
      </w:pPr>
      <w:r>
        <w:t xml:space="preserve">Providing </w:t>
      </w:r>
      <w:r w:rsidRPr="00A779DB">
        <w:t>market</w:t>
      </w:r>
      <w:r>
        <w:t xml:space="preserve"> data to service providers</w:t>
      </w:r>
    </w:p>
    <w:p w14:paraId="613784CD" w14:textId="5C685BA3" w:rsidR="00FC1B1E" w:rsidRDefault="0058217A" w:rsidP="00FC1B1E">
      <w:r>
        <w:t xml:space="preserve">The NDIA </w:t>
      </w:r>
      <w:r w:rsidR="00001F5B">
        <w:t>regularly publishes market data including h</w:t>
      </w:r>
      <w:r w:rsidR="00001F5B" w:rsidRPr="00C35C84">
        <w:t xml:space="preserve">igh-level participant characteristics, market indicators, and plan </w:t>
      </w:r>
      <w:r w:rsidR="00E6786B">
        <w:t>utilisation statistics</w:t>
      </w:r>
      <w:r w:rsidR="008659ED">
        <w:t xml:space="preserve"> </w:t>
      </w:r>
      <w:r w:rsidR="00C35C84" w:rsidRPr="00C35C84">
        <w:t xml:space="preserve">to </w:t>
      </w:r>
      <w:r w:rsidR="00842716">
        <w:t>help</w:t>
      </w:r>
      <w:r w:rsidR="00C35C84" w:rsidRPr="00C35C84">
        <w:t xml:space="preserve"> service providers </w:t>
      </w:r>
      <w:r w:rsidR="00E6786B">
        <w:t>understand</w:t>
      </w:r>
      <w:r w:rsidR="00C35C84" w:rsidRPr="00C35C84">
        <w:t xml:space="preserve"> </w:t>
      </w:r>
      <w:r w:rsidR="005D30A3">
        <w:t>demand</w:t>
      </w:r>
      <w:r w:rsidR="00842716">
        <w:t xml:space="preserve"> within the market, providing an opportunity </w:t>
      </w:r>
      <w:r w:rsidR="00245340">
        <w:t xml:space="preserve">for providers </w:t>
      </w:r>
      <w:r w:rsidR="00842716">
        <w:t xml:space="preserve">to match this demand with </w:t>
      </w:r>
      <w:r w:rsidR="00C35C84" w:rsidRPr="00C35C84">
        <w:t xml:space="preserve">their service offerings by </w:t>
      </w:r>
      <w:r w:rsidR="00E6786B">
        <w:t xml:space="preserve">either expanding </w:t>
      </w:r>
      <w:r w:rsidR="00842716">
        <w:t xml:space="preserve">the provision </w:t>
      </w:r>
      <w:r w:rsidR="00E6786B">
        <w:t>of exi</w:t>
      </w:r>
      <w:r w:rsidR="00391E94">
        <w:t>s</w:t>
      </w:r>
      <w:r w:rsidR="00E6786B">
        <w:t>ting supports in existing locations</w:t>
      </w:r>
      <w:r w:rsidR="00842716">
        <w:t xml:space="preserve"> or offering </w:t>
      </w:r>
      <w:r w:rsidR="00C35C84" w:rsidRPr="00C35C84">
        <w:t xml:space="preserve">new support types </w:t>
      </w:r>
      <w:r w:rsidR="00E6786B">
        <w:t>and/</w:t>
      </w:r>
      <w:r w:rsidR="00C35C84" w:rsidRPr="00C35C84">
        <w:t xml:space="preserve">or </w:t>
      </w:r>
      <w:r w:rsidR="00E6786B">
        <w:t>enter new locations</w:t>
      </w:r>
      <w:r w:rsidR="00C35C84" w:rsidRPr="00C35C84">
        <w:t xml:space="preserve">. </w:t>
      </w:r>
      <w:r w:rsidR="00407D13">
        <w:t>The Market Development teams</w:t>
      </w:r>
      <w:r w:rsidR="00C35C84" w:rsidRPr="00C35C84">
        <w:t xml:space="preserve"> proactively communicated this information to service providers.</w:t>
      </w:r>
    </w:p>
    <w:p w14:paraId="6C916311" w14:textId="3078BAD0" w:rsidR="0094253C" w:rsidRDefault="00505EB0" w:rsidP="00FC1B1E">
      <w:r>
        <w:t xml:space="preserve">Just under three-quarters (70%) of surveyed </w:t>
      </w:r>
      <w:r w:rsidR="00E62391">
        <w:t>s</w:t>
      </w:r>
      <w:r w:rsidR="00733DFA">
        <w:t xml:space="preserve">ervice providers </w:t>
      </w:r>
      <w:r w:rsidR="003F0D59">
        <w:t>were</w:t>
      </w:r>
      <w:r w:rsidR="00DB26DB">
        <w:t xml:space="preserve"> aware of the NDIA market data </w:t>
      </w:r>
      <w:r w:rsidR="00DE2D24">
        <w:t xml:space="preserve">and of </w:t>
      </w:r>
      <w:r w:rsidR="003F0D59">
        <w:t>those</w:t>
      </w:r>
      <w:r w:rsidR="00E6786B">
        <w:t xml:space="preserve"> who were aware</w:t>
      </w:r>
      <w:r w:rsidR="003F0D59">
        <w:t xml:space="preserve">, </w:t>
      </w:r>
      <w:r w:rsidR="00FD0246">
        <w:t xml:space="preserve">82% (n=59) </w:t>
      </w:r>
      <w:r>
        <w:t xml:space="preserve">reported that </w:t>
      </w:r>
      <w:r w:rsidR="00FD0246">
        <w:t xml:space="preserve">the data was useful. </w:t>
      </w:r>
    </w:p>
    <w:p w14:paraId="0AC04255" w14:textId="477100BB" w:rsidR="00EC623E" w:rsidRDefault="00847067" w:rsidP="00FC1B1E">
      <w:r>
        <w:t>S</w:t>
      </w:r>
      <w:r w:rsidR="00EC623E">
        <w:t>ervice providers who found the market data useful</w:t>
      </w:r>
      <w:r>
        <w:t xml:space="preserve"> reported that it gave them greater </w:t>
      </w:r>
      <w:r w:rsidR="00C37119">
        <w:t>awareness</w:t>
      </w:r>
      <w:r>
        <w:t xml:space="preserve"> of demand</w:t>
      </w:r>
      <w:r w:rsidR="00274726">
        <w:t xml:space="preserve">, </w:t>
      </w:r>
      <w:r w:rsidR="00AB4D91">
        <w:t xml:space="preserve">helped them </w:t>
      </w:r>
      <w:r w:rsidR="00E6786B">
        <w:t xml:space="preserve">focus their service delivery on </w:t>
      </w:r>
      <w:r w:rsidR="000A40D5">
        <w:t>u</w:t>
      </w:r>
      <w:r w:rsidR="00E6786B">
        <w:t xml:space="preserve">n-met demand and </w:t>
      </w:r>
      <w:r w:rsidR="00274726">
        <w:t xml:space="preserve">de-prioritise supports where there </w:t>
      </w:r>
      <w:r w:rsidR="00E6786B">
        <w:t>is already</w:t>
      </w:r>
      <w:r w:rsidR="00274726">
        <w:t xml:space="preserve"> sufficient supply.</w:t>
      </w:r>
    </w:p>
    <w:p w14:paraId="1085BDD3" w14:textId="2B6D1F85" w:rsidR="00ED2200" w:rsidRPr="00844D79" w:rsidRDefault="00AB4D91" w:rsidP="00844D79">
      <w:pPr>
        <w:pStyle w:val="Quote"/>
      </w:pPr>
      <w:r w:rsidRPr="00844D79">
        <w:t>“H</w:t>
      </w:r>
      <w:r w:rsidR="00ED2200" w:rsidRPr="00844D79">
        <w:t>aving that information about where plans are not spent has been very helpful</w:t>
      </w:r>
      <w:r w:rsidRPr="00844D79">
        <w:t xml:space="preserve">. </w:t>
      </w:r>
      <w:r w:rsidR="00ED2200" w:rsidRPr="00844D79">
        <w:t xml:space="preserve">It has improved our focus on daily activities and social participation </w:t>
      </w:r>
      <w:r w:rsidR="00E6786B" w:rsidRPr="00844D79">
        <w:t>because of</w:t>
      </w:r>
      <w:r w:rsidR="00ED2200" w:rsidRPr="00844D79">
        <w:t xml:space="preserve"> getting the</w:t>
      </w:r>
      <w:r w:rsidR="00C4462E" w:rsidRPr="00844D79">
        <w:t xml:space="preserve"> information and this means we will be deprioritising support coordination</w:t>
      </w:r>
      <w:r w:rsidR="001F2344" w:rsidRPr="00844D79">
        <w:t>.” (Service provider interview)</w:t>
      </w:r>
    </w:p>
    <w:p w14:paraId="29EEFDED" w14:textId="656EC1CD" w:rsidR="008B6A41" w:rsidRDefault="00D57F10" w:rsidP="008B6A41">
      <w:r>
        <w:t>S</w:t>
      </w:r>
      <w:r w:rsidR="008B6A41">
        <w:t xml:space="preserve">ome service providers who did not find the market data useful </w:t>
      </w:r>
      <w:r w:rsidR="00E831CA">
        <w:t>stated</w:t>
      </w:r>
      <w:r w:rsidR="008B6A41">
        <w:t xml:space="preserve"> that while the data gave them new information, they could not act due to workforce </w:t>
      </w:r>
      <w:r w:rsidR="004F0443">
        <w:t>shortages</w:t>
      </w:r>
      <w:r w:rsidR="00097C79">
        <w:t xml:space="preserve"> and other barriers</w:t>
      </w:r>
      <w:r w:rsidR="004F0443">
        <w:t xml:space="preserve"> (</w:t>
      </w:r>
      <w:r w:rsidR="00F13E35">
        <w:t>e.g.,</w:t>
      </w:r>
      <w:r w:rsidR="004F0443">
        <w:t xml:space="preserve"> financial viability, large travel distances and costs)</w:t>
      </w:r>
      <w:r w:rsidR="00097C79">
        <w:t>.</w:t>
      </w:r>
    </w:p>
    <w:p w14:paraId="3A0003B4" w14:textId="513D23E5" w:rsidR="005C6E73" w:rsidRDefault="00E5445C" w:rsidP="00844D79">
      <w:pPr>
        <w:pStyle w:val="Quote"/>
      </w:pPr>
      <w:r>
        <w:lastRenderedPageBreak/>
        <w:t>“</w:t>
      </w:r>
      <w:r w:rsidR="005C6E73" w:rsidRPr="005C6E73">
        <w:t>Don't know that it</w:t>
      </w:r>
      <w:r>
        <w:t xml:space="preserve"> [market data]</w:t>
      </w:r>
      <w:r w:rsidR="005C6E73" w:rsidRPr="005C6E73">
        <w:t xml:space="preserve"> helps that much</w:t>
      </w:r>
      <w:r>
        <w:t xml:space="preserve">. </w:t>
      </w:r>
      <w:r w:rsidR="005C6E73" w:rsidRPr="005C6E73">
        <w:t>If you look at the data in our area, hardly any social and recreational or community access stuff is being deliver</w:t>
      </w:r>
      <w:r w:rsidR="00CB48F8">
        <w:t>ed</w:t>
      </w:r>
      <w:r w:rsidR="005C6E73" w:rsidRPr="005C6E73">
        <w:t xml:space="preserve"> but that is about workforce, not lack of agencies. Have plenty of providers who could do it, but not the workforce to do it</w:t>
      </w:r>
      <w:r w:rsidR="004812AC">
        <w:t xml:space="preserve">.” </w:t>
      </w:r>
      <w:r w:rsidR="004812AC" w:rsidRPr="000E0225">
        <w:t>(Service provider interview)</w:t>
      </w:r>
    </w:p>
    <w:p w14:paraId="477A53D4" w14:textId="50DBD20B" w:rsidR="008B6A41" w:rsidRDefault="00E6786B" w:rsidP="008B6A41">
      <w:r>
        <w:t xml:space="preserve">Other providers </w:t>
      </w:r>
      <w:r w:rsidR="00654049">
        <w:t xml:space="preserve">already </w:t>
      </w:r>
      <w:r>
        <w:t>knew the state of the market from their own networks</w:t>
      </w:r>
      <w:r w:rsidR="00654049">
        <w:t xml:space="preserve"> and commented</w:t>
      </w:r>
      <w:r w:rsidR="008B6A41">
        <w:t xml:space="preserve"> that the market data would be more useful if it was </w:t>
      </w:r>
      <w:r w:rsidR="006C7DA8">
        <w:t xml:space="preserve">more </w:t>
      </w:r>
      <w:r w:rsidR="005C5CB9">
        <w:t>up to date</w:t>
      </w:r>
      <w:r w:rsidR="008B098B">
        <w:t xml:space="preserve">, </w:t>
      </w:r>
      <w:r w:rsidR="008B6A41">
        <w:t xml:space="preserve">more specific (e.g., disability types, support types and hours in plans), </w:t>
      </w:r>
      <w:r w:rsidR="004271EB">
        <w:t xml:space="preserve">and </w:t>
      </w:r>
      <w:r w:rsidR="008B6A41">
        <w:t>more granular (</w:t>
      </w:r>
      <w:r w:rsidR="00F13E35">
        <w:t>e.g.,</w:t>
      </w:r>
      <w:r w:rsidR="008B6A41">
        <w:t xml:space="preserve"> sub-LGA or community level) to help target specific communities.</w:t>
      </w:r>
      <w:r w:rsidR="0092401F">
        <w:t xml:space="preserve"> </w:t>
      </w:r>
    </w:p>
    <w:p w14:paraId="472517BE" w14:textId="3C2E7384" w:rsidR="003C12F6" w:rsidRDefault="008B6A41" w:rsidP="008B6A41">
      <w:r>
        <w:t>Overall, it appears that</w:t>
      </w:r>
      <w:r w:rsidR="00D009D2">
        <w:t xml:space="preserve"> the</w:t>
      </w:r>
      <w:r>
        <w:t xml:space="preserve"> NDIA’s market data</w:t>
      </w:r>
      <w:r w:rsidR="00D009D2">
        <w:t xml:space="preserve"> is </w:t>
      </w:r>
      <w:r w:rsidR="00757756">
        <w:t>useful</w:t>
      </w:r>
      <w:r w:rsidR="00A8447A">
        <w:t xml:space="preserve"> </w:t>
      </w:r>
      <w:r w:rsidR="00E6786B">
        <w:t>for</w:t>
      </w:r>
      <w:r w:rsidR="009558B9">
        <w:t xml:space="preserve"> some </w:t>
      </w:r>
      <w:r>
        <w:t xml:space="preserve">service providers </w:t>
      </w:r>
      <w:r w:rsidR="00E6786B">
        <w:t xml:space="preserve">to </w:t>
      </w:r>
      <w:r>
        <w:t>understand local markets</w:t>
      </w:r>
      <w:r w:rsidR="00DC39E9">
        <w:t xml:space="preserve"> and demand</w:t>
      </w:r>
      <w:r>
        <w:t>. However</w:t>
      </w:r>
      <w:r w:rsidR="00120E7A">
        <w:t>,</w:t>
      </w:r>
      <w:r w:rsidR="00E6786B">
        <w:t xml:space="preserve"> </w:t>
      </w:r>
      <w:r w:rsidR="00354893">
        <w:t xml:space="preserve">for other service providers </w:t>
      </w:r>
      <w:r w:rsidR="00E6786B">
        <w:t xml:space="preserve">workforce shortages, financial and logistical barriers limit </w:t>
      </w:r>
      <w:r>
        <w:t>the</w:t>
      </w:r>
      <w:r w:rsidR="00E6786B">
        <w:t>ir</w:t>
      </w:r>
      <w:r>
        <w:t xml:space="preserve"> ability </w:t>
      </w:r>
      <w:r w:rsidR="00A8447A">
        <w:t xml:space="preserve">to act on </w:t>
      </w:r>
      <w:r w:rsidR="00E6786B">
        <w:t xml:space="preserve">the </w:t>
      </w:r>
      <w:r w:rsidR="00A8447A">
        <w:t xml:space="preserve">information. </w:t>
      </w:r>
    </w:p>
    <w:p w14:paraId="29EE90CE" w14:textId="77777777" w:rsidR="00FC1B1E" w:rsidRDefault="00FC1B1E" w:rsidP="004E287B">
      <w:pPr>
        <w:pStyle w:val="Heading5"/>
      </w:pPr>
      <w:r>
        <w:t>Directly engaging service providers</w:t>
      </w:r>
    </w:p>
    <w:p w14:paraId="3C42D7B2" w14:textId="468DD3FC" w:rsidR="0015436B" w:rsidRDefault="005543DD" w:rsidP="00FC1B1E">
      <w:r>
        <w:t xml:space="preserve">In all locations, </w:t>
      </w:r>
      <w:r w:rsidR="00B969A3">
        <w:t>Market Development teams</w:t>
      </w:r>
      <w:r w:rsidR="009B40E5">
        <w:t xml:space="preserve"> </w:t>
      </w:r>
      <w:r>
        <w:t xml:space="preserve">engaged service providers </w:t>
      </w:r>
      <w:r w:rsidR="002A2F51">
        <w:t>to understand market challenges, increase provider awareness of market opportunities and to facilitate connections with support coordinators.</w:t>
      </w:r>
    </w:p>
    <w:p w14:paraId="6978B951" w14:textId="541B6B81" w:rsidR="0015436B" w:rsidRDefault="00076EA7" w:rsidP="00FC1B1E">
      <w:r>
        <w:t xml:space="preserve">According to the service provider survey, </w:t>
      </w:r>
      <w:r w:rsidR="00092C5E">
        <w:t>42% of service providers (n=43)</w:t>
      </w:r>
      <w:r w:rsidR="00456BA5">
        <w:t xml:space="preserve"> had contact from the NDIA</w:t>
      </w:r>
      <w:r w:rsidR="00092C5E">
        <w:t xml:space="preserve"> </w:t>
      </w:r>
      <w:r w:rsidR="009701E6">
        <w:t xml:space="preserve">in the </w:t>
      </w:r>
      <w:r w:rsidR="00614C4D">
        <w:t xml:space="preserve">previous </w:t>
      </w:r>
      <w:r w:rsidR="009701E6">
        <w:t xml:space="preserve">12 months about their services in the </w:t>
      </w:r>
      <w:r w:rsidR="00594430">
        <w:t>t</w:t>
      </w:r>
      <w:r w:rsidR="009701E6">
        <w:t>rial LGAs</w:t>
      </w:r>
      <w:r w:rsidR="008663CF">
        <w:t>. T</w:t>
      </w:r>
      <w:r w:rsidR="00586BD8">
        <w:t>his contributed to:</w:t>
      </w:r>
    </w:p>
    <w:p w14:paraId="7064ED7F" w14:textId="71A7D724" w:rsidR="00F030F0" w:rsidRPr="005D74E2" w:rsidRDefault="00F030F0" w:rsidP="004E287B">
      <w:pPr>
        <w:pStyle w:val="Bulletlist"/>
      </w:pPr>
      <w:r w:rsidRPr="005D74E2">
        <w:t>Delivering or planning to deliver new services (n=21, 49%)</w:t>
      </w:r>
    </w:p>
    <w:p w14:paraId="03B70A97" w14:textId="0DA87EDD" w:rsidR="0015436B" w:rsidRPr="005D74E2" w:rsidRDefault="0015436B" w:rsidP="004E287B">
      <w:pPr>
        <w:pStyle w:val="Bulletlist"/>
      </w:pPr>
      <w:r w:rsidRPr="005D74E2">
        <w:t xml:space="preserve">Increasing awareness of demand for services (n=19, </w:t>
      </w:r>
      <w:r w:rsidR="00F030F0" w:rsidRPr="005D74E2">
        <w:t>44</w:t>
      </w:r>
      <w:r w:rsidRPr="005D74E2">
        <w:t>%)</w:t>
      </w:r>
    </w:p>
    <w:p w14:paraId="13433147" w14:textId="4C2F739A" w:rsidR="006F287E" w:rsidRPr="005D74E2" w:rsidRDefault="006F287E" w:rsidP="004E287B">
      <w:pPr>
        <w:pStyle w:val="Bulletlist"/>
      </w:pPr>
      <w:r w:rsidRPr="005D74E2">
        <w:t>Increasing NDIS participant awareness of their services (n=1</w:t>
      </w:r>
      <w:r w:rsidR="00AB1B1A" w:rsidRPr="005D74E2">
        <w:t>7</w:t>
      </w:r>
      <w:r w:rsidRPr="005D74E2">
        <w:t xml:space="preserve">, </w:t>
      </w:r>
      <w:r w:rsidR="00AB1B1A" w:rsidRPr="005D74E2">
        <w:t>40</w:t>
      </w:r>
      <w:r w:rsidRPr="005D74E2">
        <w:t>%)</w:t>
      </w:r>
    </w:p>
    <w:p w14:paraId="363586EF" w14:textId="0DFAF8DB" w:rsidR="0015436B" w:rsidRDefault="0015436B" w:rsidP="004E287B">
      <w:pPr>
        <w:pStyle w:val="Bulletlist"/>
      </w:pPr>
      <w:r w:rsidRPr="005D74E2">
        <w:t>Making connections</w:t>
      </w:r>
      <w:r>
        <w:t xml:space="preserve"> with support coordinators (n=1</w:t>
      </w:r>
      <w:r w:rsidR="00AB1B1A">
        <w:t>4</w:t>
      </w:r>
      <w:r>
        <w:t>, 3</w:t>
      </w:r>
      <w:r w:rsidR="00AB1B1A">
        <w:t>3</w:t>
      </w:r>
      <w:r>
        <w:t>%)</w:t>
      </w:r>
      <w:r w:rsidR="00614C4D">
        <w:t>.</w:t>
      </w:r>
    </w:p>
    <w:p w14:paraId="60B0179D" w14:textId="3C315581" w:rsidR="000E463F" w:rsidRDefault="000871CE" w:rsidP="0015436B">
      <w:r>
        <w:t xml:space="preserve">During interviews </w:t>
      </w:r>
      <w:r w:rsidR="00F91E21">
        <w:t xml:space="preserve">most </w:t>
      </w:r>
      <w:r>
        <w:t xml:space="preserve">service providers </w:t>
      </w:r>
      <w:r w:rsidR="00956B73">
        <w:t>asked</w:t>
      </w:r>
      <w:r w:rsidR="00B022C2">
        <w:t xml:space="preserve"> </w:t>
      </w:r>
      <w:r w:rsidR="00C81FC8">
        <w:t xml:space="preserve">for </w:t>
      </w:r>
      <w:r w:rsidR="00B022C2">
        <w:t xml:space="preserve">more </w:t>
      </w:r>
      <w:r w:rsidR="00F84E3B">
        <w:t xml:space="preserve">support from the NDIA, particularly regarding </w:t>
      </w:r>
      <w:r w:rsidR="00A63216">
        <w:t xml:space="preserve">more </w:t>
      </w:r>
      <w:r w:rsidR="00F84E3B">
        <w:t xml:space="preserve">detailed </w:t>
      </w:r>
      <w:r w:rsidR="001C3B44">
        <w:t xml:space="preserve">demand data </w:t>
      </w:r>
      <w:r w:rsidR="00CC5123">
        <w:t xml:space="preserve">(described above) </w:t>
      </w:r>
      <w:r w:rsidR="001C3B44">
        <w:t>and help</w:t>
      </w:r>
      <w:r w:rsidR="00614C4D">
        <w:t>ing</w:t>
      </w:r>
      <w:r w:rsidR="00FE3B1A">
        <w:t xml:space="preserve"> to</w:t>
      </w:r>
      <w:r w:rsidR="001C3B44">
        <w:t xml:space="preserve"> facilitat</w:t>
      </w:r>
      <w:r w:rsidR="00614C4D">
        <w:t>e</w:t>
      </w:r>
      <w:r w:rsidR="001C3B44">
        <w:t xml:space="preserve"> local connections</w:t>
      </w:r>
      <w:r w:rsidR="000B1AF5">
        <w:t xml:space="preserve"> </w:t>
      </w:r>
      <w:r w:rsidR="00614C4D">
        <w:t>with</w:t>
      </w:r>
      <w:r w:rsidR="000B1AF5">
        <w:t xml:space="preserve"> support coordinators</w:t>
      </w:r>
      <w:r w:rsidR="00FE3B1A">
        <w:t xml:space="preserve"> and other service providers</w:t>
      </w:r>
      <w:r w:rsidR="000B1AF5">
        <w:t xml:space="preserve">. </w:t>
      </w:r>
    </w:p>
    <w:p w14:paraId="6BC0DACF" w14:textId="4481FA2C" w:rsidR="00886975" w:rsidRDefault="00CE062C" w:rsidP="00844D79">
      <w:pPr>
        <w:pStyle w:val="Quote"/>
      </w:pPr>
      <w:r>
        <w:t>“</w:t>
      </w:r>
      <w:r w:rsidR="00817392">
        <w:t>I</w:t>
      </w:r>
      <w:r w:rsidR="00886975">
        <w:t xml:space="preserve">f you have a community and </w:t>
      </w:r>
      <w:r w:rsidR="00817392">
        <w:t>there are seven or eight</w:t>
      </w:r>
      <w:r w:rsidR="00886975">
        <w:t xml:space="preserve"> participant</w:t>
      </w:r>
      <w:r w:rsidR="00817392">
        <w:t>s</w:t>
      </w:r>
      <w:r w:rsidR="00886975">
        <w:t xml:space="preserve"> and a few sit with different </w:t>
      </w:r>
      <w:r w:rsidR="00817392">
        <w:t>support coordinators</w:t>
      </w:r>
      <w:r w:rsidR="00886975">
        <w:t xml:space="preserve"> then you need to make the connection so </w:t>
      </w:r>
      <w:r w:rsidR="00FA09CB">
        <w:t>we</w:t>
      </w:r>
      <w:r w:rsidR="00886975">
        <w:t xml:space="preserve"> can </w:t>
      </w:r>
      <w:r w:rsidR="00FA09CB">
        <w:t xml:space="preserve">all </w:t>
      </w:r>
      <w:r w:rsidR="00886975">
        <w:t>work together.</w:t>
      </w:r>
      <w:r w:rsidR="00134863">
        <w:t xml:space="preserve"> </w:t>
      </w:r>
      <w:r w:rsidR="00886975">
        <w:t>That would be useful so we can pool</w:t>
      </w:r>
      <w:r>
        <w:t xml:space="preserve"> participants</w:t>
      </w:r>
      <w:r w:rsidR="00886975">
        <w:t>. The Agency has the info</w:t>
      </w:r>
      <w:r>
        <w:t xml:space="preserve">rmation, and </w:t>
      </w:r>
      <w:r w:rsidR="00886975">
        <w:t>there is info</w:t>
      </w:r>
      <w:r>
        <w:t>rmation</w:t>
      </w:r>
      <w:r w:rsidR="00886975">
        <w:t xml:space="preserve"> </w:t>
      </w:r>
      <w:r w:rsidR="00614C4D">
        <w:t>they could share</w:t>
      </w:r>
      <w:r w:rsidR="00886975">
        <w:t xml:space="preserve"> without breaching privacy so we can work with other </w:t>
      </w:r>
      <w:r>
        <w:t>providers and support coordinators.” (Service provider interview)</w:t>
      </w:r>
      <w:r w:rsidR="00886975">
        <w:t xml:space="preserve"> </w:t>
      </w:r>
    </w:p>
    <w:p w14:paraId="6B481CC8" w14:textId="4212D158" w:rsidR="0015436B" w:rsidRDefault="006E5B70" w:rsidP="0015436B">
      <w:r>
        <w:t>S</w:t>
      </w:r>
      <w:r w:rsidR="0015436B">
        <w:t xml:space="preserve">ome service providers also commented they would benefit from more engagement with local NDIA offices. </w:t>
      </w:r>
      <w:r w:rsidR="00B022C2">
        <w:t xml:space="preserve">It was suggested that this </w:t>
      </w:r>
      <w:r w:rsidR="0015436B">
        <w:t xml:space="preserve">would help </w:t>
      </w:r>
      <w:r w:rsidR="00B022C2">
        <w:t xml:space="preserve">to </w:t>
      </w:r>
      <w:r w:rsidR="0015436B">
        <w:t>establish a stronger relationship with the NDIA</w:t>
      </w:r>
      <w:r w:rsidR="00B022C2">
        <w:t xml:space="preserve"> to </w:t>
      </w:r>
      <w:r w:rsidR="0015436B">
        <w:t>help solve challenges affecting local service provision.</w:t>
      </w:r>
    </w:p>
    <w:p w14:paraId="22FCCB03" w14:textId="0E657097" w:rsidR="0015436B" w:rsidRDefault="003829A8" w:rsidP="0015436B">
      <w:r>
        <w:t>T</w:t>
      </w:r>
      <w:r w:rsidR="0015436B">
        <w:t xml:space="preserve">he </w:t>
      </w:r>
      <w:r w:rsidR="00006921">
        <w:t xml:space="preserve">findings from the </w:t>
      </w:r>
      <w:r w:rsidR="009556AE">
        <w:t xml:space="preserve">interviews and </w:t>
      </w:r>
      <w:r w:rsidR="00006921">
        <w:t xml:space="preserve">survey show that </w:t>
      </w:r>
      <w:r w:rsidR="0015436B">
        <w:t xml:space="preserve">NDIA engagement with service providers </w:t>
      </w:r>
      <w:r w:rsidR="00006921">
        <w:t xml:space="preserve">has </w:t>
      </w:r>
      <w:r w:rsidR="00EA35D1">
        <w:t>had some</w:t>
      </w:r>
      <w:r w:rsidR="0015436B">
        <w:t xml:space="preserve"> success in increasing service provider understanding of market opportunities and encouraging providers to increase service provision in </w:t>
      </w:r>
      <w:r w:rsidR="00A72819">
        <w:t>t</w:t>
      </w:r>
      <w:r w:rsidR="0015436B">
        <w:t>rial LGAs.</w:t>
      </w:r>
      <w:r w:rsidR="0093290D">
        <w:t xml:space="preserve"> </w:t>
      </w:r>
    </w:p>
    <w:p w14:paraId="6F76FA60" w14:textId="34D5D054" w:rsidR="00FC1B1E" w:rsidRDefault="0093290D" w:rsidP="004E287B">
      <w:pPr>
        <w:pStyle w:val="Heading5"/>
      </w:pPr>
      <w:r>
        <w:lastRenderedPageBreak/>
        <w:t>Connecting service providers with</w:t>
      </w:r>
      <w:r w:rsidR="00FC1B1E">
        <w:t xml:space="preserve"> support coordinators</w:t>
      </w:r>
    </w:p>
    <w:p w14:paraId="373D05D4" w14:textId="3B38C8CF" w:rsidR="00557148" w:rsidRDefault="00B260FC" w:rsidP="00F910D3">
      <w:r>
        <w:t>The program theory shows connect</w:t>
      </w:r>
      <w:r w:rsidR="00557148">
        <w:t>i</w:t>
      </w:r>
      <w:r w:rsidR="00B0166B">
        <w:t xml:space="preserve">ng </w:t>
      </w:r>
      <w:r>
        <w:t xml:space="preserve">support coordinators and service </w:t>
      </w:r>
      <w:r w:rsidR="00BF326E">
        <w:t xml:space="preserve">providers </w:t>
      </w:r>
      <w:r w:rsidR="00557148">
        <w:t>would:</w:t>
      </w:r>
    </w:p>
    <w:p w14:paraId="20158BF3" w14:textId="4367798B" w:rsidR="00557148" w:rsidRDefault="00CA1E05" w:rsidP="00B0166B">
      <w:pPr>
        <w:pStyle w:val="Bulletlist"/>
      </w:pPr>
      <w:r>
        <w:t>help</w:t>
      </w:r>
      <w:r w:rsidR="00E4756A">
        <w:t xml:space="preserve"> service providers </w:t>
      </w:r>
      <w:r w:rsidR="00557148">
        <w:t xml:space="preserve">to </w:t>
      </w:r>
      <w:r>
        <w:t xml:space="preserve">be </w:t>
      </w:r>
      <w:r w:rsidR="00E4756A">
        <w:t xml:space="preserve">aware of demand </w:t>
      </w:r>
    </w:p>
    <w:p w14:paraId="1BE93E81" w14:textId="738067A8" w:rsidR="00524AFE" w:rsidRDefault="0093290D" w:rsidP="00B0166B">
      <w:pPr>
        <w:pStyle w:val="Bulletlist"/>
      </w:pPr>
      <w:r>
        <w:t xml:space="preserve">make </w:t>
      </w:r>
      <w:r w:rsidR="00E4756A">
        <w:t xml:space="preserve">support coordinators </w:t>
      </w:r>
      <w:r w:rsidR="00CA1E05">
        <w:t xml:space="preserve">aware of </w:t>
      </w:r>
      <w:r>
        <w:t>supply</w:t>
      </w:r>
      <w:r w:rsidR="00CA1E05">
        <w:t xml:space="preserve"> and vacancies. </w:t>
      </w:r>
    </w:p>
    <w:p w14:paraId="17B47BAF" w14:textId="10EFF5CA" w:rsidR="00524AFE" w:rsidRDefault="002F41EE" w:rsidP="00F910D3">
      <w:r>
        <w:t>According to the service provider survey</w:t>
      </w:r>
      <w:r w:rsidR="00D22645">
        <w:t>, 69% (n=</w:t>
      </w:r>
      <w:r w:rsidR="00EF5EF3">
        <w:t xml:space="preserve">72) of respondents reported having contact with support coordinators from </w:t>
      </w:r>
      <w:r w:rsidR="00A72819">
        <w:t>t</w:t>
      </w:r>
      <w:r w:rsidR="00EF5EF3">
        <w:t xml:space="preserve">rial LGAs in the </w:t>
      </w:r>
      <w:r w:rsidR="00557148">
        <w:t xml:space="preserve">last </w:t>
      </w:r>
      <w:r w:rsidR="00EF5EF3">
        <w:t>12 months</w:t>
      </w:r>
      <w:r w:rsidR="0093290D">
        <w:t xml:space="preserve">. Just under half of these said that contact has increased (46%, n=33). </w:t>
      </w:r>
      <w:r w:rsidR="006A2517">
        <w:t>For service providers who had contact with support coordinators, they reported this contributed to:</w:t>
      </w:r>
    </w:p>
    <w:p w14:paraId="176360BA" w14:textId="56E7CC6A" w:rsidR="00F910D3" w:rsidRPr="00F14AEE" w:rsidRDefault="00F910D3" w:rsidP="004E287B">
      <w:pPr>
        <w:pStyle w:val="Bulletlist"/>
      </w:pPr>
      <w:r w:rsidRPr="00F14AEE">
        <w:t>Connecting them with NDIS participants (n=</w:t>
      </w:r>
      <w:r w:rsidR="00D36D0F" w:rsidRPr="00F14AEE">
        <w:t>32</w:t>
      </w:r>
      <w:r w:rsidRPr="00F14AEE">
        <w:t>, 4</w:t>
      </w:r>
      <w:r w:rsidR="00D36D0F" w:rsidRPr="00F14AEE">
        <w:t>5</w:t>
      </w:r>
      <w:r w:rsidRPr="00F14AEE">
        <w:t>%)</w:t>
      </w:r>
    </w:p>
    <w:p w14:paraId="5A8276F1" w14:textId="20F06093" w:rsidR="00F910D3" w:rsidRPr="00F14AEE" w:rsidRDefault="00F910D3" w:rsidP="004E287B">
      <w:pPr>
        <w:pStyle w:val="Bulletlist"/>
      </w:pPr>
      <w:r w:rsidRPr="00F14AEE">
        <w:t>Increasing awareness of the demand for their services (n=</w:t>
      </w:r>
      <w:r w:rsidR="00CA146B" w:rsidRPr="00F14AEE">
        <w:t>30</w:t>
      </w:r>
      <w:r w:rsidRPr="00F14AEE">
        <w:t>, 4</w:t>
      </w:r>
      <w:r w:rsidR="00CA146B" w:rsidRPr="00F14AEE">
        <w:t>2</w:t>
      </w:r>
      <w:r w:rsidRPr="00F14AEE">
        <w:t>%)</w:t>
      </w:r>
    </w:p>
    <w:p w14:paraId="5A19DE4E" w14:textId="40B5AFEF" w:rsidR="00F910D3" w:rsidRPr="00F14AEE" w:rsidRDefault="00F910D3" w:rsidP="004E287B">
      <w:pPr>
        <w:pStyle w:val="Bulletlist"/>
      </w:pPr>
      <w:r w:rsidRPr="00F14AEE">
        <w:t>Increasing awareness of NDIS participants about their services (n=2</w:t>
      </w:r>
      <w:r w:rsidR="00CA146B" w:rsidRPr="00F14AEE">
        <w:t>7</w:t>
      </w:r>
      <w:r w:rsidRPr="00F14AEE">
        <w:t>, 3</w:t>
      </w:r>
      <w:r w:rsidR="00CA146B" w:rsidRPr="00F14AEE">
        <w:t>8</w:t>
      </w:r>
      <w:r w:rsidRPr="00F14AEE">
        <w:t>%)</w:t>
      </w:r>
    </w:p>
    <w:p w14:paraId="2D723F9D" w14:textId="4CF012F9" w:rsidR="00F910D3" w:rsidRDefault="00F910D3" w:rsidP="004E287B">
      <w:pPr>
        <w:pStyle w:val="Bulletlist"/>
      </w:pPr>
      <w:r w:rsidRPr="00F14AEE">
        <w:t>Delivering, or</w:t>
      </w:r>
      <w:r>
        <w:t xml:space="preserve"> planning to deliver, more services (n=</w:t>
      </w:r>
      <w:r w:rsidR="003206E4">
        <w:t>22</w:t>
      </w:r>
      <w:r>
        <w:t>, 3</w:t>
      </w:r>
      <w:r w:rsidR="003206E4">
        <w:t>1</w:t>
      </w:r>
      <w:r>
        <w:t>%).</w:t>
      </w:r>
    </w:p>
    <w:p w14:paraId="501FB76E" w14:textId="3CAA0C3A" w:rsidR="00684190" w:rsidRDefault="0093290D" w:rsidP="0093290D">
      <w:r>
        <w:t xml:space="preserve">Although just 38% of respondents reported having increased the volume of services in </w:t>
      </w:r>
      <w:r w:rsidR="00C52B4F">
        <w:t>t</w:t>
      </w:r>
      <w:r>
        <w:t xml:space="preserve">rial LGAs over the previous 12-months, 59% of these </w:t>
      </w:r>
      <w:r w:rsidR="006D7622">
        <w:t xml:space="preserve">attributed this to </w:t>
      </w:r>
      <w:r>
        <w:t>better connections with</w:t>
      </w:r>
      <w:r w:rsidR="006D7622">
        <w:t xml:space="preserve"> support coordinators</w:t>
      </w:r>
      <w:r w:rsidR="00A01A6F">
        <w:t>.</w:t>
      </w:r>
    </w:p>
    <w:p w14:paraId="41531478" w14:textId="1C91A36F" w:rsidR="00C020F9" w:rsidRDefault="00774CF6" w:rsidP="00F910D3">
      <w:r>
        <w:t xml:space="preserve">During interviews, service providers reported mixed views about whether </w:t>
      </w:r>
      <w:r w:rsidR="00C52B4F">
        <w:t>market facilitation</w:t>
      </w:r>
      <w:r>
        <w:t xml:space="preserve"> activities had helped them make </w:t>
      </w:r>
      <w:r w:rsidR="005D4ED7">
        <w:t>new connections</w:t>
      </w:r>
      <w:r w:rsidR="004A51AB">
        <w:t xml:space="preserve"> with </w:t>
      </w:r>
      <w:r w:rsidR="00D46CD7">
        <w:t>s</w:t>
      </w:r>
      <w:r w:rsidR="004A51AB">
        <w:t xml:space="preserve">upport </w:t>
      </w:r>
      <w:r w:rsidR="00713156">
        <w:t>c</w:t>
      </w:r>
      <w:r w:rsidR="00D46CD7">
        <w:t>oordinators</w:t>
      </w:r>
      <w:r w:rsidR="005D4ED7">
        <w:t xml:space="preserve">. </w:t>
      </w:r>
      <w:r w:rsidR="00720836">
        <w:t>C</w:t>
      </w:r>
      <w:r w:rsidR="004F514F">
        <w:t>ommon barrier</w:t>
      </w:r>
      <w:r w:rsidR="00720836">
        <w:t>s</w:t>
      </w:r>
      <w:r w:rsidR="00F52B49">
        <w:t xml:space="preserve"> to connecting with support coordinators</w:t>
      </w:r>
      <w:r w:rsidR="004F514F">
        <w:t xml:space="preserve"> </w:t>
      </w:r>
      <w:r w:rsidR="00720836">
        <w:t>were</w:t>
      </w:r>
      <w:r w:rsidR="004F514F">
        <w:t xml:space="preserve"> turnover </w:t>
      </w:r>
      <w:r w:rsidR="00EB14FC">
        <w:t xml:space="preserve">and their high </w:t>
      </w:r>
      <w:r w:rsidR="00720836">
        <w:t>caseloads</w:t>
      </w:r>
      <w:r w:rsidR="00B25927">
        <w:t xml:space="preserve">. This </w:t>
      </w:r>
      <w:r w:rsidR="00720836">
        <w:t>ma</w:t>
      </w:r>
      <w:r w:rsidR="00ED4257">
        <w:t xml:space="preserve">de </w:t>
      </w:r>
      <w:r w:rsidR="00EB14FC">
        <w:t xml:space="preserve">it difficult for service providers to establish </w:t>
      </w:r>
      <w:r w:rsidR="00ED4257">
        <w:t xml:space="preserve">and maintain </w:t>
      </w:r>
      <w:r w:rsidR="00EB14FC">
        <w:t xml:space="preserve">relationships with </w:t>
      </w:r>
      <w:r w:rsidR="00D46CD7">
        <w:t>s</w:t>
      </w:r>
      <w:r w:rsidR="00EB14FC">
        <w:t xml:space="preserve">upport </w:t>
      </w:r>
      <w:r w:rsidR="00D46CD7">
        <w:t>c</w:t>
      </w:r>
      <w:r w:rsidR="00EB14FC">
        <w:t>o</w:t>
      </w:r>
      <w:r w:rsidR="007A6B1D">
        <w:t xml:space="preserve">ordinators. </w:t>
      </w:r>
    </w:p>
    <w:p w14:paraId="6149CEAE" w14:textId="255D1922" w:rsidR="00F910D3" w:rsidRDefault="00B25927" w:rsidP="00F910D3">
      <w:r>
        <w:t>The above findings suggest</w:t>
      </w:r>
      <w:r w:rsidR="00F910D3">
        <w:t xml:space="preserve"> that market facilitation </w:t>
      </w:r>
      <w:r w:rsidR="008343F7">
        <w:t>has</w:t>
      </w:r>
      <w:r w:rsidR="00F76195">
        <w:t>,</w:t>
      </w:r>
      <w:r w:rsidR="008343F7">
        <w:t xml:space="preserve"> to </w:t>
      </w:r>
      <w:r w:rsidR="00235080">
        <w:t>a limited</w:t>
      </w:r>
      <w:r w:rsidR="008343F7">
        <w:t xml:space="preserve"> extent</w:t>
      </w:r>
      <w:r w:rsidR="00ED4257">
        <w:t>,</w:t>
      </w:r>
      <w:r w:rsidR="008343F7">
        <w:t xml:space="preserve"> </w:t>
      </w:r>
      <w:r w:rsidR="00720836">
        <w:t xml:space="preserve">resulted </w:t>
      </w:r>
      <w:r w:rsidR="008343F7">
        <w:t xml:space="preserve">in </w:t>
      </w:r>
      <w:r w:rsidR="00F910D3">
        <w:t>increase</w:t>
      </w:r>
      <w:r w:rsidR="008343F7">
        <w:t>d</w:t>
      </w:r>
      <w:r w:rsidR="00F910D3">
        <w:t xml:space="preserve"> connections between service providers and support coordinators</w:t>
      </w:r>
      <w:r>
        <w:t>. This has resulted in some service providers expanding, or intending to, expand service delivery.</w:t>
      </w:r>
    </w:p>
    <w:p w14:paraId="11B753DC" w14:textId="5017D4C1" w:rsidR="00FC1B1E" w:rsidRDefault="00823726" w:rsidP="004E287B">
      <w:pPr>
        <w:pStyle w:val="Heading5"/>
      </w:pPr>
      <w:r>
        <w:t>Provider and participant f</w:t>
      </w:r>
      <w:r w:rsidR="00FC1B1E">
        <w:t>orums</w:t>
      </w:r>
    </w:p>
    <w:p w14:paraId="0DCAFE27" w14:textId="784EBCB8" w:rsidR="00B02E9F" w:rsidRDefault="00E150CE" w:rsidP="00B02E9F">
      <w:r>
        <w:t xml:space="preserve">In Victoria, </w:t>
      </w:r>
      <w:r w:rsidR="00AA3733">
        <w:t>the Market Development team</w:t>
      </w:r>
      <w:r>
        <w:t xml:space="preserve"> </w:t>
      </w:r>
      <w:r w:rsidR="00F57C28">
        <w:t xml:space="preserve">in conjunction with Boosting the Local Care Workforce (BLCW) and the NDIS Quality and Safeguards Commission, </w:t>
      </w:r>
      <w:r w:rsidR="00B25927">
        <w:t xml:space="preserve">delivered </w:t>
      </w:r>
      <w:r w:rsidR="00F57C28">
        <w:t xml:space="preserve">three service provider/practitioner </w:t>
      </w:r>
      <w:r w:rsidR="00611617">
        <w:t>forums on specialist behavioural supports</w:t>
      </w:r>
      <w:r w:rsidR="00664365">
        <w:t xml:space="preserve"> in</w:t>
      </w:r>
      <w:r w:rsidR="00101E52">
        <w:t xml:space="preserve"> late 2020 and</w:t>
      </w:r>
      <w:r w:rsidR="00664365">
        <w:t xml:space="preserve"> early 2021</w:t>
      </w:r>
      <w:r w:rsidR="00AD2945">
        <w:t xml:space="preserve">. </w:t>
      </w:r>
      <w:r w:rsidR="00E27405">
        <w:t>The forum</w:t>
      </w:r>
      <w:r w:rsidR="00626C2C">
        <w:t>s</w:t>
      </w:r>
      <w:r w:rsidR="00E27405">
        <w:t xml:space="preserve"> provided information on the</w:t>
      </w:r>
      <w:r w:rsidR="009459AF">
        <w:t xml:space="preserve"> market in the </w:t>
      </w:r>
      <w:r w:rsidR="002A6158">
        <w:t>t</w:t>
      </w:r>
      <w:r w:rsidR="009459AF">
        <w:t>rial LGAs, specialist behavioural support requirements and innovative strategies to address workforce shortages</w:t>
      </w:r>
      <w:r w:rsidR="00E20807">
        <w:t xml:space="preserve"> (</w:t>
      </w:r>
      <w:r w:rsidR="006D7F85">
        <w:t xml:space="preserve">according to the </w:t>
      </w:r>
      <w:r w:rsidR="00E20807">
        <w:t>Vic Trial closure report)</w:t>
      </w:r>
      <w:r w:rsidR="009459AF">
        <w:t xml:space="preserve">. </w:t>
      </w:r>
      <w:r w:rsidR="00476CE2" w:rsidRPr="00476CE2">
        <w:t xml:space="preserve">It is unclear the extent </w:t>
      </w:r>
      <w:r w:rsidR="00B25927">
        <w:t>this</w:t>
      </w:r>
      <w:r w:rsidR="00476CE2" w:rsidRPr="00476CE2">
        <w:t xml:space="preserve"> translated to service provision, although one forum did seed the establishment of an innovative ‘hub-and-spoke’ delivery model for specialist behavioural supports.</w:t>
      </w:r>
    </w:p>
    <w:p w14:paraId="5EEF1C36" w14:textId="66067F51" w:rsidR="00081992" w:rsidRDefault="00090D36" w:rsidP="00B02E9F">
      <w:r>
        <w:t>Market development teams organised o</w:t>
      </w:r>
      <w:r w:rsidR="00B25927">
        <w:t>nline forums</w:t>
      </w:r>
      <w:r w:rsidR="005749EA">
        <w:t xml:space="preserve"> </w:t>
      </w:r>
      <w:r w:rsidR="00B25927">
        <w:t>in</w:t>
      </w:r>
      <w:r w:rsidR="00626C2C">
        <w:t xml:space="preserve"> Bland/Junee </w:t>
      </w:r>
      <w:r w:rsidR="00B25927">
        <w:t xml:space="preserve">(NSW) </w:t>
      </w:r>
      <w:r w:rsidR="00FE7AF8">
        <w:t xml:space="preserve">and Berri-Barmera </w:t>
      </w:r>
      <w:r w:rsidR="00B25927">
        <w:t xml:space="preserve">(SA) </w:t>
      </w:r>
      <w:r w:rsidR="00FE7AF8">
        <w:t>in early 2022.</w:t>
      </w:r>
      <w:r w:rsidR="00F7238A">
        <w:t xml:space="preserve"> </w:t>
      </w:r>
      <w:r w:rsidR="00434711">
        <w:t xml:space="preserve">The forums were online because of COVID-19 restrictions. </w:t>
      </w:r>
      <w:r w:rsidR="00FE7AF8">
        <w:t xml:space="preserve">The </w:t>
      </w:r>
      <w:r w:rsidR="009575AF">
        <w:t xml:space="preserve">Bland/Junee forum </w:t>
      </w:r>
      <w:r w:rsidR="00B25927">
        <w:t>t</w:t>
      </w:r>
      <w:r w:rsidR="009575AF">
        <w:t>argeted local service providers to increase their understanding of opportunities in the market</w:t>
      </w:r>
      <w:r w:rsidR="00B25927">
        <w:t>. The</w:t>
      </w:r>
      <w:r w:rsidR="009575AF">
        <w:t xml:space="preserve"> Berri-Barmera </w:t>
      </w:r>
      <w:r w:rsidR="006C2923">
        <w:t xml:space="preserve">forum targeted support coordinators and participants, with service providers </w:t>
      </w:r>
      <w:r w:rsidR="00670AED">
        <w:t xml:space="preserve">presenting their social and community support service </w:t>
      </w:r>
      <w:r w:rsidR="00670AED">
        <w:lastRenderedPageBreak/>
        <w:t>offerings</w:t>
      </w:r>
      <w:r w:rsidR="002B0099">
        <w:t xml:space="preserve"> to facilitate connections and service growth</w:t>
      </w:r>
      <w:r w:rsidR="00B25927">
        <w:t xml:space="preserve"> and </w:t>
      </w:r>
      <w:r w:rsidR="00CA6A10">
        <w:t>diversification</w:t>
      </w:r>
      <w:r w:rsidR="002B0099">
        <w:t xml:space="preserve">. </w:t>
      </w:r>
      <w:r w:rsidR="00D356FD">
        <w:t xml:space="preserve">Both </w:t>
      </w:r>
      <w:r w:rsidR="00434711">
        <w:t xml:space="preserve">the </w:t>
      </w:r>
      <w:r w:rsidR="00D356FD">
        <w:t xml:space="preserve">forums had lower </w:t>
      </w:r>
      <w:r w:rsidR="002772A2">
        <w:t>attendance</w:t>
      </w:r>
      <w:r w:rsidR="000779BA">
        <w:t xml:space="preserve"> than expected</w:t>
      </w:r>
      <w:r w:rsidR="007B659C">
        <w:t>.</w:t>
      </w:r>
    </w:p>
    <w:p w14:paraId="20DCB18D" w14:textId="7EEF3CA0" w:rsidR="00434711" w:rsidRDefault="00437673" w:rsidP="00B02E9F">
      <w:r>
        <w:t xml:space="preserve">Overall, </w:t>
      </w:r>
      <w:r w:rsidR="00977398">
        <w:t xml:space="preserve">forums have had mixed impact on </w:t>
      </w:r>
      <w:r w:rsidR="00794020">
        <w:t>service provider awareness of the market. The success of the Victorian forums compared to the other locations</w:t>
      </w:r>
      <w:r w:rsidR="00DC2714">
        <w:t xml:space="preserve"> suggests that </w:t>
      </w:r>
      <w:r w:rsidR="000C151E">
        <w:t xml:space="preserve">forums </w:t>
      </w:r>
      <w:r w:rsidR="00434711">
        <w:t xml:space="preserve">are </w:t>
      </w:r>
      <w:r w:rsidR="000C151E">
        <w:t xml:space="preserve">useful when they </w:t>
      </w:r>
      <w:r w:rsidR="00434711">
        <w:t>target areas of specific</w:t>
      </w:r>
      <w:r w:rsidR="000C151E">
        <w:t xml:space="preserve"> interest</w:t>
      </w:r>
      <w:r w:rsidR="00EB2FEC">
        <w:t xml:space="preserve"> </w:t>
      </w:r>
      <w:r w:rsidR="00434711">
        <w:t>for specialist service</w:t>
      </w:r>
      <w:r w:rsidR="00EB2FEC">
        <w:t xml:space="preserve"> providers</w:t>
      </w:r>
      <w:r w:rsidR="00434711">
        <w:t xml:space="preserve"> in a face-to-face setting</w:t>
      </w:r>
      <w:r w:rsidR="00EB2FEC">
        <w:t xml:space="preserve">. </w:t>
      </w:r>
    </w:p>
    <w:p w14:paraId="14AD583E" w14:textId="27235DF3" w:rsidR="00434711" w:rsidRDefault="00F52372" w:rsidP="00B02E9F">
      <w:r>
        <w:t>T</w:t>
      </w:r>
      <w:r w:rsidR="00434711">
        <w:t xml:space="preserve">he low attendance at the Bland/Junee and Berri-Barmera forums </w:t>
      </w:r>
      <w:r>
        <w:t xml:space="preserve">could </w:t>
      </w:r>
      <w:r w:rsidR="00434711">
        <w:t>indicate tha</w:t>
      </w:r>
      <w:r>
        <w:t xml:space="preserve">t at that point in time, </w:t>
      </w:r>
      <w:r w:rsidR="00434711">
        <w:t xml:space="preserve">online forums </w:t>
      </w:r>
      <w:r>
        <w:t>we</w:t>
      </w:r>
      <w:r w:rsidR="00434711">
        <w:t>re less effective than face-to-face forums</w:t>
      </w:r>
      <w:r>
        <w:t>. This may change as online engagement becomes normalised. Alternatively, the low attendance at these forums could indicate that fo</w:t>
      </w:r>
      <w:r w:rsidR="00434711">
        <w:t xml:space="preserve">rums </w:t>
      </w:r>
      <w:r>
        <w:t>are an ineffective way to provide general market information and connect participants with service providers.</w:t>
      </w:r>
    </w:p>
    <w:p w14:paraId="31D23619" w14:textId="69DD7069" w:rsidR="00B02E9F" w:rsidRDefault="00B02E9F" w:rsidP="00A01FA6">
      <w:pPr>
        <w:pStyle w:val="Heading4"/>
      </w:pPr>
      <w:r w:rsidRPr="002048B1">
        <w:t>Support coordinator awareness of the market</w:t>
      </w:r>
    </w:p>
    <w:p w14:paraId="68722C6E" w14:textId="4360F1EF" w:rsidR="00B02E9F" w:rsidRDefault="0076274B" w:rsidP="00B02E9F">
      <w:r>
        <w:t xml:space="preserve">Market facilitation activities also </w:t>
      </w:r>
      <w:r w:rsidR="00F52372">
        <w:t>focused</w:t>
      </w:r>
      <w:r w:rsidR="002D43D7">
        <w:t xml:space="preserve"> on engaging with support coordinators to improve their awareness of service providers, </w:t>
      </w:r>
      <w:r w:rsidR="00FA6E93">
        <w:t xml:space="preserve">vacancies, and waitlists. The </w:t>
      </w:r>
      <w:r w:rsidR="00D6602A">
        <w:t>intention</w:t>
      </w:r>
      <w:r w:rsidR="00FA6E93">
        <w:t xml:space="preserve"> is that this </w:t>
      </w:r>
      <w:r w:rsidR="00F52372">
        <w:t>would</w:t>
      </w:r>
      <w:r w:rsidR="00FA6E93">
        <w:t xml:space="preserve"> help support coordinators connect participants with service providers more quickly.</w:t>
      </w:r>
      <w:r w:rsidR="00410DAE">
        <w:t xml:space="preserve"> In some locations this engagement was </w:t>
      </w:r>
      <w:r w:rsidR="00F52372">
        <w:t xml:space="preserve">on an </w:t>
      </w:r>
      <w:r w:rsidR="00F52372" w:rsidRPr="008A266E">
        <w:t>individual basis</w:t>
      </w:r>
      <w:r w:rsidR="00410DAE" w:rsidRPr="008A266E">
        <w:t xml:space="preserve">, </w:t>
      </w:r>
      <w:r w:rsidR="00F52372" w:rsidRPr="008A266E">
        <w:t xml:space="preserve">while </w:t>
      </w:r>
      <w:r w:rsidR="00410DAE" w:rsidRPr="008A266E">
        <w:t xml:space="preserve">in other locations </w:t>
      </w:r>
      <w:r w:rsidR="00730271">
        <w:t>Market Development</w:t>
      </w:r>
      <w:r w:rsidR="00410DAE" w:rsidRPr="008A266E">
        <w:t xml:space="preserve"> </w:t>
      </w:r>
      <w:r w:rsidR="005F7B99" w:rsidRPr="008A266E">
        <w:t xml:space="preserve">facilitated a support coordinator </w:t>
      </w:r>
      <w:r w:rsidR="00FD4F21" w:rsidRPr="008A266E">
        <w:t>networking</w:t>
      </w:r>
      <w:r w:rsidR="005F7B99" w:rsidRPr="008A266E">
        <w:t xml:space="preserve"> group</w:t>
      </w:r>
      <w:r w:rsidR="00AA482F" w:rsidRPr="008A266E">
        <w:t xml:space="preserve"> (</w:t>
      </w:r>
      <w:r w:rsidR="007363C3" w:rsidRPr="008A266E">
        <w:t>e.g.,</w:t>
      </w:r>
      <w:r w:rsidR="00AF547B">
        <w:t xml:space="preserve"> </w:t>
      </w:r>
      <w:r w:rsidR="00AA482F" w:rsidRPr="008A266E">
        <w:t>Carpentaria</w:t>
      </w:r>
      <w:r w:rsidR="00511A78" w:rsidRPr="008A266E">
        <w:t>)</w:t>
      </w:r>
      <w:r w:rsidR="00593E6E" w:rsidRPr="008A266E">
        <w:t>.</w:t>
      </w:r>
    </w:p>
    <w:p w14:paraId="4662062C" w14:textId="69A723A1" w:rsidR="00593E6E" w:rsidRDefault="00593E6E" w:rsidP="00B02E9F">
      <w:r>
        <w:t>In Victoria</w:t>
      </w:r>
      <w:r w:rsidR="00BA3573">
        <w:t xml:space="preserve">, support coordinators </w:t>
      </w:r>
      <w:r w:rsidR="00EF0859">
        <w:t xml:space="preserve">were given </w:t>
      </w:r>
      <w:r w:rsidR="00BA3573">
        <w:t>a service provider capacity matrix every four to six weeks that included vacancies and waitlist</w:t>
      </w:r>
      <w:r w:rsidR="008C02C0">
        <w:t xml:space="preserve">s. Victorian support coordinators interviewed indicated that </w:t>
      </w:r>
      <w:r w:rsidR="00F52372">
        <w:t>this</w:t>
      </w:r>
      <w:r w:rsidR="008C02C0">
        <w:t xml:space="preserve"> gave them greater awareness of specialist behavioural support providers and had helped them connect their participants with new service providers.</w:t>
      </w:r>
      <w:r w:rsidR="00CC1750" w:rsidRPr="00CC1750">
        <w:t xml:space="preserve"> </w:t>
      </w:r>
      <w:r w:rsidR="00CC1750">
        <w:t>However, they noted there were still challenges around waitlists.</w:t>
      </w:r>
    </w:p>
    <w:p w14:paraId="217DF55B" w14:textId="2AA7E45C" w:rsidR="00211F87" w:rsidRDefault="00EF1DD7" w:rsidP="00844D79">
      <w:pPr>
        <w:pStyle w:val="Quote"/>
      </w:pPr>
      <w:r>
        <w:t>“D</w:t>
      </w:r>
      <w:r w:rsidRPr="00EF1DD7">
        <w:t xml:space="preserve">efinitely helped </w:t>
      </w:r>
      <w:r>
        <w:t xml:space="preserve">me </w:t>
      </w:r>
      <w:r w:rsidRPr="00EF1DD7">
        <w:t xml:space="preserve">connect participants with </w:t>
      </w:r>
      <w:r>
        <w:t>specialist behavioural support</w:t>
      </w:r>
      <w:r w:rsidRPr="00EF1DD7">
        <w:t xml:space="preserve"> providers</w:t>
      </w:r>
      <w:r>
        <w:t>”. (Support coordinator interview)</w:t>
      </w:r>
    </w:p>
    <w:p w14:paraId="576890E5" w14:textId="6BD3CE65" w:rsidR="00260A79" w:rsidRDefault="00211F87" w:rsidP="00211F87">
      <w:r>
        <w:t xml:space="preserve">In </w:t>
      </w:r>
      <w:r w:rsidR="009A58CA">
        <w:t>other locations</w:t>
      </w:r>
      <w:r>
        <w:t xml:space="preserve">, support coordinators </w:t>
      </w:r>
      <w:r w:rsidR="00285C03">
        <w:t>had mixed views</w:t>
      </w:r>
      <w:r>
        <w:t xml:space="preserve"> about the impact of </w:t>
      </w:r>
      <w:r w:rsidR="00FF4E11">
        <w:t>t</w:t>
      </w:r>
      <w:r>
        <w:t xml:space="preserve">rial activities on their awareness of the market. </w:t>
      </w:r>
      <w:r w:rsidR="00EC00B3">
        <w:t xml:space="preserve">Support coordinators in Queensland LGAs reported that the networking group and other </w:t>
      </w:r>
      <w:r w:rsidR="00FF4E11">
        <w:t>t</w:t>
      </w:r>
      <w:r w:rsidR="00EC00B3">
        <w:t>rial activities had helped them connect to new service providers. However, s</w:t>
      </w:r>
      <w:r w:rsidR="00D52232">
        <w:t xml:space="preserve">upport Coordinators in NT Central and NSW </w:t>
      </w:r>
      <w:r w:rsidR="00041ECF">
        <w:t>t</w:t>
      </w:r>
      <w:r w:rsidR="00D52232">
        <w:t xml:space="preserve">rial </w:t>
      </w:r>
      <w:r w:rsidR="00B07D91">
        <w:t>LGAs reported that market facilitation activities did not help</w:t>
      </w:r>
      <w:r w:rsidR="00DD57B8">
        <w:t xml:space="preserve"> them</w:t>
      </w:r>
      <w:r w:rsidR="00B07D91">
        <w:t xml:space="preserve"> </w:t>
      </w:r>
      <w:r w:rsidR="00B0310A">
        <w:t>better understand the market</w:t>
      </w:r>
      <w:r w:rsidR="00E56DBB">
        <w:t xml:space="preserve">. </w:t>
      </w:r>
    </w:p>
    <w:p w14:paraId="42544D0A" w14:textId="4D898535" w:rsidR="00260A79" w:rsidRDefault="00E701C6" w:rsidP="00844D79">
      <w:pPr>
        <w:pStyle w:val="Quote"/>
      </w:pPr>
      <w:r>
        <w:t>“</w:t>
      </w:r>
      <w:r w:rsidR="00DD5E86">
        <w:t>The Market Development</w:t>
      </w:r>
      <w:r w:rsidR="00DD5E86" w:rsidRPr="00DD5E86">
        <w:t xml:space="preserve"> team </w:t>
      </w:r>
      <w:r w:rsidR="00DD5E86">
        <w:t xml:space="preserve">were </w:t>
      </w:r>
      <w:r w:rsidR="00DD5E86" w:rsidRPr="00DD5E86">
        <w:t>very proactive.</w:t>
      </w:r>
      <w:r w:rsidR="00E04009">
        <w:t xml:space="preserve"> </w:t>
      </w:r>
      <w:r w:rsidR="00DD5E86" w:rsidRPr="00DD5E86">
        <w:t xml:space="preserve">We have monthly </w:t>
      </w:r>
      <w:r w:rsidR="009158DC" w:rsidRPr="00DD5E86">
        <w:t>meetings,</w:t>
      </w:r>
      <w:r w:rsidR="00E04009">
        <w:t xml:space="preserve"> and they b</w:t>
      </w:r>
      <w:r w:rsidR="00E04009" w:rsidRPr="00DD5E86">
        <w:t>ring in guest speakers</w:t>
      </w:r>
      <w:r w:rsidR="00E04009">
        <w:t xml:space="preserve">. </w:t>
      </w:r>
      <w:r w:rsidR="00126690">
        <w:t>That’s been fantastic</w:t>
      </w:r>
      <w:r w:rsidR="00241E3F">
        <w:t>.</w:t>
      </w:r>
      <w:r w:rsidR="00126690">
        <w:t xml:space="preserve"> </w:t>
      </w:r>
      <w:r w:rsidR="00241E3F">
        <w:t>B</w:t>
      </w:r>
      <w:r w:rsidR="00126690">
        <w:t>ecause even if that gives only</w:t>
      </w:r>
      <w:r w:rsidR="00241E3F">
        <w:t xml:space="preserve"> one other person in your community a service, it’s </w:t>
      </w:r>
      <w:r w:rsidR="003222C9">
        <w:t>helped.</w:t>
      </w:r>
      <w:r w:rsidR="00510806">
        <w:t>…</w:t>
      </w:r>
      <w:r w:rsidR="00DB7D44">
        <w:t>And I can ring</w:t>
      </w:r>
      <w:r w:rsidR="008F2AD0">
        <w:t xml:space="preserve"> other support coordinators now and tell them I’ve got such a</w:t>
      </w:r>
      <w:r w:rsidR="009158DC">
        <w:t>nd</w:t>
      </w:r>
      <w:r w:rsidR="008F2AD0">
        <w:t xml:space="preserve"> such a service going out, and their participants can link </w:t>
      </w:r>
      <w:r w:rsidR="00510806">
        <w:t>in.</w:t>
      </w:r>
      <w:r>
        <w:t>”</w:t>
      </w:r>
      <w:r w:rsidR="00510806">
        <w:t xml:space="preserve"> </w:t>
      </w:r>
      <w:r>
        <w:t>(Support coordinator interview)</w:t>
      </w:r>
    </w:p>
    <w:p w14:paraId="57C0BD1F" w14:textId="1F9CB0E7" w:rsidR="00126690" w:rsidRDefault="00BC2644" w:rsidP="00211F87">
      <w:r>
        <w:t xml:space="preserve">The findings suggest that market facilitation activities had mixed success in improving support coordinator awareness of the market. The findings from Victoria </w:t>
      </w:r>
      <w:r w:rsidR="00004348">
        <w:t>indicate</w:t>
      </w:r>
      <w:r>
        <w:t xml:space="preserve"> that providing support coordinators information on service provider vacancies is helpfu</w:t>
      </w:r>
      <w:r w:rsidR="005669B1">
        <w:t xml:space="preserve">l. The Queensland findings </w:t>
      </w:r>
      <w:r w:rsidR="00857F08">
        <w:t>suggest</w:t>
      </w:r>
      <w:r w:rsidR="005669B1">
        <w:t xml:space="preserve"> </w:t>
      </w:r>
      <w:r w:rsidR="004517DF">
        <w:t>that engaging with support coordinators</w:t>
      </w:r>
      <w:r w:rsidR="0006222D">
        <w:t xml:space="preserve"> as a network</w:t>
      </w:r>
      <w:r w:rsidR="004517DF">
        <w:t xml:space="preserve"> is more successful </w:t>
      </w:r>
      <w:r w:rsidR="0006222D">
        <w:t>than individual engagement</w:t>
      </w:r>
      <w:r w:rsidR="0014524D">
        <w:t>.</w:t>
      </w:r>
    </w:p>
    <w:p w14:paraId="7F1F5F82" w14:textId="55C2D19A" w:rsidR="00B02E9F" w:rsidRDefault="00B02E9F" w:rsidP="00A01FA6">
      <w:pPr>
        <w:pStyle w:val="Heading4"/>
      </w:pPr>
      <w:r w:rsidRPr="00886AB5">
        <w:lastRenderedPageBreak/>
        <w:t xml:space="preserve">Impacts </w:t>
      </w:r>
      <w:r w:rsidRPr="008E22C7">
        <w:t>on participant plans</w:t>
      </w:r>
    </w:p>
    <w:p w14:paraId="14E0DB35" w14:textId="101EC52D" w:rsidR="00915B71" w:rsidRDefault="006A28F7" w:rsidP="00915B71">
      <w:r>
        <w:t>Market facilitation activities</w:t>
      </w:r>
      <w:r w:rsidR="00F738EE">
        <w:t xml:space="preserve"> also</w:t>
      </w:r>
      <w:r>
        <w:t xml:space="preserve"> </w:t>
      </w:r>
      <w:r w:rsidR="00EC00B3">
        <w:t>focused</w:t>
      </w:r>
      <w:r>
        <w:t xml:space="preserve"> on working with NDIA planners to ensure plan builds </w:t>
      </w:r>
      <w:r w:rsidR="00324BC3">
        <w:t>reflect</w:t>
      </w:r>
      <w:r w:rsidR="00F738EE">
        <w:t>ed</w:t>
      </w:r>
      <w:r w:rsidR="00324BC3">
        <w:t xml:space="preserve"> both participant needs and market challenges. In Victoria</w:t>
      </w:r>
      <w:r w:rsidR="003351DF">
        <w:t xml:space="preserve">, </w:t>
      </w:r>
      <w:r w:rsidR="00FE75E5">
        <w:t>Market Development</w:t>
      </w:r>
      <w:r w:rsidR="003351DF">
        <w:t xml:space="preserve"> worked with National Delivery to implement training for plann</w:t>
      </w:r>
      <w:r w:rsidR="00C20B2F">
        <w:t>ers</w:t>
      </w:r>
      <w:r w:rsidR="003351DF">
        <w:t xml:space="preserve"> to increase their understanding of the Standard Operating Procedure for Behaviour Intervention Supports, and the Practice Guide for Positive Behaviour Support and Behaviours of Concern.</w:t>
      </w:r>
      <w:r w:rsidR="005D1465">
        <w:t xml:space="preserve"> In </w:t>
      </w:r>
      <w:r w:rsidR="00D8078D">
        <w:t xml:space="preserve">other LGAs, </w:t>
      </w:r>
      <w:r w:rsidR="00125378">
        <w:t>Market Development teams</w:t>
      </w:r>
      <w:r w:rsidR="00D8078D">
        <w:t xml:space="preserve"> worked directly with National Delivery to help understand and resolve systemic issues that impede plan utilisation, so that planners can consider them during plan builds</w:t>
      </w:r>
      <w:r w:rsidR="00205635">
        <w:t>, for example, plan management</w:t>
      </w:r>
      <w:r w:rsidR="00D30BBE">
        <w:t xml:space="preserve"> type, travel</w:t>
      </w:r>
      <w:r w:rsidR="00807E96">
        <w:t xml:space="preserve"> costs</w:t>
      </w:r>
      <w:r w:rsidR="008123D7">
        <w:t>, etc</w:t>
      </w:r>
      <w:r w:rsidR="001227FA">
        <w:t xml:space="preserve">. </w:t>
      </w:r>
    </w:p>
    <w:p w14:paraId="10AB425E" w14:textId="16A1D9DC" w:rsidR="001E43C2" w:rsidRDefault="00EB6E98" w:rsidP="00915B71">
      <w:r w:rsidRPr="00F265C4">
        <w:t xml:space="preserve">Analysis </w:t>
      </w:r>
      <w:r w:rsidR="0070587F" w:rsidRPr="00F265C4">
        <w:t xml:space="preserve">of plan budgets </w:t>
      </w:r>
      <w:r w:rsidRPr="00F265C4">
        <w:t xml:space="preserve">showed </w:t>
      </w:r>
      <w:r w:rsidR="0070587F" w:rsidRPr="00F265C4">
        <w:t xml:space="preserve">that </w:t>
      </w:r>
      <w:r w:rsidR="00425402" w:rsidRPr="00F265C4">
        <w:t xml:space="preserve">average </w:t>
      </w:r>
      <w:r w:rsidR="002106D5" w:rsidRPr="00F265C4">
        <w:t xml:space="preserve">CBIR </w:t>
      </w:r>
      <w:r w:rsidR="00425402" w:rsidRPr="00F265C4">
        <w:t>budgets vary across the LGAs</w:t>
      </w:r>
      <w:r w:rsidR="00C30650" w:rsidRPr="00F265C4">
        <w:t xml:space="preserve"> in Victoria</w:t>
      </w:r>
      <w:r w:rsidR="002106D5" w:rsidRPr="00F265C4">
        <w:t xml:space="preserve"> and that they have</w:t>
      </w:r>
      <w:r w:rsidR="007A5061" w:rsidRPr="00F265C4">
        <w:t xml:space="preserve"> </w:t>
      </w:r>
      <w:r w:rsidR="00531DC7" w:rsidRPr="00F265C4">
        <w:t xml:space="preserve">increased </w:t>
      </w:r>
      <w:r w:rsidR="002106D5" w:rsidRPr="00F265C4">
        <w:t>in the</w:t>
      </w:r>
      <w:r w:rsidR="000B79CB" w:rsidRPr="00F265C4">
        <w:t xml:space="preserve"> </w:t>
      </w:r>
      <w:r w:rsidR="002106D5" w:rsidRPr="00F265C4">
        <w:t>two</w:t>
      </w:r>
      <w:r w:rsidR="000B79CB" w:rsidRPr="00F265C4">
        <w:t xml:space="preserve"> years </w:t>
      </w:r>
      <w:r w:rsidR="002106D5" w:rsidRPr="00F265C4">
        <w:t xml:space="preserve">since the </w:t>
      </w:r>
      <w:r w:rsidR="00125378">
        <w:t>t</w:t>
      </w:r>
      <w:r w:rsidR="002106D5" w:rsidRPr="00F265C4">
        <w:t xml:space="preserve">rial. However, </w:t>
      </w:r>
      <w:r w:rsidR="00BA659B" w:rsidRPr="00F265C4">
        <w:t>CBIR budge</w:t>
      </w:r>
      <w:r w:rsidR="00DD4F52" w:rsidRPr="00F265C4">
        <w:t>ts are</w:t>
      </w:r>
      <w:r w:rsidR="00BA659B" w:rsidRPr="00F265C4">
        <w:t xml:space="preserve"> on average </w:t>
      </w:r>
      <w:r w:rsidR="00DD4F52" w:rsidRPr="00F265C4">
        <w:t xml:space="preserve">still less than recommended in the </w:t>
      </w:r>
      <w:r w:rsidR="00F265C4" w:rsidRPr="00F265C4">
        <w:t>Practice Guide.</w:t>
      </w:r>
    </w:p>
    <w:p w14:paraId="15786579" w14:textId="5E421CDC" w:rsidR="00F518F1" w:rsidRDefault="00F518F1" w:rsidP="00A01FA6">
      <w:pPr>
        <w:pStyle w:val="Heading3"/>
      </w:pPr>
      <w:bookmarkStart w:id="112" w:name="_Toc136336667"/>
      <w:r>
        <w:t>Factors affecting the success of market facilitation</w:t>
      </w:r>
      <w:bookmarkEnd w:id="112"/>
    </w:p>
    <w:p w14:paraId="295A113F" w14:textId="74F8E028" w:rsidR="00F518F1" w:rsidRPr="00F518F1" w:rsidRDefault="008F181B" w:rsidP="00F518F1">
      <w:r w:rsidRPr="008F181B">
        <w:t xml:space="preserve">The findings presented above indicate that </w:t>
      </w:r>
      <w:r>
        <w:t>market facilitation</w:t>
      </w:r>
      <w:r w:rsidRPr="008F181B">
        <w:t xml:space="preserve"> </w:t>
      </w:r>
      <w:r>
        <w:t>has</w:t>
      </w:r>
      <w:r w:rsidRPr="008F181B">
        <w:t xml:space="preserve"> not had the intended impacts or been able to operate completely as intended under the program theory.  Interviews with service providers, support coordinators and other key stakeholders highlighted that </w:t>
      </w:r>
      <w:r>
        <w:t>market facilitation was</w:t>
      </w:r>
      <w:r w:rsidRPr="008F181B">
        <w:t xml:space="preserve"> not sufficient to overcome various systemic challenges affecting service delivery in </w:t>
      </w:r>
      <w:r w:rsidR="0002215F">
        <w:t>thin markets</w:t>
      </w:r>
      <w:r w:rsidRPr="008F181B">
        <w:t xml:space="preserve">. This </w:t>
      </w:r>
      <w:r>
        <w:t>section</w:t>
      </w:r>
      <w:r w:rsidRPr="008F181B">
        <w:t xml:space="preserve"> summarises these challenges.</w:t>
      </w:r>
    </w:p>
    <w:p w14:paraId="46D9A202" w14:textId="77777777" w:rsidR="00F518F1" w:rsidRDefault="00F518F1" w:rsidP="00A01FA6">
      <w:pPr>
        <w:pStyle w:val="Heading4"/>
      </w:pPr>
      <w:r>
        <w:t>Service viability</w:t>
      </w:r>
    </w:p>
    <w:p w14:paraId="2628F268" w14:textId="76B94D8E" w:rsidR="00F518F1" w:rsidRDefault="00F518F1" w:rsidP="00F518F1">
      <w:r>
        <w:t xml:space="preserve">Stakeholders </w:t>
      </w:r>
      <w:r w:rsidRPr="000841B5">
        <w:t>(PITC, service providers, support coordinators, Working Group members)</w:t>
      </w:r>
      <w:r>
        <w:t xml:space="preserve"> in regional and remote </w:t>
      </w:r>
      <w:r w:rsidR="0002215F">
        <w:t>t</w:t>
      </w:r>
      <w:r>
        <w:t xml:space="preserve">rial LGAs reported that financial viability is an issue given the substantial complexity of servicing these locations. Challenges raised include logistics (including travel), pricing models, low economies of scale, safety and lack of housing/accommodation.  </w:t>
      </w:r>
    </w:p>
    <w:p w14:paraId="0BE844CB" w14:textId="77777777" w:rsidR="00F518F1" w:rsidRDefault="00F518F1" w:rsidP="00844D79">
      <w:pPr>
        <w:pStyle w:val="Quote"/>
        <w:rPr>
          <w:highlight w:val="yellow"/>
        </w:rPr>
      </w:pPr>
      <w:r>
        <w:t>“</w:t>
      </w:r>
      <w:r w:rsidRPr="00F07193">
        <w:t>We also have extra costs with recruitment and retention of staff</w:t>
      </w:r>
      <w:r>
        <w:t xml:space="preserve"> like </w:t>
      </w:r>
      <w:r w:rsidRPr="00F07193">
        <w:t>the housing for staff out there</w:t>
      </w:r>
      <w:r>
        <w:t xml:space="preserve"> and </w:t>
      </w:r>
      <w:r w:rsidRPr="00F07193">
        <w:t xml:space="preserve">we pay for them to come in on a monthly or bimonthly trip into </w:t>
      </w:r>
      <w:r>
        <w:t>[location]</w:t>
      </w:r>
      <w:r w:rsidRPr="00F07193">
        <w:t xml:space="preserve"> to help </w:t>
      </w:r>
      <w:r>
        <w:t xml:space="preserve">to </w:t>
      </w:r>
      <w:r w:rsidRPr="00F07193">
        <w:t xml:space="preserve">reduce that burnout. </w:t>
      </w:r>
      <w:r>
        <w:t>That does</w:t>
      </w:r>
      <w:r w:rsidRPr="00F07193">
        <w:t xml:space="preserve"> mean then </w:t>
      </w:r>
      <w:r>
        <w:t xml:space="preserve">there </w:t>
      </w:r>
      <w:r w:rsidRPr="00F07193">
        <w:t>is an extra cost to recruiting t</w:t>
      </w:r>
      <w:r>
        <w:t>o [location]</w:t>
      </w:r>
      <w:r w:rsidRPr="00F07193">
        <w:t xml:space="preserve">. We are paying for accommodation for the staff </w:t>
      </w:r>
      <w:r>
        <w:t>in [location]</w:t>
      </w:r>
      <w:r w:rsidRPr="00F07193">
        <w:t>. So there's a lot of cost to keeping people out there</w:t>
      </w:r>
      <w:r>
        <w:t>…</w:t>
      </w:r>
      <w:r w:rsidRPr="00F03C30">
        <w:t>Everything is a challenge out there. Even with transport and the travel</w:t>
      </w:r>
      <w:r>
        <w:t>,</w:t>
      </w:r>
      <w:r w:rsidRPr="00F03C30">
        <w:t xml:space="preserve"> the challenge is the wear and tear on vehicles that we've got out there</w:t>
      </w:r>
      <w:r>
        <w:t>,</w:t>
      </w:r>
      <w:r w:rsidRPr="00F03C30">
        <w:t xml:space="preserve"> i</w:t>
      </w:r>
      <w:r>
        <w:t>t’</w:t>
      </w:r>
      <w:r w:rsidRPr="00F03C30">
        <w:t>s huge compared to other places that we service.</w:t>
      </w:r>
      <w:r>
        <w:t>” (Service provider interview)</w:t>
      </w:r>
    </w:p>
    <w:p w14:paraId="68A3DE62" w14:textId="2A3C53B2" w:rsidR="00F518F1" w:rsidRPr="00CC413C" w:rsidRDefault="00F518F1" w:rsidP="00F518F1">
      <w:r w:rsidRPr="00CC413C">
        <w:t xml:space="preserve">Service providers and support coordinators </w:t>
      </w:r>
      <w:r>
        <w:t>commented</w:t>
      </w:r>
      <w:r w:rsidRPr="00CC413C">
        <w:t xml:space="preserve"> that it was difficult to make a case for providing services in a location with low numbers of participants. </w:t>
      </w:r>
      <w:r>
        <w:t>Stakeholders in remote LGAs also expressed</w:t>
      </w:r>
      <w:r w:rsidR="0009370E">
        <w:t xml:space="preserve"> the</w:t>
      </w:r>
      <w:r>
        <w:t xml:space="preserve"> sentiment that the individualised nature of NDIS funding impacts financial viability as it is not commensurate with remote service delivery due to the lack of critical participant mass. </w:t>
      </w:r>
    </w:p>
    <w:p w14:paraId="7197501B" w14:textId="77777777" w:rsidR="00F518F1" w:rsidRDefault="00F518F1" w:rsidP="00844D79">
      <w:pPr>
        <w:pStyle w:val="Quote"/>
      </w:pPr>
      <w:r>
        <w:lastRenderedPageBreak/>
        <w:t>“M</w:t>
      </w:r>
      <w:r w:rsidRPr="0075456E">
        <w:t xml:space="preserve">y worry is that if </w:t>
      </w:r>
      <w:r>
        <w:t>[Service Provider]</w:t>
      </w:r>
      <w:r w:rsidRPr="0075456E">
        <w:t xml:space="preserve"> don't have enough work, they will pull out. I've already seen them pull out of other communities.</w:t>
      </w:r>
      <w:r>
        <w:t>” (Support coordinator interview)</w:t>
      </w:r>
    </w:p>
    <w:p w14:paraId="54E91B56" w14:textId="77777777" w:rsidR="00F518F1" w:rsidRPr="000704EE" w:rsidRDefault="00F518F1" w:rsidP="00844D79">
      <w:pPr>
        <w:pStyle w:val="Quote"/>
        <w:rPr>
          <w:highlight w:val="yellow"/>
        </w:rPr>
      </w:pPr>
      <w:r>
        <w:t>“W</w:t>
      </w:r>
      <w:r w:rsidRPr="000704EE">
        <w:t xml:space="preserve">e had a referral request for a participant in </w:t>
      </w:r>
      <w:r>
        <w:t xml:space="preserve">[location], which </w:t>
      </w:r>
      <w:r w:rsidRPr="000704EE">
        <w:t>is probably about</w:t>
      </w:r>
      <w:r>
        <w:t xml:space="preserve"> a</w:t>
      </w:r>
      <w:r w:rsidRPr="000704EE">
        <w:t xml:space="preserve"> 2</w:t>
      </w:r>
      <w:r>
        <w:t xml:space="preserve"> ½ to </w:t>
      </w:r>
      <w:r w:rsidRPr="000704EE">
        <w:t xml:space="preserve">three-hour drive away. So initially what we did was </w:t>
      </w:r>
      <w:r>
        <w:t xml:space="preserve">I </w:t>
      </w:r>
      <w:r w:rsidRPr="000704EE">
        <w:t xml:space="preserve">went back to the </w:t>
      </w:r>
      <w:r>
        <w:t>support coordinator and</w:t>
      </w:r>
      <w:r w:rsidRPr="000704EE">
        <w:t xml:space="preserve"> said, listen, we can do the work, but it's one participant and if you can find if there's another four or five participants that can be added into it, then it makes a business case from our perspective but also makes </w:t>
      </w:r>
      <w:r>
        <w:t>sense</w:t>
      </w:r>
      <w:r w:rsidRPr="000704EE">
        <w:t xml:space="preserve"> from the participants perspective because you can spread the costs around.</w:t>
      </w:r>
      <w:r>
        <w:t>” (Service provider interview)</w:t>
      </w:r>
    </w:p>
    <w:p w14:paraId="0DCA9214" w14:textId="2D32E2D6" w:rsidR="00F518F1" w:rsidRDefault="00F518F1" w:rsidP="00F518F1">
      <w:r>
        <w:t xml:space="preserve">The </w:t>
      </w:r>
      <w:r w:rsidRPr="008C2D49">
        <w:t xml:space="preserve">impact of low service viability is that in </w:t>
      </w:r>
      <w:r w:rsidR="0011479A">
        <w:t>t</w:t>
      </w:r>
      <w:r w:rsidRPr="008C2D49">
        <w:t xml:space="preserve">rial LGAs there is a limited number of service providers, creating long waiting lists for the services that are there. </w:t>
      </w:r>
      <w:r w:rsidR="006554CC">
        <w:t>M</w:t>
      </w:r>
      <w:r>
        <w:t xml:space="preserve">arket facilitation has not been able to overcome these challenges as there is no inbuilt financial mechanism to incentivise providers to deliver services in </w:t>
      </w:r>
      <w:r w:rsidR="00581FF9">
        <w:t>these</w:t>
      </w:r>
      <w:r>
        <w:t xml:space="preserve"> locations. </w:t>
      </w:r>
    </w:p>
    <w:p w14:paraId="15F4219E" w14:textId="77777777" w:rsidR="00F518F1" w:rsidRDefault="00F518F1" w:rsidP="00A01FA6">
      <w:pPr>
        <w:pStyle w:val="Heading4"/>
      </w:pPr>
      <w:r>
        <w:t>Travel and transport costs</w:t>
      </w:r>
    </w:p>
    <w:p w14:paraId="51BA703B" w14:textId="6F2763FA" w:rsidR="00F518F1" w:rsidRDefault="00F518F1" w:rsidP="00F518F1">
      <w:r>
        <w:t xml:space="preserve">Across regional and remote </w:t>
      </w:r>
      <w:r w:rsidR="00D966E4">
        <w:t>t</w:t>
      </w:r>
      <w:r>
        <w:t xml:space="preserve">rial LGAs, service providers and support coordinators identified travel costs and associated logistics as a significant barrier. In the service provider survey, 34% (n=32) of respondents who did not increase their services </w:t>
      </w:r>
      <w:r w:rsidR="00962BD0">
        <w:t>in</w:t>
      </w:r>
      <w:r>
        <w:t xml:space="preserve"> trial LGAs in the previous 12 months reported that travel costs were a barrier to service delivery. </w:t>
      </w:r>
    </w:p>
    <w:p w14:paraId="78706C5C" w14:textId="35398E1C" w:rsidR="00F518F1" w:rsidRDefault="00F518F1" w:rsidP="00F518F1">
      <w:r>
        <w:t xml:space="preserve">The consensus from interviewed service providers and support coordinators was that </w:t>
      </w:r>
      <w:r w:rsidRPr="00854B4C">
        <w:t xml:space="preserve">the NDIS does not </w:t>
      </w:r>
      <w:r w:rsidR="00147581">
        <w:t>sufficiently</w:t>
      </w:r>
      <w:r w:rsidRPr="00854B4C">
        <w:t xml:space="preserve"> compensate service providers for</w:t>
      </w:r>
      <w:r>
        <w:t xml:space="preserve"> </w:t>
      </w:r>
      <w:r w:rsidRPr="00854B4C">
        <w:t>travel expenses</w:t>
      </w:r>
      <w:r>
        <w:t xml:space="preserve"> outside of metropolitan areas. This makes service providers less likely to deliver services to participants located farther than NDIS pricing arrangements will support. S</w:t>
      </w:r>
      <w:r w:rsidRPr="00854B4C">
        <w:t xml:space="preserve">ervice providers </w:t>
      </w:r>
      <w:r w:rsidR="001454DA">
        <w:t xml:space="preserve">consider that they </w:t>
      </w:r>
      <w:r>
        <w:t>need</w:t>
      </w:r>
      <w:r w:rsidRPr="00854B4C">
        <w:t xml:space="preserve"> </w:t>
      </w:r>
      <w:r>
        <w:t>to</w:t>
      </w:r>
      <w:r w:rsidRPr="00854B4C">
        <w:t xml:space="preserve"> negotiate </w:t>
      </w:r>
      <w:r>
        <w:t xml:space="preserve">additional </w:t>
      </w:r>
      <w:r w:rsidRPr="00854B4C">
        <w:t xml:space="preserve">travel </w:t>
      </w:r>
      <w:r>
        <w:t>costs</w:t>
      </w:r>
      <w:r w:rsidRPr="00854B4C">
        <w:t xml:space="preserve"> </w:t>
      </w:r>
      <w:r>
        <w:t xml:space="preserve">out of a participant’s plan, resulting in </w:t>
      </w:r>
      <w:r w:rsidRPr="00854B4C">
        <w:t>participants receiv</w:t>
      </w:r>
      <w:r>
        <w:t>ing</w:t>
      </w:r>
      <w:r w:rsidRPr="00854B4C">
        <w:t xml:space="preserve"> fewer hours of support</w:t>
      </w:r>
      <w:r>
        <w:t xml:space="preserve">. </w:t>
      </w:r>
    </w:p>
    <w:p w14:paraId="0BF9F8F7" w14:textId="77777777" w:rsidR="00F518F1" w:rsidRDefault="00F518F1" w:rsidP="00844D79">
      <w:pPr>
        <w:pStyle w:val="Quote"/>
      </w:pPr>
      <w:r>
        <w:t>“W</w:t>
      </w:r>
      <w:r w:rsidRPr="00B440AA">
        <w:t xml:space="preserve">e're required to continue to source providers that will travel to provide services. So that travel component really eats up into people's funding. </w:t>
      </w:r>
      <w:r>
        <w:t>F</w:t>
      </w:r>
      <w:r w:rsidRPr="00B440AA">
        <w:t>or the people that receive quotes, they're quite taken aback sometimes at the amount and it's mostly due to travel, not actually the service that they're going to be receiving.</w:t>
      </w:r>
      <w:r>
        <w:t>” (Support coordinator interview)</w:t>
      </w:r>
    </w:p>
    <w:p w14:paraId="0FD0D2CE" w14:textId="77777777" w:rsidR="00F518F1" w:rsidRDefault="00F518F1" w:rsidP="00844D79">
      <w:pPr>
        <w:pStyle w:val="Quote"/>
      </w:pPr>
      <w:r>
        <w:t>“</w:t>
      </w:r>
      <w:r w:rsidRPr="002E6A36">
        <w:t>If you're wanting to do a trip</w:t>
      </w:r>
      <w:r>
        <w:t xml:space="preserve"> you need to </w:t>
      </w:r>
      <w:r w:rsidRPr="002E6A36">
        <w:t xml:space="preserve">advance plan </w:t>
      </w:r>
      <w:r>
        <w:t xml:space="preserve">three </w:t>
      </w:r>
      <w:r w:rsidRPr="002E6A36">
        <w:t>days of back-to-back activity</w:t>
      </w:r>
      <w:r>
        <w:t xml:space="preserve"> to</w:t>
      </w:r>
      <w:r w:rsidRPr="002E6A36">
        <w:t xml:space="preserve"> cover your costs and accommodation</w:t>
      </w:r>
      <w:r>
        <w:t>,</w:t>
      </w:r>
      <w:r w:rsidRPr="002E6A36">
        <w:t xml:space="preserve"> which you need to </w:t>
      </w:r>
      <w:r>
        <w:t>book well</w:t>
      </w:r>
      <w:r w:rsidRPr="002E6A36">
        <w:t xml:space="preserve"> beforehand. Otherwise</w:t>
      </w:r>
      <w:r>
        <w:t>,</w:t>
      </w:r>
      <w:r w:rsidRPr="002E6A36">
        <w:t xml:space="preserve"> you end up paying through the roof for the last-minute flight, so it really makes it a challenge as a provider.</w:t>
      </w:r>
      <w:r>
        <w:t>” (Service provider interview)</w:t>
      </w:r>
    </w:p>
    <w:p w14:paraId="5933EFB8" w14:textId="77777777" w:rsidR="00F518F1" w:rsidRDefault="00F518F1" w:rsidP="00F518F1">
      <w:r>
        <w:t>Service providers and support coordinators also raised a lack of public transport or other affordable transport options as a barrier for participants to access services in major towns if providers won’t travel to their community.</w:t>
      </w:r>
    </w:p>
    <w:p w14:paraId="3880393D" w14:textId="77777777" w:rsidR="00F518F1" w:rsidRDefault="00F518F1" w:rsidP="00A01FA6">
      <w:pPr>
        <w:pStyle w:val="Heading4"/>
      </w:pPr>
      <w:r>
        <w:t>Workforce shortages and turnover</w:t>
      </w:r>
    </w:p>
    <w:p w14:paraId="2A20B95F" w14:textId="18D880EF" w:rsidR="00F518F1" w:rsidRDefault="00F518F1" w:rsidP="00F518F1">
      <w:r>
        <w:t>Although outside of the direct influence of the NDIA, t</w:t>
      </w:r>
      <w:r w:rsidRPr="00CB59BA">
        <w:t xml:space="preserve">he most </w:t>
      </w:r>
      <w:r w:rsidR="000E1F69">
        <w:t>reported</w:t>
      </w:r>
      <w:r>
        <w:t xml:space="preserve"> challenge </w:t>
      </w:r>
      <w:r w:rsidR="000E1F69">
        <w:t xml:space="preserve">by </w:t>
      </w:r>
      <w:r>
        <w:t xml:space="preserve">service providers in both the survey (49%, n=47) and interviews was staff recruitment and retention. Other interviewed stakeholders also acknowledged that workforce challenges were common </w:t>
      </w:r>
      <w:r>
        <w:lastRenderedPageBreak/>
        <w:t>across similar sectors in their locations, with shortages particularly acute for allied health staff.</w:t>
      </w:r>
    </w:p>
    <w:p w14:paraId="44742DAE" w14:textId="77777777" w:rsidR="00F518F1" w:rsidRDefault="00F518F1" w:rsidP="00844D79">
      <w:pPr>
        <w:pStyle w:val="Quote"/>
      </w:pPr>
      <w:r>
        <w:t>“</w:t>
      </w:r>
      <w:r w:rsidRPr="00B47447">
        <w:t xml:space="preserve">To recruit people and hold them for a year, we pay way above award, transport them here, train them and </w:t>
      </w:r>
      <w:r>
        <w:t xml:space="preserve">then </w:t>
      </w:r>
      <w:r w:rsidRPr="00B47447">
        <w:t>they go. There is that level of risk we carry for our business</w:t>
      </w:r>
      <w:r>
        <w:t>,</w:t>
      </w:r>
      <w:r w:rsidRPr="00B47447">
        <w:t xml:space="preserve"> it is huge.</w:t>
      </w:r>
      <w:r>
        <w:t>” (Service provider interview)</w:t>
      </w:r>
    </w:p>
    <w:p w14:paraId="38094095" w14:textId="77777777" w:rsidR="00F518F1" w:rsidRDefault="00F518F1" w:rsidP="00F518F1">
      <w:r>
        <w:t>In remote LGAs, service providers reported wanting to invest in local workforce development to help overcome recruitment challenges and provide culturally appropriate services. However, they cited the necessary resourcing as a significant barrier to being able to develop a local workforce.</w:t>
      </w:r>
    </w:p>
    <w:p w14:paraId="55FF5BD6" w14:textId="77777777" w:rsidR="00F518F1" w:rsidRDefault="00F518F1" w:rsidP="00844D79">
      <w:pPr>
        <w:pStyle w:val="Quote"/>
      </w:pPr>
      <w:r>
        <w:t>“</w:t>
      </w:r>
      <w:r w:rsidRPr="003D0C2C">
        <w:t>Recruitment is a challenge. When you want to do local workforce capacity building</w:t>
      </w:r>
      <w:r>
        <w:t xml:space="preserve">, </w:t>
      </w:r>
      <w:r w:rsidRPr="003D0C2C">
        <w:t xml:space="preserve">everyone wants to </w:t>
      </w:r>
      <w:r>
        <w:t xml:space="preserve">do it, </w:t>
      </w:r>
      <w:r w:rsidRPr="003D0C2C">
        <w:t>but it takes a huge amount of effort and resourcing. You need a position for that in and of itself separate to service delivery, but it's not built into funding.</w:t>
      </w:r>
      <w:r>
        <w:t>” (Service provider interview)</w:t>
      </w:r>
    </w:p>
    <w:p w14:paraId="4072F410" w14:textId="77777777" w:rsidR="00F518F1" w:rsidRDefault="00F518F1" w:rsidP="00A01FA6">
      <w:pPr>
        <w:pStyle w:val="Heading4"/>
      </w:pPr>
      <w:r>
        <w:t>Barriers accessing the NDIS</w:t>
      </w:r>
    </w:p>
    <w:p w14:paraId="37585060" w14:textId="44D669D1" w:rsidR="00F518F1" w:rsidRDefault="00F518F1" w:rsidP="00F518F1">
      <w:r>
        <w:t>S</w:t>
      </w:r>
      <w:r w:rsidRPr="00B77584">
        <w:t xml:space="preserve">takeholders </w:t>
      </w:r>
      <w:r>
        <w:t xml:space="preserve">in some remote </w:t>
      </w:r>
      <w:r w:rsidR="00CD35F2">
        <w:t>t</w:t>
      </w:r>
      <w:r>
        <w:t xml:space="preserve">rial locations also </w:t>
      </w:r>
      <w:r w:rsidRPr="00B77584">
        <w:t xml:space="preserve">raised concerns about </w:t>
      </w:r>
      <w:r>
        <w:t>the number of people with disability</w:t>
      </w:r>
      <w:r w:rsidRPr="00B77584">
        <w:t xml:space="preserve"> who have not </w:t>
      </w:r>
      <w:r>
        <w:t xml:space="preserve">yet tried, or unsuccessfully tried, to access the NDIS. They reported that this is especially an issue in First Nations communities and </w:t>
      </w:r>
      <w:r w:rsidR="005F4FDF">
        <w:t xml:space="preserve">considered </w:t>
      </w:r>
      <w:r w:rsidR="00AE1D78">
        <w:t xml:space="preserve">that </w:t>
      </w:r>
      <w:r w:rsidR="005F4FDF">
        <w:t xml:space="preserve">this </w:t>
      </w:r>
      <w:r>
        <w:t>relates to low awareness and understanding of the NDIS, cultural views of disability, general mistrust in government, communication challenges where English is often not a person’s language and the availability of functional assessments</w:t>
      </w:r>
      <w:r w:rsidR="00AE1D78">
        <w:t xml:space="preserve"> to support access requests</w:t>
      </w:r>
      <w:r>
        <w:t>.</w:t>
      </w:r>
    </w:p>
    <w:p w14:paraId="557BA43D" w14:textId="2C08A4FD" w:rsidR="00F518F1" w:rsidRDefault="00F518F1" w:rsidP="00844D79">
      <w:pPr>
        <w:pStyle w:val="Quote"/>
      </w:pPr>
      <w:r>
        <w:t>“[Remote location]</w:t>
      </w:r>
      <w:r w:rsidRPr="006643D3">
        <w:t xml:space="preserve"> is almost untouched in terms of getting people on</w:t>
      </w:r>
      <w:r>
        <w:t>to</w:t>
      </w:r>
      <w:r w:rsidRPr="006643D3">
        <w:t xml:space="preserve"> the Scheme</w:t>
      </w:r>
      <w:r>
        <w:t>, w</w:t>
      </w:r>
      <w:r w:rsidRPr="006643D3">
        <w:t>hich means</w:t>
      </w:r>
      <w:r>
        <w:t xml:space="preserve"> we</w:t>
      </w:r>
      <w:r w:rsidRPr="006643D3">
        <w:t xml:space="preserve"> can't pool the costs to get services regularly in communities.</w:t>
      </w:r>
      <w:r>
        <w:t>” (Support coordinator interview)</w:t>
      </w:r>
    </w:p>
    <w:p w14:paraId="0358A017" w14:textId="77777777" w:rsidR="00F518F1" w:rsidRDefault="00F518F1" w:rsidP="00F518F1">
      <w:r>
        <w:t xml:space="preserve">Increasing the number of NDIS participants was not a focus of any of the market interventions but could help address the </w:t>
      </w:r>
      <w:r w:rsidRPr="00B77584">
        <w:t xml:space="preserve">critical mass of participants required for </w:t>
      </w:r>
      <w:r>
        <w:t xml:space="preserve">viable </w:t>
      </w:r>
      <w:r w:rsidRPr="00B77584">
        <w:t xml:space="preserve">service </w:t>
      </w:r>
      <w:r>
        <w:t>delivery in thin markets.</w:t>
      </w:r>
    </w:p>
    <w:p w14:paraId="43DEF252" w14:textId="77777777" w:rsidR="00F518F1" w:rsidRDefault="00F518F1" w:rsidP="00A01FA6">
      <w:pPr>
        <w:pStyle w:val="Heading4"/>
      </w:pPr>
      <w:r>
        <w:t>Plan builds</w:t>
      </w:r>
    </w:p>
    <w:p w14:paraId="5B02FBCB" w14:textId="77777777" w:rsidR="00F518F1" w:rsidRPr="00C517CA" w:rsidRDefault="00F518F1" w:rsidP="00F518F1">
      <w:r w:rsidRPr="00C517CA">
        <w:t>Support coordinators and service providers highlighted issues with NDIS plans that impact participant access to funded supports.</w:t>
      </w:r>
    </w:p>
    <w:p w14:paraId="1C8289F1" w14:textId="77777777" w:rsidR="00F518F1" w:rsidRPr="00C517CA" w:rsidRDefault="00F518F1" w:rsidP="004E287B">
      <w:pPr>
        <w:pStyle w:val="Heading5"/>
      </w:pPr>
      <w:r>
        <w:t>Support coordination funding</w:t>
      </w:r>
    </w:p>
    <w:p w14:paraId="56F2AB4E" w14:textId="77777777" w:rsidR="00F518F1" w:rsidRDefault="00F518F1" w:rsidP="00F518F1">
      <w:r>
        <w:t xml:space="preserve">During interviews support coordinators in remote LGAs reported that in the context of a thin market, it took longer to identify service providers and connect participants to them. Further, participants are often difficult to contact, which added to the time taken to coordinate supports for participants. Due to these challenges, support coordinators felt there was not enough hours in the participant plans for support coordination. </w:t>
      </w:r>
    </w:p>
    <w:p w14:paraId="36A2B77D" w14:textId="6BE6F50F" w:rsidR="00F518F1" w:rsidRDefault="00F518F1" w:rsidP="00844D79">
      <w:pPr>
        <w:pStyle w:val="Quote"/>
      </w:pPr>
      <w:r>
        <w:lastRenderedPageBreak/>
        <w:t>“O</w:t>
      </w:r>
      <w:r w:rsidRPr="00C60922">
        <w:t>ne of the challenges we</w:t>
      </w:r>
      <w:r>
        <w:t xml:space="preserve">’re </w:t>
      </w:r>
      <w:r w:rsidRPr="00C60922">
        <w:t xml:space="preserve">really facing is the lack of funds in a plan to actually deliver </w:t>
      </w:r>
      <w:r>
        <w:t xml:space="preserve">a </w:t>
      </w:r>
      <w:r w:rsidRPr="00C60922">
        <w:t xml:space="preserve">credible service. And what I'm referring to there is support coordination in really remote areas. </w:t>
      </w:r>
      <w:r>
        <w:t>I</w:t>
      </w:r>
      <w:r w:rsidRPr="00C60922">
        <w:t xml:space="preserve">f </w:t>
      </w:r>
      <w:r>
        <w:t xml:space="preserve">a provider </w:t>
      </w:r>
      <w:r w:rsidRPr="00C60922">
        <w:t>want</w:t>
      </w:r>
      <w:r>
        <w:t>s</w:t>
      </w:r>
      <w:r w:rsidRPr="00C60922">
        <w:t xml:space="preserve"> to draw down on travel to service some remote communities</w:t>
      </w:r>
      <w:r>
        <w:t>, w</w:t>
      </w:r>
      <w:r w:rsidRPr="00C60922">
        <w:t xml:space="preserve">e've got to then negotiate </w:t>
      </w:r>
      <w:r>
        <w:t>that</w:t>
      </w:r>
      <w:r w:rsidRPr="00C60922">
        <w:t>. It's additional funds being spent on admin</w:t>
      </w:r>
      <w:r>
        <w:t>.” (Support coordinator interview).</w:t>
      </w:r>
    </w:p>
    <w:p w14:paraId="19AB67B2" w14:textId="43D4D819" w:rsidR="008706D3" w:rsidRDefault="00F518F1" w:rsidP="00F518F1">
      <w:r>
        <w:t xml:space="preserve">Analysis of plan budgets showed that, on average, </w:t>
      </w:r>
      <w:r w:rsidR="00B35BF0">
        <w:t xml:space="preserve">support coordination </w:t>
      </w:r>
      <w:r w:rsidR="008706D3">
        <w:t xml:space="preserve">funding varies considerably across the </w:t>
      </w:r>
      <w:r w:rsidR="00B35BF0">
        <w:t xml:space="preserve">LGAs. In NSW LGAs, participants had </w:t>
      </w:r>
      <w:r w:rsidR="0054316E">
        <w:t xml:space="preserve">the lowest support coordination </w:t>
      </w:r>
      <w:r w:rsidR="00B35BF0">
        <w:t>funding</w:t>
      </w:r>
      <w:r w:rsidR="0054316E">
        <w:t xml:space="preserve">, </w:t>
      </w:r>
      <w:r w:rsidR="00B35BF0">
        <w:t xml:space="preserve">around </w:t>
      </w:r>
      <w:r w:rsidR="006B26E5">
        <w:t>20-40 hours of Level 2 Coordination of Support per annum</w:t>
      </w:r>
      <w:r w:rsidR="001238DB">
        <w:t xml:space="preserve"> while participants in the NT and some Queensland LGAs had the highest level of funding (</w:t>
      </w:r>
      <w:r w:rsidR="00A317A8">
        <w:t xml:space="preserve">45-80 hours). </w:t>
      </w:r>
      <w:r w:rsidR="00CD72D8">
        <w:t>T</w:t>
      </w:r>
      <w:r w:rsidR="00A317A8">
        <w:t>he Standard Operating Procedure for Support Coordination</w:t>
      </w:r>
      <w:r w:rsidR="00CD72D8">
        <w:t xml:space="preserve"> recommends </w:t>
      </w:r>
      <w:r w:rsidR="00A317A8">
        <w:t xml:space="preserve">85 to 100 hours per annum </w:t>
      </w:r>
      <w:r w:rsidR="00CD72D8">
        <w:t>for participants that</w:t>
      </w:r>
      <w:r w:rsidR="00A317A8">
        <w:t xml:space="preserve"> identify as Aboriginal and/or Torres Strait Islander living in remote areas.</w:t>
      </w:r>
      <w:r w:rsidR="00CD72D8">
        <w:t xml:space="preserve"> Given the high proportion of </w:t>
      </w:r>
      <w:r w:rsidR="00565C97">
        <w:t>participants in t</w:t>
      </w:r>
      <w:r w:rsidR="00A6787F">
        <w:t>hese remote</w:t>
      </w:r>
      <w:r w:rsidR="00565C97">
        <w:t xml:space="preserve"> LGAs </w:t>
      </w:r>
      <w:r w:rsidR="00A6787F">
        <w:t xml:space="preserve">that are Aboriginal and/or Torres Strait Islander, the average should be closer to </w:t>
      </w:r>
      <w:r w:rsidR="006D717A">
        <w:t xml:space="preserve">the recommended amount. </w:t>
      </w:r>
    </w:p>
    <w:p w14:paraId="7D8C8834" w14:textId="1AD7BE2D" w:rsidR="00F518F1" w:rsidRDefault="00F518F1" w:rsidP="00F518F1">
      <w:r w:rsidRPr="00CA5BB2">
        <w:t xml:space="preserve">This indicates that in at least some </w:t>
      </w:r>
      <w:r w:rsidR="003C6DF1">
        <w:t>t</w:t>
      </w:r>
      <w:r w:rsidRPr="00CA5BB2">
        <w:t xml:space="preserve">rial LGAs participants are not getting the recommended funding for support coordination, which may be impacting on their ability to access funded supports from their plans. </w:t>
      </w:r>
      <w:r>
        <w:t>Furthermore</w:t>
      </w:r>
      <w:r w:rsidRPr="00CA5BB2">
        <w:t xml:space="preserve">, given that market facilitation and CFPs both target support coordinators, </w:t>
      </w:r>
      <w:r>
        <w:t>the effectiveness of these interventions depends on participants having adequate funding for support coordination.</w:t>
      </w:r>
    </w:p>
    <w:p w14:paraId="54118AF2" w14:textId="0BF85DCC" w:rsidR="00F518F1" w:rsidRDefault="00F518F1" w:rsidP="004E287B">
      <w:pPr>
        <w:pStyle w:val="Heading5"/>
      </w:pPr>
      <w:r>
        <w:t>Insufficient funding for specialist behaviour supports</w:t>
      </w:r>
    </w:p>
    <w:p w14:paraId="400C3AE2" w14:textId="1FF48B86" w:rsidR="00F518F1" w:rsidRDefault="00F518F1" w:rsidP="00F518F1">
      <w:r w:rsidRPr="002A5469">
        <w:t>Support coordinator</w:t>
      </w:r>
      <w:r>
        <w:t>s</w:t>
      </w:r>
      <w:r w:rsidRPr="002A5469">
        <w:t xml:space="preserve"> and service providers in Victoria reported that plans often had </w:t>
      </w:r>
      <w:r w:rsidR="001A46AA">
        <w:t xml:space="preserve">what they perceived as being </w:t>
      </w:r>
      <w:r w:rsidRPr="002A5469">
        <w:t xml:space="preserve">insufficient funding for specialist behavioural supports. </w:t>
      </w:r>
      <w:r>
        <w:t xml:space="preserve">They attributed this to evidence requirements and plans not being in line with NDIS guidelines. Interviews with </w:t>
      </w:r>
      <w:r w:rsidR="00C85CAA">
        <w:t>the Market Development team</w:t>
      </w:r>
      <w:r>
        <w:t xml:space="preserve"> in Victoria supported this view, with their dive into participant plans identifying plans that were not in line with </w:t>
      </w:r>
      <w:r w:rsidRPr="005A4DB0">
        <w:t xml:space="preserve">the </w:t>
      </w:r>
      <w:r>
        <w:t xml:space="preserve">NDIS </w:t>
      </w:r>
      <w:r w:rsidRPr="005A4DB0">
        <w:t>Practice Guide for Positive Behaviour Support and Behaviours of Concern</w:t>
      </w:r>
      <w:r>
        <w:t xml:space="preserve">. </w:t>
      </w:r>
    </w:p>
    <w:p w14:paraId="303BC931" w14:textId="77777777" w:rsidR="00F518F1" w:rsidRDefault="00F518F1" w:rsidP="00844D79">
      <w:pPr>
        <w:pStyle w:val="Quote"/>
      </w:pPr>
      <w:r>
        <w:t>“</w:t>
      </w:r>
      <w:r w:rsidRPr="00064E16">
        <w:t xml:space="preserve">Getting </w:t>
      </w:r>
      <w:r>
        <w:t>behaviour supports</w:t>
      </w:r>
      <w:r w:rsidRPr="00064E16">
        <w:t xml:space="preserve"> into plans is a challenge because of the stringent evidence requirements. It is a lot of effort to gather that evidence and </w:t>
      </w:r>
      <w:r>
        <w:t xml:space="preserve">it’s </w:t>
      </w:r>
      <w:r w:rsidRPr="00064E16">
        <w:t xml:space="preserve">largely up to </w:t>
      </w:r>
      <w:r>
        <w:t xml:space="preserve">the </w:t>
      </w:r>
      <w:r w:rsidRPr="00064E16">
        <w:t xml:space="preserve">participant or </w:t>
      </w:r>
      <w:r>
        <w:t xml:space="preserve">the support coordinator, </w:t>
      </w:r>
      <w:r w:rsidRPr="00064E16">
        <w:t xml:space="preserve">who </w:t>
      </w:r>
      <w:r>
        <w:t xml:space="preserve">isn’t </w:t>
      </w:r>
      <w:r w:rsidRPr="00064E16">
        <w:t>really funded for that.</w:t>
      </w:r>
      <w:r>
        <w:t>” (Support coordinator interview)</w:t>
      </w:r>
    </w:p>
    <w:p w14:paraId="00A23585" w14:textId="718A6FE1" w:rsidR="00F518F1" w:rsidRPr="001A1628" w:rsidRDefault="00F518F1" w:rsidP="00F518F1">
      <w:pPr>
        <w:rPr>
          <w:highlight w:val="yellow"/>
        </w:rPr>
      </w:pPr>
      <w:r>
        <w:t>According to the Practice Guide</w:t>
      </w:r>
      <w:r w:rsidRPr="00305C9F">
        <w:t xml:space="preserve">, Level 1 funding for specialist behavioural intervention supports should be up to 65 hours per annum in total. </w:t>
      </w:r>
      <w:r>
        <w:t>Analysis</w:t>
      </w:r>
      <w:r w:rsidR="006E1FA0">
        <w:t xml:space="preserve"> of plan budgets</w:t>
      </w:r>
      <w:r>
        <w:t xml:space="preserve"> showed that funding varied considerably across the Victorian Trial LGAs, with </w:t>
      </w:r>
      <w:r w:rsidRPr="00AD3E11">
        <w:t xml:space="preserve">participant plans in most of the LGAs, on average, having less than 65 hours per annum. </w:t>
      </w:r>
      <w:r>
        <w:t>While the Practice Guide does not identify a minimum number of hours, this does suggest that insufficient funding may impact the ability to attract service providers.</w:t>
      </w:r>
    </w:p>
    <w:p w14:paraId="69EBE530" w14:textId="77777777" w:rsidR="00F518F1" w:rsidRPr="00207A31" w:rsidRDefault="00F518F1" w:rsidP="004E287B">
      <w:pPr>
        <w:pStyle w:val="Heading5"/>
      </w:pPr>
      <w:r w:rsidRPr="00207A31">
        <w:t>Plan builds not matching participant needs</w:t>
      </w:r>
    </w:p>
    <w:p w14:paraId="19C45349" w14:textId="22701989" w:rsidR="00F518F1" w:rsidRDefault="00F518F1" w:rsidP="00F518F1">
      <w:r>
        <w:t xml:space="preserve">Service providers and support coordinators also described challenges with plan builds not reflecting </w:t>
      </w:r>
      <w:r w:rsidR="00855D6F">
        <w:t xml:space="preserve">their perception of </w:t>
      </w:r>
      <w:r>
        <w:t xml:space="preserve">participant needs. This reportedly impacted on the ability of service providers to expand service delivery or to attract providers into the LGA. The service </w:t>
      </w:r>
      <w:r>
        <w:lastRenderedPageBreak/>
        <w:t xml:space="preserve">provider survey supports this view, with 36% of respondents (n=34) identifying plan issues as a barrier to service expansion. </w:t>
      </w:r>
    </w:p>
    <w:p w14:paraId="1BBBC53A" w14:textId="77777777" w:rsidR="00F518F1" w:rsidRDefault="00F518F1" w:rsidP="00844D79">
      <w:pPr>
        <w:pStyle w:val="Quote"/>
      </w:pPr>
      <w:r>
        <w:t>“T</w:t>
      </w:r>
      <w:r w:rsidRPr="003B6F24">
        <w:t xml:space="preserve">hat's been our other barrier too, </w:t>
      </w:r>
      <w:r>
        <w:t xml:space="preserve">for </w:t>
      </w:r>
      <w:r w:rsidRPr="003B6F24">
        <w:t>a lot of our plans</w:t>
      </w:r>
      <w:r>
        <w:t xml:space="preserve"> t</w:t>
      </w:r>
      <w:r w:rsidRPr="003B6F24">
        <w:t>he funding</w:t>
      </w:r>
      <w:r>
        <w:t>’</w:t>
      </w:r>
      <w:r w:rsidRPr="003B6F24">
        <w:t>s just not there</w:t>
      </w:r>
      <w:r>
        <w:t xml:space="preserve">. And then </w:t>
      </w:r>
      <w:r w:rsidRPr="003B6F24">
        <w:t>we're going back for reviews all the time because you're</w:t>
      </w:r>
      <w:r>
        <w:t xml:space="preserve"> not</w:t>
      </w:r>
      <w:r w:rsidRPr="003B6F24">
        <w:t xml:space="preserve"> able to deliver the support you wan</w:t>
      </w:r>
      <w:r>
        <w:t xml:space="preserve">t to </w:t>
      </w:r>
      <w:r w:rsidRPr="003B6F24">
        <w:t xml:space="preserve">deliver because there's just not the funding. And then you can't get the services </w:t>
      </w:r>
      <w:r>
        <w:t>in</w:t>
      </w:r>
      <w:r w:rsidRPr="003B6F24">
        <w:t xml:space="preserve"> to do those reports to bump up that evidence for you</w:t>
      </w:r>
      <w:r>
        <w:t xml:space="preserve"> </w:t>
      </w:r>
      <w:r w:rsidRPr="003B6F24">
        <w:t xml:space="preserve">to put that more funding in. But even </w:t>
      </w:r>
      <w:r>
        <w:t>then</w:t>
      </w:r>
      <w:r w:rsidRPr="003B6F24">
        <w:t>, it's still not enough funding for a lot of these guys.</w:t>
      </w:r>
      <w:r>
        <w:t>” (Support coordinator interview)</w:t>
      </w:r>
    </w:p>
    <w:p w14:paraId="0D8A1445" w14:textId="2809139A" w:rsidR="00F518F1" w:rsidRDefault="00F518F1" w:rsidP="00A01FA6">
      <w:pPr>
        <w:pStyle w:val="Heading4"/>
      </w:pPr>
      <w:r>
        <w:t>Limited participant understanding of the NDIS</w:t>
      </w:r>
    </w:p>
    <w:p w14:paraId="05385883" w14:textId="35B39DA5" w:rsidR="00F518F1" w:rsidRDefault="00F518F1" w:rsidP="00F518F1">
      <w:pPr>
        <w:rPr>
          <w:highlight w:val="yellow"/>
        </w:rPr>
      </w:pPr>
      <w:r>
        <w:t xml:space="preserve">In the service provider survey, 31% of respondents (n=29) reported that community understanding of the NDIS amongst participants is a barrier to growth. Stakeholders in remote locations commented that many participants did not even know they had a NDIS plan, and if they did, struggled to understand that they </w:t>
      </w:r>
      <w:r w:rsidR="00DD687D">
        <w:t xml:space="preserve">were only able to use funds </w:t>
      </w:r>
      <w:r>
        <w:t>for disability-related supports</w:t>
      </w:r>
      <w:r w:rsidR="00DD687D">
        <w:t xml:space="preserve">. This was </w:t>
      </w:r>
      <w:r w:rsidR="004722E1">
        <w:t>particularly</w:t>
      </w:r>
      <w:r w:rsidR="00DD687D">
        <w:t xml:space="preserve"> hard when </w:t>
      </w:r>
      <w:r>
        <w:t>many participants struggled to have their basic needs met (e.g., food, clothing).</w:t>
      </w:r>
    </w:p>
    <w:p w14:paraId="5DA84AF7" w14:textId="77777777" w:rsidR="00F518F1" w:rsidRDefault="00F518F1" w:rsidP="00844D79">
      <w:pPr>
        <w:pStyle w:val="Quote"/>
      </w:pPr>
      <w:r>
        <w:t>“</w:t>
      </w:r>
      <w:r w:rsidRPr="003327B2">
        <w:t xml:space="preserve">A lot of people don't even know if they're on a plan or not on a plan. </w:t>
      </w:r>
      <w:r>
        <w:t>They are</w:t>
      </w:r>
      <w:r w:rsidRPr="003327B2">
        <w:t xml:space="preserve"> trying to understand the concept of having a plan with money that is your money but that you can't spend it on anything that you want like food,</w:t>
      </w:r>
      <w:r>
        <w:t xml:space="preserve"> or to</w:t>
      </w:r>
      <w:r w:rsidRPr="003327B2">
        <w:t xml:space="preserve"> get your blankets.</w:t>
      </w:r>
      <w:r>
        <w:t>” (Service provider interview)</w:t>
      </w:r>
    </w:p>
    <w:p w14:paraId="1C50DA79" w14:textId="2E4A0C84" w:rsidR="00F518F1" w:rsidRDefault="00F518F1" w:rsidP="00F518F1">
      <w:r>
        <w:t xml:space="preserve">Stakeholders in the Victorian </w:t>
      </w:r>
      <w:r w:rsidR="00102BAB">
        <w:t>t</w:t>
      </w:r>
      <w:r>
        <w:t>rial commented that some participants or their families had limited understanding of the nature and purpose of positive behaviour supports, which can have a stigma attached. As such, some participants or their families are</w:t>
      </w:r>
      <w:r w:rsidR="008D0BA0">
        <w:t xml:space="preserve"> reportedly</w:t>
      </w:r>
      <w:r>
        <w:t xml:space="preserve"> reluctant to use their funding for these supports.</w:t>
      </w:r>
    </w:p>
    <w:p w14:paraId="64DA0748" w14:textId="289C4C67" w:rsidR="00F518F1" w:rsidRDefault="00F518F1" w:rsidP="00F518F1">
      <w:r>
        <w:t xml:space="preserve">The impact of this on service providers is that it lowers demand for their services, despite there being a need. None of the trialled market interventions </w:t>
      </w:r>
      <w:r w:rsidR="00983D7C">
        <w:t>incorporated the need to build “customer” (</w:t>
      </w:r>
      <w:r w:rsidR="00FE4DE8">
        <w:t>i.e.,</w:t>
      </w:r>
      <w:r w:rsidR="005402EB">
        <w:t xml:space="preserve"> </w:t>
      </w:r>
      <w:r w:rsidR="00983D7C">
        <w:t xml:space="preserve">participants and their families/carers) </w:t>
      </w:r>
      <w:r w:rsidR="00E877F1">
        <w:t>awareness</w:t>
      </w:r>
      <w:r w:rsidR="005E3658">
        <w:t xml:space="preserve">, </w:t>
      </w:r>
      <w:r w:rsidR="00E877F1">
        <w:t>understanding</w:t>
      </w:r>
      <w:r w:rsidR="005E3658">
        <w:t xml:space="preserve"> and benefits</w:t>
      </w:r>
      <w:r w:rsidR="00E877F1">
        <w:t xml:space="preserve"> of services and products </w:t>
      </w:r>
      <w:r>
        <w:t xml:space="preserve">to help drive market demand. The survey and interview findings suggest that this could be an area for the NDIA to focus on to support market intervention. The Research and Evaluation Branch are developing a series of Guides for </w:t>
      </w:r>
      <w:r w:rsidR="00A734D5">
        <w:t>Understanding</w:t>
      </w:r>
      <w:r>
        <w:t xml:space="preserve"> Supports targeted at participants to help address this issue.</w:t>
      </w:r>
      <w:r w:rsidR="002B0C4B">
        <w:t xml:space="preserve"> </w:t>
      </w:r>
    </w:p>
    <w:p w14:paraId="56C5823E" w14:textId="2584223B" w:rsidR="00F518F1" w:rsidRDefault="00F518F1" w:rsidP="00A01FA6">
      <w:pPr>
        <w:pStyle w:val="Heading4"/>
      </w:pPr>
      <w:r>
        <w:t>Registration and compliance</w:t>
      </w:r>
    </w:p>
    <w:p w14:paraId="7222785C" w14:textId="70097F9D" w:rsidR="00F518F1" w:rsidRDefault="00F518F1" w:rsidP="00F518F1">
      <w:r>
        <w:t xml:space="preserve">Interviewed service providers in Victoria and the ACT also raised registration and compliance requirements to deliver specialist behaviour supports as a disincentive for new market entrants. </w:t>
      </w:r>
    </w:p>
    <w:p w14:paraId="044FD508" w14:textId="4CB29259" w:rsidR="00F518F1" w:rsidRDefault="00F518F1" w:rsidP="00F518F1">
      <w:r>
        <w:t xml:space="preserve">To deliver specialist behaviour supports, service providers must register with the NDIS Quality and Safeguards Commission and comply with obligations such as submission of behaviour support plans, registration of behaviour support practitioners and the </w:t>
      </w:r>
      <w:r w:rsidRPr="004A3F46">
        <w:t xml:space="preserve">Positive </w:t>
      </w:r>
      <w:r w:rsidRPr="004A3F46">
        <w:lastRenderedPageBreak/>
        <w:t>Behaviour Support Capability Framework</w:t>
      </w:r>
      <w:r>
        <w:t xml:space="preserve">. In addition, each State and Territory has their own specific requirements around the use of restrictive practices. </w:t>
      </w:r>
    </w:p>
    <w:p w14:paraId="05AC51A7" w14:textId="7F128881" w:rsidR="00F518F1" w:rsidRPr="00245B02" w:rsidRDefault="00F518F1" w:rsidP="00F518F1">
      <w:r>
        <w:t>Service providers reported that meeting these requirements, including registration and reporting, is costly and not adequately covered by the NDIS price limits.</w:t>
      </w:r>
    </w:p>
    <w:p w14:paraId="148A28E6" w14:textId="3C5B81BF" w:rsidR="00FA2709" w:rsidRDefault="00FA2709" w:rsidP="00A01FA6">
      <w:pPr>
        <w:pStyle w:val="Heading2"/>
      </w:pPr>
      <w:bookmarkStart w:id="113" w:name="_Toc111206325"/>
      <w:bookmarkStart w:id="114" w:name="_Toc111206439"/>
      <w:bookmarkStart w:id="115" w:name="_Toc136336668"/>
      <w:r>
        <w:lastRenderedPageBreak/>
        <w:t>Coordinated Funding Proposals</w:t>
      </w:r>
      <w:bookmarkEnd w:id="113"/>
      <w:bookmarkEnd w:id="114"/>
      <w:bookmarkEnd w:id="115"/>
    </w:p>
    <w:tbl>
      <w:tblPr>
        <w:tblStyle w:val="TableGrid"/>
        <w:tblW w:w="0" w:type="auto"/>
        <w:tblLook w:val="04A0" w:firstRow="1" w:lastRow="0" w:firstColumn="1" w:lastColumn="0" w:noHBand="0" w:noVBand="1"/>
      </w:tblPr>
      <w:tblGrid>
        <w:gridCol w:w="9016"/>
      </w:tblGrid>
      <w:tr w:rsidR="0071628F" w14:paraId="312A1610" w14:textId="77777777" w:rsidTr="6E315BD6">
        <w:tc>
          <w:tcPr>
            <w:tcW w:w="9016" w:type="dxa"/>
          </w:tcPr>
          <w:p w14:paraId="0728753D" w14:textId="77777777" w:rsidR="0071628F" w:rsidRDefault="0071628F" w:rsidP="00A01FA6">
            <w:pPr>
              <w:pStyle w:val="ESheading4"/>
            </w:pPr>
            <w:r>
              <w:t>Key findings</w:t>
            </w:r>
          </w:p>
          <w:p w14:paraId="788F7035" w14:textId="00602AE5" w:rsidR="003B2642" w:rsidRDefault="00E85218" w:rsidP="0071628F">
            <w:pPr>
              <w:pStyle w:val="ListParagraph"/>
              <w:numPr>
                <w:ilvl w:val="0"/>
                <w:numId w:val="35"/>
              </w:numPr>
              <w:spacing w:before="120" w:after="120"/>
              <w:ind w:left="357" w:hanging="357"/>
            </w:pPr>
            <w:r>
              <w:t xml:space="preserve">Of the nine CFPs in the scope of the evaluation, </w:t>
            </w:r>
            <w:r w:rsidR="00ED15CB">
              <w:t>seven</w:t>
            </w:r>
            <w:r w:rsidR="003B2642">
              <w:t xml:space="preserve"> focused on some form of assessment to inform</w:t>
            </w:r>
            <w:r w:rsidR="00F62309">
              <w:t xml:space="preserve"> the NDIA’s consideration of</w:t>
            </w:r>
            <w:r w:rsidR="003B2642">
              <w:t xml:space="preserve"> participants’ need for additional supports. </w:t>
            </w:r>
          </w:p>
          <w:p w14:paraId="2BA63E6F" w14:textId="0F0610D5" w:rsidR="0071628F" w:rsidRDefault="7E3CB84E" w:rsidP="0071628F">
            <w:pPr>
              <w:pStyle w:val="ListParagraph"/>
              <w:numPr>
                <w:ilvl w:val="0"/>
                <w:numId w:val="35"/>
              </w:numPr>
              <w:spacing w:before="120" w:after="120"/>
              <w:ind w:left="357" w:hanging="357"/>
            </w:pPr>
            <w:r>
              <w:t xml:space="preserve">Analysis of NDIS expenditure data shows that CFPs have been successful at facilitating participant access to various assessments and probably ongoing supports. In all LGAs where the NDIA </w:t>
            </w:r>
            <w:r w:rsidR="6783ED8B">
              <w:t>implemented</w:t>
            </w:r>
            <w:r>
              <w:t xml:space="preserve"> a CFP, at least 80% of identified participants received the CFP supports (82% across all CFPs).</w:t>
            </w:r>
          </w:p>
          <w:p w14:paraId="0353D9B1" w14:textId="7074295E" w:rsidR="00750031" w:rsidRDefault="007E44DB" w:rsidP="0071628F">
            <w:pPr>
              <w:pStyle w:val="ListParagraph"/>
              <w:numPr>
                <w:ilvl w:val="0"/>
                <w:numId w:val="35"/>
              </w:numPr>
              <w:spacing w:before="120" w:after="120"/>
              <w:ind w:left="357" w:hanging="357"/>
            </w:pPr>
            <w:r>
              <w:t>Importantly, the</w:t>
            </w:r>
            <w:r w:rsidRPr="007E44DB">
              <w:t xml:space="preserve"> number of NDIS claims and expenditure</w:t>
            </w:r>
            <w:r w:rsidR="00CF1446">
              <w:t xml:space="preserve"> for follow-on supports</w:t>
            </w:r>
            <w:r w:rsidRPr="007E44DB">
              <w:t xml:space="preserve"> </w:t>
            </w:r>
            <w:r w:rsidR="00EB1C53">
              <w:t>substantially increased</w:t>
            </w:r>
            <w:r w:rsidRPr="007E44DB">
              <w:t xml:space="preserve"> after </w:t>
            </w:r>
            <w:r w:rsidR="00EB1C53">
              <w:t>most CFPs</w:t>
            </w:r>
            <w:r w:rsidRPr="007E44DB">
              <w:t xml:space="preserve"> relative to the 12-months before</w:t>
            </w:r>
            <w:r w:rsidR="00DF5C18">
              <w:t>.</w:t>
            </w:r>
          </w:p>
          <w:p w14:paraId="1AD76D0D" w14:textId="7370C685" w:rsidR="00531A8A" w:rsidRDefault="003C782F" w:rsidP="0071628F">
            <w:pPr>
              <w:pStyle w:val="ListParagraph"/>
              <w:numPr>
                <w:ilvl w:val="0"/>
                <w:numId w:val="35"/>
              </w:numPr>
              <w:spacing w:before="120" w:after="120"/>
              <w:ind w:left="357" w:hanging="357"/>
            </w:pPr>
            <w:r w:rsidRPr="003C782F">
              <w:t xml:space="preserve">Interviews with service providers and support coordinators showed that CFPs </w:t>
            </w:r>
            <w:r>
              <w:t xml:space="preserve">gave </w:t>
            </w:r>
            <w:r w:rsidRPr="003C782F">
              <w:t>service providers assurance of demand</w:t>
            </w:r>
            <w:r>
              <w:t xml:space="preserve"> and </w:t>
            </w:r>
            <w:r w:rsidRPr="003C782F">
              <w:t xml:space="preserve">made service delivery in remote LGAs more </w:t>
            </w:r>
            <w:r w:rsidR="008647E5" w:rsidRPr="003C782F">
              <w:t xml:space="preserve">financially </w:t>
            </w:r>
            <w:r w:rsidRPr="003C782F">
              <w:t>viable by sharing the actual cost of travel across all participants.</w:t>
            </w:r>
          </w:p>
          <w:p w14:paraId="2DCBA705" w14:textId="7ED49F0A" w:rsidR="00F224BB" w:rsidRDefault="008A0A6B" w:rsidP="008A0A6B">
            <w:pPr>
              <w:pStyle w:val="ListParagraph"/>
              <w:numPr>
                <w:ilvl w:val="0"/>
                <w:numId w:val="35"/>
              </w:numPr>
              <w:spacing w:before="120" w:after="120"/>
              <w:ind w:left="357" w:hanging="357"/>
            </w:pPr>
            <w:r>
              <w:t xml:space="preserve">Based on interviews, the </w:t>
            </w:r>
            <w:r w:rsidR="004005BF">
              <w:t xml:space="preserve">main challenges with CFPs appear to be the logistical challenge for service providers to coordinate service delivery across multiple </w:t>
            </w:r>
            <w:r w:rsidR="00880F6F">
              <w:t>support coordinators</w:t>
            </w:r>
            <w:r w:rsidR="004005BF">
              <w:t xml:space="preserve"> </w:t>
            </w:r>
            <w:r w:rsidR="008E6B21">
              <w:t>who are not always based in the communit</w:t>
            </w:r>
            <w:r w:rsidR="00BC201B">
              <w:t>y</w:t>
            </w:r>
            <w:r w:rsidR="00FF4BE2">
              <w:t>.</w:t>
            </w:r>
          </w:p>
          <w:p w14:paraId="3F6F700A" w14:textId="059A5553" w:rsidR="0071628F" w:rsidRDefault="007A31D9" w:rsidP="008A0A6B">
            <w:pPr>
              <w:pStyle w:val="ListParagraph"/>
              <w:numPr>
                <w:ilvl w:val="0"/>
                <w:numId w:val="35"/>
              </w:numPr>
              <w:spacing w:before="120" w:after="120"/>
              <w:ind w:left="357" w:hanging="357"/>
            </w:pPr>
            <w:r>
              <w:t xml:space="preserve">Market Development teams commented that underlying market conditions </w:t>
            </w:r>
            <w:r w:rsidR="00F224BB">
              <w:t xml:space="preserve">with </w:t>
            </w:r>
            <w:r w:rsidR="00F224BB" w:rsidRPr="00F224BB">
              <w:t>monopolies on support coordination and/or no market separation between support coordination and existing, albeit inadequate, service provision</w:t>
            </w:r>
            <w:r w:rsidR="00F224BB">
              <w:t xml:space="preserve"> made CFPs unviable in some </w:t>
            </w:r>
            <w:r w:rsidR="00315987">
              <w:t>locations.</w:t>
            </w:r>
          </w:p>
        </w:tc>
      </w:tr>
    </w:tbl>
    <w:p w14:paraId="5F6FD143" w14:textId="29C3500E" w:rsidR="00F639C1" w:rsidRDefault="00F639C1" w:rsidP="00A01FA6">
      <w:pPr>
        <w:pStyle w:val="Heading3"/>
      </w:pPr>
      <w:bookmarkStart w:id="116" w:name="_Toc136336669"/>
      <w:r>
        <w:t>Overview of CFP trials</w:t>
      </w:r>
      <w:bookmarkEnd w:id="116"/>
    </w:p>
    <w:p w14:paraId="66EC1406" w14:textId="4B82DB9A" w:rsidR="00921D84" w:rsidRDefault="00D81B3B" w:rsidP="00D81B3B">
      <w:pPr>
        <w:pStyle w:val="BodyText1"/>
      </w:pPr>
      <w:r>
        <w:t xml:space="preserve">CFPs aim to facilitate access to funded supports for ‘groups’ of participants by pooling their plan funding. </w:t>
      </w:r>
      <w:r w:rsidR="00921D84">
        <w:t xml:space="preserve">A </w:t>
      </w:r>
      <w:r w:rsidR="00B15883">
        <w:t xml:space="preserve">CFP provides a mechanism for a </w:t>
      </w:r>
      <w:r w:rsidR="00921D84">
        <w:t>group of participants, either directly or their support coordinators</w:t>
      </w:r>
      <w:r w:rsidR="00B15883">
        <w:t>/</w:t>
      </w:r>
      <w:r w:rsidR="001F1136">
        <w:t>representative</w:t>
      </w:r>
      <w:r w:rsidR="00584B42">
        <w:t>s</w:t>
      </w:r>
      <w:r w:rsidR="00921D84">
        <w:t xml:space="preserve">, </w:t>
      </w:r>
      <w:r w:rsidR="001F1136">
        <w:t xml:space="preserve">to </w:t>
      </w:r>
      <w:r w:rsidR="00584B42">
        <w:t xml:space="preserve">invite service providers to quote for </w:t>
      </w:r>
      <w:r w:rsidR="0043622A">
        <w:t xml:space="preserve">specified supports that all participants in the group need. </w:t>
      </w:r>
      <w:r w:rsidR="0058360F">
        <w:t>Participants and/or their representatives can</w:t>
      </w:r>
      <w:r w:rsidR="00392C3B">
        <w:t xml:space="preserve"> then</w:t>
      </w:r>
      <w:r w:rsidR="0058360F">
        <w:t xml:space="preserve"> choose the </w:t>
      </w:r>
      <w:r w:rsidR="00392C3B">
        <w:t xml:space="preserve">service </w:t>
      </w:r>
      <w:r w:rsidR="0058360F">
        <w:t>provider</w:t>
      </w:r>
      <w:r w:rsidR="00392C3B">
        <w:t xml:space="preserve"> that best suits their needs </w:t>
      </w:r>
      <w:r w:rsidR="001E097B">
        <w:t xml:space="preserve">and provides them value for money. </w:t>
      </w:r>
    </w:p>
    <w:p w14:paraId="4EED3084" w14:textId="21161338" w:rsidR="00D81B3B" w:rsidRDefault="00D81B3B" w:rsidP="00D81B3B">
      <w:pPr>
        <w:pStyle w:val="BodyText1"/>
      </w:pPr>
      <w:r>
        <w:t>Grouping participants gives greater assurance of demand for providers, encouraging providers to increase their provision of supports. A CFP also encourages ‘sharing’ of travel and administrative costs across the group of participants which improves value for money for the participants and the NDIS.</w:t>
      </w:r>
    </w:p>
    <w:p w14:paraId="6E2330AD" w14:textId="6DAAD797" w:rsidR="00015B04" w:rsidRDefault="00015B04" w:rsidP="00015B04">
      <w:r>
        <w:t>The NDIA has implemented nine CFPs at the time of this report. The first two CFPs were in Katherine (Assistive Technology/Home Modifications (ATHM) assessments) and Broome (assessments for orthotics and prosthetics)</w:t>
      </w:r>
      <w:r w:rsidR="005240F5">
        <w:t>,</w:t>
      </w:r>
      <w:r>
        <w:t xml:space="preserve"> </w:t>
      </w:r>
      <w:r w:rsidR="00327072">
        <w:t xml:space="preserve">which </w:t>
      </w:r>
      <w:r>
        <w:t>allowed</w:t>
      </w:r>
      <w:r w:rsidR="00327072">
        <w:t xml:space="preserve"> for </w:t>
      </w:r>
      <w:r>
        <w:t xml:space="preserve">testing and refinement of the CFP process. Since then, the NDIA has implemented seven additional CFPs. These CFPs </w:t>
      </w:r>
      <w:r>
        <w:lastRenderedPageBreak/>
        <w:t xml:space="preserve">mostly focused on </w:t>
      </w:r>
      <w:r w:rsidR="00FD1728">
        <w:t xml:space="preserve">enabling access to </w:t>
      </w:r>
      <w:r>
        <w:t xml:space="preserve">functional assessments and/or assessments to support ongoing </w:t>
      </w:r>
      <w:r w:rsidRPr="00932BD1">
        <w:t>therapies (</w:t>
      </w:r>
      <w:r w:rsidRPr="00932BD1">
        <w:rPr>
          <w:color w:val="2B579A"/>
          <w:shd w:val="clear" w:color="auto" w:fill="E6E6E6"/>
        </w:rPr>
        <w:fldChar w:fldCharType="begin"/>
      </w:r>
      <w:r w:rsidRPr="00932BD1">
        <w:instrText xml:space="preserve"> REF _Ref116643358 \h  \* MERGEFORMAT </w:instrText>
      </w:r>
      <w:r w:rsidRPr="00932BD1">
        <w:rPr>
          <w:color w:val="2B579A"/>
          <w:shd w:val="clear" w:color="auto" w:fill="E6E6E6"/>
        </w:rPr>
      </w:r>
      <w:r w:rsidRPr="00932BD1">
        <w:rPr>
          <w:color w:val="2B579A"/>
          <w:shd w:val="clear" w:color="auto" w:fill="E6E6E6"/>
        </w:rPr>
        <w:fldChar w:fldCharType="separate"/>
      </w:r>
      <w:r w:rsidR="00DE04FA" w:rsidRPr="00497B6C">
        <w:t xml:space="preserve">Table </w:t>
      </w:r>
      <w:r w:rsidR="00DE04FA">
        <w:rPr>
          <w:noProof/>
        </w:rPr>
        <w:t>3</w:t>
      </w:r>
      <w:r w:rsidRPr="00932BD1">
        <w:rPr>
          <w:color w:val="2B579A"/>
          <w:shd w:val="clear" w:color="auto" w:fill="E6E6E6"/>
        </w:rPr>
        <w:fldChar w:fldCharType="end"/>
      </w:r>
      <w:r w:rsidRPr="00932BD1">
        <w:t>).</w:t>
      </w:r>
    </w:p>
    <w:p w14:paraId="570F3D5B" w14:textId="0FD311B9" w:rsidR="00015B04" w:rsidRPr="00497B6C" w:rsidRDefault="00015B04" w:rsidP="00015B04">
      <w:pPr>
        <w:pStyle w:val="Caption"/>
      </w:pPr>
      <w:bookmarkStart w:id="117" w:name="_Ref116643358"/>
      <w:r w:rsidRPr="00497B6C">
        <w:t xml:space="preserve">Table </w:t>
      </w:r>
      <w:r w:rsidRPr="00631A78">
        <w:rPr>
          <w:shd w:val="clear" w:color="auto" w:fill="E6E6E6"/>
        </w:rPr>
        <w:fldChar w:fldCharType="begin"/>
      </w:r>
      <w:r w:rsidRPr="00497B6C">
        <w:instrText>SEQ Table \* ARABIC</w:instrText>
      </w:r>
      <w:r w:rsidRPr="00631A78">
        <w:rPr>
          <w:shd w:val="clear" w:color="auto" w:fill="E6E6E6"/>
        </w:rPr>
        <w:fldChar w:fldCharType="separate"/>
      </w:r>
      <w:r w:rsidR="00DE04FA">
        <w:rPr>
          <w:noProof/>
        </w:rPr>
        <w:t>3</w:t>
      </w:r>
      <w:r w:rsidRPr="00631A78">
        <w:rPr>
          <w:shd w:val="clear" w:color="auto" w:fill="E6E6E6"/>
        </w:rPr>
        <w:fldChar w:fldCharType="end"/>
      </w:r>
      <w:bookmarkEnd w:id="117"/>
      <w:r w:rsidRPr="00497B6C">
        <w:t>: In scope CFP trials</w:t>
      </w:r>
    </w:p>
    <w:tbl>
      <w:tblPr>
        <w:tblStyle w:val="GridTable1Light"/>
        <w:tblW w:w="925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28" w:type="dxa"/>
          <w:bottom w:w="28" w:type="dxa"/>
        </w:tblCellMar>
        <w:tblLook w:val="04A0" w:firstRow="1" w:lastRow="0" w:firstColumn="1" w:lastColumn="0" w:noHBand="0" w:noVBand="1"/>
        <w:tblDescription w:val="This table provides a list of LGAs with CFP projects, the support type and item numbers, and the number of participants included in the CFP. "/>
      </w:tblPr>
      <w:tblGrid>
        <w:gridCol w:w="2263"/>
        <w:gridCol w:w="2075"/>
        <w:gridCol w:w="3563"/>
        <w:gridCol w:w="1350"/>
      </w:tblGrid>
      <w:tr w:rsidR="00015B04" w:rsidRPr="00206B39" w14:paraId="0657CC4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shd w:val="clear" w:color="auto" w:fill="6B2976" w:themeFill="background2"/>
          </w:tcPr>
          <w:p w14:paraId="7EB1A419" w14:textId="77777777" w:rsidR="00015B04" w:rsidRPr="00751E3B" w:rsidRDefault="00015B04">
            <w:pPr>
              <w:spacing w:before="0" w:after="0"/>
              <w:rPr>
                <w:rFonts w:cs="Arial"/>
                <w:color w:val="FEFFFF" w:themeColor="background1"/>
                <w:sz w:val="20"/>
                <w:szCs w:val="20"/>
              </w:rPr>
            </w:pPr>
            <w:r w:rsidRPr="00751E3B">
              <w:rPr>
                <w:rFonts w:cs="Arial"/>
                <w:color w:val="FEFFFF" w:themeColor="background1"/>
                <w:sz w:val="20"/>
                <w:szCs w:val="20"/>
              </w:rPr>
              <w:t>LGA (State/Territory)</w:t>
            </w:r>
          </w:p>
        </w:tc>
        <w:tc>
          <w:tcPr>
            <w:tcW w:w="2075" w:type="dxa"/>
            <w:tcBorders>
              <w:bottom w:val="none" w:sz="0" w:space="0" w:color="auto"/>
            </w:tcBorders>
            <w:shd w:val="clear" w:color="auto" w:fill="6B2976" w:themeFill="background2"/>
          </w:tcPr>
          <w:p w14:paraId="7FF13D54" w14:textId="77777777" w:rsidR="00015B04" w:rsidRPr="00751E3B" w:rsidRDefault="00015B04">
            <w:pPr>
              <w:spacing w:before="0" w:after="0"/>
              <w:jc w:val="center"/>
              <w:cnfStyle w:val="100000000000" w:firstRow="1" w:lastRow="0" w:firstColumn="0" w:lastColumn="0" w:oddVBand="0" w:evenVBand="0" w:oddHBand="0" w:evenHBand="0" w:firstRowFirstColumn="0" w:firstRowLastColumn="0" w:lastRowFirstColumn="0" w:lastRowLastColumn="0"/>
              <w:rPr>
                <w:rFonts w:cs="Arial"/>
                <w:color w:val="FEFFFF" w:themeColor="background1"/>
                <w:sz w:val="20"/>
                <w:szCs w:val="20"/>
              </w:rPr>
            </w:pPr>
            <w:r w:rsidRPr="00751E3B">
              <w:rPr>
                <w:rFonts w:cs="Arial"/>
                <w:color w:val="FEFFFF" w:themeColor="background1"/>
                <w:sz w:val="20"/>
                <w:szCs w:val="20"/>
              </w:rPr>
              <w:t xml:space="preserve">Support focus </w:t>
            </w:r>
          </w:p>
        </w:tc>
        <w:tc>
          <w:tcPr>
            <w:tcW w:w="3563" w:type="dxa"/>
            <w:tcBorders>
              <w:bottom w:val="none" w:sz="0" w:space="0" w:color="auto"/>
            </w:tcBorders>
            <w:shd w:val="clear" w:color="auto" w:fill="6B2976" w:themeFill="background2"/>
          </w:tcPr>
          <w:p w14:paraId="64CAAF3B" w14:textId="77777777" w:rsidR="00015B04" w:rsidRPr="00751E3B" w:rsidRDefault="00015B04">
            <w:pPr>
              <w:spacing w:before="0" w:after="0"/>
              <w:jc w:val="center"/>
              <w:cnfStyle w:val="100000000000" w:firstRow="1" w:lastRow="0" w:firstColumn="0" w:lastColumn="0" w:oddVBand="0" w:evenVBand="0" w:oddHBand="0" w:evenHBand="0" w:firstRowFirstColumn="0" w:firstRowLastColumn="0" w:lastRowFirstColumn="0" w:lastRowLastColumn="0"/>
              <w:rPr>
                <w:rFonts w:cs="Arial"/>
                <w:color w:val="FEFFFF" w:themeColor="background1"/>
                <w:sz w:val="20"/>
                <w:szCs w:val="20"/>
              </w:rPr>
            </w:pPr>
            <w:r w:rsidRPr="00751E3B">
              <w:rPr>
                <w:rFonts w:cs="Arial"/>
                <w:color w:val="FEFFFF" w:themeColor="background1"/>
                <w:sz w:val="20"/>
                <w:szCs w:val="20"/>
              </w:rPr>
              <w:t xml:space="preserve">Relevant support </w:t>
            </w:r>
            <w:r>
              <w:rPr>
                <w:rFonts w:cs="Arial"/>
                <w:color w:val="FEFFFF" w:themeColor="background1"/>
                <w:sz w:val="20"/>
                <w:szCs w:val="20"/>
              </w:rPr>
              <w:t>item/s</w:t>
            </w:r>
          </w:p>
        </w:tc>
        <w:tc>
          <w:tcPr>
            <w:tcW w:w="1350" w:type="dxa"/>
            <w:tcBorders>
              <w:bottom w:val="none" w:sz="0" w:space="0" w:color="auto"/>
            </w:tcBorders>
            <w:shd w:val="clear" w:color="auto" w:fill="6B2976" w:themeFill="background2"/>
          </w:tcPr>
          <w:p w14:paraId="4EB1640B" w14:textId="77777777" w:rsidR="00015B04" w:rsidRPr="00751E3B" w:rsidRDefault="00015B04">
            <w:pPr>
              <w:spacing w:before="0" w:after="0"/>
              <w:jc w:val="center"/>
              <w:cnfStyle w:val="100000000000" w:firstRow="1" w:lastRow="0" w:firstColumn="0" w:lastColumn="0" w:oddVBand="0" w:evenVBand="0" w:oddHBand="0" w:evenHBand="0" w:firstRowFirstColumn="0" w:firstRowLastColumn="0" w:lastRowFirstColumn="0" w:lastRowLastColumn="0"/>
              <w:rPr>
                <w:rFonts w:cs="Arial"/>
                <w:color w:val="FEFFFF" w:themeColor="background1"/>
                <w:sz w:val="20"/>
                <w:szCs w:val="20"/>
              </w:rPr>
            </w:pPr>
            <w:r>
              <w:rPr>
                <w:rFonts w:cs="Arial"/>
                <w:color w:val="FEFFFF" w:themeColor="background1"/>
                <w:sz w:val="20"/>
                <w:szCs w:val="20"/>
              </w:rPr>
              <w:t>No.</w:t>
            </w:r>
            <w:r w:rsidRPr="00751E3B">
              <w:rPr>
                <w:rFonts w:cs="Arial"/>
                <w:color w:val="FEFFFF" w:themeColor="background1"/>
                <w:sz w:val="20"/>
                <w:szCs w:val="20"/>
              </w:rPr>
              <w:t xml:space="preserve"> participants</w:t>
            </w:r>
          </w:p>
        </w:tc>
      </w:tr>
      <w:tr w:rsidR="00015B04" w:rsidRPr="00206B39" w14:paraId="7D57D491"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F7EEF7"/>
          </w:tcPr>
          <w:p w14:paraId="71443779" w14:textId="77777777" w:rsidR="00015B04" w:rsidRPr="00F61C92" w:rsidRDefault="00015B04">
            <w:pPr>
              <w:spacing w:before="0" w:after="0"/>
              <w:rPr>
                <w:rFonts w:cs="Arial"/>
                <w:b w:val="0"/>
                <w:bCs w:val="0"/>
                <w:sz w:val="20"/>
                <w:szCs w:val="20"/>
              </w:rPr>
            </w:pPr>
            <w:r w:rsidRPr="00F61C92">
              <w:rPr>
                <w:rFonts w:cs="Arial"/>
                <w:sz w:val="20"/>
                <w:szCs w:val="20"/>
              </w:rPr>
              <w:t>Katherine (NT)</w:t>
            </w:r>
          </w:p>
        </w:tc>
        <w:tc>
          <w:tcPr>
            <w:tcW w:w="2075" w:type="dxa"/>
            <w:shd w:val="clear" w:color="auto" w:fill="F7EEF7"/>
          </w:tcPr>
          <w:p w14:paraId="611116F0"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ATHM assessments</w:t>
            </w:r>
          </w:p>
        </w:tc>
        <w:tc>
          <w:tcPr>
            <w:tcW w:w="3563" w:type="dxa"/>
            <w:shd w:val="clear" w:color="auto" w:fill="F7EEF7"/>
          </w:tcPr>
          <w:p w14:paraId="67A9EA4C"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EA7681">
              <w:rPr>
                <w:rFonts w:cs="Arial"/>
                <w:sz w:val="20"/>
                <w:szCs w:val="20"/>
              </w:rPr>
              <w:t>Assessment Recommendation Therapy And/or Training (Incl. AT) - Other Therapy</w:t>
            </w:r>
          </w:p>
        </w:tc>
        <w:tc>
          <w:tcPr>
            <w:tcW w:w="1350" w:type="dxa"/>
            <w:shd w:val="clear" w:color="auto" w:fill="F7EEF7"/>
          </w:tcPr>
          <w:p w14:paraId="7C8E6223"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16</w:t>
            </w:r>
          </w:p>
        </w:tc>
      </w:tr>
      <w:tr w:rsidR="00015B04" w:rsidRPr="00206B39" w14:paraId="28785990" w14:textId="77777777">
        <w:tc>
          <w:tcPr>
            <w:cnfStyle w:val="001000000000" w:firstRow="0" w:lastRow="0" w:firstColumn="1" w:lastColumn="0" w:oddVBand="0" w:evenVBand="0" w:oddHBand="0" w:evenHBand="0" w:firstRowFirstColumn="0" w:firstRowLastColumn="0" w:lastRowFirstColumn="0" w:lastRowLastColumn="0"/>
            <w:tcW w:w="2263" w:type="dxa"/>
          </w:tcPr>
          <w:p w14:paraId="2D82C89F" w14:textId="77777777" w:rsidR="00015B04" w:rsidRPr="00F61C92" w:rsidRDefault="00015B04">
            <w:pPr>
              <w:spacing w:before="0" w:after="0"/>
              <w:rPr>
                <w:rFonts w:cs="Arial"/>
                <w:b w:val="0"/>
                <w:bCs w:val="0"/>
                <w:sz w:val="20"/>
                <w:szCs w:val="20"/>
              </w:rPr>
            </w:pPr>
            <w:r w:rsidRPr="00F61C92">
              <w:rPr>
                <w:rFonts w:cs="Arial"/>
                <w:sz w:val="20"/>
                <w:szCs w:val="20"/>
              </w:rPr>
              <w:t>Broome (WA)</w:t>
            </w:r>
          </w:p>
        </w:tc>
        <w:tc>
          <w:tcPr>
            <w:tcW w:w="2075" w:type="dxa"/>
          </w:tcPr>
          <w:p w14:paraId="0D573EAD"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Orthotics and prosthetics assessments</w:t>
            </w:r>
          </w:p>
        </w:tc>
        <w:tc>
          <w:tcPr>
            <w:tcW w:w="3563" w:type="dxa"/>
          </w:tcPr>
          <w:p w14:paraId="670C2E30"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EA7681">
              <w:rPr>
                <w:rFonts w:cs="Arial"/>
                <w:sz w:val="20"/>
                <w:szCs w:val="20"/>
              </w:rPr>
              <w:t>Assessment Recommendation Therapy And/or Training (Incl. AT) - Other Therapy</w:t>
            </w:r>
          </w:p>
        </w:tc>
        <w:tc>
          <w:tcPr>
            <w:tcW w:w="1350" w:type="dxa"/>
          </w:tcPr>
          <w:p w14:paraId="5954E23E"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24</w:t>
            </w:r>
          </w:p>
        </w:tc>
      </w:tr>
      <w:tr w:rsidR="00015B04" w:rsidRPr="00206B39" w14:paraId="4BB0DC24"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F7EEF7"/>
          </w:tcPr>
          <w:p w14:paraId="2C10B883" w14:textId="77777777" w:rsidR="00015B04" w:rsidRPr="00F61C92" w:rsidRDefault="00015B04">
            <w:pPr>
              <w:spacing w:before="0" w:after="0"/>
              <w:rPr>
                <w:rFonts w:cs="Arial"/>
                <w:b w:val="0"/>
                <w:bCs w:val="0"/>
                <w:sz w:val="20"/>
                <w:szCs w:val="20"/>
              </w:rPr>
            </w:pPr>
            <w:r w:rsidRPr="00F61C92">
              <w:rPr>
                <w:rFonts w:cs="Arial"/>
                <w:sz w:val="20"/>
                <w:szCs w:val="20"/>
              </w:rPr>
              <w:t xml:space="preserve">West Arnhem (NT) - </w:t>
            </w:r>
            <w:proofErr w:type="spellStart"/>
            <w:r w:rsidRPr="00F61C92">
              <w:rPr>
                <w:rFonts w:cs="Arial"/>
                <w:sz w:val="20"/>
                <w:szCs w:val="20"/>
              </w:rPr>
              <w:t>Gunbalanya</w:t>
            </w:r>
            <w:proofErr w:type="spellEnd"/>
          </w:p>
        </w:tc>
        <w:tc>
          <w:tcPr>
            <w:tcW w:w="2075" w:type="dxa"/>
            <w:shd w:val="clear" w:color="auto" w:fill="F7EEF7"/>
          </w:tcPr>
          <w:p w14:paraId="18835335"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Speech pathology</w:t>
            </w:r>
            <w:r>
              <w:rPr>
                <w:rFonts w:cs="Arial"/>
                <w:sz w:val="20"/>
                <w:szCs w:val="20"/>
              </w:rPr>
              <w:t xml:space="preserve"> assessments</w:t>
            </w:r>
          </w:p>
        </w:tc>
        <w:tc>
          <w:tcPr>
            <w:tcW w:w="3563" w:type="dxa"/>
            <w:shd w:val="clear" w:color="auto" w:fill="F7EEF7"/>
          </w:tcPr>
          <w:p w14:paraId="011BD506"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4E4397">
              <w:rPr>
                <w:rFonts w:cs="Arial"/>
                <w:sz w:val="20"/>
                <w:szCs w:val="20"/>
              </w:rPr>
              <w:t>Assessment Recommendation Therapy And/or Training (Incl. AT) - Other Therapy</w:t>
            </w:r>
          </w:p>
        </w:tc>
        <w:tc>
          <w:tcPr>
            <w:tcW w:w="1350" w:type="dxa"/>
            <w:shd w:val="clear" w:color="auto" w:fill="F7EEF7"/>
          </w:tcPr>
          <w:p w14:paraId="23C80692"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16</w:t>
            </w:r>
          </w:p>
        </w:tc>
      </w:tr>
      <w:tr w:rsidR="00015B04" w:rsidRPr="00206B39" w14:paraId="68F9563F"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5AFA32E5" w14:textId="77777777" w:rsidR="00015B04" w:rsidRPr="00F61C92" w:rsidRDefault="00015B04">
            <w:pPr>
              <w:spacing w:before="0" w:after="0"/>
              <w:rPr>
                <w:rFonts w:cs="Arial"/>
                <w:b w:val="0"/>
                <w:bCs w:val="0"/>
                <w:sz w:val="20"/>
                <w:szCs w:val="20"/>
              </w:rPr>
            </w:pPr>
            <w:r w:rsidRPr="00F61C92">
              <w:rPr>
                <w:rFonts w:cs="Arial"/>
                <w:sz w:val="20"/>
                <w:szCs w:val="20"/>
              </w:rPr>
              <w:t>West Arnhem (NT) - Maningrida</w:t>
            </w:r>
          </w:p>
        </w:tc>
        <w:tc>
          <w:tcPr>
            <w:tcW w:w="2075" w:type="dxa"/>
            <w:shd w:val="clear" w:color="auto" w:fill="auto"/>
          </w:tcPr>
          <w:p w14:paraId="4B7F6D3B"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Speech pathology</w:t>
            </w:r>
            <w:r>
              <w:rPr>
                <w:rFonts w:cs="Arial"/>
                <w:sz w:val="20"/>
                <w:szCs w:val="20"/>
              </w:rPr>
              <w:t xml:space="preserve"> assessments</w:t>
            </w:r>
          </w:p>
        </w:tc>
        <w:tc>
          <w:tcPr>
            <w:tcW w:w="3563" w:type="dxa"/>
            <w:shd w:val="clear" w:color="auto" w:fill="auto"/>
          </w:tcPr>
          <w:p w14:paraId="728E5BCE"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4E4397">
              <w:rPr>
                <w:rFonts w:cs="Arial"/>
                <w:sz w:val="20"/>
                <w:szCs w:val="20"/>
              </w:rPr>
              <w:t>Assessment Recommendation Therapy And/or Training (Incl. AT) - Other Therapy</w:t>
            </w:r>
          </w:p>
        </w:tc>
        <w:tc>
          <w:tcPr>
            <w:tcW w:w="1350" w:type="dxa"/>
            <w:shd w:val="clear" w:color="auto" w:fill="auto"/>
          </w:tcPr>
          <w:p w14:paraId="5A64D2D7"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6</w:t>
            </w:r>
          </w:p>
        </w:tc>
      </w:tr>
      <w:tr w:rsidR="00015B04" w:rsidRPr="00206B39" w14:paraId="1DDBEF28"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F7EEF7"/>
          </w:tcPr>
          <w:p w14:paraId="406EAE6A" w14:textId="77777777" w:rsidR="00015B04" w:rsidRPr="00F61C92" w:rsidRDefault="00015B04">
            <w:pPr>
              <w:spacing w:before="0" w:after="0"/>
              <w:rPr>
                <w:rFonts w:cs="Arial"/>
                <w:b w:val="0"/>
                <w:bCs w:val="0"/>
                <w:sz w:val="20"/>
                <w:szCs w:val="20"/>
              </w:rPr>
            </w:pPr>
            <w:r w:rsidRPr="00F61C92">
              <w:rPr>
                <w:rFonts w:cs="Arial"/>
                <w:sz w:val="20"/>
                <w:szCs w:val="20"/>
              </w:rPr>
              <w:t>Tiwi Islands (NT)</w:t>
            </w:r>
          </w:p>
        </w:tc>
        <w:tc>
          <w:tcPr>
            <w:tcW w:w="2075" w:type="dxa"/>
            <w:shd w:val="clear" w:color="auto" w:fill="F7EEF7"/>
          </w:tcPr>
          <w:p w14:paraId="7125F830"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Speech pathology</w:t>
            </w:r>
            <w:r>
              <w:rPr>
                <w:rFonts w:cs="Arial"/>
                <w:sz w:val="20"/>
                <w:szCs w:val="20"/>
              </w:rPr>
              <w:t xml:space="preserve"> assessments</w:t>
            </w:r>
          </w:p>
        </w:tc>
        <w:tc>
          <w:tcPr>
            <w:tcW w:w="3563" w:type="dxa"/>
            <w:shd w:val="clear" w:color="auto" w:fill="F7EEF7"/>
          </w:tcPr>
          <w:p w14:paraId="58AF47EA"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4E4397">
              <w:rPr>
                <w:rFonts w:cs="Arial"/>
                <w:sz w:val="20"/>
                <w:szCs w:val="20"/>
              </w:rPr>
              <w:t>Assessment Recommendation Therapy And/or Training (Incl. AT) - Other Therapy</w:t>
            </w:r>
          </w:p>
        </w:tc>
        <w:tc>
          <w:tcPr>
            <w:tcW w:w="1350" w:type="dxa"/>
            <w:shd w:val="clear" w:color="auto" w:fill="F7EEF7"/>
          </w:tcPr>
          <w:p w14:paraId="5766CD39"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14</w:t>
            </w:r>
          </w:p>
        </w:tc>
      </w:tr>
      <w:tr w:rsidR="00015B04" w:rsidRPr="00206B39" w14:paraId="0FA24AA1"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19729724" w14:textId="77777777" w:rsidR="00015B04" w:rsidRPr="00F61C92" w:rsidRDefault="00015B04">
            <w:pPr>
              <w:spacing w:before="0" w:after="0"/>
              <w:rPr>
                <w:rFonts w:cs="Arial"/>
                <w:b w:val="0"/>
                <w:bCs w:val="0"/>
                <w:sz w:val="20"/>
                <w:szCs w:val="20"/>
              </w:rPr>
            </w:pPr>
            <w:r w:rsidRPr="00F61C92">
              <w:rPr>
                <w:rFonts w:cs="Arial"/>
                <w:sz w:val="20"/>
                <w:szCs w:val="20"/>
              </w:rPr>
              <w:t>Mornington (Qld)</w:t>
            </w:r>
          </w:p>
        </w:tc>
        <w:tc>
          <w:tcPr>
            <w:tcW w:w="2075" w:type="dxa"/>
            <w:shd w:val="clear" w:color="auto" w:fill="auto"/>
          </w:tcPr>
          <w:p w14:paraId="5C1D101A"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Functional assessments</w:t>
            </w:r>
            <w:r>
              <w:rPr>
                <w:rFonts w:cs="Arial"/>
                <w:sz w:val="20"/>
                <w:szCs w:val="20"/>
              </w:rPr>
              <w:t xml:space="preserve"> (OT)</w:t>
            </w:r>
          </w:p>
        </w:tc>
        <w:tc>
          <w:tcPr>
            <w:tcW w:w="3563" w:type="dxa"/>
            <w:shd w:val="clear" w:color="auto" w:fill="auto"/>
          </w:tcPr>
          <w:p w14:paraId="61FF8EFC"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EA7681">
              <w:rPr>
                <w:rFonts w:cs="Arial"/>
                <w:sz w:val="20"/>
                <w:szCs w:val="20"/>
              </w:rPr>
              <w:t>Assessment Recommendation Therapy And/or Training (Incl. AT) - Other Therapy</w:t>
            </w:r>
          </w:p>
        </w:tc>
        <w:tc>
          <w:tcPr>
            <w:tcW w:w="1350" w:type="dxa"/>
            <w:shd w:val="clear" w:color="auto" w:fill="auto"/>
          </w:tcPr>
          <w:p w14:paraId="241D35B6"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17</w:t>
            </w:r>
          </w:p>
        </w:tc>
      </w:tr>
      <w:tr w:rsidR="00015B04" w:rsidRPr="00206B39" w14:paraId="606EDF94"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F7EEF7"/>
          </w:tcPr>
          <w:p w14:paraId="6015CF37" w14:textId="77777777" w:rsidR="00015B04" w:rsidRPr="00F61C92" w:rsidRDefault="00015B04">
            <w:pPr>
              <w:spacing w:before="0" w:after="0"/>
              <w:rPr>
                <w:rFonts w:cs="Arial"/>
                <w:b w:val="0"/>
                <w:bCs w:val="0"/>
                <w:sz w:val="20"/>
                <w:szCs w:val="20"/>
              </w:rPr>
            </w:pPr>
            <w:r w:rsidRPr="00F61C92">
              <w:rPr>
                <w:rFonts w:cs="Arial"/>
                <w:sz w:val="20"/>
                <w:szCs w:val="20"/>
              </w:rPr>
              <w:t>Central Desert (NT)</w:t>
            </w:r>
          </w:p>
        </w:tc>
        <w:tc>
          <w:tcPr>
            <w:tcW w:w="2075" w:type="dxa"/>
            <w:shd w:val="clear" w:color="auto" w:fill="F7EEF7"/>
          </w:tcPr>
          <w:p w14:paraId="3FBB4AD2"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Daily personal activities and household tasks</w:t>
            </w:r>
          </w:p>
        </w:tc>
        <w:tc>
          <w:tcPr>
            <w:tcW w:w="3563" w:type="dxa"/>
            <w:shd w:val="clear" w:color="auto" w:fill="F7EEF7"/>
          </w:tcPr>
          <w:p w14:paraId="0F322BF7" w14:textId="77777777"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Assistance With Personal Domestic Activities</w:t>
            </w:r>
          </w:p>
          <w:p w14:paraId="12CD55C2" w14:textId="77777777"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Group Activities In The Community - 1:2 - Standard - Weekday Daytime</w:t>
            </w:r>
          </w:p>
          <w:p w14:paraId="6A5FC1B3" w14:textId="3841C483"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 xml:space="preserve">Access Community Social </w:t>
            </w:r>
            <w:r w:rsidR="00CF700B" w:rsidRPr="00BA69A9">
              <w:rPr>
                <w:rFonts w:cs="Arial"/>
                <w:sz w:val="20"/>
                <w:szCs w:val="20"/>
              </w:rPr>
              <w:t>and</w:t>
            </w:r>
            <w:r w:rsidRPr="00BA69A9">
              <w:rPr>
                <w:rFonts w:cs="Arial"/>
                <w:sz w:val="20"/>
                <w:szCs w:val="20"/>
              </w:rPr>
              <w:t xml:space="preserve"> Rec Activities - Weekday Daytime</w:t>
            </w:r>
          </w:p>
          <w:p w14:paraId="7696E224" w14:textId="39F68980"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 xml:space="preserve">Group Activities </w:t>
            </w:r>
            <w:r w:rsidR="00CF700B" w:rsidRPr="00BA69A9">
              <w:rPr>
                <w:rFonts w:cs="Arial"/>
                <w:sz w:val="20"/>
                <w:szCs w:val="20"/>
              </w:rPr>
              <w:t>in</w:t>
            </w:r>
            <w:r w:rsidRPr="00BA69A9">
              <w:rPr>
                <w:rFonts w:cs="Arial"/>
                <w:sz w:val="20"/>
                <w:szCs w:val="20"/>
              </w:rPr>
              <w:t xml:space="preserve"> The Community - 1:3 - Standard - Weekday Daytime</w:t>
            </w:r>
          </w:p>
          <w:p w14:paraId="156E716C" w14:textId="77777777"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Employment Support</w:t>
            </w:r>
          </w:p>
          <w:p w14:paraId="4901F6E7" w14:textId="734198AC"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 xml:space="preserve">Skills Development </w:t>
            </w:r>
            <w:r w:rsidR="00CF700B" w:rsidRPr="00BA69A9">
              <w:rPr>
                <w:rFonts w:cs="Arial"/>
                <w:sz w:val="20"/>
                <w:szCs w:val="20"/>
              </w:rPr>
              <w:t>and</w:t>
            </w:r>
            <w:r w:rsidRPr="00BA69A9">
              <w:rPr>
                <w:rFonts w:cs="Arial"/>
                <w:sz w:val="20"/>
                <w:szCs w:val="20"/>
              </w:rPr>
              <w:t xml:space="preserve"> Training</w:t>
            </w:r>
          </w:p>
          <w:p w14:paraId="6B69DE5F" w14:textId="77777777" w:rsidR="00015B04" w:rsidRPr="00BA69A9"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Linen Service</w:t>
            </w:r>
          </w:p>
          <w:p w14:paraId="5784D646" w14:textId="4B0C3F5A" w:rsidR="00015B04" w:rsidRPr="00751E3B"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BA69A9">
              <w:rPr>
                <w:rFonts w:cs="Arial"/>
                <w:sz w:val="20"/>
                <w:szCs w:val="20"/>
              </w:rPr>
              <w:t xml:space="preserve">Assistance With </w:t>
            </w:r>
            <w:r w:rsidR="00CF700B" w:rsidRPr="00BA69A9">
              <w:rPr>
                <w:rFonts w:cs="Arial"/>
                <w:sz w:val="20"/>
                <w:szCs w:val="20"/>
              </w:rPr>
              <w:t>the</w:t>
            </w:r>
            <w:r w:rsidRPr="00BA69A9">
              <w:rPr>
                <w:rFonts w:cs="Arial"/>
                <w:sz w:val="20"/>
                <w:szCs w:val="20"/>
              </w:rPr>
              <w:t xml:space="preserve"> Cost </w:t>
            </w:r>
            <w:r w:rsidR="00CF700B" w:rsidRPr="00BA69A9">
              <w:rPr>
                <w:rFonts w:cs="Arial"/>
                <w:sz w:val="20"/>
                <w:szCs w:val="20"/>
              </w:rPr>
              <w:t>of</w:t>
            </w:r>
            <w:r w:rsidRPr="00BA69A9">
              <w:rPr>
                <w:rFonts w:cs="Arial"/>
                <w:sz w:val="20"/>
                <w:szCs w:val="20"/>
              </w:rPr>
              <w:t xml:space="preserve"> Preparation </w:t>
            </w:r>
            <w:r w:rsidR="00CF700B">
              <w:rPr>
                <w:rFonts w:cs="Arial"/>
                <w:sz w:val="20"/>
                <w:szCs w:val="20"/>
              </w:rPr>
              <w:t>a</w:t>
            </w:r>
            <w:r w:rsidRPr="00BA69A9">
              <w:rPr>
                <w:rFonts w:cs="Arial"/>
                <w:sz w:val="20"/>
                <w:szCs w:val="20"/>
              </w:rPr>
              <w:t xml:space="preserve">nd Delivery </w:t>
            </w:r>
            <w:r w:rsidR="00CF700B">
              <w:rPr>
                <w:rFonts w:cs="Arial"/>
                <w:sz w:val="20"/>
                <w:szCs w:val="20"/>
              </w:rPr>
              <w:t>o</w:t>
            </w:r>
            <w:r w:rsidRPr="00BA69A9">
              <w:rPr>
                <w:rFonts w:cs="Arial"/>
                <w:sz w:val="20"/>
                <w:szCs w:val="20"/>
              </w:rPr>
              <w:t>f Meals</w:t>
            </w:r>
          </w:p>
        </w:tc>
        <w:tc>
          <w:tcPr>
            <w:tcW w:w="1350" w:type="dxa"/>
            <w:shd w:val="clear" w:color="auto" w:fill="F7EEF7"/>
          </w:tcPr>
          <w:p w14:paraId="1E1D2DB3"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7</w:t>
            </w:r>
          </w:p>
        </w:tc>
      </w:tr>
      <w:tr w:rsidR="00015B04" w:rsidRPr="00206B39" w14:paraId="2E90FEEA"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18840969" w14:textId="77777777" w:rsidR="00015B04" w:rsidRPr="00F61C92" w:rsidRDefault="00015B04">
            <w:pPr>
              <w:spacing w:before="0" w:after="0"/>
              <w:rPr>
                <w:rFonts w:cs="Arial"/>
                <w:b w:val="0"/>
                <w:bCs w:val="0"/>
                <w:sz w:val="20"/>
                <w:szCs w:val="20"/>
              </w:rPr>
            </w:pPr>
            <w:r w:rsidRPr="00F61C92">
              <w:rPr>
                <w:rFonts w:cs="Arial"/>
                <w:sz w:val="20"/>
                <w:szCs w:val="20"/>
              </w:rPr>
              <w:t xml:space="preserve">APY Lands (SA) </w:t>
            </w:r>
          </w:p>
        </w:tc>
        <w:tc>
          <w:tcPr>
            <w:tcW w:w="2075" w:type="dxa"/>
            <w:shd w:val="clear" w:color="auto" w:fill="auto"/>
          </w:tcPr>
          <w:p w14:paraId="1C69B00D"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Functional assessments</w:t>
            </w:r>
          </w:p>
        </w:tc>
        <w:tc>
          <w:tcPr>
            <w:tcW w:w="3563" w:type="dxa"/>
            <w:shd w:val="clear" w:color="auto" w:fill="auto"/>
          </w:tcPr>
          <w:p w14:paraId="1D93B153" w14:textId="77777777" w:rsidR="00015B04" w:rsidRPr="003D0FE2"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3D0FE2">
              <w:rPr>
                <w:rFonts w:cs="Arial"/>
                <w:sz w:val="20"/>
                <w:szCs w:val="20"/>
              </w:rPr>
              <w:t>Assessment Recommendation Therapy And/or Training (Incl. AT) - Other Therapy</w:t>
            </w:r>
          </w:p>
          <w:p w14:paraId="46068562" w14:textId="55FE5E46" w:rsidR="00015B04" w:rsidRPr="003D0FE2"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3D0FE2">
              <w:rPr>
                <w:rFonts w:cs="Arial"/>
                <w:sz w:val="20"/>
                <w:szCs w:val="20"/>
              </w:rPr>
              <w:t xml:space="preserve">Capacity Building Supports </w:t>
            </w:r>
            <w:r w:rsidR="00CF700B" w:rsidRPr="003D0FE2">
              <w:rPr>
                <w:rFonts w:cs="Arial"/>
                <w:sz w:val="20"/>
                <w:szCs w:val="20"/>
              </w:rPr>
              <w:t>for</w:t>
            </w:r>
            <w:r w:rsidRPr="003D0FE2">
              <w:rPr>
                <w:rFonts w:cs="Arial"/>
                <w:sz w:val="20"/>
                <w:szCs w:val="20"/>
              </w:rPr>
              <w:t xml:space="preserve"> Early Childhood Interventions - Other Therapy</w:t>
            </w:r>
          </w:p>
          <w:p w14:paraId="0337DE57" w14:textId="77777777" w:rsidR="00015B04" w:rsidRPr="003D0FE2"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3D0FE2">
              <w:rPr>
                <w:rFonts w:cs="Arial"/>
                <w:sz w:val="20"/>
                <w:szCs w:val="20"/>
              </w:rPr>
              <w:lastRenderedPageBreak/>
              <w:t>Therapy Assistant - Level 2</w:t>
            </w:r>
          </w:p>
        </w:tc>
        <w:tc>
          <w:tcPr>
            <w:tcW w:w="1350" w:type="dxa"/>
            <w:shd w:val="clear" w:color="auto" w:fill="auto"/>
          </w:tcPr>
          <w:p w14:paraId="11596C00"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lastRenderedPageBreak/>
              <w:t>10</w:t>
            </w:r>
          </w:p>
        </w:tc>
      </w:tr>
      <w:tr w:rsidR="00015B04" w:rsidRPr="00206B39" w14:paraId="6A0490FB" w14:textId="77777777">
        <w:tc>
          <w:tcPr>
            <w:cnfStyle w:val="001000000000" w:firstRow="0" w:lastRow="0" w:firstColumn="1" w:lastColumn="0" w:oddVBand="0" w:evenVBand="0" w:oddHBand="0" w:evenHBand="0" w:firstRowFirstColumn="0" w:firstRowLastColumn="0" w:lastRowFirstColumn="0" w:lastRowLastColumn="0"/>
            <w:tcW w:w="2263" w:type="dxa"/>
            <w:shd w:val="clear" w:color="auto" w:fill="F7EEF7"/>
          </w:tcPr>
          <w:p w14:paraId="0B90295C" w14:textId="77777777" w:rsidR="00015B04" w:rsidRPr="00F61C92" w:rsidRDefault="00015B04">
            <w:pPr>
              <w:spacing w:before="0" w:after="0"/>
              <w:rPr>
                <w:rFonts w:cs="Arial"/>
                <w:b w:val="0"/>
                <w:bCs w:val="0"/>
                <w:sz w:val="20"/>
                <w:szCs w:val="20"/>
              </w:rPr>
            </w:pPr>
            <w:r w:rsidRPr="00F61C92">
              <w:rPr>
                <w:rFonts w:cs="Arial"/>
                <w:sz w:val="20"/>
                <w:szCs w:val="20"/>
              </w:rPr>
              <w:t xml:space="preserve">APY Lands (SA) </w:t>
            </w:r>
          </w:p>
        </w:tc>
        <w:tc>
          <w:tcPr>
            <w:tcW w:w="2075" w:type="dxa"/>
            <w:shd w:val="clear" w:color="auto" w:fill="F7EEF7"/>
          </w:tcPr>
          <w:p w14:paraId="348F5370" w14:textId="77777777" w:rsidR="00015B04" w:rsidRPr="00751E3B" w:rsidRDefault="00015B04">
            <w:pPr>
              <w:spacing w:before="0" w:after="0"/>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Daily living tasks</w:t>
            </w:r>
            <w:r>
              <w:rPr>
                <w:rFonts w:cs="Arial"/>
                <w:sz w:val="20"/>
                <w:szCs w:val="20"/>
              </w:rPr>
              <w:t xml:space="preserve"> (for residents of the Independent Living Centre)</w:t>
            </w:r>
          </w:p>
        </w:tc>
        <w:tc>
          <w:tcPr>
            <w:tcW w:w="3563" w:type="dxa"/>
            <w:shd w:val="clear" w:color="auto" w:fill="F7EEF7"/>
          </w:tcPr>
          <w:p w14:paraId="7980BF2F" w14:textId="77777777" w:rsidR="00015B04" w:rsidRPr="00713661"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713661">
              <w:rPr>
                <w:rFonts w:cs="Arial"/>
                <w:sz w:val="20"/>
                <w:szCs w:val="20"/>
              </w:rPr>
              <w:t>Assistance With Self-Care Activities - Level 2 - Weekday Daytime</w:t>
            </w:r>
          </w:p>
          <w:p w14:paraId="5B33638F" w14:textId="77777777" w:rsidR="00015B04" w:rsidRPr="00713661"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713661">
              <w:rPr>
                <w:rFonts w:cs="Arial"/>
                <w:sz w:val="20"/>
                <w:szCs w:val="20"/>
              </w:rPr>
              <w:t>Assistance With Self-Care Activities - Level 2 - Saturday</w:t>
            </w:r>
          </w:p>
          <w:p w14:paraId="5D7F5DF5" w14:textId="77777777" w:rsidR="00015B04" w:rsidRPr="00713661"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713661">
              <w:rPr>
                <w:rFonts w:cs="Arial"/>
                <w:sz w:val="20"/>
                <w:szCs w:val="20"/>
              </w:rPr>
              <w:t>Assistance With Self-Care Activities - Level 2 - Sunday</w:t>
            </w:r>
          </w:p>
          <w:p w14:paraId="7A446740" w14:textId="77777777" w:rsidR="00015B04" w:rsidRPr="00713661"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713661">
              <w:rPr>
                <w:rFonts w:cs="Arial"/>
                <w:sz w:val="20"/>
                <w:szCs w:val="20"/>
              </w:rPr>
              <w:t>Assistance With Self-Care Activities - Level 2 - Public Holiday</w:t>
            </w:r>
          </w:p>
          <w:p w14:paraId="2D3A0DFE" w14:textId="5ED28C9F" w:rsidR="00015B04" w:rsidRPr="00713661"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713661">
              <w:rPr>
                <w:rFonts w:cs="Arial"/>
                <w:sz w:val="20"/>
                <w:szCs w:val="20"/>
              </w:rPr>
              <w:t xml:space="preserve">House Cleaning </w:t>
            </w:r>
            <w:r w:rsidR="00CF700B" w:rsidRPr="00713661">
              <w:rPr>
                <w:rFonts w:cs="Arial"/>
                <w:sz w:val="20"/>
                <w:szCs w:val="20"/>
              </w:rPr>
              <w:t>and</w:t>
            </w:r>
            <w:r w:rsidRPr="00713661">
              <w:rPr>
                <w:rFonts w:cs="Arial"/>
                <w:sz w:val="20"/>
                <w:szCs w:val="20"/>
              </w:rPr>
              <w:t xml:space="preserve"> Other Household Activities</w:t>
            </w:r>
          </w:p>
          <w:p w14:paraId="273799F9" w14:textId="77777777" w:rsidR="00015B04" w:rsidRPr="00751E3B" w:rsidRDefault="00015B04" w:rsidP="004E287B">
            <w:pPr>
              <w:pStyle w:val="ListParagraph"/>
              <w:numPr>
                <w:ilvl w:val="0"/>
                <w:numId w:val="12"/>
              </w:numPr>
              <w:spacing w:before="0" w:after="0"/>
              <w:ind w:left="343" w:hanging="343"/>
              <w:cnfStyle w:val="000000000000" w:firstRow="0" w:lastRow="0" w:firstColumn="0" w:lastColumn="0" w:oddVBand="0" w:evenVBand="0" w:oddHBand="0" w:evenHBand="0" w:firstRowFirstColumn="0" w:firstRowLastColumn="0" w:lastRowFirstColumn="0" w:lastRowLastColumn="0"/>
              <w:rPr>
                <w:rFonts w:cs="Arial"/>
                <w:sz w:val="20"/>
                <w:szCs w:val="20"/>
              </w:rPr>
            </w:pPr>
            <w:r w:rsidRPr="00713661">
              <w:rPr>
                <w:rFonts w:cs="Arial"/>
                <w:sz w:val="20"/>
                <w:szCs w:val="20"/>
              </w:rPr>
              <w:t>Group Activities - Standard - Weekday Daytime</w:t>
            </w:r>
          </w:p>
        </w:tc>
        <w:tc>
          <w:tcPr>
            <w:tcW w:w="1350" w:type="dxa"/>
            <w:shd w:val="clear" w:color="auto" w:fill="F7EEF7"/>
          </w:tcPr>
          <w:p w14:paraId="1B1AB0FD" w14:textId="77777777" w:rsidR="00015B04" w:rsidRPr="00751E3B" w:rsidRDefault="00015B0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51E3B">
              <w:rPr>
                <w:rFonts w:cs="Arial"/>
                <w:sz w:val="20"/>
                <w:szCs w:val="20"/>
              </w:rPr>
              <w:t>4</w:t>
            </w:r>
          </w:p>
        </w:tc>
      </w:tr>
    </w:tbl>
    <w:p w14:paraId="7AB88CB0" w14:textId="6CCABB57" w:rsidR="001A3533" w:rsidRDefault="008B5CEC" w:rsidP="00A01FA6">
      <w:pPr>
        <w:pStyle w:val="Heading3"/>
      </w:pPr>
      <w:bookmarkStart w:id="118" w:name="_Toc111206326"/>
      <w:bookmarkStart w:id="119" w:name="_Toc111206440"/>
      <w:bookmarkStart w:id="120" w:name="_Toc136336670"/>
      <w:r>
        <w:t>Impact of coordinated funding proposals</w:t>
      </w:r>
      <w:bookmarkEnd w:id="118"/>
      <w:bookmarkEnd w:id="119"/>
      <w:bookmarkEnd w:id="120"/>
      <w:r>
        <w:t xml:space="preserve"> </w:t>
      </w:r>
    </w:p>
    <w:p w14:paraId="67FCAF2B" w14:textId="70030182" w:rsidR="008D73CD" w:rsidRDefault="008D73CD" w:rsidP="008D73CD">
      <w:pPr>
        <w:pStyle w:val="BodyText1"/>
      </w:pPr>
      <w:r>
        <w:t>As a CFP targets participants with low use of supports, at a simple level a CFP is successful if the targeted participants receiv</w:t>
      </w:r>
      <w:r w:rsidR="00BA1E83">
        <w:t>e</w:t>
      </w:r>
      <w:r>
        <w:t xml:space="preserve"> the relevant support/s from the chosen provider. To assess the extent this occurred, the evaluation analysed </w:t>
      </w:r>
      <w:r w:rsidR="00BA1E83">
        <w:t>t</w:t>
      </w:r>
      <w:r>
        <w:t xml:space="preserve">rial participant expenditure on the targeted funded support (as shown in </w:t>
      </w:r>
      <w:r>
        <w:rPr>
          <w:color w:val="2B579A"/>
          <w:shd w:val="clear" w:color="auto" w:fill="E6E6E6"/>
        </w:rPr>
        <w:fldChar w:fldCharType="begin"/>
      </w:r>
      <w:r>
        <w:instrText xml:space="preserve"> REF _Ref116643358 \h </w:instrText>
      </w:r>
      <w:r>
        <w:rPr>
          <w:color w:val="2B579A"/>
          <w:shd w:val="clear" w:color="auto" w:fill="E6E6E6"/>
        </w:rPr>
      </w:r>
      <w:r>
        <w:rPr>
          <w:color w:val="2B579A"/>
          <w:shd w:val="clear" w:color="auto" w:fill="E6E6E6"/>
        </w:rPr>
        <w:fldChar w:fldCharType="separate"/>
      </w:r>
      <w:r w:rsidR="00DE04FA" w:rsidRPr="00497B6C">
        <w:t xml:space="preserve">Table </w:t>
      </w:r>
      <w:r w:rsidR="00DE04FA">
        <w:rPr>
          <w:noProof/>
        </w:rPr>
        <w:t>3</w:t>
      </w:r>
      <w:r>
        <w:rPr>
          <w:color w:val="2B579A"/>
          <w:shd w:val="clear" w:color="auto" w:fill="E6E6E6"/>
        </w:rPr>
        <w:fldChar w:fldCharType="end"/>
      </w:r>
      <w:r>
        <w:t>).</w:t>
      </w:r>
    </w:p>
    <w:p w14:paraId="63D8E99F" w14:textId="28534194" w:rsidR="008D73CD" w:rsidRDefault="008D73CD" w:rsidP="00A01FA6">
      <w:pPr>
        <w:pStyle w:val="Heading4"/>
      </w:pPr>
      <w:r>
        <w:t xml:space="preserve">Participant use </w:t>
      </w:r>
      <w:r w:rsidR="001C61A1">
        <w:t xml:space="preserve">of </w:t>
      </w:r>
      <w:r>
        <w:t>CFP-targeted supports</w:t>
      </w:r>
    </w:p>
    <w:p w14:paraId="13877346" w14:textId="2E431ECC" w:rsidR="008D73CD" w:rsidRDefault="008D73CD" w:rsidP="008D73CD">
      <w:pPr>
        <w:pStyle w:val="BodyText1"/>
      </w:pPr>
      <w:r w:rsidRPr="002413E2">
        <w:rPr>
          <w:color w:val="2B579A"/>
          <w:shd w:val="clear" w:color="auto" w:fill="E6E6E6"/>
        </w:rPr>
        <w:fldChar w:fldCharType="begin"/>
      </w:r>
      <w:r w:rsidRPr="002413E2">
        <w:instrText xml:space="preserve"> REF _Ref116907116 \h  \* MERGEFORMAT </w:instrText>
      </w:r>
      <w:r w:rsidRPr="002413E2">
        <w:rPr>
          <w:color w:val="2B579A"/>
          <w:shd w:val="clear" w:color="auto" w:fill="E6E6E6"/>
        </w:rPr>
      </w:r>
      <w:r w:rsidRPr="002413E2">
        <w:rPr>
          <w:color w:val="2B579A"/>
          <w:shd w:val="clear" w:color="auto" w:fill="E6E6E6"/>
        </w:rPr>
        <w:fldChar w:fldCharType="separate"/>
      </w:r>
      <w:r w:rsidR="00DE04FA">
        <w:t xml:space="preserve">Table </w:t>
      </w:r>
      <w:r w:rsidR="00DE04FA">
        <w:rPr>
          <w:noProof/>
        </w:rPr>
        <w:t>4</w:t>
      </w:r>
      <w:r w:rsidRPr="002413E2">
        <w:rPr>
          <w:color w:val="2B579A"/>
          <w:shd w:val="clear" w:color="auto" w:fill="E6E6E6"/>
        </w:rPr>
        <w:fldChar w:fldCharType="end"/>
      </w:r>
      <w:r w:rsidRPr="002413E2">
        <w:t xml:space="preserve"> shows</w:t>
      </w:r>
      <w:r>
        <w:t xml:space="preserve"> that except for Central Desert, at least 82% of targeted participants in </w:t>
      </w:r>
      <w:r w:rsidR="00F43B41">
        <w:t>t</w:t>
      </w:r>
      <w:r>
        <w:t xml:space="preserve">rial LGAs received the CFP-targeted funded support. In Katherine and Tiwi Islands, all targeted participants accessed </w:t>
      </w:r>
      <w:r w:rsidRPr="001D16CF">
        <w:t>ATHM a</w:t>
      </w:r>
      <w:r>
        <w:t>ssessments and speech pathology assessments respectively. The Central Desert CFP only commenced in June 2022, so the NDIS payments data may not yet reflect the extent of services delivered under the CFP. However, these findings suggest that CFPs have been successful at facilitating participant access to at least NDIS-funded assessments.</w:t>
      </w:r>
    </w:p>
    <w:p w14:paraId="01F75E99" w14:textId="47A596DE" w:rsidR="002366D2" w:rsidRDefault="002366D2" w:rsidP="008D73CD">
      <w:pPr>
        <w:pStyle w:val="BodyText1"/>
      </w:pPr>
      <w:r>
        <w:br w:type="page"/>
      </w:r>
    </w:p>
    <w:p w14:paraId="4E5DF73B" w14:textId="04F92D63" w:rsidR="008D73CD" w:rsidRDefault="008D73CD" w:rsidP="008D73CD">
      <w:pPr>
        <w:pStyle w:val="Caption"/>
      </w:pPr>
      <w:bookmarkStart w:id="121" w:name="_Ref116907116"/>
      <w:r>
        <w:lastRenderedPageBreak/>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4</w:t>
      </w:r>
      <w:r>
        <w:rPr>
          <w:color w:val="2B579A"/>
          <w:shd w:val="clear" w:color="auto" w:fill="E6E6E6"/>
        </w:rPr>
        <w:fldChar w:fldCharType="end"/>
      </w:r>
      <w:bookmarkEnd w:id="121"/>
      <w:r>
        <w:t>: Participant use of CFP targeted supports</w:t>
      </w:r>
      <w:r w:rsidR="00D923DC">
        <w:t xml:space="preserve"> at 31July 2022</w:t>
      </w:r>
    </w:p>
    <w:p w14:paraId="00C8502F" w14:textId="77777777" w:rsidR="001C68B5" w:rsidRDefault="001C68B5" w:rsidP="001C68B5">
      <w:pPr>
        <w:pStyle w:val="Source"/>
        <w:spacing w:before="120" w:after="200"/>
        <w:contextualSpacing w:val="0"/>
      </w:pPr>
      <w:r>
        <w:t>Note: The Central Desert CFP commenced service delivery in the week commencing 6 June 2022. At the time of data extraction, the service provider may not yet have invoiced participants for supplied supports.</w:t>
      </w:r>
    </w:p>
    <w:tbl>
      <w:tblPr>
        <w:tblStyle w:val="LightShading-Accent4"/>
        <w:tblW w:w="892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top w:w="28" w:type="dxa"/>
          <w:bottom w:w="28" w:type="dxa"/>
        </w:tblCellMar>
        <w:tblLook w:val="04A0" w:firstRow="1" w:lastRow="0" w:firstColumn="1" w:lastColumn="0" w:noHBand="0" w:noVBand="1"/>
        <w:tblDescription w:val="This table provides the number of participants in each LGA and how many of them used the support the CFP targeted. "/>
      </w:tblPr>
      <w:tblGrid>
        <w:gridCol w:w="3256"/>
        <w:gridCol w:w="2552"/>
        <w:gridCol w:w="3118"/>
      </w:tblGrid>
      <w:tr w:rsidR="00237258" w:rsidRPr="00E10A74" w14:paraId="48807CA1" w14:textId="77777777" w:rsidTr="00631A78">
        <w:trPr>
          <w:cnfStyle w:val="100000000000" w:firstRow="1" w:lastRow="0" w:firstColumn="0" w:lastColumn="0" w:oddVBand="0" w:evenVBand="0" w:oddHBand="0" w:evenHBand="0" w:firstRowFirstColumn="0" w:firstRowLastColumn="0" w:lastRowFirstColumn="0" w:lastRowLastColumn="0"/>
          <w:trHeight w:val="243"/>
          <w:tblHeader/>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05E2721F" w14:textId="77777777" w:rsidR="00237258" w:rsidRPr="00E10A74" w:rsidRDefault="00237258">
            <w:pPr>
              <w:spacing w:before="20" w:afterLines="20" w:after="48" w:line="240" w:lineRule="auto"/>
              <w:rPr>
                <w:rFonts w:eastAsia="Times New Roman" w:cs="Arial"/>
                <w:b w:val="0"/>
                <w:bCs w:val="0"/>
                <w:sz w:val="20"/>
                <w:szCs w:val="20"/>
                <w:lang w:eastAsia="en-AU"/>
              </w:rPr>
            </w:pPr>
            <w:r w:rsidRPr="00E10A74">
              <w:rPr>
                <w:rFonts w:eastAsia="Times New Roman" w:cs="Arial"/>
                <w:sz w:val="20"/>
                <w:szCs w:val="20"/>
                <w:lang w:eastAsia="en-AU"/>
              </w:rPr>
              <w:t>LGA</w:t>
            </w:r>
          </w:p>
        </w:tc>
        <w:tc>
          <w:tcPr>
            <w:tcW w:w="2552" w:type="dxa"/>
            <w:noWrap/>
            <w:vAlign w:val="center"/>
            <w:hideMark/>
          </w:tcPr>
          <w:p w14:paraId="5B40C103" w14:textId="77777777" w:rsidR="00237258" w:rsidRPr="00E10A74" w:rsidRDefault="00237258">
            <w:pPr>
              <w:spacing w:before="20" w:afterLines="20" w:after="48"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Pr>
                <w:rFonts w:eastAsia="Times New Roman" w:cs="Arial"/>
                <w:sz w:val="20"/>
                <w:szCs w:val="20"/>
                <w:lang w:eastAsia="en-AU"/>
              </w:rPr>
              <w:t>T</w:t>
            </w:r>
            <w:r w:rsidRPr="00E10A74">
              <w:rPr>
                <w:rFonts w:eastAsia="Times New Roman" w:cs="Arial"/>
                <w:sz w:val="20"/>
                <w:szCs w:val="20"/>
                <w:lang w:eastAsia="en-AU"/>
              </w:rPr>
              <w:t>rial participants</w:t>
            </w:r>
          </w:p>
        </w:tc>
        <w:tc>
          <w:tcPr>
            <w:tcW w:w="3118" w:type="dxa"/>
            <w:noWrap/>
            <w:vAlign w:val="center"/>
            <w:hideMark/>
          </w:tcPr>
          <w:p w14:paraId="5E39814E" w14:textId="77777777" w:rsidR="00237258" w:rsidRPr="00E10A74" w:rsidRDefault="00237258">
            <w:pPr>
              <w:spacing w:before="20" w:afterLines="20" w:after="48"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Pr>
                <w:rFonts w:eastAsia="Times New Roman" w:cs="Arial"/>
                <w:sz w:val="20"/>
                <w:szCs w:val="20"/>
                <w:lang w:eastAsia="en-AU"/>
              </w:rPr>
              <w:t>P</w:t>
            </w:r>
            <w:r w:rsidRPr="00E10A74">
              <w:rPr>
                <w:rFonts w:eastAsia="Times New Roman" w:cs="Arial"/>
                <w:sz w:val="20"/>
                <w:szCs w:val="20"/>
                <w:lang w:eastAsia="en-AU"/>
              </w:rPr>
              <w:t>articipants who received support</w:t>
            </w:r>
          </w:p>
        </w:tc>
      </w:tr>
      <w:tr w:rsidR="00237258" w:rsidRPr="00E10A74" w14:paraId="5C711003" w14:textId="77777777" w:rsidTr="00631A7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0439FC84" w14:textId="77777777" w:rsidR="00237258" w:rsidRPr="00E10A74" w:rsidRDefault="00237258">
            <w:pPr>
              <w:spacing w:before="20" w:afterLines="20" w:after="48" w:line="240" w:lineRule="auto"/>
              <w:rPr>
                <w:rFonts w:eastAsia="Times New Roman" w:cs="Arial"/>
                <w:b w:val="0"/>
                <w:bCs w:val="0"/>
                <w:color w:val="000000"/>
                <w:sz w:val="20"/>
                <w:szCs w:val="20"/>
                <w:lang w:eastAsia="en-AU"/>
              </w:rPr>
            </w:pPr>
            <w:r w:rsidRPr="00E10A74">
              <w:rPr>
                <w:rFonts w:eastAsia="Times New Roman" w:cs="Arial"/>
                <w:b w:val="0"/>
                <w:bCs w:val="0"/>
                <w:color w:val="000000"/>
                <w:sz w:val="20"/>
                <w:szCs w:val="20"/>
                <w:lang w:eastAsia="en-AU"/>
              </w:rPr>
              <w:t>APY Lands</w:t>
            </w:r>
            <w:r>
              <w:rPr>
                <w:rFonts w:eastAsia="Times New Roman" w:cs="Arial"/>
                <w:b w:val="0"/>
                <w:bCs w:val="0"/>
                <w:color w:val="000000"/>
                <w:sz w:val="20"/>
                <w:szCs w:val="20"/>
                <w:lang w:eastAsia="en-AU"/>
              </w:rPr>
              <w:t xml:space="preserve"> (SA)</w:t>
            </w:r>
          </w:p>
        </w:tc>
        <w:tc>
          <w:tcPr>
            <w:tcW w:w="2552" w:type="dxa"/>
            <w:noWrap/>
            <w:vAlign w:val="center"/>
            <w:hideMark/>
          </w:tcPr>
          <w:p w14:paraId="3F990721" w14:textId="77777777" w:rsidR="00237258" w:rsidRPr="00E10A74"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14</w:t>
            </w:r>
          </w:p>
        </w:tc>
        <w:tc>
          <w:tcPr>
            <w:tcW w:w="3118" w:type="dxa"/>
            <w:noWrap/>
            <w:vAlign w:val="center"/>
            <w:hideMark/>
          </w:tcPr>
          <w:p w14:paraId="6CB35926" w14:textId="77777777" w:rsidR="00237258" w:rsidRPr="00E10A74"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13</w:t>
            </w:r>
            <w:r>
              <w:rPr>
                <w:rFonts w:eastAsia="Times New Roman" w:cs="Arial"/>
                <w:color w:val="000000"/>
                <w:sz w:val="20"/>
                <w:szCs w:val="20"/>
                <w:lang w:eastAsia="en-AU"/>
              </w:rPr>
              <w:t xml:space="preserve"> (93%)</w:t>
            </w:r>
          </w:p>
        </w:tc>
      </w:tr>
      <w:tr w:rsidR="00237258" w:rsidRPr="00E10A74" w14:paraId="48045636" w14:textId="77777777" w:rsidTr="00631A78">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788023E5" w14:textId="77777777" w:rsidR="00237258" w:rsidRPr="00E10A74" w:rsidRDefault="00237258">
            <w:pPr>
              <w:spacing w:before="20" w:afterLines="20" w:after="48" w:line="240" w:lineRule="auto"/>
              <w:rPr>
                <w:rFonts w:eastAsia="Times New Roman" w:cs="Arial"/>
                <w:b w:val="0"/>
                <w:bCs w:val="0"/>
                <w:color w:val="000000"/>
                <w:sz w:val="20"/>
                <w:szCs w:val="20"/>
                <w:lang w:eastAsia="en-AU"/>
              </w:rPr>
            </w:pPr>
            <w:r w:rsidRPr="00E10A74">
              <w:rPr>
                <w:rFonts w:eastAsia="Times New Roman" w:cs="Arial"/>
                <w:b w:val="0"/>
                <w:bCs w:val="0"/>
                <w:color w:val="000000"/>
                <w:sz w:val="20"/>
                <w:szCs w:val="20"/>
                <w:lang w:eastAsia="en-AU"/>
              </w:rPr>
              <w:t>Broome</w:t>
            </w:r>
            <w:r>
              <w:rPr>
                <w:rFonts w:eastAsia="Times New Roman" w:cs="Arial"/>
                <w:b w:val="0"/>
                <w:bCs w:val="0"/>
                <w:color w:val="000000"/>
                <w:sz w:val="20"/>
                <w:szCs w:val="20"/>
                <w:lang w:eastAsia="en-AU"/>
              </w:rPr>
              <w:t xml:space="preserve"> (WA)</w:t>
            </w:r>
          </w:p>
        </w:tc>
        <w:tc>
          <w:tcPr>
            <w:tcW w:w="2552" w:type="dxa"/>
            <w:noWrap/>
            <w:vAlign w:val="center"/>
            <w:hideMark/>
          </w:tcPr>
          <w:p w14:paraId="66EDFC1A" w14:textId="77777777" w:rsidR="00237258" w:rsidRPr="00E10A74" w:rsidRDefault="00237258">
            <w:pPr>
              <w:spacing w:before="20" w:afterLines="20" w:after="48"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24</w:t>
            </w:r>
          </w:p>
        </w:tc>
        <w:tc>
          <w:tcPr>
            <w:tcW w:w="3118" w:type="dxa"/>
            <w:noWrap/>
            <w:vAlign w:val="center"/>
            <w:hideMark/>
          </w:tcPr>
          <w:p w14:paraId="52ED71A6" w14:textId="77777777" w:rsidR="00237258" w:rsidRPr="00E10A74" w:rsidRDefault="00237258">
            <w:pPr>
              <w:spacing w:before="20" w:afterLines="20" w:after="48"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20</w:t>
            </w:r>
            <w:r>
              <w:rPr>
                <w:rFonts w:eastAsia="Times New Roman" w:cs="Arial"/>
                <w:color w:val="000000"/>
                <w:sz w:val="20"/>
                <w:szCs w:val="20"/>
                <w:lang w:eastAsia="en-AU"/>
              </w:rPr>
              <w:t xml:space="preserve"> (83%)</w:t>
            </w:r>
          </w:p>
        </w:tc>
      </w:tr>
      <w:tr w:rsidR="00237258" w:rsidRPr="00E10A74" w14:paraId="5D207143" w14:textId="77777777" w:rsidTr="00631A7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696C23EA" w14:textId="77777777" w:rsidR="00237258" w:rsidRPr="00E10A74" w:rsidRDefault="00237258">
            <w:pPr>
              <w:spacing w:before="20" w:afterLines="20" w:after="48" w:line="240" w:lineRule="auto"/>
              <w:rPr>
                <w:rFonts w:eastAsia="Times New Roman" w:cs="Arial"/>
                <w:b w:val="0"/>
                <w:bCs w:val="0"/>
                <w:color w:val="000000"/>
                <w:sz w:val="20"/>
                <w:szCs w:val="20"/>
                <w:lang w:eastAsia="en-AU"/>
              </w:rPr>
            </w:pPr>
            <w:r w:rsidRPr="00E10A74">
              <w:rPr>
                <w:rFonts w:eastAsia="Times New Roman" w:cs="Arial"/>
                <w:b w:val="0"/>
                <w:bCs w:val="0"/>
                <w:color w:val="000000"/>
                <w:sz w:val="20"/>
                <w:szCs w:val="20"/>
                <w:lang w:eastAsia="en-AU"/>
              </w:rPr>
              <w:t>Mornington</w:t>
            </w:r>
            <w:r>
              <w:rPr>
                <w:rFonts w:eastAsia="Times New Roman" w:cs="Arial"/>
                <w:b w:val="0"/>
                <w:bCs w:val="0"/>
                <w:color w:val="000000"/>
                <w:sz w:val="20"/>
                <w:szCs w:val="20"/>
                <w:lang w:eastAsia="en-AU"/>
              </w:rPr>
              <w:t xml:space="preserve"> (QLD)</w:t>
            </w:r>
          </w:p>
        </w:tc>
        <w:tc>
          <w:tcPr>
            <w:tcW w:w="2552" w:type="dxa"/>
            <w:noWrap/>
            <w:vAlign w:val="center"/>
            <w:hideMark/>
          </w:tcPr>
          <w:p w14:paraId="74AAC117" w14:textId="77777777" w:rsidR="00237258" w:rsidRPr="00E10A74"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17</w:t>
            </w:r>
          </w:p>
        </w:tc>
        <w:tc>
          <w:tcPr>
            <w:tcW w:w="3118" w:type="dxa"/>
            <w:noWrap/>
            <w:vAlign w:val="center"/>
            <w:hideMark/>
          </w:tcPr>
          <w:p w14:paraId="55BE7D93" w14:textId="77777777" w:rsidR="00237258" w:rsidRPr="00E10A74"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14</w:t>
            </w:r>
            <w:r>
              <w:rPr>
                <w:rFonts w:eastAsia="Times New Roman" w:cs="Arial"/>
                <w:color w:val="000000"/>
                <w:sz w:val="20"/>
                <w:szCs w:val="20"/>
                <w:lang w:eastAsia="en-AU"/>
              </w:rPr>
              <w:t xml:space="preserve"> (82%)</w:t>
            </w:r>
          </w:p>
        </w:tc>
      </w:tr>
      <w:tr w:rsidR="00237258" w:rsidRPr="00E10A74" w14:paraId="7BC1B7BE" w14:textId="77777777" w:rsidTr="00631A78">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noWrap/>
            <w:vAlign w:val="center"/>
            <w:hideMark/>
          </w:tcPr>
          <w:p w14:paraId="40A5FA9F" w14:textId="77777777" w:rsidR="00237258" w:rsidRPr="00E10A74" w:rsidRDefault="00237258">
            <w:pPr>
              <w:spacing w:before="20" w:afterLines="20" w:after="48" w:line="240" w:lineRule="auto"/>
              <w:rPr>
                <w:rFonts w:eastAsia="Times New Roman" w:cs="Arial"/>
                <w:b w:val="0"/>
                <w:bCs w:val="0"/>
                <w:color w:val="000000"/>
                <w:sz w:val="20"/>
                <w:szCs w:val="20"/>
                <w:lang w:eastAsia="en-AU"/>
              </w:rPr>
            </w:pPr>
            <w:r w:rsidRPr="00E10A74">
              <w:rPr>
                <w:rFonts w:eastAsia="Times New Roman" w:cs="Arial"/>
                <w:b w:val="0"/>
                <w:bCs w:val="0"/>
                <w:color w:val="000000"/>
                <w:sz w:val="20"/>
                <w:szCs w:val="20"/>
                <w:lang w:eastAsia="en-AU"/>
              </w:rPr>
              <w:t>Katherine</w:t>
            </w:r>
            <w:r>
              <w:rPr>
                <w:rFonts w:eastAsia="Times New Roman" w:cs="Arial"/>
                <w:b w:val="0"/>
                <w:bCs w:val="0"/>
                <w:color w:val="000000"/>
                <w:sz w:val="20"/>
                <w:szCs w:val="20"/>
                <w:lang w:eastAsia="en-AU"/>
              </w:rPr>
              <w:t xml:space="preserve"> (NT)</w:t>
            </w:r>
          </w:p>
        </w:tc>
        <w:tc>
          <w:tcPr>
            <w:tcW w:w="2552" w:type="dxa"/>
            <w:shd w:val="clear" w:color="auto" w:fill="auto"/>
            <w:noWrap/>
            <w:vAlign w:val="center"/>
            <w:hideMark/>
          </w:tcPr>
          <w:p w14:paraId="3A8C7317" w14:textId="77777777" w:rsidR="00237258" w:rsidRPr="00E10A74" w:rsidRDefault="00237258">
            <w:pPr>
              <w:spacing w:before="20" w:afterLines="20" w:after="48"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16</w:t>
            </w:r>
          </w:p>
        </w:tc>
        <w:tc>
          <w:tcPr>
            <w:tcW w:w="3118" w:type="dxa"/>
            <w:shd w:val="clear" w:color="auto" w:fill="auto"/>
            <w:noWrap/>
            <w:vAlign w:val="center"/>
            <w:hideMark/>
          </w:tcPr>
          <w:p w14:paraId="3927FE37" w14:textId="77777777" w:rsidR="00237258" w:rsidRPr="00E10A74" w:rsidRDefault="00237258">
            <w:pPr>
              <w:spacing w:before="20" w:afterLines="20" w:after="48"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16</w:t>
            </w:r>
            <w:r>
              <w:rPr>
                <w:rFonts w:eastAsia="Times New Roman" w:cs="Arial"/>
                <w:color w:val="000000"/>
                <w:sz w:val="20"/>
                <w:szCs w:val="20"/>
                <w:lang w:eastAsia="en-AU"/>
              </w:rPr>
              <w:t xml:space="preserve"> (100%)</w:t>
            </w:r>
          </w:p>
        </w:tc>
      </w:tr>
      <w:tr w:rsidR="00237258" w:rsidRPr="00E10A74" w14:paraId="6A010C09" w14:textId="77777777" w:rsidTr="00631A7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noWrap/>
            <w:vAlign w:val="center"/>
            <w:hideMark/>
          </w:tcPr>
          <w:p w14:paraId="51B2F2CD" w14:textId="77777777" w:rsidR="00237258" w:rsidRPr="00E10A74" w:rsidRDefault="00237258">
            <w:pPr>
              <w:spacing w:before="20" w:afterLines="20" w:after="48" w:line="240" w:lineRule="auto"/>
              <w:rPr>
                <w:rFonts w:eastAsia="Times New Roman" w:cs="Arial"/>
                <w:b w:val="0"/>
                <w:bCs w:val="0"/>
                <w:color w:val="000000"/>
                <w:sz w:val="20"/>
                <w:szCs w:val="20"/>
                <w:lang w:eastAsia="en-AU"/>
              </w:rPr>
            </w:pPr>
            <w:r w:rsidRPr="00E10A74">
              <w:rPr>
                <w:rFonts w:eastAsia="Times New Roman" w:cs="Arial"/>
                <w:b w:val="0"/>
                <w:bCs w:val="0"/>
                <w:color w:val="000000"/>
                <w:sz w:val="20"/>
                <w:szCs w:val="20"/>
                <w:lang w:eastAsia="en-AU"/>
              </w:rPr>
              <w:t>Tiwi Islands</w:t>
            </w:r>
            <w:r>
              <w:rPr>
                <w:rFonts w:eastAsia="Times New Roman" w:cs="Arial"/>
                <w:b w:val="0"/>
                <w:bCs w:val="0"/>
                <w:color w:val="000000"/>
                <w:sz w:val="20"/>
                <w:szCs w:val="20"/>
                <w:lang w:eastAsia="en-AU"/>
              </w:rPr>
              <w:t xml:space="preserve"> (NT)</w:t>
            </w:r>
          </w:p>
        </w:tc>
        <w:tc>
          <w:tcPr>
            <w:tcW w:w="2552" w:type="dxa"/>
            <w:noWrap/>
            <w:vAlign w:val="center"/>
            <w:hideMark/>
          </w:tcPr>
          <w:p w14:paraId="59198933" w14:textId="77777777" w:rsidR="00237258" w:rsidRPr="00E10A74"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14</w:t>
            </w:r>
          </w:p>
        </w:tc>
        <w:tc>
          <w:tcPr>
            <w:tcW w:w="3118" w:type="dxa"/>
            <w:noWrap/>
            <w:vAlign w:val="center"/>
            <w:hideMark/>
          </w:tcPr>
          <w:p w14:paraId="43B1447E" w14:textId="77777777" w:rsidR="00237258" w:rsidRPr="00E10A74"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14</w:t>
            </w:r>
            <w:r>
              <w:rPr>
                <w:rFonts w:eastAsia="Times New Roman" w:cs="Arial"/>
                <w:color w:val="000000"/>
                <w:sz w:val="20"/>
                <w:szCs w:val="20"/>
                <w:lang w:eastAsia="en-AU"/>
              </w:rPr>
              <w:t xml:space="preserve"> (100%)</w:t>
            </w:r>
          </w:p>
        </w:tc>
      </w:tr>
      <w:tr w:rsidR="00237258" w:rsidRPr="00E10A74" w14:paraId="32B40637" w14:textId="77777777" w:rsidTr="00631A78">
        <w:trPr>
          <w:cnfStyle w:val="000000010000" w:firstRow="0" w:lastRow="0" w:firstColumn="0" w:lastColumn="0" w:oddVBand="0" w:evenVBand="0" w:oddHBand="0" w:evenHBand="1"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shd w:val="clear" w:color="auto" w:fill="auto"/>
            <w:noWrap/>
            <w:vAlign w:val="center"/>
            <w:hideMark/>
          </w:tcPr>
          <w:p w14:paraId="4537AF7B" w14:textId="77777777" w:rsidR="00237258" w:rsidRPr="00E10A74" w:rsidRDefault="00237258">
            <w:pPr>
              <w:spacing w:before="20" w:afterLines="20" w:after="48" w:line="240" w:lineRule="auto"/>
              <w:rPr>
                <w:rFonts w:eastAsia="Times New Roman" w:cs="Arial"/>
                <w:b w:val="0"/>
                <w:bCs w:val="0"/>
                <w:color w:val="000000"/>
                <w:sz w:val="20"/>
                <w:szCs w:val="20"/>
                <w:lang w:eastAsia="en-AU"/>
              </w:rPr>
            </w:pPr>
            <w:r w:rsidRPr="00E10A74">
              <w:rPr>
                <w:rFonts w:eastAsia="Times New Roman" w:cs="Arial"/>
                <w:b w:val="0"/>
                <w:bCs w:val="0"/>
                <w:color w:val="000000"/>
                <w:sz w:val="20"/>
                <w:szCs w:val="20"/>
                <w:lang w:eastAsia="en-AU"/>
              </w:rPr>
              <w:t>West Arnhem</w:t>
            </w:r>
            <w:r>
              <w:rPr>
                <w:rFonts w:eastAsia="Times New Roman" w:cs="Arial"/>
                <w:b w:val="0"/>
                <w:bCs w:val="0"/>
                <w:color w:val="000000"/>
                <w:sz w:val="20"/>
                <w:szCs w:val="20"/>
                <w:lang w:eastAsia="en-AU"/>
              </w:rPr>
              <w:t xml:space="preserve"> (NT)</w:t>
            </w:r>
          </w:p>
        </w:tc>
        <w:tc>
          <w:tcPr>
            <w:tcW w:w="2552" w:type="dxa"/>
            <w:shd w:val="clear" w:color="auto" w:fill="auto"/>
            <w:noWrap/>
            <w:vAlign w:val="center"/>
            <w:hideMark/>
          </w:tcPr>
          <w:p w14:paraId="0453D5FB" w14:textId="77777777" w:rsidR="00237258" w:rsidRPr="00E10A74" w:rsidRDefault="00237258">
            <w:pPr>
              <w:spacing w:before="20" w:afterLines="20" w:after="48"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22</w:t>
            </w:r>
          </w:p>
        </w:tc>
        <w:tc>
          <w:tcPr>
            <w:tcW w:w="3118" w:type="dxa"/>
            <w:shd w:val="clear" w:color="auto" w:fill="auto"/>
            <w:noWrap/>
            <w:vAlign w:val="center"/>
            <w:hideMark/>
          </w:tcPr>
          <w:p w14:paraId="1F44BEED" w14:textId="77777777" w:rsidR="00237258" w:rsidRPr="00E10A74" w:rsidRDefault="00237258">
            <w:pPr>
              <w:spacing w:before="20" w:afterLines="20" w:after="48"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10A74">
              <w:rPr>
                <w:rFonts w:eastAsia="Times New Roman" w:cs="Arial"/>
                <w:color w:val="000000"/>
                <w:sz w:val="20"/>
                <w:szCs w:val="20"/>
                <w:lang w:eastAsia="en-AU"/>
              </w:rPr>
              <w:t>19</w:t>
            </w:r>
            <w:r>
              <w:rPr>
                <w:rFonts w:eastAsia="Times New Roman" w:cs="Arial"/>
                <w:color w:val="000000"/>
                <w:sz w:val="20"/>
                <w:szCs w:val="20"/>
                <w:lang w:eastAsia="en-AU"/>
              </w:rPr>
              <w:t xml:space="preserve"> (86%)</w:t>
            </w:r>
          </w:p>
        </w:tc>
      </w:tr>
      <w:tr w:rsidR="00237258" w:rsidRPr="00F61C92" w14:paraId="68BC76CE" w14:textId="77777777" w:rsidTr="00631A7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256" w:type="dxa"/>
            <w:noWrap/>
            <w:hideMark/>
          </w:tcPr>
          <w:p w14:paraId="3F5F2FCA" w14:textId="6AE77DFE" w:rsidR="00237258" w:rsidRPr="00F61C92" w:rsidRDefault="00237258" w:rsidP="00885DD3">
            <w:pPr>
              <w:spacing w:before="20" w:afterLines="20" w:after="48" w:line="240" w:lineRule="auto"/>
              <w:rPr>
                <w:rFonts w:eastAsia="Times New Roman" w:cs="Arial"/>
                <w:b w:val="0"/>
                <w:bCs w:val="0"/>
                <w:i/>
                <w:iCs/>
                <w:color w:val="000000"/>
                <w:sz w:val="20"/>
                <w:szCs w:val="20"/>
                <w:lang w:eastAsia="en-AU"/>
              </w:rPr>
            </w:pPr>
            <w:r w:rsidRPr="00F61C92">
              <w:rPr>
                <w:rFonts w:eastAsia="Times New Roman" w:cs="Arial"/>
                <w:b w:val="0"/>
                <w:bCs w:val="0"/>
                <w:i/>
                <w:iCs/>
                <w:color w:val="000000"/>
                <w:sz w:val="20"/>
                <w:szCs w:val="20"/>
                <w:lang w:eastAsia="en-AU"/>
              </w:rPr>
              <w:t xml:space="preserve">Central </w:t>
            </w:r>
            <w:r w:rsidR="009861EE" w:rsidRPr="00F61C92">
              <w:rPr>
                <w:rFonts w:eastAsia="Times New Roman" w:cs="Arial"/>
                <w:b w:val="0"/>
                <w:bCs w:val="0"/>
                <w:i/>
                <w:iCs/>
                <w:color w:val="000000"/>
                <w:sz w:val="20"/>
                <w:szCs w:val="20"/>
                <w:lang w:eastAsia="en-AU"/>
              </w:rPr>
              <w:t>Desert</w:t>
            </w:r>
            <w:r w:rsidR="009861EE" w:rsidRPr="00F61C92">
              <w:rPr>
                <w:rFonts w:eastAsia="Times New Roman" w:cs="Arial"/>
                <w:b w:val="0"/>
                <w:bCs w:val="0"/>
                <w:i/>
                <w:iCs/>
                <w:color w:val="000000"/>
                <w:sz w:val="20"/>
                <w:szCs w:val="20"/>
                <w:vertAlign w:val="superscript"/>
                <w:lang w:eastAsia="en-AU"/>
              </w:rPr>
              <w:t xml:space="preserve"> </w:t>
            </w:r>
            <w:r w:rsidRPr="00F61C92">
              <w:rPr>
                <w:rFonts w:eastAsia="Times New Roman" w:cs="Arial"/>
                <w:b w:val="0"/>
                <w:bCs w:val="0"/>
                <w:i/>
                <w:iCs/>
                <w:color w:val="000000"/>
                <w:sz w:val="20"/>
                <w:szCs w:val="20"/>
                <w:lang w:eastAsia="en-AU"/>
              </w:rPr>
              <w:t>(NT)</w:t>
            </w:r>
          </w:p>
        </w:tc>
        <w:tc>
          <w:tcPr>
            <w:tcW w:w="2552" w:type="dxa"/>
            <w:noWrap/>
            <w:vAlign w:val="center"/>
            <w:hideMark/>
          </w:tcPr>
          <w:p w14:paraId="41B940FC" w14:textId="77777777" w:rsidR="00237258" w:rsidRPr="00F61C92"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AU"/>
              </w:rPr>
            </w:pPr>
            <w:r w:rsidRPr="00F61C92">
              <w:rPr>
                <w:rFonts w:eastAsia="Times New Roman" w:cs="Arial"/>
                <w:i/>
                <w:iCs/>
                <w:color w:val="000000"/>
                <w:sz w:val="20"/>
                <w:szCs w:val="20"/>
                <w:lang w:eastAsia="en-AU"/>
              </w:rPr>
              <w:t>7</w:t>
            </w:r>
          </w:p>
        </w:tc>
        <w:tc>
          <w:tcPr>
            <w:tcW w:w="3118" w:type="dxa"/>
            <w:noWrap/>
            <w:vAlign w:val="center"/>
            <w:hideMark/>
          </w:tcPr>
          <w:p w14:paraId="7AFECCE6" w14:textId="77777777" w:rsidR="00237258" w:rsidRPr="00F61C92" w:rsidRDefault="00237258">
            <w:pPr>
              <w:spacing w:before="20" w:afterLines="20" w:after="48"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sz w:val="20"/>
                <w:szCs w:val="20"/>
                <w:lang w:eastAsia="en-AU"/>
              </w:rPr>
            </w:pPr>
            <w:r w:rsidRPr="00F61C92">
              <w:rPr>
                <w:rFonts w:eastAsia="Times New Roman" w:cs="Arial"/>
                <w:i/>
                <w:iCs/>
                <w:color w:val="000000"/>
                <w:sz w:val="20"/>
                <w:szCs w:val="20"/>
                <w:lang w:eastAsia="en-AU"/>
              </w:rPr>
              <w:t>2 (29%)</w:t>
            </w:r>
          </w:p>
        </w:tc>
      </w:tr>
    </w:tbl>
    <w:p w14:paraId="2126B9AB" w14:textId="39BA9CE6" w:rsidR="008D73CD" w:rsidRDefault="008D73CD" w:rsidP="00631A78">
      <w:pPr>
        <w:pStyle w:val="Source"/>
        <w:spacing w:before="120"/>
      </w:pPr>
      <w:r w:rsidRPr="00D923DC">
        <w:t>Source:</w:t>
      </w:r>
      <w:r>
        <w:t xml:space="preserve"> </w:t>
      </w:r>
      <w:r w:rsidR="00D923DC" w:rsidRPr="00680FC5">
        <w:t>Research and Evaluation Branch analysis of NDIS payments data</w:t>
      </w:r>
    </w:p>
    <w:p w14:paraId="32FDCE42" w14:textId="77777777" w:rsidR="008D73CD" w:rsidRDefault="008D73CD" w:rsidP="00A01FA6">
      <w:pPr>
        <w:pStyle w:val="Heading4"/>
      </w:pPr>
      <w:r>
        <w:t>Participant use of follow-on supports</w:t>
      </w:r>
    </w:p>
    <w:p w14:paraId="4DDE8C9F" w14:textId="2F236E47" w:rsidR="008D73CD" w:rsidRDefault="008D73CD" w:rsidP="008D73CD">
      <w:r>
        <w:t xml:space="preserve">Most of the CFPs focused on an assessment to provide participants further access to supports (e.g., ATHM, orthotics, prosthetics, therapy). The above findings indicate that the CFPs have been successful at supporting </w:t>
      </w:r>
      <w:r w:rsidR="00124214">
        <w:t>t</w:t>
      </w:r>
      <w:r>
        <w:t xml:space="preserve">rial participants to access those assessments. </w:t>
      </w:r>
    </w:p>
    <w:p w14:paraId="6DC59703" w14:textId="7D4A792C" w:rsidR="008D73CD" w:rsidRDefault="008D73CD" w:rsidP="008D73CD">
      <w:r>
        <w:t xml:space="preserve">To understand if participants accessed follow on supports, the evaluation analysed their use of relevant funded supports before and after the CFP. </w:t>
      </w:r>
      <w:r w:rsidRPr="009F4F41">
        <w:t>As many CFPs come under a therapy support item</w:t>
      </w:r>
      <w:r w:rsidRPr="009F4F41">
        <w:rPr>
          <w:rStyle w:val="FootnoteReference"/>
        </w:rPr>
        <w:footnoteReference w:id="12"/>
      </w:r>
      <w:r w:rsidRPr="009F4F41">
        <w:t xml:space="preserve">, it was not possible to differentiate between expenditure on supports related to the CFP and other </w:t>
      </w:r>
      <w:r w:rsidRPr="009F3439">
        <w:t xml:space="preserve">therapy </w:t>
      </w:r>
      <w:r w:rsidRPr="009F4F41">
        <w:t>supports participants may use.</w:t>
      </w:r>
      <w:r>
        <w:t xml:space="preserve"> This makes it difficult to determine the flow-on impact of most of the CFPs trialled to date.</w:t>
      </w:r>
    </w:p>
    <w:p w14:paraId="23A6534B" w14:textId="58C215FC" w:rsidR="008D73CD" w:rsidRDefault="008D73CD" w:rsidP="008D73CD">
      <w:r w:rsidRPr="007C58ED">
        <w:rPr>
          <w:color w:val="2B579A"/>
          <w:shd w:val="clear" w:color="auto" w:fill="E6E6E6"/>
        </w:rPr>
        <w:fldChar w:fldCharType="begin"/>
      </w:r>
      <w:r w:rsidRPr="007C58ED">
        <w:instrText xml:space="preserve"> REF _Ref117261790 \h  \* MERGEFORMAT </w:instrText>
      </w:r>
      <w:r w:rsidRPr="007C58ED">
        <w:rPr>
          <w:color w:val="2B579A"/>
          <w:shd w:val="clear" w:color="auto" w:fill="E6E6E6"/>
        </w:rPr>
      </w:r>
      <w:r w:rsidRPr="007C58ED">
        <w:rPr>
          <w:color w:val="2B579A"/>
          <w:shd w:val="clear" w:color="auto" w:fill="E6E6E6"/>
        </w:rPr>
        <w:fldChar w:fldCharType="separate"/>
      </w:r>
      <w:r w:rsidR="00DE04FA">
        <w:t xml:space="preserve">Figure </w:t>
      </w:r>
      <w:r w:rsidR="00DE04FA">
        <w:rPr>
          <w:noProof/>
        </w:rPr>
        <w:t>16</w:t>
      </w:r>
      <w:r w:rsidRPr="007C58ED">
        <w:rPr>
          <w:color w:val="2B579A"/>
          <w:shd w:val="clear" w:color="auto" w:fill="E6E6E6"/>
        </w:rPr>
        <w:fldChar w:fldCharType="end"/>
      </w:r>
      <w:r w:rsidRPr="007C58ED">
        <w:t xml:space="preserve"> below sh</w:t>
      </w:r>
      <w:r>
        <w:t xml:space="preserve">ows the number of NDIS claims for relevant support items participants targeted by CFPs made </w:t>
      </w:r>
      <w:r w:rsidR="0008341D">
        <w:t xml:space="preserve">12-months before and after the start of </w:t>
      </w:r>
      <w:r>
        <w:t xml:space="preserve">the CFP. For Broome and Katherine, analyses looked at relevant Capacity building supports and Capital supports as these trials focused on assessments for orthotics and prosthetics and ATHM respectively. </w:t>
      </w:r>
      <w:r w:rsidR="00245824">
        <w:t xml:space="preserve">For Katherine, </w:t>
      </w:r>
      <w:r w:rsidR="00943B0A">
        <w:t xml:space="preserve">analyses also included </w:t>
      </w:r>
      <w:r w:rsidR="00245824">
        <w:t xml:space="preserve">Core </w:t>
      </w:r>
      <w:r w:rsidR="005464A7">
        <w:t>–</w:t>
      </w:r>
      <w:r w:rsidR="00245824">
        <w:t xml:space="preserve"> Consu</w:t>
      </w:r>
      <w:r w:rsidR="005464A7">
        <w:t xml:space="preserve">mables </w:t>
      </w:r>
      <w:r w:rsidR="00943B0A">
        <w:t>to account</w:t>
      </w:r>
      <w:r w:rsidR="005464A7">
        <w:t xml:space="preserve"> </w:t>
      </w:r>
      <w:r w:rsidR="00C64C53">
        <w:t>for low-cost AT</w:t>
      </w:r>
      <w:r w:rsidR="006C6696">
        <w:t xml:space="preserve"> items</w:t>
      </w:r>
      <w:r w:rsidR="00C64C53">
        <w:t xml:space="preserve">. </w:t>
      </w:r>
      <w:r>
        <w:t>The findings show that the number of claims in the relevant support categories by CFP-targeted participants increased in all Trial LGAs</w:t>
      </w:r>
      <w:r w:rsidR="008655BA">
        <w:t>.</w:t>
      </w:r>
    </w:p>
    <w:p w14:paraId="3ED62FC6" w14:textId="127FF3D2" w:rsidR="008D73CD" w:rsidRDefault="008D73CD" w:rsidP="008D73CD">
      <w:pPr>
        <w:pStyle w:val="Caption"/>
      </w:pPr>
      <w:bookmarkStart w:id="122" w:name="_Ref117261790"/>
      <w:r>
        <w:lastRenderedPageBreak/>
        <w:t xml:space="preserve">Figure </w:t>
      </w:r>
      <w:r>
        <w:fldChar w:fldCharType="begin"/>
      </w:r>
      <w:r>
        <w:instrText>SEQ Figure \* ARABIC</w:instrText>
      </w:r>
      <w:r>
        <w:fldChar w:fldCharType="separate"/>
      </w:r>
      <w:r w:rsidR="00DE04FA">
        <w:rPr>
          <w:noProof/>
        </w:rPr>
        <w:t>16</w:t>
      </w:r>
      <w:r>
        <w:fldChar w:fldCharType="end"/>
      </w:r>
      <w:bookmarkEnd w:id="122"/>
      <w:r>
        <w:t>: Participant claims 12 months pre- and post-CFP</w:t>
      </w:r>
    </w:p>
    <w:p w14:paraId="39F39C5E" w14:textId="16C10DFD" w:rsidR="008D73CD" w:rsidRDefault="00884913" w:rsidP="008D73CD">
      <w:r>
        <w:rPr>
          <w:noProof/>
        </w:rPr>
        <w:drawing>
          <wp:inline distT="0" distB="0" distL="0" distR="0" wp14:anchorId="07426680" wp14:editId="4176DE58">
            <wp:extent cx="5683250" cy="3333750"/>
            <wp:effectExtent l="0" t="0" r="0" b="6350"/>
            <wp:docPr id="31" name="Chart 31" descr="Figure 16 is a horizontal bar chart showing the number of NDIS claims for relevant support items participants targeted by CFPs made 12-months before and after the start of the CFP."/>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16AE25A" w14:textId="6131FAAE" w:rsidR="00546FC2" w:rsidRDefault="00546FC2" w:rsidP="00546FC2">
      <w:pPr>
        <w:pStyle w:val="Source"/>
      </w:pPr>
      <w:r w:rsidRPr="00D923DC">
        <w:t>Source:</w:t>
      </w:r>
      <w:r>
        <w:t xml:space="preserve"> </w:t>
      </w:r>
      <w:r w:rsidRPr="00680FC5">
        <w:t>Research and Evaluation Branch analysis of NDIS payments data</w:t>
      </w:r>
    </w:p>
    <w:p w14:paraId="1E77DC63" w14:textId="4B147636" w:rsidR="00143600" w:rsidRDefault="008D73CD" w:rsidP="008D73CD">
      <w:r w:rsidRPr="00482180">
        <w:rPr>
          <w:color w:val="2B579A"/>
          <w:shd w:val="clear" w:color="auto" w:fill="E6E6E6"/>
        </w:rPr>
        <w:fldChar w:fldCharType="begin"/>
      </w:r>
      <w:r w:rsidRPr="00482180">
        <w:instrText xml:space="preserve"> REF _Ref117263902 \h  \* MERGEFORMAT </w:instrText>
      </w:r>
      <w:r w:rsidRPr="00482180">
        <w:rPr>
          <w:color w:val="2B579A"/>
          <w:shd w:val="clear" w:color="auto" w:fill="E6E6E6"/>
        </w:rPr>
      </w:r>
      <w:r w:rsidRPr="00482180">
        <w:rPr>
          <w:color w:val="2B579A"/>
          <w:shd w:val="clear" w:color="auto" w:fill="E6E6E6"/>
        </w:rPr>
        <w:fldChar w:fldCharType="separate"/>
      </w:r>
      <w:r w:rsidR="00DE04FA">
        <w:t xml:space="preserve">Figure </w:t>
      </w:r>
      <w:r w:rsidR="00DE04FA">
        <w:rPr>
          <w:noProof/>
        </w:rPr>
        <w:t>17</w:t>
      </w:r>
      <w:r w:rsidRPr="00482180">
        <w:rPr>
          <w:color w:val="2B579A"/>
          <w:shd w:val="clear" w:color="auto" w:fill="E6E6E6"/>
        </w:rPr>
        <w:fldChar w:fldCharType="end"/>
      </w:r>
      <w:r w:rsidRPr="00482180">
        <w:t xml:space="preserve"> sh</w:t>
      </w:r>
      <w:r>
        <w:t xml:space="preserve">ows that in all LGAs, total expenditure </w:t>
      </w:r>
      <w:r w:rsidR="007A0AEC">
        <w:t xml:space="preserve">in relevant support </w:t>
      </w:r>
      <w:r w:rsidR="009831F4">
        <w:t>items</w:t>
      </w:r>
      <w:r>
        <w:t xml:space="preserve"> increased </w:t>
      </w:r>
      <w:r w:rsidR="007A0AEC">
        <w:t>by</w:t>
      </w:r>
      <w:r>
        <w:t xml:space="preserve"> </w:t>
      </w:r>
      <w:r w:rsidR="00143600" w:rsidRPr="00143600">
        <w:t>$4,982 per participant (+132%)</w:t>
      </w:r>
      <w:r w:rsidR="007A0AEC">
        <w:t xml:space="preserve"> over the 12-months </w:t>
      </w:r>
      <w:r w:rsidR="009831F4">
        <w:t xml:space="preserve">after CFPs commenced. This included support items </w:t>
      </w:r>
      <w:r w:rsidR="00B13919">
        <w:t xml:space="preserve">covering therapies, ATHM and Core-Consumables. </w:t>
      </w:r>
    </w:p>
    <w:p w14:paraId="7BD2DBE4" w14:textId="475D05AD" w:rsidR="00FB115B" w:rsidRDefault="00B13919" w:rsidP="00B13919">
      <w:r>
        <w:t xml:space="preserve">Interestingly, in Broome </w:t>
      </w:r>
      <w:r w:rsidR="008D73CD">
        <w:t>total expenditure on orthotic and prosthetic AT increased by 171% (+$52,038)</w:t>
      </w:r>
      <w:r>
        <w:t xml:space="preserve"> despite the number of claims for orthotic and prosthetic AT decreasing</w:t>
      </w:r>
      <w:r w:rsidR="008D73CD">
        <w:t xml:space="preserve">. This suggests the targeted participants in Broome received better quality AT that better meets their needs because of the CFP. </w:t>
      </w:r>
    </w:p>
    <w:p w14:paraId="1B66C354" w14:textId="527FBE35" w:rsidR="00AF3F7A" w:rsidRDefault="008D73CD" w:rsidP="008D73CD">
      <w:r>
        <w:t xml:space="preserve">In contrast, expenditure on ATHM in Katherine fell by 68% after the CFP (-$25,286) despite the small increase in the number of claims. This suggests that participants in Katherine may be having difficulty accessing the ATHM their assessments indicated they need. </w:t>
      </w:r>
      <w:r w:rsidR="00A96DA2">
        <w:t xml:space="preserve">Interviews with </w:t>
      </w:r>
      <w:r w:rsidR="00702589">
        <w:t xml:space="preserve">the </w:t>
      </w:r>
      <w:r w:rsidR="00A96DA2">
        <w:t xml:space="preserve">service provider </w:t>
      </w:r>
      <w:r w:rsidR="006A1F30">
        <w:t xml:space="preserve">confirmed </w:t>
      </w:r>
      <w:r>
        <w:t xml:space="preserve">that it </w:t>
      </w:r>
      <w:r w:rsidR="006A1F30">
        <w:t>is</w:t>
      </w:r>
      <w:r>
        <w:t xml:space="preserve"> difficult for participants to get their AT due to logistics of </w:t>
      </w:r>
      <w:r w:rsidR="004F7E6C">
        <w:t xml:space="preserve">equipment </w:t>
      </w:r>
      <w:r>
        <w:t xml:space="preserve">testing and transporting equipment and </w:t>
      </w:r>
      <w:r w:rsidR="00EB713D">
        <w:t xml:space="preserve">a </w:t>
      </w:r>
      <w:r>
        <w:t xml:space="preserve">limited </w:t>
      </w:r>
      <w:r w:rsidR="00EB713D">
        <w:t xml:space="preserve">number of </w:t>
      </w:r>
      <w:r>
        <w:t>providers in the market to do home modifications.</w:t>
      </w:r>
      <w:r w:rsidR="009A64EC">
        <w:t xml:space="preserve"> </w:t>
      </w:r>
      <w:r w:rsidR="00AF3F7A">
        <w:t xml:space="preserve">The Market Development team also confirmed that some participants are trialling </w:t>
      </w:r>
      <w:r w:rsidR="006B069B">
        <w:t>equipment (under a therapy support item), waiting for equipment delivery or have purchased low-cost ATHM using their Core - Consumables budget.</w:t>
      </w:r>
    </w:p>
    <w:p w14:paraId="0BF7292F" w14:textId="0F0D2D8C" w:rsidR="008D73CD" w:rsidRDefault="008D73CD" w:rsidP="008D73CD">
      <w:pPr>
        <w:pStyle w:val="Caption"/>
      </w:pPr>
      <w:bookmarkStart w:id="123" w:name="_Ref117263902"/>
      <w:r>
        <w:lastRenderedPageBreak/>
        <w:t xml:space="preserve">Figure </w:t>
      </w:r>
      <w:r>
        <w:fldChar w:fldCharType="begin"/>
      </w:r>
      <w:r>
        <w:instrText>SEQ Figure \* ARABIC</w:instrText>
      </w:r>
      <w:r>
        <w:fldChar w:fldCharType="separate"/>
      </w:r>
      <w:r w:rsidR="00DE04FA">
        <w:rPr>
          <w:noProof/>
        </w:rPr>
        <w:t>17</w:t>
      </w:r>
      <w:r>
        <w:fldChar w:fldCharType="end"/>
      </w:r>
      <w:bookmarkEnd w:id="123"/>
      <w:r>
        <w:t>: Participant expenditure 12 months before and after CFPs</w:t>
      </w:r>
    </w:p>
    <w:p w14:paraId="23F3AC3E" w14:textId="704F3CCB" w:rsidR="008D73CD" w:rsidRDefault="001369BF" w:rsidP="008D73CD">
      <w:r>
        <w:rPr>
          <w:noProof/>
        </w:rPr>
        <w:drawing>
          <wp:inline distT="0" distB="0" distL="0" distR="0" wp14:anchorId="2ADC1CD3" wp14:editId="4A1F28FE">
            <wp:extent cx="5530850" cy="3225800"/>
            <wp:effectExtent l="0" t="0" r="0" b="0"/>
            <wp:docPr id="32" name="Chart 32" descr="Figure 17 is a bar chart showing the amount of participant expenditure in relevant support items 12-months before and after the start of the CFP."/>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78A8FDE" w14:textId="2D2435D5" w:rsidR="00546FC2" w:rsidRDefault="00546FC2" w:rsidP="00546FC2">
      <w:pPr>
        <w:pStyle w:val="Source"/>
      </w:pPr>
      <w:r w:rsidRPr="00D923DC">
        <w:t>Source:</w:t>
      </w:r>
      <w:r>
        <w:t xml:space="preserve"> </w:t>
      </w:r>
      <w:r w:rsidRPr="00680FC5">
        <w:t>Research and Evaluation Branch analysis of NDIS payments data</w:t>
      </w:r>
      <w:r w:rsidR="00143600">
        <w:t>.</w:t>
      </w:r>
    </w:p>
    <w:p w14:paraId="2EFA0AE6" w14:textId="485A57C7" w:rsidR="008D73CD" w:rsidRDefault="008D73CD" w:rsidP="008D73CD">
      <w:r>
        <w:rPr>
          <w:color w:val="2B579A"/>
          <w:shd w:val="clear" w:color="auto" w:fill="E6E6E6"/>
        </w:rPr>
        <w:fldChar w:fldCharType="begin"/>
      </w:r>
      <w:r>
        <w:instrText xml:space="preserve"> REF _Ref117693105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18</w:t>
      </w:r>
      <w:r>
        <w:rPr>
          <w:color w:val="2B579A"/>
          <w:shd w:val="clear" w:color="auto" w:fill="E6E6E6"/>
        </w:rPr>
        <w:fldChar w:fldCharType="end"/>
      </w:r>
      <w:r>
        <w:t xml:space="preserve"> shows that average expenditure per participant increased in all locations, except for ATHM (Capital) in Katherine. There were large increases in average expenditure in APY Lands (Therapy</w:t>
      </w:r>
      <w:r w:rsidR="00184688">
        <w:t xml:space="preserve"> </w:t>
      </w:r>
      <w:r>
        <w:t>+$</w:t>
      </w:r>
      <w:r w:rsidRPr="009F6F2C">
        <w:t>11,596</w:t>
      </w:r>
      <w:r>
        <w:t>; Core +</w:t>
      </w:r>
      <w:r w:rsidRPr="009F6F2C">
        <w:t>$10,862</w:t>
      </w:r>
      <w:r>
        <w:t>), Katherine (Therapy +</w:t>
      </w:r>
      <w:r w:rsidRPr="00F57C94">
        <w:t>$7,750</w:t>
      </w:r>
      <w:r>
        <w:t>) and Mornington (+</w:t>
      </w:r>
      <w:r w:rsidRPr="00EF7652">
        <w:t>$6,374</w:t>
      </w:r>
      <w:r>
        <w:t xml:space="preserve">). </w:t>
      </w:r>
    </w:p>
    <w:p w14:paraId="4980ECE0" w14:textId="55CE4575" w:rsidR="008D73CD" w:rsidRDefault="008D73CD" w:rsidP="008D73CD">
      <w:pPr>
        <w:pStyle w:val="Caption"/>
      </w:pPr>
      <w:bookmarkStart w:id="124" w:name="_Ref117693105"/>
      <w:r>
        <w:t xml:space="preserve">Figure </w:t>
      </w:r>
      <w:r>
        <w:fldChar w:fldCharType="begin"/>
      </w:r>
      <w:r>
        <w:instrText>SEQ Figure \* ARABIC</w:instrText>
      </w:r>
      <w:r>
        <w:fldChar w:fldCharType="separate"/>
      </w:r>
      <w:r w:rsidR="00DE04FA">
        <w:rPr>
          <w:noProof/>
        </w:rPr>
        <w:t>18</w:t>
      </w:r>
      <w:r>
        <w:fldChar w:fldCharType="end"/>
      </w:r>
      <w:bookmarkEnd w:id="124"/>
      <w:r>
        <w:t>:</w:t>
      </w:r>
      <w:r w:rsidRPr="00046DDB">
        <w:t xml:space="preserve"> </w:t>
      </w:r>
      <w:r>
        <w:t>Average participant expenditure 12 months before and after CFPs</w:t>
      </w:r>
    </w:p>
    <w:p w14:paraId="720C269D" w14:textId="697174E6" w:rsidR="008D73CD" w:rsidRDefault="008235AB" w:rsidP="008D73CD">
      <w:r>
        <w:rPr>
          <w:noProof/>
        </w:rPr>
        <w:drawing>
          <wp:inline distT="0" distB="0" distL="0" distR="0" wp14:anchorId="409E880D" wp14:editId="75F8FCE0">
            <wp:extent cx="5727700" cy="3308350"/>
            <wp:effectExtent l="0" t="0" r="6350" b="0"/>
            <wp:docPr id="33" name="Chart 33" descr="Figure 18 is a horizontal bar graph showing average participant expenditure 12 months before and after CFPs. Average expenditure per participant increased in all locations, except for ATHM (Capital) in Katherine. There were large increases in average expenditure in APY Lands (Therapy +$11,596; Core +$10,862), Katherine (Therapy +$7,750) and Mornington (+$6,374). "/>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7B5824" w14:textId="00A3F615" w:rsidR="00546FC2" w:rsidRDefault="00546FC2" w:rsidP="00546FC2">
      <w:pPr>
        <w:pStyle w:val="Source"/>
      </w:pPr>
      <w:r w:rsidRPr="00D923DC">
        <w:t>Source:</w:t>
      </w:r>
      <w:r>
        <w:t xml:space="preserve"> </w:t>
      </w:r>
      <w:r w:rsidRPr="00680FC5">
        <w:t>Research and Evaluation Branch analysis of NDIS payments data</w:t>
      </w:r>
      <w:r w:rsidR="00143600">
        <w:t>.</w:t>
      </w:r>
    </w:p>
    <w:p w14:paraId="3D28A315" w14:textId="77777777" w:rsidR="008D73CD" w:rsidRDefault="008D73CD" w:rsidP="008D73CD">
      <w:r>
        <w:lastRenderedPageBreak/>
        <w:t>Together the above findings show that CFPs have been successful at increasing participant access to various functional and AT assessments. Importantly the findings also provide some evidence that participants have gone on to access a greater volume of additional follow-on supports.</w:t>
      </w:r>
    </w:p>
    <w:p w14:paraId="249AE75F" w14:textId="59C2D561" w:rsidR="0053309D" w:rsidRDefault="00341351" w:rsidP="00A01FA6">
      <w:pPr>
        <w:pStyle w:val="Heading3"/>
      </w:pPr>
      <w:bookmarkStart w:id="125" w:name="_Toc111206327"/>
      <w:bookmarkStart w:id="126" w:name="_Toc111206441"/>
      <w:bookmarkStart w:id="127" w:name="_Toc136336671"/>
      <w:r>
        <w:t>The extent c</w:t>
      </w:r>
      <w:r w:rsidR="0053309D">
        <w:t>oordinated funding proposals</w:t>
      </w:r>
      <w:r>
        <w:t xml:space="preserve"> have operated as intended</w:t>
      </w:r>
      <w:bookmarkEnd w:id="125"/>
      <w:bookmarkEnd w:id="126"/>
      <w:bookmarkEnd w:id="127"/>
    </w:p>
    <w:p w14:paraId="22E50485" w14:textId="38E7B92A" w:rsidR="00C748E3" w:rsidRDefault="00275A1B" w:rsidP="00C748E3">
      <w:r>
        <w:t xml:space="preserve">CFPs </w:t>
      </w:r>
      <w:r w:rsidR="00206B39">
        <w:t>allow</w:t>
      </w:r>
      <w:r w:rsidR="00D82933">
        <w:t xml:space="preserve"> support coordinators </w:t>
      </w:r>
      <w:r w:rsidR="005966E7">
        <w:t xml:space="preserve">to </w:t>
      </w:r>
      <w:r w:rsidR="002052C1">
        <w:t>“</w:t>
      </w:r>
      <w:r w:rsidR="005966E7">
        <w:t>pool</w:t>
      </w:r>
      <w:r w:rsidR="002052C1">
        <w:t>”</w:t>
      </w:r>
      <w:r w:rsidR="005966E7">
        <w:t xml:space="preserve"> participants to give service providers assurance of demand</w:t>
      </w:r>
      <w:r w:rsidR="007F3539">
        <w:t xml:space="preserve"> and make service delivery more financially viable through </w:t>
      </w:r>
      <w:r w:rsidR="008B0F0D">
        <w:t xml:space="preserve">this pooled demand and </w:t>
      </w:r>
      <w:r w:rsidR="007F3539">
        <w:t>spreading of non-labour costs</w:t>
      </w:r>
      <w:r w:rsidR="00D82933">
        <w:t xml:space="preserve">. Service providers </w:t>
      </w:r>
      <w:r w:rsidR="008A4244">
        <w:t xml:space="preserve">then </w:t>
      </w:r>
      <w:r w:rsidR="00B01C3D">
        <w:t>give</w:t>
      </w:r>
      <w:r w:rsidR="004C5CB7">
        <w:t xml:space="preserve"> </w:t>
      </w:r>
      <w:r w:rsidR="00B01C3D">
        <w:t xml:space="preserve">assurance they will supply this given volume of supports for </w:t>
      </w:r>
      <w:r w:rsidR="00250AA1">
        <w:t>the</w:t>
      </w:r>
      <w:r w:rsidR="00B01C3D">
        <w:t xml:space="preserve"> quoted price. </w:t>
      </w:r>
      <w:r w:rsidR="00C748E3">
        <w:t>The sections below discuss the</w:t>
      </w:r>
      <w:r w:rsidR="00A45973">
        <w:t xml:space="preserve"> extent the</w:t>
      </w:r>
      <w:r w:rsidR="00C748E3">
        <w:t xml:space="preserve"> </w:t>
      </w:r>
      <w:r w:rsidR="00206B39">
        <w:t xml:space="preserve">theoretical </w:t>
      </w:r>
      <w:r w:rsidR="00C748E3">
        <w:t xml:space="preserve">mechanisms </w:t>
      </w:r>
      <w:r w:rsidR="00A5191B">
        <w:t xml:space="preserve">that </w:t>
      </w:r>
      <w:r w:rsidR="00C748E3">
        <w:t xml:space="preserve">underpin CFP </w:t>
      </w:r>
      <w:r w:rsidR="00A45973">
        <w:t>operated as intended</w:t>
      </w:r>
      <w:r w:rsidR="00A5191B">
        <w:t xml:space="preserve"> according to the program theory</w:t>
      </w:r>
      <w:r w:rsidR="00206B39">
        <w:t xml:space="preserve"> (refer to </w:t>
      </w:r>
      <w:r w:rsidR="00EE5508">
        <w:rPr>
          <w:color w:val="2B579A"/>
          <w:shd w:val="clear" w:color="auto" w:fill="E6E6E6"/>
        </w:rPr>
        <w:fldChar w:fldCharType="begin"/>
      </w:r>
      <w:r w:rsidR="00EE5508">
        <w:instrText xml:space="preserve"> REF _Ref115783672 \n \h </w:instrText>
      </w:r>
      <w:r w:rsidR="00EE5508">
        <w:rPr>
          <w:color w:val="2B579A"/>
          <w:shd w:val="clear" w:color="auto" w:fill="E6E6E6"/>
        </w:rPr>
      </w:r>
      <w:r w:rsidR="00EE5508">
        <w:rPr>
          <w:color w:val="2B579A"/>
          <w:shd w:val="clear" w:color="auto" w:fill="E6E6E6"/>
        </w:rPr>
        <w:fldChar w:fldCharType="separate"/>
      </w:r>
      <w:r w:rsidR="00DE04FA">
        <w:t>Appendix A</w:t>
      </w:r>
      <w:r w:rsidR="00EE5508">
        <w:rPr>
          <w:color w:val="2B579A"/>
          <w:shd w:val="clear" w:color="auto" w:fill="E6E6E6"/>
        </w:rPr>
        <w:fldChar w:fldCharType="end"/>
      </w:r>
      <w:r w:rsidR="00206B39">
        <w:t>)</w:t>
      </w:r>
    </w:p>
    <w:p w14:paraId="6829BBDD" w14:textId="77777777" w:rsidR="0053309D" w:rsidRDefault="0053309D" w:rsidP="00A01FA6">
      <w:pPr>
        <w:pStyle w:val="Heading4"/>
      </w:pPr>
      <w:r>
        <w:t>Assurance of demand</w:t>
      </w:r>
    </w:p>
    <w:p w14:paraId="42F145B6" w14:textId="04188CDA" w:rsidR="003E0DAA" w:rsidRDefault="00F87409" w:rsidP="003E0DAA">
      <w:r>
        <w:t>The aim of a CFP is to stimulate supply of supports by providing service providers assurance of the demand for their services</w:t>
      </w:r>
      <w:r w:rsidR="00A95706">
        <w:t xml:space="preserve">, thereby encouraging them to start delivering supports in the area. </w:t>
      </w:r>
      <w:r w:rsidR="005C14B7">
        <w:t>All but one of the</w:t>
      </w:r>
      <w:r w:rsidR="001D075E">
        <w:t xml:space="preserve"> service providers interviewed reported that the </w:t>
      </w:r>
      <w:r w:rsidR="005C14B7">
        <w:t xml:space="preserve">pooling of participants gave them confidence to </w:t>
      </w:r>
      <w:r w:rsidR="00B6511F">
        <w:t>deliver supports int</w:t>
      </w:r>
      <w:r w:rsidR="00D103C6">
        <w:t>o a new location</w:t>
      </w:r>
      <w:r w:rsidR="008509BC">
        <w:t xml:space="preserve">. </w:t>
      </w:r>
      <w:r w:rsidR="00035E18">
        <w:t xml:space="preserve">The other service provider was already delivering supports in the location. </w:t>
      </w:r>
      <w:r w:rsidR="00E37B8C">
        <w:t>S</w:t>
      </w:r>
      <w:r w:rsidR="003E0DAA">
        <w:t xml:space="preserve">ervice providers also commented that they were hoping to use the CFP to kickstart ongoing delivery in the </w:t>
      </w:r>
      <w:r w:rsidR="00362A6B">
        <w:t xml:space="preserve">target </w:t>
      </w:r>
      <w:r w:rsidR="00DF640A">
        <w:t>community</w:t>
      </w:r>
      <w:r w:rsidR="001E1E68">
        <w:t>.</w:t>
      </w:r>
    </w:p>
    <w:p w14:paraId="3B992ABD" w14:textId="197A5CB5" w:rsidR="004B0ACD" w:rsidRDefault="00471D5B" w:rsidP="00844D79">
      <w:pPr>
        <w:pStyle w:val="Quote"/>
      </w:pPr>
      <w:r>
        <w:t>“</w:t>
      </w:r>
      <w:r w:rsidR="001F4F6F" w:rsidRPr="007E145E">
        <w:t xml:space="preserve">Makes it </w:t>
      </w:r>
      <w:r w:rsidR="00D35D75" w:rsidRPr="007E145E">
        <w:t>easy</w:t>
      </w:r>
      <w:r w:rsidR="001F4F6F" w:rsidRPr="007E145E">
        <w:t xml:space="preserve"> </w:t>
      </w:r>
      <w:r w:rsidR="001F4F6F">
        <w:t>be</w:t>
      </w:r>
      <w:r w:rsidR="001F4F6F" w:rsidRPr="007E145E">
        <w:t xml:space="preserve">cause it's obviously viable for us to go there. </w:t>
      </w:r>
      <w:r w:rsidR="001F4F6F" w:rsidRPr="001F4F6F">
        <w:t>We already know that there's this amount of participants that need support.</w:t>
      </w:r>
      <w:r>
        <w:t>” (Service provider interview)</w:t>
      </w:r>
    </w:p>
    <w:p w14:paraId="6BF71651" w14:textId="0D4D5BD5" w:rsidR="0053309D" w:rsidRDefault="0053309D" w:rsidP="00A01FA6">
      <w:pPr>
        <w:pStyle w:val="Heading4"/>
      </w:pPr>
      <w:r>
        <w:t xml:space="preserve">The </w:t>
      </w:r>
      <w:r w:rsidRPr="00AC3AC0">
        <w:t>financial</w:t>
      </w:r>
      <w:r>
        <w:t xml:space="preserve"> viability of service delivery</w:t>
      </w:r>
    </w:p>
    <w:p w14:paraId="71BBE2D6" w14:textId="652CF2C2" w:rsidR="00550924" w:rsidRDefault="00DF5E22" w:rsidP="007E145E">
      <w:r>
        <w:t xml:space="preserve">During interviews service providers </w:t>
      </w:r>
      <w:r w:rsidR="00F16EDC">
        <w:t>reported</w:t>
      </w:r>
      <w:r w:rsidR="00704D34">
        <w:t xml:space="preserve"> that </w:t>
      </w:r>
      <w:r w:rsidR="001011BE">
        <w:t xml:space="preserve">participating in a </w:t>
      </w:r>
      <w:r w:rsidR="00704D34">
        <w:t xml:space="preserve">CFP had helped address the financial </w:t>
      </w:r>
      <w:r w:rsidR="00967540">
        <w:t xml:space="preserve">risks and the </w:t>
      </w:r>
      <w:r w:rsidR="00704D34">
        <w:t>viability of service delivery in remote locations</w:t>
      </w:r>
      <w:r w:rsidR="00ED36CF">
        <w:t xml:space="preserve">. </w:t>
      </w:r>
      <w:r w:rsidR="00CF2E5F">
        <w:t xml:space="preserve">As most of the CFPs were for assessments, the provider was able to travel to </w:t>
      </w:r>
      <w:r w:rsidR="0017308A">
        <w:t xml:space="preserve">a </w:t>
      </w:r>
      <w:r w:rsidR="00CF2E5F">
        <w:t xml:space="preserve">location for two to three days to </w:t>
      </w:r>
      <w:r w:rsidR="00701C3F">
        <w:t xml:space="preserve">assess all participants over </w:t>
      </w:r>
      <w:r w:rsidR="00170B3A">
        <w:t xml:space="preserve">that </w:t>
      </w:r>
      <w:r w:rsidR="00BB0889">
        <w:t>period</w:t>
      </w:r>
      <w:r w:rsidR="00170B3A">
        <w:t>.</w:t>
      </w:r>
    </w:p>
    <w:p w14:paraId="48A614FE" w14:textId="233FDF48" w:rsidR="00550924" w:rsidRDefault="001011BE" w:rsidP="007E145E">
      <w:r>
        <w:t>However, s</w:t>
      </w:r>
      <w:r w:rsidR="003479B8">
        <w:t xml:space="preserve">ervice </w:t>
      </w:r>
      <w:r w:rsidR="006014B5">
        <w:t>providers commented that there was con</w:t>
      </w:r>
      <w:r w:rsidR="008123D3">
        <w:t xml:space="preserve">siderably more administrative </w:t>
      </w:r>
      <w:r w:rsidR="003F169C">
        <w:t xml:space="preserve">time </w:t>
      </w:r>
      <w:r w:rsidR="0037585B">
        <w:t xml:space="preserve">involved </w:t>
      </w:r>
      <w:r w:rsidR="00F9712C">
        <w:t>than expected</w:t>
      </w:r>
      <w:r>
        <w:t xml:space="preserve"> that impacted the financial benefit of the CFP. This related to </w:t>
      </w:r>
      <w:r w:rsidR="00394F3C">
        <w:t xml:space="preserve">meetings and </w:t>
      </w:r>
      <w:r w:rsidR="00933AC2">
        <w:t xml:space="preserve">additional </w:t>
      </w:r>
      <w:r>
        <w:t xml:space="preserve">reporting </w:t>
      </w:r>
      <w:r w:rsidR="006E1A15">
        <w:t>to the NDIA</w:t>
      </w:r>
      <w:r>
        <w:t xml:space="preserve"> and the logistics of</w:t>
      </w:r>
      <w:r w:rsidR="003C5F9A">
        <w:t xml:space="preserve"> coordinating</w:t>
      </w:r>
      <w:r w:rsidR="007724AD">
        <w:t xml:space="preserve"> service</w:t>
      </w:r>
      <w:r w:rsidR="009F28A5">
        <w:t xml:space="preserve">s </w:t>
      </w:r>
      <w:r w:rsidR="003C5F9A">
        <w:t xml:space="preserve">across </w:t>
      </w:r>
      <w:r w:rsidR="007724AD">
        <w:t xml:space="preserve">multiple </w:t>
      </w:r>
      <w:r w:rsidR="0040236D">
        <w:t>support coordinators</w:t>
      </w:r>
      <w:r w:rsidR="005D72B0">
        <w:t>.</w:t>
      </w:r>
      <w:r w:rsidR="00541419">
        <w:t xml:space="preserve"> </w:t>
      </w:r>
    </w:p>
    <w:p w14:paraId="7C9B3C89" w14:textId="4F19E7CA" w:rsidR="0084628E" w:rsidRDefault="0084628E" w:rsidP="001C68B5">
      <w:pPr>
        <w:pStyle w:val="Quote"/>
      </w:pPr>
      <w:r>
        <w:t>“</w:t>
      </w:r>
      <w:r w:rsidR="001011BE">
        <w:t>F</w:t>
      </w:r>
      <w:r w:rsidRPr="0084628E">
        <w:t xml:space="preserve">or me </w:t>
      </w:r>
      <w:r w:rsidR="007D716B">
        <w:t xml:space="preserve">it </w:t>
      </w:r>
      <w:r w:rsidRPr="0084628E">
        <w:t xml:space="preserve">was incredibly frustrating. It was really frustrating for my staff who already manage </w:t>
      </w:r>
      <w:r w:rsidR="00D35D75" w:rsidRPr="0084628E">
        <w:t>big</w:t>
      </w:r>
      <w:r w:rsidRPr="0084628E">
        <w:t xml:space="preserve"> caseloads and then we found ourselves reporting twice. I reported as the manager but I don't bill for that time. I didn't build the quote for it. You are reporting, as you know, from a program perspective, but it certainly placed additional administrative load on clinicians who</w:t>
      </w:r>
      <w:r w:rsidR="00327FAD">
        <w:t>se</w:t>
      </w:r>
      <w:r w:rsidRPr="0084628E">
        <w:t xml:space="preserve"> priority is to work with the client.</w:t>
      </w:r>
      <w:r>
        <w:t>” (Service provider interview)</w:t>
      </w:r>
      <w:r w:rsidRPr="0084628E">
        <w:t xml:space="preserve"> </w:t>
      </w:r>
    </w:p>
    <w:p w14:paraId="2FDE1563" w14:textId="2F4AA05B" w:rsidR="00921160" w:rsidRDefault="00921160" w:rsidP="001C68B5">
      <w:pPr>
        <w:pStyle w:val="Quote"/>
      </w:pPr>
      <w:r>
        <w:t>“</w:t>
      </w:r>
      <w:r w:rsidR="009B3632">
        <w:t xml:space="preserve">Some of the challenges </w:t>
      </w:r>
      <w:r w:rsidR="00DD51CC">
        <w:t xml:space="preserve">has been the communication or lack </w:t>
      </w:r>
      <w:r w:rsidR="00625627">
        <w:t>thereof</w:t>
      </w:r>
      <w:r w:rsidR="00DD51CC">
        <w:t xml:space="preserve"> between support coordinators</w:t>
      </w:r>
      <w:r w:rsidR="003C60FB">
        <w:t>.” (Service provider interview)</w:t>
      </w:r>
      <w:r w:rsidR="003C60FB" w:rsidRPr="0084628E">
        <w:t xml:space="preserve"> </w:t>
      </w:r>
    </w:p>
    <w:p w14:paraId="5CF68704" w14:textId="63E0603C" w:rsidR="006D180F" w:rsidRDefault="006D180F" w:rsidP="006D180F">
      <w:pPr>
        <w:pStyle w:val="BodyText1"/>
      </w:pPr>
      <w:r>
        <w:lastRenderedPageBreak/>
        <w:t xml:space="preserve">Some service providers also reported that a lack of </w:t>
      </w:r>
      <w:r w:rsidR="00B066B0">
        <w:t>participant</w:t>
      </w:r>
      <w:r w:rsidR="00F52025">
        <w:t xml:space="preserve"> information</w:t>
      </w:r>
      <w:r w:rsidR="00951AC1">
        <w:t xml:space="preserve"> in the quote documentation</w:t>
      </w:r>
      <w:r w:rsidR="00B066B0">
        <w:t xml:space="preserve"> impacted their ability to appropriately quote for the services, which impacted on the viability of delivering the CFP supports. </w:t>
      </w:r>
    </w:p>
    <w:p w14:paraId="3A94F279" w14:textId="3B0966F4" w:rsidR="00BD733B" w:rsidRDefault="00210925" w:rsidP="00844D79">
      <w:pPr>
        <w:pStyle w:val="Quote"/>
      </w:pPr>
      <w:r>
        <w:t>“</w:t>
      </w:r>
      <w:r w:rsidRPr="00210925">
        <w:t>We needed more information. We significantly under quoted.</w:t>
      </w:r>
      <w:r>
        <w:t>” (Service provider interview)</w:t>
      </w:r>
    </w:p>
    <w:p w14:paraId="053E9712" w14:textId="22D7EEAF" w:rsidR="00327FAD" w:rsidRDefault="001402C0" w:rsidP="007E145E">
      <w:r>
        <w:t xml:space="preserve">The other way CFPs </w:t>
      </w:r>
      <w:r w:rsidR="00327FAD">
        <w:t xml:space="preserve">intend to improve </w:t>
      </w:r>
      <w:r>
        <w:t xml:space="preserve">service viability is by facilitating connections between </w:t>
      </w:r>
      <w:r w:rsidR="005165E8">
        <w:t>support coordinators and service providers, resulting in ongoing referrals</w:t>
      </w:r>
      <w:r w:rsidR="0048601C">
        <w:t xml:space="preserve">. Service providers in the first CFPs </w:t>
      </w:r>
      <w:r w:rsidR="00742AD3">
        <w:t xml:space="preserve">(Broome and Katherine) </w:t>
      </w:r>
      <w:r w:rsidR="0048601C">
        <w:t>reported that they had continued to receive referrals</w:t>
      </w:r>
      <w:r w:rsidR="00742AD3">
        <w:t xml:space="preserve"> </w:t>
      </w:r>
      <w:r w:rsidR="00327FAD">
        <w:t>allowing them to continue offering services in these locations</w:t>
      </w:r>
      <w:r w:rsidR="00742AD3">
        <w:t xml:space="preserve">. </w:t>
      </w:r>
    </w:p>
    <w:p w14:paraId="1B653817" w14:textId="6FCCF184" w:rsidR="009C179C" w:rsidRDefault="00742AD3" w:rsidP="007E145E">
      <w:r>
        <w:t>At the time of interviews</w:t>
      </w:r>
      <w:r w:rsidR="00327FAD">
        <w:t xml:space="preserve">, service providers in other CFPs </w:t>
      </w:r>
      <w:r>
        <w:t xml:space="preserve">were </w:t>
      </w:r>
      <w:r w:rsidR="007758D0">
        <w:t>y</w:t>
      </w:r>
      <w:r>
        <w:t xml:space="preserve">et </w:t>
      </w:r>
      <w:r w:rsidR="00327FAD">
        <w:t xml:space="preserve">to provide additional supports, including follow on supports, in those locations. However, </w:t>
      </w:r>
      <w:r w:rsidR="00F26C4E">
        <w:t xml:space="preserve">all but one </w:t>
      </w:r>
      <w:r w:rsidR="0060542D">
        <w:t>wa</w:t>
      </w:r>
      <w:r w:rsidR="00327FAD">
        <w:t>s</w:t>
      </w:r>
      <w:r w:rsidR="00F26C4E">
        <w:t xml:space="preserve"> planning on </w:t>
      </w:r>
      <w:r w:rsidR="00ED14B2">
        <w:t>continuing service delivery if they</w:t>
      </w:r>
      <w:r w:rsidR="005B47A0">
        <w:t xml:space="preserve"> received referrals </w:t>
      </w:r>
      <w:r w:rsidR="00327FAD">
        <w:t>and are</w:t>
      </w:r>
      <w:r w:rsidR="005B47A0">
        <w:t xml:space="preserve"> able </w:t>
      </w:r>
      <w:r w:rsidR="00295889">
        <w:t xml:space="preserve">group </w:t>
      </w:r>
      <w:r w:rsidR="002055AA">
        <w:t>enough</w:t>
      </w:r>
      <w:r w:rsidR="00295889">
        <w:t xml:space="preserve"> participants into </w:t>
      </w:r>
      <w:r w:rsidR="00832C57">
        <w:t>each trip</w:t>
      </w:r>
      <w:r w:rsidR="00D835F4">
        <w:t>.</w:t>
      </w:r>
      <w:r w:rsidR="00327FAD">
        <w:t xml:space="preserve"> </w:t>
      </w:r>
      <w:r w:rsidR="000C2676">
        <w:t xml:space="preserve">Support coordinators </w:t>
      </w:r>
      <w:r w:rsidR="00327FAD">
        <w:t>from these locations</w:t>
      </w:r>
      <w:r w:rsidR="000C2676">
        <w:t xml:space="preserve"> also reported that they intended to continue </w:t>
      </w:r>
      <w:r w:rsidR="00327FAD">
        <w:t>referring</w:t>
      </w:r>
      <w:r w:rsidR="000C2676">
        <w:t xml:space="preserve"> participants </w:t>
      </w:r>
      <w:r w:rsidR="00327FAD">
        <w:t xml:space="preserve">who need ongoing support </w:t>
      </w:r>
      <w:r w:rsidR="000C2676">
        <w:t xml:space="preserve">to the </w:t>
      </w:r>
      <w:r w:rsidR="00327FAD">
        <w:t>CFP</w:t>
      </w:r>
      <w:r w:rsidR="000C2676">
        <w:t xml:space="preserve"> provider</w:t>
      </w:r>
      <w:r w:rsidR="00327FAD">
        <w:t>.</w:t>
      </w:r>
    </w:p>
    <w:p w14:paraId="62E7E01B" w14:textId="36ED24F7" w:rsidR="0040179F" w:rsidRDefault="004F5D65" w:rsidP="00844D79">
      <w:pPr>
        <w:pStyle w:val="Quote"/>
      </w:pPr>
      <w:r>
        <w:t>“</w:t>
      </w:r>
      <w:r w:rsidRPr="004F5D65">
        <w:t>Given the participants we saw who had a mental health diagnosis</w:t>
      </w:r>
      <w:r>
        <w:t xml:space="preserve"> we</w:t>
      </w:r>
      <w:r w:rsidRPr="004F5D65">
        <w:t xml:space="preserve"> would definitely be keen to get our OTs and psychologist</w:t>
      </w:r>
      <w:r>
        <w:t xml:space="preserve"> </w:t>
      </w:r>
      <w:r w:rsidR="00805601">
        <w:t>out there</w:t>
      </w:r>
      <w:r>
        <w:t xml:space="preserve"> [in addition to </w:t>
      </w:r>
      <w:r w:rsidR="00805601">
        <w:t>speech pathology].” (Service provider interview)</w:t>
      </w:r>
    </w:p>
    <w:p w14:paraId="412FBA94" w14:textId="08CF45FD" w:rsidR="00327FAD" w:rsidRDefault="00582E88" w:rsidP="007E145E">
      <w:r>
        <w:t>T</w:t>
      </w:r>
      <w:r w:rsidR="00327FAD">
        <w:t>ogether, these</w:t>
      </w:r>
      <w:r>
        <w:t xml:space="preserve"> findings </w:t>
      </w:r>
      <w:r w:rsidR="00327FAD">
        <w:t xml:space="preserve">confirm </w:t>
      </w:r>
      <w:r>
        <w:t xml:space="preserve">that CFPs </w:t>
      </w:r>
      <w:r w:rsidR="00CF0191">
        <w:t>do make service provision more financially viable</w:t>
      </w:r>
      <w:r w:rsidR="00327FAD">
        <w:t xml:space="preserve"> and can support service provision in remote locations. H</w:t>
      </w:r>
      <w:r w:rsidR="00CF0191">
        <w:t xml:space="preserve">owever, </w:t>
      </w:r>
      <w:r w:rsidR="00895F83">
        <w:t xml:space="preserve">there is a need to review </w:t>
      </w:r>
      <w:r w:rsidR="00260D02">
        <w:t xml:space="preserve">ways to reduce </w:t>
      </w:r>
      <w:r w:rsidR="00CE0C71">
        <w:t>administrative time</w:t>
      </w:r>
      <w:r w:rsidR="00BC008E">
        <w:t xml:space="preserve"> </w:t>
      </w:r>
      <w:r w:rsidR="00505D94">
        <w:t>for providers</w:t>
      </w:r>
      <w:r w:rsidR="00BC008E">
        <w:t xml:space="preserve"> </w:t>
      </w:r>
      <w:r w:rsidR="00327FAD">
        <w:t xml:space="preserve">and </w:t>
      </w:r>
      <w:r w:rsidR="00505D94">
        <w:t xml:space="preserve">ensue </w:t>
      </w:r>
      <w:r w:rsidR="00327FAD">
        <w:t>quoted price</w:t>
      </w:r>
      <w:r w:rsidR="00061281">
        <w:t>s</w:t>
      </w:r>
      <w:r w:rsidR="00505D94">
        <w:t xml:space="preserve"> include logistics</w:t>
      </w:r>
      <w:r w:rsidR="00327FAD">
        <w:t>.</w:t>
      </w:r>
    </w:p>
    <w:p w14:paraId="490A4B69" w14:textId="21E28224" w:rsidR="0053309D" w:rsidRDefault="0053309D" w:rsidP="00A01FA6">
      <w:pPr>
        <w:pStyle w:val="Heading4"/>
      </w:pPr>
      <w:r>
        <w:t xml:space="preserve">Capacity building of support coordinators </w:t>
      </w:r>
    </w:p>
    <w:p w14:paraId="09A7654A" w14:textId="3E9581F7" w:rsidR="00415379" w:rsidRDefault="00BA5E7A" w:rsidP="00BA5E7A">
      <w:r>
        <w:t xml:space="preserve">The design of CFPs allows support coordinators to establish and implement CFPs independently of the NDIA. </w:t>
      </w:r>
      <w:r w:rsidR="0053239C">
        <w:t xml:space="preserve">Through </w:t>
      </w:r>
      <w:r>
        <w:t xml:space="preserve">the Thin Market Trials, the NDIA </w:t>
      </w:r>
      <w:r w:rsidR="005154B9">
        <w:t xml:space="preserve">aimed to build the capacity of support coordinators to </w:t>
      </w:r>
      <w:r w:rsidR="009330DB">
        <w:t>implement future CFPs themselves</w:t>
      </w:r>
      <w:r w:rsidR="00312F4D">
        <w:t>.</w:t>
      </w:r>
    </w:p>
    <w:p w14:paraId="3AB6F97B" w14:textId="5BD01410" w:rsidR="0041329A" w:rsidRPr="0041329A" w:rsidRDefault="001E4B8F" w:rsidP="00844D79">
      <w:pPr>
        <w:pStyle w:val="Quote"/>
        <w:rPr>
          <w:i/>
          <w:iCs/>
        </w:rPr>
      </w:pPr>
      <w:r w:rsidRPr="6E315BD6">
        <w:t xml:space="preserve">All support coordinators interviewed were </w:t>
      </w:r>
      <w:r w:rsidR="009476DA" w:rsidRPr="6E315BD6">
        <w:t>willing to implement a CFP again in the future</w:t>
      </w:r>
      <w:r w:rsidR="00BA5E7A" w:rsidRPr="6E315BD6">
        <w:t>. However</w:t>
      </w:r>
      <w:r w:rsidR="009476DA" w:rsidRPr="6E315BD6">
        <w:t xml:space="preserve">, </w:t>
      </w:r>
      <w:r w:rsidR="00BA5E7A" w:rsidRPr="6E315BD6">
        <w:t>they had mixed views</w:t>
      </w:r>
      <w:r w:rsidR="009476DA" w:rsidRPr="6E315BD6">
        <w:t xml:space="preserve"> about whether they could </w:t>
      </w:r>
      <w:r w:rsidR="00BA5E7A" w:rsidRPr="6E315BD6">
        <w:t xml:space="preserve">do this </w:t>
      </w:r>
      <w:r w:rsidR="009476DA" w:rsidRPr="6E315BD6">
        <w:t xml:space="preserve">independently or </w:t>
      </w:r>
      <w:r w:rsidR="00BA5E7A" w:rsidRPr="6E315BD6">
        <w:t xml:space="preserve">will </w:t>
      </w:r>
      <w:r w:rsidR="009476DA" w:rsidRPr="6E315BD6">
        <w:t xml:space="preserve">need NDIA support. </w:t>
      </w:r>
    </w:p>
    <w:p w14:paraId="56639074" w14:textId="3090765E" w:rsidR="0041329A" w:rsidRDefault="0041329A" w:rsidP="00844D79">
      <w:pPr>
        <w:pStyle w:val="Quote"/>
      </w:pPr>
      <w:r>
        <w:t>“</w:t>
      </w:r>
      <w:r w:rsidR="005F5D4A">
        <w:t>G</w:t>
      </w:r>
      <w:r w:rsidRPr="00F75669">
        <w:t>oing through the process of working with the thin markets team has given us some more ideas about how we can address some of the unmet needs in people's plans.</w:t>
      </w:r>
      <w:r w:rsidR="00D55744">
        <w:t>” (Support coordinator interview)</w:t>
      </w:r>
    </w:p>
    <w:p w14:paraId="62E3EE80" w14:textId="424BCAE1" w:rsidR="00BA5E7A" w:rsidRDefault="00BA5E7A" w:rsidP="008B4571">
      <w:r>
        <w:t>S</w:t>
      </w:r>
      <w:r w:rsidR="00304287">
        <w:t xml:space="preserve">upport coordinators who indicated they </w:t>
      </w:r>
      <w:r>
        <w:t xml:space="preserve">will </w:t>
      </w:r>
      <w:r w:rsidR="00304287">
        <w:t xml:space="preserve">need NDIA support </w:t>
      </w:r>
      <w:r>
        <w:t xml:space="preserve">to establish future </w:t>
      </w:r>
      <w:r w:rsidR="00304287">
        <w:t>CFP</w:t>
      </w:r>
      <w:r>
        <w:t xml:space="preserve"> cited the following reasons:</w:t>
      </w:r>
    </w:p>
    <w:p w14:paraId="734A32E9" w14:textId="1CE69E8D" w:rsidR="00BA5E7A" w:rsidRDefault="00BA5E7A" w:rsidP="00967F95">
      <w:pPr>
        <w:pStyle w:val="Bulletlist"/>
      </w:pPr>
      <w:r>
        <w:t>W</w:t>
      </w:r>
      <w:r w:rsidR="00304287">
        <w:t>anting an independent party involved in working with other support coordinators</w:t>
      </w:r>
    </w:p>
    <w:p w14:paraId="414455FF" w14:textId="565D4B7B" w:rsidR="00BA5E7A" w:rsidRDefault="00BA5E7A" w:rsidP="00967F95">
      <w:pPr>
        <w:pStyle w:val="Bulletlist"/>
      </w:pPr>
      <w:r>
        <w:t>A</w:t>
      </w:r>
      <w:r w:rsidR="00304287">
        <w:t xml:space="preserve"> </w:t>
      </w:r>
      <w:r w:rsidR="00776DC5">
        <w:t>lack of confidence to implement</w:t>
      </w:r>
    </w:p>
    <w:p w14:paraId="56380A76" w14:textId="66EA89F0" w:rsidR="00304287" w:rsidRDefault="00BA5E7A" w:rsidP="00967F95">
      <w:pPr>
        <w:pStyle w:val="Bulletlist"/>
      </w:pPr>
      <w:r>
        <w:t>N</w:t>
      </w:r>
      <w:r w:rsidR="0041329A">
        <w:t xml:space="preserve">eeding </w:t>
      </w:r>
      <w:r w:rsidR="00636080">
        <w:t xml:space="preserve">assistance </w:t>
      </w:r>
      <w:r>
        <w:t>to identify and engage</w:t>
      </w:r>
      <w:r w:rsidR="00636080">
        <w:t xml:space="preserve"> with service providers.</w:t>
      </w:r>
    </w:p>
    <w:p w14:paraId="74BBEA26" w14:textId="6C8DEA91" w:rsidR="00137E19" w:rsidRDefault="00BA5E7A" w:rsidP="00341351">
      <w:bookmarkStart w:id="128" w:name="_Toc111206328"/>
      <w:bookmarkStart w:id="129" w:name="_Toc111206442"/>
      <w:r>
        <w:lastRenderedPageBreak/>
        <w:t>These findings suggest that while in theory support coordinators can establish CFPs themselves, the NDIA will need to invest in further capacity building and education for this to occur.</w:t>
      </w:r>
      <w:bookmarkEnd w:id="128"/>
      <w:bookmarkEnd w:id="129"/>
    </w:p>
    <w:p w14:paraId="36268F05" w14:textId="77177CEA" w:rsidR="00AE2B5E" w:rsidRDefault="00AE2B5E" w:rsidP="00A01FA6">
      <w:pPr>
        <w:pStyle w:val="Heading3"/>
      </w:pPr>
      <w:bookmarkStart w:id="130" w:name="_Toc136336672"/>
      <w:r>
        <w:t>Factors affecting the success of coordinated funding proposals</w:t>
      </w:r>
      <w:bookmarkEnd w:id="130"/>
    </w:p>
    <w:p w14:paraId="004984F1" w14:textId="77777777" w:rsidR="00AE2B5E" w:rsidRPr="00B47C93" w:rsidRDefault="00AE2B5E" w:rsidP="00AE2B5E">
      <w:r>
        <w:t>Based on the evaluation findings, the above factors limiting the success of market facilitation also seem likely to affect the ongoing impact of CFPs beyond the initial arrangement. However, the evaluation findings suggest other more immediate challenges establishing and delivering CFPs in the first place.</w:t>
      </w:r>
    </w:p>
    <w:p w14:paraId="48440462" w14:textId="77777777" w:rsidR="00AE2B5E" w:rsidRPr="007D0370" w:rsidRDefault="00AE2B5E" w:rsidP="00A01FA6">
      <w:pPr>
        <w:pStyle w:val="Heading4"/>
      </w:pPr>
      <w:r>
        <w:t xml:space="preserve">Service providers coordinating </w:t>
      </w:r>
      <w:r w:rsidRPr="007D0370">
        <w:t xml:space="preserve">between support coordinators </w:t>
      </w:r>
    </w:p>
    <w:p w14:paraId="7468FC04" w14:textId="5CC30993" w:rsidR="00AE2B5E" w:rsidRPr="00B6108F" w:rsidRDefault="00AE2B5E" w:rsidP="00AE2B5E">
      <w:r>
        <w:t xml:space="preserve">Most of the CFPs implemented to date have involved multiple support coordinators from different organisations. This means that to deliver an efficient service, service providers need to coordinate across these support coordinators. Service providers reported that it was often difficult to coordinate across </w:t>
      </w:r>
      <w:r w:rsidR="00A949CB">
        <w:t xml:space="preserve">multiple </w:t>
      </w:r>
      <w:r>
        <w:t xml:space="preserve">support coordinators, </w:t>
      </w:r>
      <w:r w:rsidR="002A52F9">
        <w:t>du</w:t>
      </w:r>
      <w:r w:rsidR="00434596">
        <w:t>e</w:t>
      </w:r>
      <w:r w:rsidR="002A52F9">
        <w:t xml:space="preserve"> to varying abilities of </w:t>
      </w:r>
      <w:r>
        <w:t xml:space="preserve">the support coordinator. This challenge meant for service providers it was more effort to organise logistics for the trip, get required information on participants and get service agreements signed. This also flowed through to the post-CFP stage, where service providers </w:t>
      </w:r>
      <w:r w:rsidR="00F008AC">
        <w:t xml:space="preserve">have </w:t>
      </w:r>
      <w:r>
        <w:t>tr</w:t>
      </w:r>
      <w:r w:rsidR="00971ED4">
        <w:t xml:space="preserve">ied </w:t>
      </w:r>
      <w:r>
        <w:t>to organise subsequent trips and have experience</w:t>
      </w:r>
      <w:r w:rsidR="00E827EA">
        <w:t>d</w:t>
      </w:r>
      <w:r>
        <w:t xml:space="preserve"> challenges in contacting support coordinators to organise referrals and new service agreements for ongoing supports. This is likely contributing to the delay in getting follow-on supports up and running for participants. </w:t>
      </w:r>
    </w:p>
    <w:p w14:paraId="7A990C2D" w14:textId="77777777" w:rsidR="00AE2B5E" w:rsidRDefault="00AE2B5E" w:rsidP="00A01FA6">
      <w:pPr>
        <w:pStyle w:val="Heading4"/>
      </w:pPr>
      <w:r w:rsidRPr="006F7E87">
        <w:t>On the ground support for service providers</w:t>
      </w:r>
    </w:p>
    <w:p w14:paraId="5C751BBF" w14:textId="4E94351A" w:rsidR="00AE2B5E" w:rsidRDefault="00AE2B5E" w:rsidP="00AE2B5E">
      <w:r>
        <w:t xml:space="preserve">A facilitator of delivering the CFP supports successfully to participants was the presence of a key individual on the ground to find the participants, facilitate introductions, and provide transport for participants to the service provider or take the service provider to participant homes. Service providers reported having this additional support on the ground was crucial to successfully and efficiently undertaking their assessments. This person was usually a support coordinator or a community member. Where there was no such support, service providers reported it was much more challenging. One service provider included funding for a local community member to act in this role to ensure successful delivery of supports. </w:t>
      </w:r>
    </w:p>
    <w:p w14:paraId="13B662E7" w14:textId="77777777" w:rsidR="00AE2B5E" w:rsidRPr="007D0370" w:rsidRDefault="00AE2B5E" w:rsidP="00A01FA6">
      <w:pPr>
        <w:pStyle w:val="Heading4"/>
      </w:pPr>
      <w:r w:rsidRPr="007D0370">
        <w:t>CFPs rely on support coordinators working together</w:t>
      </w:r>
    </w:p>
    <w:p w14:paraId="1B6CC0A1" w14:textId="6A8E755E" w:rsidR="00AE2B5E" w:rsidRDefault="00AE2B5E" w:rsidP="00341351">
      <w:r>
        <w:t xml:space="preserve">Support coordinators working together effectively is crucial to the success of a CFP. Feedback from </w:t>
      </w:r>
      <w:r w:rsidR="00FE5200">
        <w:t>Market Development teams</w:t>
      </w:r>
      <w:r>
        <w:t xml:space="preserve"> and support coordinators suggest mixed ability to do this successfully in </w:t>
      </w:r>
      <w:r w:rsidR="00FE5200">
        <w:t>t</w:t>
      </w:r>
      <w:r w:rsidR="004D3E71">
        <w:t>rial LGAs and was a factor in some CFPs not proceeding.</w:t>
      </w:r>
      <w:r>
        <w:t xml:space="preserve"> Assistance in working with other support coordinators was one of the main reasons support coordinators gave for wanting </w:t>
      </w:r>
      <w:r w:rsidR="0086758B">
        <w:t xml:space="preserve">the </w:t>
      </w:r>
      <w:r>
        <w:t xml:space="preserve">NDIA help in future to implement CFPs. </w:t>
      </w:r>
      <w:r w:rsidR="0086758B">
        <w:t>Market Development teams</w:t>
      </w:r>
      <w:r>
        <w:t xml:space="preserve"> also reported in some cases there was reluctance from support coordinators to work with other support coordinators. This suggests that in some cases the </w:t>
      </w:r>
      <w:r>
        <w:lastRenderedPageBreak/>
        <w:t xml:space="preserve">NDIA may need to facilitate collaboration between support coordinators for CFPs to be successful. </w:t>
      </w:r>
    </w:p>
    <w:p w14:paraId="01688B00" w14:textId="06FA1365" w:rsidR="0055505E" w:rsidRDefault="00C92920" w:rsidP="00A01FA6">
      <w:pPr>
        <w:pStyle w:val="Heading4"/>
      </w:pPr>
      <w:r>
        <w:t>Unfavourable market conditions</w:t>
      </w:r>
    </w:p>
    <w:p w14:paraId="1F294857" w14:textId="12BCBDE6" w:rsidR="00581FD7" w:rsidRPr="00341351" w:rsidRDefault="00391FF7" w:rsidP="00341351">
      <w:r>
        <w:t>According to Market Development teams</w:t>
      </w:r>
      <w:r w:rsidR="00576376">
        <w:t xml:space="preserve"> there were instances where </w:t>
      </w:r>
      <w:r w:rsidR="00C053D2">
        <w:t xml:space="preserve">they considered </w:t>
      </w:r>
      <w:r w:rsidR="00576376">
        <w:t xml:space="preserve">market conditions unfavourable and </w:t>
      </w:r>
      <w:r w:rsidR="0083547D">
        <w:t xml:space="preserve">so they did not proceed with intended CFPs. This was </w:t>
      </w:r>
      <w:r w:rsidR="00581FD7" w:rsidRPr="00581FD7">
        <w:t xml:space="preserve">due to monopolies on </w:t>
      </w:r>
      <w:r w:rsidR="009243B0">
        <w:t>service provision</w:t>
      </w:r>
      <w:r w:rsidR="00581FD7" w:rsidRPr="00581FD7">
        <w:t xml:space="preserve"> and/or no market separation between support coordination and existing, albeit inadequate, service provision.</w:t>
      </w:r>
    </w:p>
    <w:p w14:paraId="56176075" w14:textId="19147E29" w:rsidR="009E1EF9" w:rsidRDefault="009E1EF9" w:rsidP="00A01FA6">
      <w:pPr>
        <w:pStyle w:val="Heading2"/>
      </w:pPr>
      <w:bookmarkStart w:id="131" w:name="_Toc111206329"/>
      <w:bookmarkStart w:id="132" w:name="_Toc111206443"/>
      <w:bookmarkStart w:id="133" w:name="_Ref119070152"/>
      <w:bookmarkStart w:id="134" w:name="_Toc136336673"/>
      <w:r>
        <w:lastRenderedPageBreak/>
        <w:t>Direct commissioning</w:t>
      </w:r>
      <w:bookmarkEnd w:id="131"/>
      <w:bookmarkEnd w:id="132"/>
      <w:bookmarkEnd w:id="133"/>
      <w:bookmarkEnd w:id="134"/>
    </w:p>
    <w:tbl>
      <w:tblPr>
        <w:tblStyle w:val="TableGrid"/>
        <w:tblW w:w="0" w:type="auto"/>
        <w:tblLook w:val="04A0" w:firstRow="1" w:lastRow="0" w:firstColumn="1" w:lastColumn="0" w:noHBand="0" w:noVBand="1"/>
      </w:tblPr>
      <w:tblGrid>
        <w:gridCol w:w="9016"/>
      </w:tblGrid>
      <w:tr w:rsidR="002366D2" w14:paraId="689D15B4" w14:textId="77777777" w:rsidTr="002366D2">
        <w:tc>
          <w:tcPr>
            <w:tcW w:w="9016" w:type="dxa"/>
          </w:tcPr>
          <w:p w14:paraId="714D80CC" w14:textId="77777777" w:rsidR="002366D2" w:rsidRDefault="002366D2" w:rsidP="00A01FA6">
            <w:pPr>
              <w:pStyle w:val="ESheading4"/>
            </w:pPr>
            <w:r>
              <w:t>Key findings</w:t>
            </w:r>
          </w:p>
          <w:p w14:paraId="07A753EC" w14:textId="77777777" w:rsidR="00BF1ED2" w:rsidRDefault="00BF1ED2" w:rsidP="00BF1ED2">
            <w:pPr>
              <w:pStyle w:val="ListParagraph"/>
              <w:numPr>
                <w:ilvl w:val="0"/>
                <w:numId w:val="35"/>
              </w:numPr>
              <w:spacing w:before="120"/>
              <w:ind w:left="357" w:hanging="357"/>
            </w:pPr>
            <w:r>
              <w:t>Analysis of NDIS expenditure data combined with contractual reporting by service providers suggests mixed success from the three direct commissioning trials.</w:t>
            </w:r>
          </w:p>
          <w:p w14:paraId="394B4300" w14:textId="0B4DB641" w:rsidR="00BF1ED2" w:rsidRDefault="00BF1ED2" w:rsidP="00BF1ED2">
            <w:pPr>
              <w:pStyle w:val="ListParagraph"/>
              <w:numPr>
                <w:ilvl w:val="0"/>
                <w:numId w:val="35"/>
              </w:numPr>
              <w:spacing w:before="120"/>
              <w:ind w:left="357" w:hanging="357"/>
            </w:pPr>
            <w:r>
              <w:t>On average, participants in the ACT and Waratah-Wynyard (Tas) trials increased their use of specialist behaviour supports or speech and occupational therapy</w:t>
            </w:r>
            <w:r w:rsidR="0078777D">
              <w:t xml:space="preserve"> (the target market segments)</w:t>
            </w:r>
            <w:r>
              <w:t xml:space="preserve"> by $2,592 annualised and $2,604 annualised respectively during the trials. However, compared to participants who chose not to participate, the average per participant increases were only $237 and $167 annualised respectively.</w:t>
            </w:r>
          </w:p>
          <w:p w14:paraId="2C25DFA6" w14:textId="604F5A14" w:rsidR="00C901B1" w:rsidRDefault="00BF1ED2" w:rsidP="00BF1ED2">
            <w:pPr>
              <w:pStyle w:val="ListParagraph"/>
              <w:numPr>
                <w:ilvl w:val="0"/>
                <w:numId w:val="35"/>
              </w:numPr>
              <w:spacing w:before="120" w:after="120"/>
              <w:ind w:left="357" w:hanging="357"/>
            </w:pPr>
            <w:r>
              <w:t xml:space="preserve">Direct commissioning in the APY Lands </w:t>
            </w:r>
            <w:r w:rsidR="00C901B1">
              <w:t>(SA)</w:t>
            </w:r>
            <w:r>
              <w:t xml:space="preserve"> </w:t>
            </w:r>
            <w:r w:rsidR="007B3D3F">
              <w:t xml:space="preserve">seems to have </w:t>
            </w:r>
            <w:r>
              <w:t>been more successful</w:t>
            </w:r>
            <w:r w:rsidR="006F6F39">
              <w:t xml:space="preserve">. </w:t>
            </w:r>
            <w:r w:rsidR="009D0DB3">
              <w:t xml:space="preserve">Although it </w:t>
            </w:r>
            <w:r w:rsidR="003B5A37">
              <w:t xml:space="preserve">is not possible to identify a suitable comparison group </w:t>
            </w:r>
            <w:r w:rsidR="001A07A8">
              <w:t>for</w:t>
            </w:r>
            <w:r w:rsidR="006F6F39">
              <w:t xml:space="preserve"> the </w:t>
            </w:r>
            <w:r w:rsidR="001A07A8">
              <w:t>APY Lands</w:t>
            </w:r>
            <w:r w:rsidR="003B5A37">
              <w:t xml:space="preserve">, </w:t>
            </w:r>
            <w:r w:rsidR="00E21A61">
              <w:t>the projected increase in average per participant expenditure on Assistance with Social, Economic and Community Participation supports</w:t>
            </w:r>
            <w:r w:rsidR="005C6ACF">
              <w:t xml:space="preserve"> therapy (the target market segments)</w:t>
            </w:r>
            <w:r w:rsidR="00E21A61">
              <w:t xml:space="preserve"> is $1</w:t>
            </w:r>
            <w:r w:rsidR="00DD6FB5">
              <w:t>5</w:t>
            </w:r>
            <w:r w:rsidR="00E21A61">
              <w:t>,4</w:t>
            </w:r>
            <w:r w:rsidR="00DD6FB5">
              <w:t>2</w:t>
            </w:r>
            <w:r w:rsidR="00241E25">
              <w:t>4</w:t>
            </w:r>
            <w:r w:rsidR="00E21A61">
              <w:t xml:space="preserve"> annualised.</w:t>
            </w:r>
          </w:p>
          <w:p w14:paraId="5B3CF09D" w14:textId="6DDA1A6E" w:rsidR="00623969" w:rsidRDefault="00F62E6E" w:rsidP="00BF1ED2">
            <w:pPr>
              <w:pStyle w:val="ListParagraph"/>
              <w:numPr>
                <w:ilvl w:val="0"/>
                <w:numId w:val="35"/>
              </w:numPr>
              <w:spacing w:before="120" w:after="120"/>
              <w:ind w:left="357" w:hanging="357"/>
            </w:pPr>
            <w:r w:rsidRPr="00F62E6E">
              <w:t xml:space="preserve">Like a CFP, direct commissioning aims to give service providers assurance of demand at a quotable price that is financially viable. However, according to </w:t>
            </w:r>
            <w:r w:rsidR="003D2B03">
              <w:t xml:space="preserve">participating </w:t>
            </w:r>
            <w:r w:rsidRPr="00F62E6E">
              <w:t xml:space="preserve">service providers, direct commissioning in the ACT and Waratah-Wynyard has not assured demand nor been financially </w:t>
            </w:r>
            <w:r w:rsidR="00E54E4D">
              <w:t>rewarding</w:t>
            </w:r>
            <w:r w:rsidR="00A64EC8">
              <w:t xml:space="preserve"> with only </w:t>
            </w:r>
            <w:r w:rsidR="008772A5">
              <w:t xml:space="preserve">around 60% of expected </w:t>
            </w:r>
            <w:r w:rsidR="00F009DF">
              <w:t>demand realised</w:t>
            </w:r>
            <w:r w:rsidRPr="00F62E6E">
              <w:t>.</w:t>
            </w:r>
            <w:r w:rsidR="005D2C82">
              <w:t xml:space="preserve"> This </w:t>
            </w:r>
            <w:r w:rsidR="006D592A">
              <w:t>finan</w:t>
            </w:r>
            <w:r w:rsidR="00AB45F3">
              <w:t>cially burdened</w:t>
            </w:r>
            <w:r w:rsidR="00D46543">
              <w:t xml:space="preserve"> providers</w:t>
            </w:r>
            <w:r w:rsidR="005C2CBA">
              <w:t xml:space="preserve"> around staffing</w:t>
            </w:r>
            <w:r w:rsidR="00F745BF">
              <w:t xml:space="preserve"> and</w:t>
            </w:r>
            <w:r w:rsidR="005C2CBA">
              <w:t xml:space="preserve"> vacancy management</w:t>
            </w:r>
            <w:r w:rsidR="00AB45F3">
              <w:t>.</w:t>
            </w:r>
          </w:p>
          <w:p w14:paraId="21AF9969" w14:textId="075C55F2" w:rsidR="002366D2" w:rsidRDefault="00671CC5" w:rsidP="007B202E">
            <w:pPr>
              <w:pStyle w:val="ListParagraph"/>
              <w:numPr>
                <w:ilvl w:val="0"/>
                <w:numId w:val="35"/>
              </w:numPr>
              <w:spacing w:before="120" w:after="120"/>
              <w:ind w:left="357" w:hanging="357"/>
            </w:pPr>
            <w:r>
              <w:t xml:space="preserve">In the ACT, the participating </w:t>
            </w:r>
            <w:r w:rsidRPr="00671CC5">
              <w:t xml:space="preserve">service providers involved have received ongoing referrals and intend to continue delivery in the ACT after the Trial ends. However, in Tasmania the high cost of travel to Waratah-Wynyard and the low volume of participants means </w:t>
            </w:r>
            <w:r w:rsidR="0001515A">
              <w:t xml:space="preserve">not all the </w:t>
            </w:r>
            <w:r w:rsidRPr="00671CC5">
              <w:t xml:space="preserve">service providers </w:t>
            </w:r>
            <w:r w:rsidR="00DF7013">
              <w:t>are</w:t>
            </w:r>
            <w:r w:rsidRPr="00671CC5">
              <w:t xml:space="preserve"> likely to maintain a presence.</w:t>
            </w:r>
          </w:p>
        </w:tc>
      </w:tr>
    </w:tbl>
    <w:p w14:paraId="60FD1C19" w14:textId="4194F648" w:rsidR="00BA5E7A" w:rsidRDefault="00BA5E7A" w:rsidP="00A01FA6">
      <w:pPr>
        <w:pStyle w:val="Heading3"/>
      </w:pPr>
      <w:bookmarkStart w:id="135" w:name="_Toc136336674"/>
      <w:r>
        <w:t>Overview of direct commissioning trials</w:t>
      </w:r>
      <w:bookmarkEnd w:id="135"/>
    </w:p>
    <w:p w14:paraId="25A73CE9" w14:textId="358A5730" w:rsidR="009B5E39" w:rsidRDefault="009B5E39" w:rsidP="009B5E39">
      <w:r>
        <w:t xml:space="preserve">The NDIA </w:t>
      </w:r>
      <w:r w:rsidR="00F77F2C">
        <w:t xml:space="preserve">has </w:t>
      </w:r>
      <w:r>
        <w:t xml:space="preserve">implemented three direct commissioning </w:t>
      </w:r>
      <w:r w:rsidR="00592F00">
        <w:t>t</w:t>
      </w:r>
      <w:r>
        <w:t>rials</w:t>
      </w:r>
      <w:r w:rsidR="00642B62">
        <w:t xml:space="preserve"> (</w:t>
      </w:r>
      <w:r w:rsidR="00642B62" w:rsidRPr="009D407A">
        <w:rPr>
          <w:color w:val="2B579A"/>
          <w:shd w:val="clear" w:color="auto" w:fill="E6E6E6"/>
        </w:rPr>
        <w:fldChar w:fldCharType="begin"/>
      </w:r>
      <w:r w:rsidR="00642B62" w:rsidRPr="009D407A">
        <w:instrText xml:space="preserve"> REF _Ref114663868 \h  \* MERGEFORMAT </w:instrText>
      </w:r>
      <w:r w:rsidR="00642B62" w:rsidRPr="009D407A">
        <w:rPr>
          <w:color w:val="2B579A"/>
          <w:shd w:val="clear" w:color="auto" w:fill="E6E6E6"/>
        </w:rPr>
      </w:r>
      <w:r w:rsidR="00642B62" w:rsidRPr="009D407A">
        <w:rPr>
          <w:color w:val="2B579A"/>
          <w:shd w:val="clear" w:color="auto" w:fill="E6E6E6"/>
        </w:rPr>
        <w:fldChar w:fldCharType="separate"/>
      </w:r>
      <w:r w:rsidR="00DE04FA">
        <w:t xml:space="preserve">Table </w:t>
      </w:r>
      <w:r w:rsidR="00DE04FA">
        <w:rPr>
          <w:noProof/>
        </w:rPr>
        <w:t>5</w:t>
      </w:r>
      <w:r w:rsidR="00642B62" w:rsidRPr="009D407A">
        <w:rPr>
          <w:color w:val="2B579A"/>
          <w:shd w:val="clear" w:color="auto" w:fill="E6E6E6"/>
        </w:rPr>
        <w:fldChar w:fldCharType="end"/>
      </w:r>
      <w:r w:rsidR="00642B62" w:rsidRPr="009D407A">
        <w:t>)</w:t>
      </w:r>
      <w:r w:rsidR="004253E9" w:rsidRPr="009D407A">
        <w:t>.</w:t>
      </w:r>
      <w:r w:rsidR="004253E9">
        <w:t xml:space="preserve"> At the time of this report, two </w:t>
      </w:r>
      <w:r w:rsidR="004253E9" w:rsidRPr="00655C89">
        <w:t xml:space="preserve">were in the </w:t>
      </w:r>
      <w:r w:rsidR="00F7168D" w:rsidRPr="00655C89">
        <w:t>closing stages</w:t>
      </w:r>
      <w:r w:rsidR="00DD0E2F" w:rsidRPr="00655C89">
        <w:t xml:space="preserve"> (</w:t>
      </w:r>
      <w:r w:rsidR="00DD0E2F">
        <w:t>ACT and Tas</w:t>
      </w:r>
      <w:r w:rsidR="00A263F4">
        <w:t>mania</w:t>
      </w:r>
      <w:r w:rsidR="00DD0E2F">
        <w:t>)</w:t>
      </w:r>
      <w:r w:rsidR="00642B62">
        <w:t xml:space="preserve">. The </w:t>
      </w:r>
      <w:r w:rsidR="00592F00">
        <w:t>t</w:t>
      </w:r>
      <w:r w:rsidR="00DD0E2F">
        <w:t xml:space="preserve">rial in the APY Lands </w:t>
      </w:r>
      <w:r w:rsidR="00BA5E7A">
        <w:t>commenced</w:t>
      </w:r>
      <w:r w:rsidR="00A661C4">
        <w:t xml:space="preserve"> </w:t>
      </w:r>
      <w:r w:rsidR="00642B62">
        <w:t xml:space="preserve">in </w:t>
      </w:r>
      <w:r w:rsidR="00831194">
        <w:t xml:space="preserve">March </w:t>
      </w:r>
      <w:r w:rsidR="00773DFB">
        <w:t>2022</w:t>
      </w:r>
      <w:r w:rsidR="00642B62">
        <w:t xml:space="preserve"> and </w:t>
      </w:r>
      <w:r w:rsidR="007B202E">
        <w:t>will</w:t>
      </w:r>
      <w:r w:rsidR="00642B62">
        <w:t xml:space="preserve"> conclude in </w:t>
      </w:r>
      <w:r w:rsidR="00F94176">
        <w:t>March 202</w:t>
      </w:r>
      <w:r w:rsidR="00C70941">
        <w:t>4</w:t>
      </w:r>
      <w:r w:rsidR="00F94176">
        <w:t>.</w:t>
      </w:r>
      <w:r w:rsidR="00773DFB">
        <w:t xml:space="preserve"> </w:t>
      </w:r>
      <w:r w:rsidR="008E3199">
        <w:t xml:space="preserve">The </w:t>
      </w:r>
      <w:r w:rsidR="00642B62">
        <w:t xml:space="preserve">evaluation </w:t>
      </w:r>
      <w:r w:rsidR="008E3199">
        <w:t xml:space="preserve">findings </w:t>
      </w:r>
      <w:r w:rsidR="00642B62">
        <w:t>mainly reflect</w:t>
      </w:r>
      <w:r w:rsidR="008E3199">
        <w:t xml:space="preserve"> </w:t>
      </w:r>
      <w:r w:rsidR="00DC0F46">
        <w:t xml:space="preserve">the </w:t>
      </w:r>
      <w:r w:rsidR="009F6669">
        <w:t>t</w:t>
      </w:r>
      <w:r w:rsidR="00DC0F46">
        <w:t>rials in the ACT and Tas</w:t>
      </w:r>
      <w:r w:rsidR="00426203">
        <w:t>mania</w:t>
      </w:r>
      <w:r w:rsidR="00642B62">
        <w:t>. H</w:t>
      </w:r>
      <w:r w:rsidR="00DC0F46">
        <w:t xml:space="preserve">owever, </w:t>
      </w:r>
      <w:r w:rsidR="00642B62">
        <w:t xml:space="preserve">the findings include </w:t>
      </w:r>
      <w:r w:rsidR="00DC0F46">
        <w:t xml:space="preserve">insights from the </w:t>
      </w:r>
      <w:r w:rsidR="006A6A8D">
        <w:t xml:space="preserve">initial stages of </w:t>
      </w:r>
      <w:r w:rsidR="00A64BF2">
        <w:t xml:space="preserve">the </w:t>
      </w:r>
      <w:r w:rsidR="008546B6">
        <w:t>APY Lands</w:t>
      </w:r>
      <w:r w:rsidR="006A6A8D">
        <w:t xml:space="preserve"> </w:t>
      </w:r>
      <w:r w:rsidR="009F6669">
        <w:t>t</w:t>
      </w:r>
      <w:r w:rsidR="006A6A8D">
        <w:t xml:space="preserve">rial </w:t>
      </w:r>
      <w:r w:rsidR="00C65E01">
        <w:t>where relevant.</w:t>
      </w:r>
    </w:p>
    <w:p w14:paraId="1E36C159" w14:textId="2E6A5C8D" w:rsidR="007B202E" w:rsidRDefault="007B202E" w:rsidP="009B5E39">
      <w:r>
        <w:br w:type="page"/>
      </w:r>
    </w:p>
    <w:p w14:paraId="56C61972" w14:textId="191C6A7A" w:rsidR="00BF075B" w:rsidRDefault="00BF075B" w:rsidP="00157C14">
      <w:pPr>
        <w:pStyle w:val="Caption"/>
      </w:pPr>
      <w:bookmarkStart w:id="136" w:name="_Ref114663868"/>
      <w:r>
        <w:lastRenderedPageBreak/>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5</w:t>
      </w:r>
      <w:r>
        <w:rPr>
          <w:color w:val="2B579A"/>
          <w:shd w:val="clear" w:color="auto" w:fill="E6E6E6"/>
        </w:rPr>
        <w:fldChar w:fldCharType="end"/>
      </w:r>
      <w:bookmarkEnd w:id="136"/>
      <w:r>
        <w:t>:</w:t>
      </w:r>
      <w:r w:rsidR="00BE0405">
        <w:t xml:space="preserve"> </w:t>
      </w:r>
      <w:r>
        <w:t>Direct commissioning tr</w:t>
      </w:r>
      <w:r w:rsidR="00396361">
        <w:t>ials</w:t>
      </w:r>
    </w:p>
    <w:tbl>
      <w:tblPr>
        <w:tblStyle w:val="GridTable1Light"/>
        <w:tblW w:w="878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Description w:val="This table provides an overview of the direct commissioning trials. It includes each LGA, the NDIS supports delivered and support category, the number of participants and the number of service providers. "/>
      </w:tblPr>
      <w:tblGrid>
        <w:gridCol w:w="2251"/>
        <w:gridCol w:w="1755"/>
        <w:gridCol w:w="1856"/>
        <w:gridCol w:w="1783"/>
        <w:gridCol w:w="1139"/>
      </w:tblGrid>
      <w:tr w:rsidR="00C70941" w:rsidRPr="00BA5E7A" w14:paraId="6E33A47F" w14:textId="038E38C5" w:rsidTr="00E518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6B2976" w:themeFill="background2"/>
          </w:tcPr>
          <w:p w14:paraId="7E8485FE" w14:textId="6D43D63C" w:rsidR="00E931C8" w:rsidRPr="00C70941" w:rsidRDefault="00E931C8" w:rsidP="00C70941">
            <w:pPr>
              <w:spacing w:before="0" w:after="0"/>
              <w:rPr>
                <w:color w:val="FEFFFF" w:themeColor="background1"/>
                <w:sz w:val="20"/>
                <w:szCs w:val="22"/>
              </w:rPr>
            </w:pPr>
            <w:r w:rsidRPr="00C70941">
              <w:rPr>
                <w:color w:val="FEFFFF" w:themeColor="background1"/>
                <w:sz w:val="20"/>
                <w:szCs w:val="22"/>
              </w:rPr>
              <w:t>LGA (State</w:t>
            </w:r>
            <w:r w:rsidR="00BA5E7A">
              <w:rPr>
                <w:color w:val="FEFFFF" w:themeColor="background1"/>
                <w:sz w:val="20"/>
                <w:szCs w:val="22"/>
              </w:rPr>
              <w:t>/Territory</w:t>
            </w:r>
            <w:r w:rsidRPr="00C70941">
              <w:rPr>
                <w:color w:val="FEFFFF" w:themeColor="background1"/>
                <w:sz w:val="20"/>
                <w:szCs w:val="22"/>
              </w:rPr>
              <w:t>)</w:t>
            </w:r>
          </w:p>
        </w:tc>
        <w:tc>
          <w:tcPr>
            <w:tcW w:w="1769" w:type="dxa"/>
            <w:shd w:val="clear" w:color="auto" w:fill="6B2976" w:themeFill="background2"/>
          </w:tcPr>
          <w:p w14:paraId="3D1569CB" w14:textId="2FA02F10" w:rsidR="00E931C8" w:rsidRPr="00C70941" w:rsidRDefault="00E931C8" w:rsidP="00C70941">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 w:val="20"/>
                <w:szCs w:val="22"/>
              </w:rPr>
            </w:pPr>
            <w:r w:rsidRPr="00C70941">
              <w:rPr>
                <w:color w:val="FEFFFF" w:themeColor="background1"/>
                <w:sz w:val="20"/>
                <w:szCs w:val="22"/>
              </w:rPr>
              <w:t>Supports delivered</w:t>
            </w:r>
          </w:p>
        </w:tc>
        <w:tc>
          <w:tcPr>
            <w:tcW w:w="1871" w:type="dxa"/>
            <w:shd w:val="clear" w:color="auto" w:fill="6B2976" w:themeFill="background2"/>
          </w:tcPr>
          <w:p w14:paraId="79887705" w14:textId="208CDE92" w:rsidR="00E931C8" w:rsidRPr="00C70941" w:rsidRDefault="00E931C8" w:rsidP="00C70941">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 w:val="20"/>
                <w:szCs w:val="22"/>
              </w:rPr>
            </w:pPr>
            <w:r w:rsidRPr="00C70941">
              <w:rPr>
                <w:color w:val="FEFFFF" w:themeColor="background1"/>
                <w:sz w:val="20"/>
                <w:szCs w:val="22"/>
              </w:rPr>
              <w:t xml:space="preserve">Relevant </w:t>
            </w:r>
            <w:r w:rsidR="00BA5E7A">
              <w:rPr>
                <w:color w:val="FEFFFF" w:themeColor="background1"/>
                <w:sz w:val="20"/>
                <w:szCs w:val="22"/>
              </w:rPr>
              <w:t>s</w:t>
            </w:r>
            <w:r w:rsidR="00BA5E7A" w:rsidRPr="00C70941">
              <w:rPr>
                <w:color w:val="FEFFFF" w:themeColor="background1"/>
                <w:sz w:val="20"/>
                <w:szCs w:val="22"/>
              </w:rPr>
              <w:t xml:space="preserve">upport </w:t>
            </w:r>
            <w:r w:rsidR="00BA5E7A">
              <w:rPr>
                <w:color w:val="FEFFFF" w:themeColor="background1"/>
                <w:sz w:val="20"/>
                <w:szCs w:val="22"/>
              </w:rPr>
              <w:t>c</w:t>
            </w:r>
            <w:r w:rsidR="00BA5E7A" w:rsidRPr="00C70941">
              <w:rPr>
                <w:color w:val="FEFFFF" w:themeColor="background1"/>
                <w:sz w:val="20"/>
                <w:szCs w:val="22"/>
              </w:rPr>
              <w:t>ategory</w:t>
            </w:r>
          </w:p>
        </w:tc>
        <w:tc>
          <w:tcPr>
            <w:tcW w:w="1797" w:type="dxa"/>
            <w:shd w:val="clear" w:color="auto" w:fill="6B2976" w:themeFill="background2"/>
          </w:tcPr>
          <w:p w14:paraId="034AF8B3" w14:textId="57434B26" w:rsidR="00E931C8" w:rsidRPr="00C70941" w:rsidRDefault="00BA5E7A" w:rsidP="00C70941">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 w:val="20"/>
                <w:szCs w:val="22"/>
              </w:rPr>
            </w:pPr>
            <w:r>
              <w:rPr>
                <w:color w:val="FEFFFF" w:themeColor="background1"/>
                <w:sz w:val="20"/>
                <w:szCs w:val="22"/>
              </w:rPr>
              <w:t>P</w:t>
            </w:r>
            <w:r w:rsidR="00E931C8" w:rsidRPr="00C70941">
              <w:rPr>
                <w:color w:val="FEFFFF" w:themeColor="background1"/>
                <w:sz w:val="20"/>
                <w:szCs w:val="22"/>
              </w:rPr>
              <w:t>articipants</w:t>
            </w:r>
          </w:p>
        </w:tc>
        <w:tc>
          <w:tcPr>
            <w:tcW w:w="1079" w:type="dxa"/>
            <w:shd w:val="clear" w:color="auto" w:fill="6B2976" w:themeFill="background2"/>
          </w:tcPr>
          <w:p w14:paraId="02248F8C" w14:textId="4BA6CEEA" w:rsidR="00E931C8" w:rsidRPr="00C70941" w:rsidRDefault="00BA5E7A" w:rsidP="00C70941">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 w:val="20"/>
                <w:szCs w:val="22"/>
              </w:rPr>
            </w:pPr>
            <w:r>
              <w:rPr>
                <w:color w:val="FEFFFF" w:themeColor="background1"/>
                <w:sz w:val="20"/>
                <w:szCs w:val="22"/>
              </w:rPr>
              <w:t>P</w:t>
            </w:r>
            <w:r w:rsidR="00E931C8" w:rsidRPr="00C70941">
              <w:rPr>
                <w:color w:val="FEFFFF" w:themeColor="background1"/>
                <w:sz w:val="20"/>
                <w:szCs w:val="22"/>
              </w:rPr>
              <w:t>roviders</w:t>
            </w:r>
          </w:p>
        </w:tc>
      </w:tr>
      <w:tr w:rsidR="00C70941" w:rsidRPr="00BA5E7A" w14:paraId="5FFFD565" w14:textId="404F7BC3" w:rsidTr="00E518A9">
        <w:tc>
          <w:tcPr>
            <w:cnfStyle w:val="001000000000" w:firstRow="0" w:lastRow="0" w:firstColumn="1" w:lastColumn="0" w:oddVBand="0" w:evenVBand="0" w:oddHBand="0" w:evenHBand="0" w:firstRowFirstColumn="0" w:firstRowLastColumn="0" w:lastRowFirstColumn="0" w:lastRowLastColumn="0"/>
            <w:tcW w:w="2268" w:type="dxa"/>
            <w:shd w:val="clear" w:color="auto" w:fill="F7EEF7"/>
          </w:tcPr>
          <w:p w14:paraId="4E3A8231" w14:textId="6C0D229A" w:rsidR="00BA5E7A" w:rsidRPr="00C70941" w:rsidRDefault="00BA5E7A" w:rsidP="00C70941">
            <w:pPr>
              <w:spacing w:before="0" w:after="0"/>
              <w:rPr>
                <w:b w:val="0"/>
                <w:bCs w:val="0"/>
                <w:sz w:val="20"/>
                <w:szCs w:val="22"/>
              </w:rPr>
            </w:pPr>
            <w:r w:rsidRPr="00C70941">
              <w:rPr>
                <w:sz w:val="20"/>
                <w:szCs w:val="22"/>
              </w:rPr>
              <w:t>ACT</w:t>
            </w:r>
          </w:p>
        </w:tc>
        <w:tc>
          <w:tcPr>
            <w:tcW w:w="1769" w:type="dxa"/>
            <w:shd w:val="clear" w:color="auto" w:fill="F7EEF7"/>
          </w:tcPr>
          <w:p w14:paraId="35A16B7E" w14:textId="4965918F" w:rsidR="00BA5E7A" w:rsidRPr="00C70941" w:rsidRDefault="00BA5E7A" w:rsidP="00C70941">
            <w:pPr>
              <w:spacing w:before="0" w:after="0"/>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Specialist behavioural supports</w:t>
            </w:r>
          </w:p>
        </w:tc>
        <w:tc>
          <w:tcPr>
            <w:tcW w:w="1871" w:type="dxa"/>
            <w:shd w:val="clear" w:color="auto" w:fill="F7EEF7"/>
          </w:tcPr>
          <w:p w14:paraId="0CA58483" w14:textId="595CC63E" w:rsidR="00BA5E7A" w:rsidRPr="00C70941" w:rsidRDefault="00BA5E7A" w:rsidP="00C70941">
            <w:pPr>
              <w:spacing w:before="0" w:after="0"/>
              <w:cnfStyle w:val="000000000000" w:firstRow="0" w:lastRow="0" w:firstColumn="0" w:lastColumn="0" w:oddVBand="0" w:evenVBand="0" w:oddHBand="0" w:evenHBand="0" w:firstRowFirstColumn="0" w:firstRowLastColumn="0" w:lastRowFirstColumn="0" w:lastRowLastColumn="0"/>
              <w:rPr>
                <w:sz w:val="20"/>
                <w:szCs w:val="22"/>
              </w:rPr>
            </w:pPr>
            <w:r w:rsidRPr="0029396B">
              <w:rPr>
                <w:sz w:val="20"/>
                <w:szCs w:val="20"/>
              </w:rPr>
              <w:t>Capacity Building – Improved Relationships (CBIR)</w:t>
            </w:r>
          </w:p>
        </w:tc>
        <w:tc>
          <w:tcPr>
            <w:tcW w:w="1797" w:type="dxa"/>
            <w:shd w:val="clear" w:color="auto" w:fill="F7EEF7"/>
          </w:tcPr>
          <w:p w14:paraId="44D950DC" w14:textId="4614F4FD" w:rsidR="00BA5E7A" w:rsidRPr="00C70941" w:rsidRDefault="00BA5E7A" w:rsidP="00C70941">
            <w:pPr>
              <w:spacing w:before="0" w:after="0"/>
              <w:jc w:val="center"/>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21</w:t>
            </w:r>
          </w:p>
        </w:tc>
        <w:tc>
          <w:tcPr>
            <w:tcW w:w="1079" w:type="dxa"/>
            <w:shd w:val="clear" w:color="auto" w:fill="F7EEF7"/>
          </w:tcPr>
          <w:p w14:paraId="444BCA98" w14:textId="164177AD" w:rsidR="00BA5E7A" w:rsidRPr="00C70941" w:rsidRDefault="00BA5E7A" w:rsidP="00C70941">
            <w:pPr>
              <w:spacing w:before="0" w:after="0"/>
              <w:jc w:val="center"/>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3</w:t>
            </w:r>
          </w:p>
        </w:tc>
      </w:tr>
      <w:tr w:rsidR="00BA5E7A" w:rsidRPr="00BA5E7A" w14:paraId="72AC0AF7" w14:textId="2DDB3C21" w:rsidTr="00E518A9">
        <w:tc>
          <w:tcPr>
            <w:cnfStyle w:val="001000000000" w:firstRow="0" w:lastRow="0" w:firstColumn="1" w:lastColumn="0" w:oddVBand="0" w:evenVBand="0" w:oddHBand="0" w:evenHBand="0" w:firstRowFirstColumn="0" w:firstRowLastColumn="0" w:lastRowFirstColumn="0" w:lastRowLastColumn="0"/>
            <w:tcW w:w="2268" w:type="dxa"/>
          </w:tcPr>
          <w:p w14:paraId="74AA7CD9" w14:textId="27FF4EE0" w:rsidR="00BA5E7A" w:rsidRPr="00C70941" w:rsidRDefault="00BA5E7A" w:rsidP="00C70941">
            <w:pPr>
              <w:spacing w:before="0" w:after="0"/>
              <w:rPr>
                <w:b w:val="0"/>
                <w:bCs w:val="0"/>
                <w:sz w:val="20"/>
                <w:szCs w:val="22"/>
              </w:rPr>
            </w:pPr>
            <w:r w:rsidRPr="00C70941">
              <w:rPr>
                <w:sz w:val="20"/>
                <w:szCs w:val="22"/>
              </w:rPr>
              <w:t>Waratah-Wynyard (Tas)</w:t>
            </w:r>
          </w:p>
        </w:tc>
        <w:tc>
          <w:tcPr>
            <w:tcW w:w="1769" w:type="dxa"/>
          </w:tcPr>
          <w:p w14:paraId="4B848605" w14:textId="5F281236" w:rsidR="00BA5E7A" w:rsidRPr="00C70941" w:rsidRDefault="00BA5E7A" w:rsidP="00C70941">
            <w:pPr>
              <w:spacing w:before="0" w:after="0"/>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Speech pathology and occupational therapy</w:t>
            </w:r>
          </w:p>
        </w:tc>
        <w:tc>
          <w:tcPr>
            <w:tcW w:w="1871" w:type="dxa"/>
          </w:tcPr>
          <w:p w14:paraId="36164AF4" w14:textId="572E0D31" w:rsidR="00BA5E7A" w:rsidRPr="00C70941" w:rsidRDefault="00BA5E7A" w:rsidP="00C70941">
            <w:pPr>
              <w:spacing w:before="0" w:after="0"/>
              <w:cnfStyle w:val="000000000000" w:firstRow="0" w:lastRow="0" w:firstColumn="0" w:lastColumn="0" w:oddVBand="0" w:evenVBand="0" w:oddHBand="0" w:evenHBand="0" w:firstRowFirstColumn="0" w:firstRowLastColumn="0" w:lastRowFirstColumn="0" w:lastRowLastColumn="0"/>
              <w:rPr>
                <w:sz w:val="20"/>
                <w:szCs w:val="22"/>
              </w:rPr>
            </w:pPr>
            <w:r w:rsidRPr="0029396B">
              <w:rPr>
                <w:sz w:val="20"/>
                <w:szCs w:val="20"/>
              </w:rPr>
              <w:t>Capacity Building – Daily Activities (CBDA)</w:t>
            </w:r>
          </w:p>
        </w:tc>
        <w:tc>
          <w:tcPr>
            <w:tcW w:w="1797" w:type="dxa"/>
          </w:tcPr>
          <w:p w14:paraId="10464404" w14:textId="4291F4A4" w:rsidR="00BA5E7A" w:rsidRPr="00C70941" w:rsidRDefault="00BA5E7A" w:rsidP="00C70941">
            <w:pPr>
              <w:spacing w:before="0" w:after="0"/>
              <w:jc w:val="center"/>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30</w:t>
            </w:r>
          </w:p>
        </w:tc>
        <w:tc>
          <w:tcPr>
            <w:tcW w:w="1079" w:type="dxa"/>
          </w:tcPr>
          <w:p w14:paraId="4E9E8CAA" w14:textId="6898E74F" w:rsidR="00BA5E7A" w:rsidRPr="00C70941" w:rsidRDefault="00BA5E7A" w:rsidP="00C70941">
            <w:pPr>
              <w:spacing w:before="0" w:after="0"/>
              <w:jc w:val="center"/>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3</w:t>
            </w:r>
          </w:p>
        </w:tc>
      </w:tr>
      <w:tr w:rsidR="00C70941" w:rsidRPr="00BA5E7A" w14:paraId="4C2FE492" w14:textId="6E352487" w:rsidTr="00E518A9">
        <w:tc>
          <w:tcPr>
            <w:cnfStyle w:val="001000000000" w:firstRow="0" w:lastRow="0" w:firstColumn="1" w:lastColumn="0" w:oddVBand="0" w:evenVBand="0" w:oddHBand="0" w:evenHBand="0" w:firstRowFirstColumn="0" w:firstRowLastColumn="0" w:lastRowFirstColumn="0" w:lastRowLastColumn="0"/>
            <w:tcW w:w="2268" w:type="dxa"/>
            <w:shd w:val="clear" w:color="auto" w:fill="F7EEF7"/>
          </w:tcPr>
          <w:p w14:paraId="14C693C6" w14:textId="77777777" w:rsidR="00E931C8" w:rsidRPr="00C70941" w:rsidRDefault="00E931C8" w:rsidP="00C70941">
            <w:pPr>
              <w:spacing w:before="0" w:after="0"/>
              <w:rPr>
                <w:b w:val="0"/>
                <w:bCs w:val="0"/>
                <w:sz w:val="20"/>
                <w:szCs w:val="22"/>
              </w:rPr>
            </w:pPr>
            <w:r w:rsidRPr="00C70941">
              <w:rPr>
                <w:sz w:val="20"/>
                <w:szCs w:val="22"/>
              </w:rPr>
              <w:t xml:space="preserve">APY Lands (SA) </w:t>
            </w:r>
          </w:p>
        </w:tc>
        <w:tc>
          <w:tcPr>
            <w:tcW w:w="1769" w:type="dxa"/>
            <w:shd w:val="clear" w:color="auto" w:fill="F7EEF7"/>
          </w:tcPr>
          <w:p w14:paraId="211FCFA0" w14:textId="602B448D" w:rsidR="00E931C8" w:rsidRPr="00C70941" w:rsidRDefault="00E931C8" w:rsidP="00C70941">
            <w:pPr>
              <w:spacing w:before="0" w:after="0"/>
              <w:ind w:firstLine="37"/>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Social and community participation</w:t>
            </w:r>
          </w:p>
        </w:tc>
        <w:tc>
          <w:tcPr>
            <w:tcW w:w="1871" w:type="dxa"/>
            <w:shd w:val="clear" w:color="auto" w:fill="F7EEF7"/>
          </w:tcPr>
          <w:p w14:paraId="5C6CE58B" w14:textId="31B79EBB" w:rsidR="00E931C8" w:rsidRPr="00C70941" w:rsidRDefault="00E931C8" w:rsidP="00C70941">
            <w:pPr>
              <w:spacing w:before="0" w:after="0"/>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Core - Assistance with Social, Economic and Community Participation</w:t>
            </w:r>
          </w:p>
        </w:tc>
        <w:tc>
          <w:tcPr>
            <w:tcW w:w="1797" w:type="dxa"/>
            <w:shd w:val="clear" w:color="auto" w:fill="F7EEF7"/>
          </w:tcPr>
          <w:p w14:paraId="58AEFD15" w14:textId="7F2619F4" w:rsidR="00E931C8" w:rsidRPr="00C70941" w:rsidRDefault="00E931C8" w:rsidP="00C70941">
            <w:pPr>
              <w:spacing w:before="0" w:after="0"/>
              <w:jc w:val="center"/>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33</w:t>
            </w:r>
          </w:p>
        </w:tc>
        <w:tc>
          <w:tcPr>
            <w:tcW w:w="1079" w:type="dxa"/>
            <w:shd w:val="clear" w:color="auto" w:fill="F7EEF7"/>
          </w:tcPr>
          <w:p w14:paraId="07C734CD" w14:textId="4CEEBC22" w:rsidR="00E931C8" w:rsidRPr="00C70941" w:rsidRDefault="00E931C8" w:rsidP="00C70941">
            <w:pPr>
              <w:spacing w:before="0" w:after="0"/>
              <w:jc w:val="center"/>
              <w:cnfStyle w:val="000000000000" w:firstRow="0" w:lastRow="0" w:firstColumn="0" w:lastColumn="0" w:oddVBand="0" w:evenVBand="0" w:oddHBand="0" w:evenHBand="0" w:firstRowFirstColumn="0" w:firstRowLastColumn="0" w:lastRowFirstColumn="0" w:lastRowLastColumn="0"/>
              <w:rPr>
                <w:sz w:val="20"/>
                <w:szCs w:val="22"/>
              </w:rPr>
            </w:pPr>
            <w:r w:rsidRPr="00C70941">
              <w:rPr>
                <w:sz w:val="20"/>
                <w:szCs w:val="22"/>
              </w:rPr>
              <w:t>1</w:t>
            </w:r>
          </w:p>
        </w:tc>
      </w:tr>
    </w:tbl>
    <w:p w14:paraId="3FFC1741" w14:textId="23CCDC30" w:rsidR="00580E3C" w:rsidRDefault="00F008AC" w:rsidP="00580E3C">
      <w:r>
        <w:t>N</w:t>
      </w:r>
      <w:r w:rsidR="00AC6745">
        <w:t xml:space="preserve">DIA </w:t>
      </w:r>
      <w:r w:rsidR="00BB2A35">
        <w:t xml:space="preserve">National Delivery and/or the </w:t>
      </w:r>
      <w:r w:rsidR="009F6669">
        <w:t>Market Development team</w:t>
      </w:r>
      <w:r w:rsidR="00BB2A35">
        <w:t xml:space="preserve"> contacted p</w:t>
      </w:r>
      <w:r w:rsidR="00580E3C">
        <w:t>articipants with low utilisation in the ACT and Tas</w:t>
      </w:r>
      <w:r w:rsidR="008F45DC">
        <w:t>mania</w:t>
      </w:r>
      <w:r w:rsidR="00580E3C">
        <w:t xml:space="preserve"> and invited </w:t>
      </w:r>
      <w:r w:rsidR="00642B62">
        <w:t xml:space="preserve">them </w:t>
      </w:r>
      <w:r w:rsidR="00580E3C">
        <w:t xml:space="preserve">to </w:t>
      </w:r>
      <w:r w:rsidR="00642B62">
        <w:t>opt-in to receive</w:t>
      </w:r>
      <w:r w:rsidR="00580E3C">
        <w:t xml:space="preserve"> supports under a direct commissioning arrangement. In the APY Lands, </w:t>
      </w:r>
      <w:r w:rsidR="00642B62">
        <w:t xml:space="preserve">the direct commissioning arrangement included </w:t>
      </w:r>
      <w:r w:rsidR="00580E3C">
        <w:t xml:space="preserve">all participants with the relevant funding in their plans in the </w:t>
      </w:r>
      <w:r w:rsidR="00653A83">
        <w:t>identified</w:t>
      </w:r>
      <w:r w:rsidR="00580E3C">
        <w:t xml:space="preserve"> communities </w:t>
      </w:r>
      <w:r w:rsidR="00642B62">
        <w:t>unless they chose to opt-out</w:t>
      </w:r>
      <w:r w:rsidR="00580E3C">
        <w:t xml:space="preserve">. </w:t>
      </w:r>
      <w:r w:rsidR="00642B62">
        <w:t>Trial p</w:t>
      </w:r>
      <w:r w:rsidR="00580E3C">
        <w:t xml:space="preserve">articipants </w:t>
      </w:r>
      <w:r w:rsidR="00642B62">
        <w:t>had</w:t>
      </w:r>
      <w:r w:rsidR="00580E3C">
        <w:t xml:space="preserve"> a plan review where funding in the relevant support category was </w:t>
      </w:r>
      <w:r w:rsidR="00642B62">
        <w:t xml:space="preserve">quarantined </w:t>
      </w:r>
      <w:r w:rsidR="00580E3C">
        <w:t xml:space="preserve">and replaced with a nominal $1 </w:t>
      </w:r>
      <w:r w:rsidR="00642B62">
        <w:t>amount</w:t>
      </w:r>
      <w:r w:rsidR="009D2263">
        <w:t>.</w:t>
      </w:r>
    </w:p>
    <w:p w14:paraId="4A2379CA" w14:textId="2B0ACE83" w:rsidR="001A7B2E" w:rsidRDefault="1D8FBA3C" w:rsidP="001A7B2E">
      <w:r>
        <w:t>In both the ACT and Tasmania, t</w:t>
      </w:r>
      <w:r w:rsidR="248114ED">
        <w:t>h</w:t>
      </w:r>
      <w:r>
        <w:t xml:space="preserve">e NDIA </w:t>
      </w:r>
      <w:r w:rsidR="248114ED">
        <w:t xml:space="preserve">contracted </w:t>
      </w:r>
      <w:r>
        <w:t>three providers</w:t>
      </w:r>
      <w:r w:rsidR="248114ED">
        <w:t xml:space="preserve"> to deliver </w:t>
      </w:r>
      <w:r>
        <w:t xml:space="preserve">the relevant </w:t>
      </w:r>
      <w:r w:rsidR="248114ED">
        <w:t xml:space="preserve">supports to </w:t>
      </w:r>
      <w:r>
        <w:t xml:space="preserve">the </w:t>
      </w:r>
      <w:r w:rsidR="248114ED">
        <w:t>participants</w:t>
      </w:r>
      <w:r w:rsidR="1104124E">
        <w:t xml:space="preserve"> </w:t>
      </w:r>
      <w:r>
        <w:t xml:space="preserve">who </w:t>
      </w:r>
      <w:r w:rsidR="5C83A98B">
        <w:t>opted in.</w:t>
      </w:r>
      <w:r w:rsidR="248114ED">
        <w:t xml:space="preserve"> In the ACT</w:t>
      </w:r>
      <w:r>
        <w:t>, the NDIA</w:t>
      </w:r>
      <w:r w:rsidR="248114ED">
        <w:t xml:space="preserve"> matched </w:t>
      </w:r>
      <w:r>
        <w:t xml:space="preserve">participants </w:t>
      </w:r>
      <w:r w:rsidR="248114ED">
        <w:t>with a provider based on the provider’s expertise</w:t>
      </w:r>
      <w:r>
        <w:t xml:space="preserve">. In </w:t>
      </w:r>
      <w:r w:rsidR="248114ED">
        <w:t>Tas</w:t>
      </w:r>
      <w:r w:rsidR="0E1299BB">
        <w:t>mania</w:t>
      </w:r>
      <w:r w:rsidR="248114ED">
        <w:t xml:space="preserve">, participants were able to choose the provider they received supports from. In the APY Lands, </w:t>
      </w:r>
      <w:r>
        <w:t>the NDIA contracted a single</w:t>
      </w:r>
      <w:r w:rsidR="248114ED">
        <w:t xml:space="preserve"> </w:t>
      </w:r>
      <w:r w:rsidR="5D395E44">
        <w:t xml:space="preserve">provider </w:t>
      </w:r>
      <w:r>
        <w:t>to deliver the relevant</w:t>
      </w:r>
      <w:r w:rsidR="248114ED">
        <w:t xml:space="preserve"> supports in two regions (Amata, </w:t>
      </w:r>
      <w:proofErr w:type="spellStart"/>
      <w:r w:rsidR="248114ED">
        <w:t>Indulkana</w:t>
      </w:r>
      <w:proofErr w:type="spellEnd"/>
      <w:r w:rsidR="248114ED">
        <w:t>/Mimili)</w:t>
      </w:r>
      <w:r>
        <w:t xml:space="preserve">. </w:t>
      </w:r>
      <w:r w:rsidR="001A7B2E">
        <w:t xml:space="preserve">Market Development are still </w:t>
      </w:r>
      <w:r w:rsidR="00E20E9D">
        <w:rPr>
          <w:rFonts w:cs="Arial"/>
          <w:szCs w:val="22"/>
        </w:rPr>
        <w:t xml:space="preserve">considering next steps </w:t>
      </w:r>
      <w:r w:rsidR="001A7B2E">
        <w:t xml:space="preserve">in </w:t>
      </w:r>
      <w:proofErr w:type="spellStart"/>
      <w:r w:rsidR="001A7B2E">
        <w:t>Pukatja</w:t>
      </w:r>
      <w:proofErr w:type="spellEnd"/>
      <w:r w:rsidR="001A7B2E">
        <w:t xml:space="preserve"> and </w:t>
      </w:r>
      <w:proofErr w:type="spellStart"/>
      <w:r w:rsidR="001A7B2E" w:rsidRPr="004556EC">
        <w:t>Pipalyatjara</w:t>
      </w:r>
      <w:proofErr w:type="spellEnd"/>
      <w:r w:rsidR="001A7B2E">
        <w:t xml:space="preserve"> and their surrounding communities.</w:t>
      </w:r>
    </w:p>
    <w:p w14:paraId="10961CE0" w14:textId="216303D3" w:rsidR="00FD33D5" w:rsidRDefault="00FD33D5" w:rsidP="00A01FA6">
      <w:pPr>
        <w:pStyle w:val="Heading3"/>
      </w:pPr>
      <w:bookmarkStart w:id="137" w:name="_Toc111206330"/>
      <w:bookmarkStart w:id="138" w:name="_Toc111206444"/>
      <w:bookmarkStart w:id="139" w:name="_Toc136336675"/>
      <w:r>
        <w:t>Impact of direct commissioning trials</w:t>
      </w:r>
      <w:bookmarkEnd w:id="137"/>
      <w:bookmarkEnd w:id="138"/>
      <w:bookmarkEnd w:id="139"/>
    </w:p>
    <w:p w14:paraId="207A04C4" w14:textId="3CA8B663" w:rsidR="00DD2D66" w:rsidRDefault="00DD2D66" w:rsidP="00DD2D66">
      <w:bookmarkStart w:id="140" w:name="_Ref117592698"/>
      <w:bookmarkStart w:id="141" w:name="_Toc111206331"/>
      <w:bookmarkStart w:id="142" w:name="_Toc111206445"/>
      <w:r>
        <w:t>Most of the data</w:t>
      </w:r>
      <w:r w:rsidR="00CE0D2E">
        <w:rPr>
          <w:rStyle w:val="FootnoteReference"/>
        </w:rPr>
        <w:footnoteReference w:id="13"/>
      </w:r>
      <w:r>
        <w:t xml:space="preserve"> presented in this section relates to ACT and Waratah-Wynyard as it is too early to assess the impact of the APY Lands trial. Data for ACT and Waratah-Wynyard is up to 3</w:t>
      </w:r>
      <w:r w:rsidR="00593275">
        <w:t>0</w:t>
      </w:r>
      <w:r>
        <w:t xml:space="preserve"> </w:t>
      </w:r>
      <w:r w:rsidR="00593275">
        <w:t>September</w:t>
      </w:r>
      <w:r>
        <w:t xml:space="preserve"> 2022, although the trials concluded in October and November 2022 respectively.</w:t>
      </w:r>
    </w:p>
    <w:p w14:paraId="0415A687" w14:textId="77777777" w:rsidR="00DD2D66" w:rsidRDefault="00DD2D66" w:rsidP="00A01FA6">
      <w:pPr>
        <w:pStyle w:val="Heading4"/>
      </w:pPr>
      <w:r>
        <w:lastRenderedPageBreak/>
        <w:t>Participant use of funded supports</w:t>
      </w:r>
    </w:p>
    <w:p w14:paraId="112EC946" w14:textId="77777777" w:rsidR="00F96530" w:rsidRDefault="00DD2D66" w:rsidP="00DD2D66">
      <w:r>
        <w:rPr>
          <w:color w:val="2B579A"/>
          <w:shd w:val="clear" w:color="auto" w:fill="E6E6E6"/>
        </w:rPr>
        <w:fldChar w:fldCharType="begin"/>
      </w:r>
      <w:r>
        <w:instrText xml:space="preserve"> REF _Ref117592272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19</w:t>
      </w:r>
      <w:r>
        <w:rPr>
          <w:color w:val="2B579A"/>
          <w:shd w:val="clear" w:color="auto" w:fill="E6E6E6"/>
        </w:rPr>
        <w:fldChar w:fldCharType="end"/>
      </w:r>
      <w:r>
        <w:t xml:space="preserve"> shows the average total monthly expenditure on the directly commissioned supports across all </w:t>
      </w:r>
      <w:r w:rsidR="00253CE2">
        <w:t>t</w:t>
      </w:r>
      <w:r>
        <w:t xml:space="preserve">rial participants before (6-12 months before and 1-6 months before) and after direct commissioning commenced. In all LGAs, the average monthly expenditure during the </w:t>
      </w:r>
      <w:r w:rsidR="00776F7F">
        <w:t>t</w:t>
      </w:r>
      <w:r>
        <w:t xml:space="preserve">rials exceeded the preceding time periods, indicating that on average participants increased their use of the commissioned supports. </w:t>
      </w:r>
    </w:p>
    <w:p w14:paraId="710EA9E7" w14:textId="1EB1BE6A" w:rsidR="00EA74E6" w:rsidRDefault="00DD2D66" w:rsidP="00DD2D66">
      <w:r>
        <w:t>The largest increase has been in the APY Lands</w:t>
      </w:r>
      <w:r w:rsidR="00C26481">
        <w:t xml:space="preserve"> (+$42</w:t>
      </w:r>
      <w:r w:rsidR="00C26481" w:rsidRPr="00744645">
        <w:t>,</w:t>
      </w:r>
      <w:r w:rsidR="00C26481">
        <w:t>417 per month or +$1,285 per month per participant ($15,424 annualised)). However,</w:t>
      </w:r>
      <w:r w:rsidR="00AC7321">
        <w:t xml:space="preserve"> </w:t>
      </w:r>
      <w:r w:rsidR="00EA74E6">
        <w:t>$13</w:t>
      </w:r>
      <w:r w:rsidR="00A7667F">
        <w:t>,629</w:t>
      </w:r>
      <w:r w:rsidR="00EA74E6">
        <w:t xml:space="preserve"> of this represents participants </w:t>
      </w:r>
      <w:r w:rsidR="00A7667F">
        <w:t xml:space="preserve">purchasing </w:t>
      </w:r>
      <w:r w:rsidR="00554435" w:rsidRPr="00554435">
        <w:t>Assistance with Social, Economic and Community Participation supports</w:t>
      </w:r>
      <w:r w:rsidR="00A7667F">
        <w:t xml:space="preserve"> outside of the direct commissioning arrangement</w:t>
      </w:r>
      <w:r w:rsidR="00E1260E">
        <w:t>. This is</w:t>
      </w:r>
      <w:r w:rsidR="00A7667F">
        <w:t xml:space="preserve"> presumably through flexible use of their Core funding</w:t>
      </w:r>
      <w:r w:rsidR="00E1260E">
        <w:t xml:space="preserve">. Assuming </w:t>
      </w:r>
      <w:r w:rsidR="00785BBA">
        <w:t>a substitution effect</w:t>
      </w:r>
      <w:r w:rsidR="00F96530">
        <w:t xml:space="preserve">, the increase </w:t>
      </w:r>
      <w:r w:rsidR="00381DFC">
        <w:t xml:space="preserve">possibly </w:t>
      </w:r>
      <w:r w:rsidR="00F96530">
        <w:t xml:space="preserve">attributable to direct commissioning </w:t>
      </w:r>
      <w:r w:rsidR="00E64405">
        <w:t>is</w:t>
      </w:r>
      <w:r w:rsidR="00AC7321">
        <w:t xml:space="preserve"> </w:t>
      </w:r>
      <w:r w:rsidR="00D04532">
        <w:t>+$</w:t>
      </w:r>
      <w:r w:rsidR="00381DFC">
        <w:t>18</w:t>
      </w:r>
      <w:r w:rsidR="00D04532" w:rsidRPr="00744645">
        <w:t>,</w:t>
      </w:r>
      <w:r w:rsidR="00381DFC">
        <w:t>263</w:t>
      </w:r>
      <w:r w:rsidR="00D04532">
        <w:t xml:space="preserve"> per month or +$</w:t>
      </w:r>
      <w:r w:rsidR="007A068A">
        <w:t>552</w:t>
      </w:r>
      <w:r w:rsidR="00D04532">
        <w:t xml:space="preserve"> per month per participant</w:t>
      </w:r>
      <w:r w:rsidR="00C20DA3">
        <w:t xml:space="preserve"> ($</w:t>
      </w:r>
      <w:r w:rsidR="007A068A">
        <w:t>6</w:t>
      </w:r>
      <w:r w:rsidR="00C20DA3">
        <w:t>,</w:t>
      </w:r>
      <w:r w:rsidR="007A068A">
        <w:t>631</w:t>
      </w:r>
      <w:r w:rsidR="00C20DA3">
        <w:t xml:space="preserve"> annualised)</w:t>
      </w:r>
      <w:r w:rsidR="00AC7321">
        <w:t>.</w:t>
      </w:r>
      <w:r w:rsidR="00AC7321">
        <w:rPr>
          <w:rStyle w:val="FootnoteReference"/>
        </w:rPr>
        <w:footnoteReference w:id="14"/>
      </w:r>
    </w:p>
    <w:p w14:paraId="4DA23BEB" w14:textId="75262606" w:rsidR="00DD2D66" w:rsidRDefault="00DD2D66" w:rsidP="00DD2D66">
      <w:r>
        <w:t xml:space="preserve">The increases </w:t>
      </w:r>
      <w:r w:rsidR="003A19EC">
        <w:t>were</w:t>
      </w:r>
      <w:r>
        <w:t xml:space="preserve"> smaller in the ACT (+</w:t>
      </w:r>
      <w:r w:rsidR="00965DDA" w:rsidRPr="00965DDA">
        <w:t>$4,533</w:t>
      </w:r>
      <w:r w:rsidR="00965DDA">
        <w:t xml:space="preserve"> </w:t>
      </w:r>
      <w:r>
        <w:t>per month or +$</w:t>
      </w:r>
      <w:r w:rsidR="00965DDA">
        <w:t>216</w:t>
      </w:r>
      <w:r>
        <w:t xml:space="preserve"> per month per participant) and Waratah-Wynyard (+</w:t>
      </w:r>
      <w:r w:rsidR="00D61FBD" w:rsidRPr="00D61FBD">
        <w:t>$5,030</w:t>
      </w:r>
      <w:r>
        <w:t xml:space="preserve"> per month or +$</w:t>
      </w:r>
      <w:r w:rsidR="00D61FBD">
        <w:t>21</w:t>
      </w:r>
      <w:r w:rsidR="00B45FB1">
        <w:t>6</w:t>
      </w:r>
      <w:r>
        <w:t xml:space="preserve"> per month per participant)</w:t>
      </w:r>
      <w:r w:rsidR="00AC7321">
        <w:t xml:space="preserve"> where there </w:t>
      </w:r>
      <w:r w:rsidR="00364342">
        <w:t>were</w:t>
      </w:r>
      <w:r w:rsidR="00AC7321">
        <w:t xml:space="preserve"> no substitution effects due to NDIS rules around Capacity building funds.</w:t>
      </w:r>
      <w:r w:rsidR="00AC7321">
        <w:rPr>
          <w:rStyle w:val="FootnoteReference"/>
        </w:rPr>
        <w:footnoteReference w:id="15"/>
      </w:r>
    </w:p>
    <w:p w14:paraId="63E18D05" w14:textId="2F72B7FC" w:rsidR="00DD2D66" w:rsidRDefault="00DD2D66" w:rsidP="00DD2D66">
      <w:pPr>
        <w:pStyle w:val="Caption"/>
      </w:pPr>
      <w:bookmarkStart w:id="143" w:name="_Ref117592272"/>
      <w:r>
        <w:t xml:space="preserve">Figure </w:t>
      </w:r>
      <w:r>
        <w:fldChar w:fldCharType="begin"/>
      </w:r>
      <w:r>
        <w:instrText>SEQ Figure \* ARABIC</w:instrText>
      </w:r>
      <w:r>
        <w:fldChar w:fldCharType="separate"/>
      </w:r>
      <w:r w:rsidR="00DE04FA">
        <w:rPr>
          <w:noProof/>
        </w:rPr>
        <w:t>19</w:t>
      </w:r>
      <w:r>
        <w:fldChar w:fldCharType="end"/>
      </w:r>
      <w:bookmarkEnd w:id="143"/>
      <w:r>
        <w:t>: Average expenditure per month by Trial participants</w:t>
      </w:r>
    </w:p>
    <w:p w14:paraId="0E481FBB" w14:textId="77777777" w:rsidR="001C68B5" w:rsidRDefault="001C68B5" w:rsidP="001C68B5">
      <w:pPr>
        <w:pStyle w:val="Source"/>
      </w:pPr>
      <w:r>
        <w:t>Note: Waratah-Wynyard data includes a $500 per participant establishment fee.</w:t>
      </w:r>
    </w:p>
    <w:p w14:paraId="5EEBF32C" w14:textId="19384A7E" w:rsidR="00DD2D66" w:rsidRDefault="009B7075" w:rsidP="00DD2D66">
      <w:pPr>
        <w:keepNext/>
      </w:pPr>
      <w:r>
        <w:rPr>
          <w:noProof/>
        </w:rPr>
        <w:drawing>
          <wp:inline distT="0" distB="0" distL="0" distR="0" wp14:anchorId="1F8E75E7" wp14:editId="77169B1B">
            <wp:extent cx="5186149" cy="3050275"/>
            <wp:effectExtent l="0" t="0" r="0" b="0"/>
            <wp:docPr id="34" name="Chart 34" descr="Figure 19 is a vertical bar graph showing the average total monthly expenditure on the directly commissioned supports across all trial participants before (6-12 months before and 1-6 months before) and after direct commissioning commenced. The graph compares data between APY Lands, ACT, and Waratah-Wynyard. "/>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CDCD094" w14:textId="4D872C67" w:rsidR="00DD2D66" w:rsidRDefault="00DD2D66" w:rsidP="00DD2D66">
      <w:pPr>
        <w:pStyle w:val="Source"/>
      </w:pPr>
      <w:r w:rsidRPr="00680FC5">
        <w:t>Source: Research and Evaluation Branch analysis of NDIS payments data</w:t>
      </w:r>
      <w:r>
        <w:t>.</w:t>
      </w:r>
    </w:p>
    <w:p w14:paraId="2860369D" w14:textId="79BAFC4B" w:rsidR="00DD2D66" w:rsidRDefault="00DD2D66" w:rsidP="00126C28">
      <w:r>
        <w:lastRenderedPageBreak/>
        <w:t xml:space="preserve">To see if the increase in expenditure was greater than what might have occurred without direct commissioning, the evaluation compared the increases against the comparison group. </w:t>
      </w:r>
      <w:r w:rsidRPr="00126C28">
        <w:rPr>
          <w:b/>
          <w:bCs/>
        </w:rPr>
        <w:t xml:space="preserve">Difference-in-difference analysis showed that in both ACT and Waratah-Wynyard, </w:t>
      </w:r>
      <w:r w:rsidR="00CC1ABE">
        <w:rPr>
          <w:b/>
          <w:bCs/>
        </w:rPr>
        <w:t>t</w:t>
      </w:r>
      <w:r w:rsidRPr="00126C28">
        <w:rPr>
          <w:b/>
          <w:bCs/>
        </w:rPr>
        <w:t xml:space="preserve">rial participants used </w:t>
      </w:r>
      <w:r w:rsidR="00092E79">
        <w:rPr>
          <w:b/>
          <w:bCs/>
        </w:rPr>
        <w:t>only marginally more funding</w:t>
      </w:r>
      <w:r w:rsidR="00092E79" w:rsidRPr="00126C28">
        <w:rPr>
          <w:b/>
          <w:bCs/>
        </w:rPr>
        <w:t xml:space="preserve"> </w:t>
      </w:r>
      <w:r w:rsidRPr="00126C28">
        <w:rPr>
          <w:b/>
          <w:bCs/>
        </w:rPr>
        <w:t>than the comparison group (+$</w:t>
      </w:r>
      <w:r w:rsidR="00FE7F2D">
        <w:rPr>
          <w:b/>
          <w:bCs/>
        </w:rPr>
        <w:t>237</w:t>
      </w:r>
      <w:r w:rsidR="00FE7F2D" w:rsidRPr="00126C28">
        <w:rPr>
          <w:b/>
          <w:bCs/>
        </w:rPr>
        <w:t xml:space="preserve"> </w:t>
      </w:r>
      <w:r w:rsidRPr="00126C28">
        <w:rPr>
          <w:b/>
          <w:bCs/>
        </w:rPr>
        <w:t>and +$</w:t>
      </w:r>
      <w:r w:rsidR="00FE7F2D">
        <w:rPr>
          <w:b/>
          <w:bCs/>
        </w:rPr>
        <w:t>167</w:t>
      </w:r>
      <w:r w:rsidR="00FE7F2D" w:rsidRPr="00126C28">
        <w:rPr>
          <w:b/>
          <w:bCs/>
        </w:rPr>
        <w:t xml:space="preserve"> </w:t>
      </w:r>
      <w:r w:rsidR="00FE7F2D">
        <w:rPr>
          <w:b/>
          <w:bCs/>
        </w:rPr>
        <w:t>annualised per participant</w:t>
      </w:r>
      <w:r w:rsidRPr="00126C28">
        <w:rPr>
          <w:b/>
          <w:bCs/>
        </w:rPr>
        <w:t xml:space="preserve"> respectively</w:t>
      </w:r>
      <w:r w:rsidR="00FE7F2D">
        <w:rPr>
          <w:b/>
          <w:bCs/>
        </w:rPr>
        <w:t>)</w:t>
      </w:r>
      <w:r w:rsidRPr="00126C28">
        <w:rPr>
          <w:b/>
          <w:bCs/>
        </w:rPr>
        <w:t xml:space="preserve">. </w:t>
      </w:r>
      <w:r w:rsidR="002D477E" w:rsidRPr="00126C28">
        <w:rPr>
          <w:b/>
          <w:bCs/>
        </w:rPr>
        <w:t xml:space="preserve">This </w:t>
      </w:r>
      <w:r w:rsidRPr="00126C28">
        <w:rPr>
          <w:b/>
          <w:bCs/>
        </w:rPr>
        <w:t xml:space="preserve">difference </w:t>
      </w:r>
      <w:r w:rsidR="00126C28">
        <w:rPr>
          <w:b/>
          <w:bCs/>
        </w:rPr>
        <w:t>i</w:t>
      </w:r>
      <w:r w:rsidR="002D477E" w:rsidRPr="00126C28">
        <w:rPr>
          <w:b/>
          <w:bCs/>
        </w:rPr>
        <w:t>s</w:t>
      </w:r>
      <w:r w:rsidRPr="00126C28">
        <w:rPr>
          <w:b/>
          <w:bCs/>
        </w:rPr>
        <w:t xml:space="preserve"> statistically significant </w:t>
      </w:r>
      <w:r w:rsidR="002D477E" w:rsidRPr="00126C28">
        <w:rPr>
          <w:b/>
          <w:bCs/>
        </w:rPr>
        <w:t>for Waratah Wyn</w:t>
      </w:r>
      <w:r w:rsidR="00910D0E" w:rsidRPr="00126C28">
        <w:rPr>
          <w:b/>
          <w:bCs/>
        </w:rPr>
        <w:t>yard</w:t>
      </w:r>
      <w:r w:rsidR="002D477E" w:rsidRPr="00126C28">
        <w:rPr>
          <w:b/>
          <w:bCs/>
        </w:rPr>
        <w:t xml:space="preserve"> </w:t>
      </w:r>
      <w:r w:rsidRPr="00126C28">
        <w:rPr>
          <w:b/>
          <w:bCs/>
        </w:rPr>
        <w:t>(p=</w:t>
      </w:r>
      <w:r w:rsidR="003311B7">
        <w:rPr>
          <w:b/>
          <w:bCs/>
        </w:rPr>
        <w:t>0</w:t>
      </w:r>
      <w:r w:rsidRPr="00126C28">
        <w:rPr>
          <w:b/>
          <w:bCs/>
        </w:rPr>
        <w:t>.0</w:t>
      </w:r>
      <w:r w:rsidR="00D00719" w:rsidRPr="00126C28">
        <w:rPr>
          <w:b/>
          <w:bCs/>
        </w:rPr>
        <w:t>22</w:t>
      </w:r>
      <w:r w:rsidR="00126C28">
        <w:rPr>
          <w:b/>
          <w:bCs/>
        </w:rPr>
        <w:t xml:space="preserve">). </w:t>
      </w:r>
      <w:r w:rsidR="00D73B53">
        <w:t xml:space="preserve">Although statistically significant in Waratah-Wynyard, </w:t>
      </w:r>
      <w:r w:rsidR="00092E79">
        <w:t>t</w:t>
      </w:r>
      <w:r w:rsidR="00126C28">
        <w:t xml:space="preserve">he difference in the ACT is not statistically </w:t>
      </w:r>
      <w:r w:rsidR="00126C28" w:rsidRPr="00126C28">
        <w:t>significant (p</w:t>
      </w:r>
      <w:r w:rsidR="000D5FC3">
        <w:t>=</w:t>
      </w:r>
      <w:r w:rsidR="003311B7">
        <w:t>0</w:t>
      </w:r>
      <w:r w:rsidR="00126C28" w:rsidRPr="00126C28">
        <w:t>.219).</w:t>
      </w:r>
    </w:p>
    <w:p w14:paraId="5F8431C8" w14:textId="3CE0F58E" w:rsidR="00DD2D66" w:rsidRDefault="00DD2D66" w:rsidP="00DD2D66">
      <w:r>
        <w:t>The analyses suggests that direct commissioning in the ACT and Waratah-Wynyard only had small impacts. However, in the 12-months preceding the periods of direct commissioning, the NDIA undertook market facilitation activities in both LGAs. Therefore, it is possible that these market facilitation activities were effective for at least those participants who chose not to participate in direct commissioning. If so, this would reduce the observable impacts of direct commissioning.</w:t>
      </w:r>
    </w:p>
    <w:p w14:paraId="6D76BF30" w14:textId="58E1927E" w:rsidR="00DD2D66" w:rsidRDefault="00DD2D66" w:rsidP="00DD2D66">
      <w:r>
        <w:rPr>
          <w:color w:val="2B579A"/>
          <w:shd w:val="clear" w:color="auto" w:fill="E6E6E6"/>
        </w:rPr>
        <w:fldChar w:fldCharType="begin"/>
      </w:r>
      <w:r>
        <w:instrText xml:space="preserve"> REF _Ref118383189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20</w:t>
      </w:r>
      <w:r>
        <w:rPr>
          <w:color w:val="2B579A"/>
          <w:shd w:val="clear" w:color="auto" w:fill="E6E6E6"/>
        </w:rPr>
        <w:fldChar w:fldCharType="end"/>
      </w:r>
      <w:r>
        <w:t xml:space="preserve"> shows</w:t>
      </w:r>
      <w:r w:rsidR="00222FAC">
        <w:t xml:space="preserve"> </w:t>
      </w:r>
      <w:r w:rsidR="00D853F7">
        <w:t xml:space="preserve">that in Waratah-Wynyard while there was a small spike in </w:t>
      </w:r>
      <w:r w:rsidR="009320AB">
        <w:t>monthly</w:t>
      </w:r>
      <w:r w:rsidR="00D853F7">
        <w:t xml:space="preserve"> expenditure </w:t>
      </w:r>
      <w:r w:rsidR="009320AB">
        <w:t xml:space="preserve">per participant </w:t>
      </w:r>
      <w:r w:rsidR="0006395B">
        <w:t xml:space="preserve">at the time market facilitation commenced </w:t>
      </w:r>
      <w:r w:rsidR="00D853F7">
        <w:t xml:space="preserve">for participants in </w:t>
      </w:r>
      <w:r w:rsidR="00453051">
        <w:t xml:space="preserve">direct commissioning </w:t>
      </w:r>
      <w:r w:rsidR="00EA6D3E">
        <w:t xml:space="preserve">(green) </w:t>
      </w:r>
      <w:r w:rsidR="00453051">
        <w:t>and for those who chose not to participa</w:t>
      </w:r>
      <w:r w:rsidR="0006395B">
        <w:t>te</w:t>
      </w:r>
      <w:r w:rsidR="00EA6D3E">
        <w:t xml:space="preserve"> (pink)</w:t>
      </w:r>
      <w:r w:rsidR="0006395B">
        <w:t xml:space="preserve">, </w:t>
      </w:r>
      <w:r w:rsidR="000B7B63">
        <w:t>this diminished quickly</w:t>
      </w:r>
      <w:r w:rsidR="001566D9">
        <w:t>.</w:t>
      </w:r>
      <w:r w:rsidR="0006395B">
        <w:t xml:space="preserve"> </w:t>
      </w:r>
      <w:r w:rsidR="001566D9">
        <w:t xml:space="preserve">It also shows that </w:t>
      </w:r>
      <w:r w:rsidR="00F3367D">
        <w:t xml:space="preserve">average participant expenditure per month on CBDA supports </w:t>
      </w:r>
      <w:r w:rsidR="00EA6D3E">
        <w:t xml:space="preserve">has </w:t>
      </w:r>
      <w:r w:rsidR="002279D0">
        <w:t>remain</w:t>
      </w:r>
      <w:r w:rsidR="00EA6D3E">
        <w:t xml:space="preserve">ed generally consistent over time, including when both market facilitation and direct commissioning commenced. </w:t>
      </w:r>
    </w:p>
    <w:p w14:paraId="7F91861A" w14:textId="1996B428" w:rsidR="00DD2D66" w:rsidRDefault="00DD2D66" w:rsidP="00DD2D66">
      <w:pPr>
        <w:pStyle w:val="Caption"/>
      </w:pPr>
      <w:bookmarkStart w:id="144" w:name="_Ref118383189"/>
      <w:r>
        <w:t xml:space="preserve">Figure </w:t>
      </w:r>
      <w:r>
        <w:fldChar w:fldCharType="begin"/>
      </w:r>
      <w:r>
        <w:instrText>SEQ Figure \* ARABIC</w:instrText>
      </w:r>
      <w:r>
        <w:fldChar w:fldCharType="separate"/>
      </w:r>
      <w:r w:rsidR="00DE04FA">
        <w:rPr>
          <w:noProof/>
        </w:rPr>
        <w:t>20</w:t>
      </w:r>
      <w:r>
        <w:fldChar w:fldCharType="end"/>
      </w:r>
      <w:bookmarkEnd w:id="144"/>
      <w:r>
        <w:t xml:space="preserve">: </w:t>
      </w:r>
      <w:r w:rsidR="00BA4B78">
        <w:t>Monthly expenditure</w:t>
      </w:r>
      <w:r w:rsidR="00F3367D">
        <w:t xml:space="preserve"> (CBDA)</w:t>
      </w:r>
      <w:r w:rsidR="00BA4B78">
        <w:t xml:space="preserve"> </w:t>
      </w:r>
      <w:r w:rsidR="00346E75">
        <w:t xml:space="preserve">per participant </w:t>
      </w:r>
      <w:r w:rsidR="003709D8">
        <w:t>in Waratah-Wynyard before and after market facilitation</w:t>
      </w:r>
    </w:p>
    <w:p w14:paraId="7B244B9F" w14:textId="3A760F12" w:rsidR="001C68B5" w:rsidRPr="001C68B5" w:rsidRDefault="001C68B5" w:rsidP="001C68B5">
      <w:pPr>
        <w:pStyle w:val="Source"/>
      </w:pPr>
      <w:r>
        <w:t>Note: Data includes a $500 per participant establishment fee.</w:t>
      </w:r>
    </w:p>
    <w:p w14:paraId="0CD2826B" w14:textId="312B9B34" w:rsidR="00DD2D66" w:rsidRDefault="002109B8" w:rsidP="00DD2D66">
      <w:r>
        <w:rPr>
          <w:noProof/>
        </w:rPr>
        <w:drawing>
          <wp:inline distT="0" distB="0" distL="0" distR="0" wp14:anchorId="70EDEBF0" wp14:editId="740B8521">
            <wp:extent cx="5214551" cy="3649362"/>
            <wp:effectExtent l="0" t="0" r="5715" b="8255"/>
            <wp:docPr id="9" name="Chart 9" descr="Figure 12 is a line graph showing the monthly expenditure (CBDA) per participant in Waratah-Wynyard before and after market facilitation. The three lines in the graph include Tas (purple); Tas DC participants (green); and DC opt out participants (pink).While there was a small spike in monthly expenditure per participant at the time market facilitation commenced for participants in direct commissioning (green) and for those who chose not to participate (pink), this diminished quickly. It also shows that average participant expenditure per month on CBDA supports has remained generally consistent over time, including when both market facilitation and direct commissioning commenced. "/>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1C5C53B" w14:textId="7C015C44" w:rsidR="00DD2D66" w:rsidRDefault="00DD2D66" w:rsidP="00DD2D66">
      <w:pPr>
        <w:pStyle w:val="Source"/>
      </w:pPr>
      <w:r w:rsidRPr="00680FC5">
        <w:t>Source: Research and Evaluation Branch analysis of NDIS payments data</w:t>
      </w:r>
      <w:r>
        <w:t>.</w:t>
      </w:r>
    </w:p>
    <w:p w14:paraId="18F66483" w14:textId="5F34DD4B" w:rsidR="00C35376" w:rsidRDefault="005C22B6" w:rsidP="001E33D9">
      <w:pPr>
        <w:pStyle w:val="BodyText1"/>
      </w:pPr>
      <w:r>
        <w:rPr>
          <w:color w:val="2B579A"/>
          <w:shd w:val="clear" w:color="auto" w:fill="E6E6E6"/>
        </w:rPr>
        <w:lastRenderedPageBreak/>
        <w:fldChar w:fldCharType="begin"/>
      </w:r>
      <w:r>
        <w:instrText xml:space="preserve"> REF _Ref118456263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21</w:t>
      </w:r>
      <w:r>
        <w:rPr>
          <w:color w:val="2B579A"/>
          <w:shd w:val="clear" w:color="auto" w:fill="E6E6E6"/>
        </w:rPr>
        <w:fldChar w:fldCharType="end"/>
      </w:r>
      <w:r>
        <w:t xml:space="preserve"> shows </w:t>
      </w:r>
      <w:r w:rsidR="00614A61">
        <w:t>that in</w:t>
      </w:r>
      <w:r w:rsidR="00DD5CA5">
        <w:t xml:space="preserve"> the ACT</w:t>
      </w:r>
      <w:r w:rsidR="00614A61">
        <w:t xml:space="preserve"> there was also a </w:t>
      </w:r>
      <w:r w:rsidR="00FC5439">
        <w:t xml:space="preserve">small </w:t>
      </w:r>
      <w:r w:rsidR="002A58D9">
        <w:t xml:space="preserve">spike in </w:t>
      </w:r>
      <w:r w:rsidR="009320AB">
        <w:t>average monthly expenditure per participant at the time market facilitation and direct commissioning commenced</w:t>
      </w:r>
      <w:r w:rsidR="00FC5439">
        <w:t>, however, this diminished quickly in both cases.</w:t>
      </w:r>
    </w:p>
    <w:p w14:paraId="7B9FB9FD" w14:textId="021B3229" w:rsidR="001E33D9" w:rsidRDefault="00C35376" w:rsidP="001E33D9">
      <w:pPr>
        <w:pStyle w:val="BodyText1"/>
      </w:pPr>
      <w:r>
        <w:t xml:space="preserve">This suggests that </w:t>
      </w:r>
      <w:r w:rsidR="00FA4184">
        <w:t xml:space="preserve">it is unlikely </w:t>
      </w:r>
      <w:r w:rsidR="00213E7F">
        <w:t xml:space="preserve">that </w:t>
      </w:r>
      <w:r w:rsidR="00FA4184">
        <w:t xml:space="preserve">market facilitation </w:t>
      </w:r>
      <w:r w:rsidR="00317AEE">
        <w:t xml:space="preserve">resulted in </w:t>
      </w:r>
      <w:r w:rsidR="00B548CF">
        <w:t xml:space="preserve">increased participant expenditure and </w:t>
      </w:r>
      <w:r w:rsidR="00A06883">
        <w:t xml:space="preserve">so </w:t>
      </w:r>
      <w:r w:rsidR="004E576D">
        <w:t xml:space="preserve">it is also unlikely to have </w:t>
      </w:r>
      <w:r w:rsidR="00B548CF">
        <w:t xml:space="preserve">reduced effectiveness of direct commissioning. </w:t>
      </w:r>
    </w:p>
    <w:p w14:paraId="0F5D2A71" w14:textId="0B94940F" w:rsidR="00DE2A2F" w:rsidRDefault="00DE2A2F" w:rsidP="00DE2A2F">
      <w:pPr>
        <w:pStyle w:val="Caption"/>
      </w:pPr>
      <w:bookmarkStart w:id="145" w:name="_Ref118456263"/>
      <w:r>
        <w:t xml:space="preserve">Figure </w:t>
      </w:r>
      <w:r>
        <w:fldChar w:fldCharType="begin"/>
      </w:r>
      <w:r>
        <w:instrText>SEQ Figure \* ARABIC</w:instrText>
      </w:r>
      <w:r>
        <w:fldChar w:fldCharType="separate"/>
      </w:r>
      <w:r w:rsidR="00DE04FA">
        <w:rPr>
          <w:noProof/>
        </w:rPr>
        <w:t>21</w:t>
      </w:r>
      <w:r>
        <w:fldChar w:fldCharType="end"/>
      </w:r>
      <w:bookmarkEnd w:id="145"/>
      <w:r>
        <w:t>: Monthly expenditure (CBIR) per participant in ACT before and after market facilitation</w:t>
      </w:r>
    </w:p>
    <w:p w14:paraId="1ABAB642" w14:textId="69D130B6" w:rsidR="000E6ED5" w:rsidRDefault="00E7622D" w:rsidP="00DD2D66">
      <w:pPr>
        <w:pStyle w:val="Source"/>
      </w:pPr>
      <w:r>
        <w:rPr>
          <w:noProof/>
        </w:rPr>
        <w:drawing>
          <wp:inline distT="0" distB="0" distL="0" distR="0" wp14:anchorId="1946979A" wp14:editId="71617DC0">
            <wp:extent cx="5486400" cy="3898900"/>
            <wp:effectExtent l="0" t="0" r="0" b="6350"/>
            <wp:docPr id="13" name="Chart 13" descr="Figure 21 is a line graph showing the monthly expenditure (CBIR) per participant in ACT before and after market facilitation. The three lines in the graph include ACT; ACT DC participants; DC opt out participants. There was a small spike in average monthly expenditure per participant at the time market facilitation and direct commissioning commenced, however, this diminished quickly in both ca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17D3871" w14:textId="77777777" w:rsidR="00B61B4C" w:rsidRDefault="00B61B4C" w:rsidP="00B61B4C">
      <w:pPr>
        <w:pStyle w:val="Source"/>
      </w:pPr>
      <w:r w:rsidRPr="00680FC5">
        <w:t>Source: Research and Evaluation Branch analysis of NDIS payments data</w:t>
      </w:r>
      <w:r>
        <w:t>.</w:t>
      </w:r>
    </w:p>
    <w:p w14:paraId="38318B8F" w14:textId="77777777" w:rsidR="00DD2D66" w:rsidRDefault="00DD2D66" w:rsidP="00A01FA6">
      <w:pPr>
        <w:pStyle w:val="Heading4"/>
      </w:pPr>
      <w:r>
        <w:t>The total amount of allocated supports accessed by participants</w:t>
      </w:r>
    </w:p>
    <w:p w14:paraId="5FC3C0DE" w14:textId="79F76CBF" w:rsidR="00DD2D66" w:rsidRDefault="00DD2D66" w:rsidP="00DD2D66">
      <w:r>
        <w:t xml:space="preserve">The above findings show that the direct commissioning trials have increased access to the targeted supports for those participants who took part but only to a modest extent. To further assess the success of the </w:t>
      </w:r>
      <w:r w:rsidR="00CF6172">
        <w:t>t</w:t>
      </w:r>
      <w:r>
        <w:t>rials we also analysed the total value of supports commissioned against the allocated funds. The assumption is that the total allocated funds reflect target utilisation.</w:t>
      </w:r>
    </w:p>
    <w:p w14:paraId="73CAEF45" w14:textId="38B8273D" w:rsidR="00DD2D66" w:rsidRDefault="00B77D6D" w:rsidP="00DD2D66">
      <w:r>
        <w:rPr>
          <w:color w:val="2B579A"/>
          <w:shd w:val="clear" w:color="auto" w:fill="E6E6E6"/>
        </w:rPr>
        <w:fldChar w:fldCharType="begin"/>
      </w:r>
      <w:r>
        <w:instrText xml:space="preserve"> REF _Ref118982480 \h </w:instrText>
      </w:r>
      <w:r>
        <w:rPr>
          <w:color w:val="2B579A"/>
          <w:shd w:val="clear" w:color="auto" w:fill="E6E6E6"/>
        </w:rPr>
      </w:r>
      <w:r>
        <w:rPr>
          <w:color w:val="2B579A"/>
          <w:shd w:val="clear" w:color="auto" w:fill="E6E6E6"/>
        </w:rPr>
        <w:fldChar w:fldCharType="separate"/>
      </w:r>
      <w:r w:rsidR="00DE04FA">
        <w:t xml:space="preserve">Table </w:t>
      </w:r>
      <w:r w:rsidR="00DE04FA">
        <w:rPr>
          <w:noProof/>
        </w:rPr>
        <w:t>6</w:t>
      </w:r>
      <w:r>
        <w:rPr>
          <w:color w:val="2B579A"/>
          <w:shd w:val="clear" w:color="auto" w:fill="E6E6E6"/>
        </w:rPr>
        <w:fldChar w:fldCharType="end"/>
      </w:r>
      <w:r>
        <w:t xml:space="preserve"> </w:t>
      </w:r>
      <w:r w:rsidR="00DD2D66">
        <w:t xml:space="preserve">shows that as of 30 </w:t>
      </w:r>
      <w:r w:rsidR="00945A77">
        <w:t>September</w:t>
      </w:r>
      <w:r w:rsidR="00DD2D66">
        <w:t xml:space="preserve"> 2022, </w:t>
      </w:r>
      <w:r w:rsidR="00C13EE3">
        <w:t>t</w:t>
      </w:r>
      <w:r w:rsidR="00DD2D66">
        <w:t xml:space="preserve">rial participants had only used </w:t>
      </w:r>
      <w:r w:rsidR="0086259D">
        <w:t>55</w:t>
      </w:r>
      <w:r w:rsidR="00DD2D66">
        <w:t xml:space="preserve">% of the allocated funds for direct commissioning in the ACT and only </w:t>
      </w:r>
      <w:r w:rsidR="0086259D">
        <w:t>52</w:t>
      </w:r>
      <w:r w:rsidR="00DD2D66">
        <w:t>% in Waratah-Wynyard.</w:t>
      </w:r>
      <w:r w:rsidR="002E38E7">
        <w:rPr>
          <w:rStyle w:val="FootnoteReference"/>
        </w:rPr>
        <w:footnoteReference w:id="16"/>
      </w:r>
      <w:r w:rsidR="00DD2D66">
        <w:t xml:space="preserve"> Based on current use, the projected use by the end of the trials in Waratah-Wynyard (October 2022) and ACT (November 2022) will be </w:t>
      </w:r>
      <w:r w:rsidR="0086259D">
        <w:t>61</w:t>
      </w:r>
      <w:r w:rsidR="00DD2D66">
        <w:t xml:space="preserve">% and </w:t>
      </w:r>
      <w:r w:rsidR="004E4847">
        <w:t>55</w:t>
      </w:r>
      <w:r w:rsidR="00DD2D66">
        <w:t>% respectively. In the APY Lands, participant use of the allocated funds has been much higher (</w:t>
      </w:r>
      <w:r w:rsidR="004E4847">
        <w:t>85</w:t>
      </w:r>
      <w:r w:rsidR="00DD2D66">
        <w:t xml:space="preserve">% as of </w:t>
      </w:r>
      <w:r w:rsidR="004E4847">
        <w:t>30</w:t>
      </w:r>
      <w:r w:rsidR="00DD2D66">
        <w:t xml:space="preserve"> </w:t>
      </w:r>
      <w:r w:rsidR="004E4847">
        <w:lastRenderedPageBreak/>
        <w:t>September</w:t>
      </w:r>
      <w:r w:rsidR="00DD2D66">
        <w:t xml:space="preserve"> 2022)</w:t>
      </w:r>
      <w:r w:rsidR="00FE4834">
        <w:t xml:space="preserve">, </w:t>
      </w:r>
      <w:r w:rsidR="00FE4834" w:rsidRPr="00537819">
        <w:t xml:space="preserve">however, </w:t>
      </w:r>
      <w:r w:rsidR="00FD5BB7" w:rsidRPr="00537819">
        <w:t>unlike</w:t>
      </w:r>
      <w:r w:rsidR="00FD5BB7">
        <w:t xml:space="preserve"> in the ACT and Waratah-Wynyard</w:t>
      </w:r>
      <w:r w:rsidR="00045CB9">
        <w:t xml:space="preserve">, the service provider </w:t>
      </w:r>
      <w:r w:rsidR="003E4462">
        <w:t xml:space="preserve">is paid </w:t>
      </w:r>
      <w:r w:rsidR="002912A8">
        <w:t>based on 5 hours</w:t>
      </w:r>
      <w:r w:rsidR="001E34FD">
        <w:t xml:space="preserve"> per participant regardless of </w:t>
      </w:r>
      <w:r w:rsidR="00537819">
        <w:t xml:space="preserve">actual </w:t>
      </w:r>
      <w:r w:rsidR="00E94964">
        <w:t>delivered hours of support</w:t>
      </w:r>
      <w:r w:rsidR="00CD1D89">
        <w:t xml:space="preserve"> to the participant</w:t>
      </w:r>
      <w:r w:rsidR="00C22978">
        <w:t>, so this does not necessarily re</w:t>
      </w:r>
      <w:r w:rsidR="00023660">
        <w:t>flect actual utilisation.</w:t>
      </w:r>
    </w:p>
    <w:p w14:paraId="00806C65" w14:textId="4717E131" w:rsidR="00257D6C" w:rsidRDefault="00257D6C" w:rsidP="00257D6C">
      <w:pPr>
        <w:pStyle w:val="Caption"/>
      </w:pPr>
      <w:bookmarkStart w:id="146" w:name="_Ref118982480"/>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6</w:t>
      </w:r>
      <w:r>
        <w:rPr>
          <w:color w:val="2B579A"/>
          <w:shd w:val="clear" w:color="auto" w:fill="E6E6E6"/>
        </w:rPr>
        <w:fldChar w:fldCharType="end"/>
      </w:r>
      <w:bookmarkEnd w:id="140"/>
      <w:bookmarkEnd w:id="146"/>
      <w:r>
        <w:t>: Total and average funds used on directly commissioned supports to 3</w:t>
      </w:r>
      <w:r w:rsidR="006C22BB">
        <w:t>0</w:t>
      </w:r>
      <w:r>
        <w:t xml:space="preserve"> </w:t>
      </w:r>
      <w:r w:rsidR="006C22BB">
        <w:t>Sep</w:t>
      </w:r>
      <w:r>
        <w:t xml:space="preserve"> 2022</w:t>
      </w:r>
    </w:p>
    <w:tbl>
      <w:tblPr>
        <w:tblStyle w:val="LightShading-Accent4"/>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top w:w="28" w:type="dxa"/>
          <w:bottom w:w="28" w:type="dxa"/>
        </w:tblCellMar>
        <w:tblLook w:val="04A0" w:firstRow="1" w:lastRow="0" w:firstColumn="1" w:lastColumn="0" w:noHBand="0" w:noVBand="1"/>
        <w:tblDescription w:val="This table provides data on the use of direct commissioning supports in each trial LGA. It details the funds allocated and funds used to 30 September 2022. It also includes a projection of funds used to the end of the trial. "/>
      </w:tblPr>
      <w:tblGrid>
        <w:gridCol w:w="2825"/>
        <w:gridCol w:w="1980"/>
        <w:gridCol w:w="1984"/>
        <w:gridCol w:w="2227"/>
      </w:tblGrid>
      <w:tr w:rsidR="00257D6C" w:rsidRPr="00F86BA4" w14:paraId="0302E1F8" w14:textId="77777777" w:rsidTr="006F1847">
        <w:trPr>
          <w:cnfStyle w:val="100000000000" w:firstRow="1" w:lastRow="0" w:firstColumn="0" w:lastColumn="0" w:oddVBand="0" w:evenVBand="0" w:oddHBand="0" w:evenHBand="0" w:firstRowFirstColumn="0" w:firstRowLastColumn="0" w:lastRowFirstColumn="0" w:lastRowLastColumn="0"/>
          <w:trHeight w:val="700"/>
          <w:tblHeader/>
        </w:trPr>
        <w:tc>
          <w:tcPr>
            <w:cnfStyle w:val="001000000000" w:firstRow="0" w:lastRow="0" w:firstColumn="1" w:lastColumn="0" w:oddVBand="0" w:evenVBand="0" w:oddHBand="0" w:evenHBand="0" w:firstRowFirstColumn="0" w:firstRowLastColumn="0" w:lastRowFirstColumn="0" w:lastRowLastColumn="0"/>
            <w:tcW w:w="1567" w:type="pct"/>
            <w:hideMark/>
          </w:tcPr>
          <w:p w14:paraId="59CB03EE" w14:textId="77777777" w:rsidR="00257D6C" w:rsidRPr="00125C7F" w:rsidRDefault="00257D6C" w:rsidP="00885DD3">
            <w:pPr>
              <w:spacing w:before="0" w:after="0" w:line="240" w:lineRule="auto"/>
              <w:rPr>
                <w:rFonts w:eastAsia="Times New Roman" w:cs="Arial"/>
                <w:color w:val="FFFFFF"/>
                <w:sz w:val="20"/>
                <w:szCs w:val="20"/>
                <w:lang w:eastAsia="en-AU"/>
              </w:rPr>
            </w:pPr>
            <w:r w:rsidRPr="00125C7F">
              <w:rPr>
                <w:rFonts w:eastAsia="Times New Roman" w:cs="Arial"/>
                <w:sz w:val="20"/>
                <w:szCs w:val="20"/>
                <w:lang w:eastAsia="en-AU"/>
              </w:rPr>
              <w:t>LGA</w:t>
            </w:r>
          </w:p>
        </w:tc>
        <w:tc>
          <w:tcPr>
            <w:tcW w:w="1098" w:type="pct"/>
            <w:hideMark/>
          </w:tcPr>
          <w:p w14:paraId="5C62A5DD" w14:textId="77777777" w:rsidR="00257D6C" w:rsidRPr="00125C7F" w:rsidRDefault="00257D6C" w:rsidP="00885DD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20"/>
                <w:szCs w:val="20"/>
                <w:lang w:eastAsia="en-AU"/>
              </w:rPr>
            </w:pPr>
            <w:r w:rsidRPr="00125C7F">
              <w:rPr>
                <w:rFonts w:eastAsia="Times New Roman" w:cs="Arial"/>
                <w:sz w:val="20"/>
                <w:szCs w:val="20"/>
                <w:lang w:eastAsia="en-AU"/>
              </w:rPr>
              <w:t>Funds allocated</w:t>
            </w:r>
          </w:p>
        </w:tc>
        <w:tc>
          <w:tcPr>
            <w:tcW w:w="1100" w:type="pct"/>
            <w:hideMark/>
          </w:tcPr>
          <w:p w14:paraId="76FE6BD3" w14:textId="77777777" w:rsidR="007E58B7" w:rsidRDefault="00257D6C" w:rsidP="00885DD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125C7F">
              <w:rPr>
                <w:rFonts w:eastAsia="Times New Roman" w:cs="Arial"/>
                <w:sz w:val="20"/>
                <w:szCs w:val="20"/>
                <w:lang w:eastAsia="en-AU"/>
              </w:rPr>
              <w:t>Funds used</w:t>
            </w:r>
            <w:r>
              <w:rPr>
                <w:rFonts w:eastAsia="Times New Roman" w:cs="Arial"/>
                <w:sz w:val="20"/>
                <w:szCs w:val="20"/>
                <w:lang w:eastAsia="en-AU"/>
              </w:rPr>
              <w:t xml:space="preserve"> </w:t>
            </w:r>
          </w:p>
          <w:p w14:paraId="4F8203DF" w14:textId="31647C39" w:rsidR="00257D6C" w:rsidRPr="00125C7F" w:rsidRDefault="00257D6C" w:rsidP="00885DD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FFFFFF"/>
                <w:sz w:val="20"/>
                <w:szCs w:val="20"/>
                <w:lang w:eastAsia="en-AU"/>
              </w:rPr>
            </w:pPr>
            <w:r>
              <w:rPr>
                <w:rFonts w:eastAsia="Times New Roman" w:cs="Arial"/>
                <w:sz w:val="20"/>
                <w:szCs w:val="20"/>
                <w:lang w:eastAsia="en-AU"/>
              </w:rPr>
              <w:t>(to 3</w:t>
            </w:r>
            <w:r w:rsidR="006C22BB">
              <w:rPr>
                <w:rFonts w:eastAsia="Times New Roman" w:cs="Arial"/>
                <w:sz w:val="20"/>
                <w:szCs w:val="20"/>
                <w:lang w:eastAsia="en-AU"/>
              </w:rPr>
              <w:t>0</w:t>
            </w:r>
            <w:r>
              <w:rPr>
                <w:rFonts w:eastAsia="Times New Roman" w:cs="Arial"/>
                <w:sz w:val="20"/>
                <w:szCs w:val="20"/>
                <w:lang w:eastAsia="en-AU"/>
              </w:rPr>
              <w:t xml:space="preserve"> </w:t>
            </w:r>
            <w:r w:rsidR="006C22BB">
              <w:rPr>
                <w:rFonts w:eastAsia="Times New Roman" w:cs="Arial"/>
                <w:sz w:val="20"/>
                <w:szCs w:val="20"/>
                <w:lang w:eastAsia="en-AU"/>
              </w:rPr>
              <w:t>Sep</w:t>
            </w:r>
            <w:r>
              <w:rPr>
                <w:rFonts w:eastAsia="Times New Roman" w:cs="Arial"/>
                <w:sz w:val="20"/>
                <w:szCs w:val="20"/>
                <w:lang w:eastAsia="en-AU"/>
              </w:rPr>
              <w:t xml:space="preserve"> 22)</w:t>
            </w:r>
          </w:p>
        </w:tc>
        <w:tc>
          <w:tcPr>
            <w:tcW w:w="1235" w:type="pct"/>
          </w:tcPr>
          <w:p w14:paraId="49DB7421" w14:textId="11A73125" w:rsidR="00257D6C" w:rsidRPr="00125C7F" w:rsidRDefault="00257D6C" w:rsidP="00885DD3">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Pr>
                <w:rFonts w:eastAsia="Times New Roman" w:cs="Arial"/>
                <w:sz w:val="20"/>
                <w:szCs w:val="20"/>
                <w:lang w:eastAsia="en-AU"/>
              </w:rPr>
              <w:t>Projected funds used (to end of Trial)</w:t>
            </w:r>
            <w:r w:rsidR="00585FCF" w:rsidRPr="00585FCF">
              <w:rPr>
                <w:rStyle w:val="FootnoteReference"/>
                <w:rFonts w:eastAsia="Times New Roman" w:cs="Arial"/>
                <w:sz w:val="20"/>
                <w:szCs w:val="20"/>
                <w:lang w:eastAsia="en-AU"/>
              </w:rPr>
              <w:footnoteReference w:id="17"/>
            </w:r>
            <w:r w:rsidR="00585FCF" w:rsidRPr="00585FCF">
              <w:rPr>
                <w:rFonts w:eastAsia="Times New Roman" w:cs="Arial"/>
                <w:sz w:val="20"/>
                <w:szCs w:val="20"/>
                <w:vertAlign w:val="superscript"/>
                <w:lang w:eastAsia="en-AU"/>
              </w:rPr>
              <w:t>,</w:t>
            </w:r>
            <w:r w:rsidR="00585FCF" w:rsidRPr="00585FCF">
              <w:rPr>
                <w:rStyle w:val="FootnoteReference"/>
                <w:rFonts w:eastAsia="Times New Roman" w:cs="Arial"/>
                <w:sz w:val="20"/>
                <w:szCs w:val="20"/>
                <w:lang w:eastAsia="en-AU"/>
              </w:rPr>
              <w:footnoteReference w:id="18"/>
            </w:r>
          </w:p>
        </w:tc>
      </w:tr>
      <w:tr w:rsidR="00257D6C" w:rsidRPr="00F86BA4" w14:paraId="11D64F04" w14:textId="77777777" w:rsidTr="006F1847">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567" w:type="pct"/>
            <w:vAlign w:val="center"/>
            <w:hideMark/>
          </w:tcPr>
          <w:p w14:paraId="20A3A19D" w14:textId="77777777" w:rsidR="00257D6C" w:rsidRPr="00125C7F" w:rsidRDefault="00257D6C" w:rsidP="008B06FF">
            <w:pPr>
              <w:keepNext/>
              <w:spacing w:before="0" w:after="0" w:line="240" w:lineRule="auto"/>
              <w:rPr>
                <w:rFonts w:eastAsia="Times New Roman" w:cs="Arial"/>
                <w:b w:val="0"/>
                <w:bCs w:val="0"/>
                <w:color w:val="000000"/>
                <w:sz w:val="20"/>
                <w:szCs w:val="20"/>
                <w:lang w:eastAsia="en-AU"/>
              </w:rPr>
            </w:pPr>
            <w:r w:rsidRPr="00125C7F">
              <w:rPr>
                <w:rFonts w:eastAsia="Times New Roman" w:cs="Arial"/>
                <w:sz w:val="20"/>
                <w:szCs w:val="20"/>
                <w:lang w:eastAsia="en-AU"/>
              </w:rPr>
              <w:t>ACT</w:t>
            </w:r>
          </w:p>
        </w:tc>
        <w:tc>
          <w:tcPr>
            <w:tcW w:w="1098" w:type="pct"/>
            <w:vAlign w:val="center"/>
            <w:hideMark/>
          </w:tcPr>
          <w:p w14:paraId="407BD88F" w14:textId="77777777" w:rsidR="00257D6C" w:rsidRPr="00125C7F" w:rsidRDefault="00257D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25C7F">
              <w:rPr>
                <w:rFonts w:eastAsia="Times New Roman" w:cs="Arial"/>
                <w:sz w:val="20"/>
                <w:szCs w:val="20"/>
                <w:lang w:eastAsia="en-AU"/>
              </w:rPr>
              <w:t>$218,199</w:t>
            </w:r>
          </w:p>
        </w:tc>
        <w:tc>
          <w:tcPr>
            <w:tcW w:w="1100" w:type="pct"/>
            <w:vAlign w:val="center"/>
            <w:hideMark/>
          </w:tcPr>
          <w:p w14:paraId="6A2FAC3B" w14:textId="457A9125" w:rsidR="00257D6C" w:rsidRPr="00125C7F" w:rsidRDefault="00001DDD">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545A5A">
              <w:rPr>
                <w:rFonts w:eastAsia="Times New Roman" w:cs="Arial"/>
                <w:color w:val="000000" w:themeColor="text1"/>
                <w:sz w:val="20"/>
                <w:szCs w:val="20"/>
                <w:lang w:eastAsia="en-AU"/>
              </w:rPr>
              <w:t>$119,927</w:t>
            </w:r>
          </w:p>
        </w:tc>
        <w:tc>
          <w:tcPr>
            <w:tcW w:w="1235" w:type="pct"/>
            <w:vAlign w:val="center"/>
          </w:tcPr>
          <w:p w14:paraId="41EF3BCF" w14:textId="61B192E0" w:rsidR="00257D6C" w:rsidRPr="00125C7F" w:rsidRDefault="00A35FD8">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5FD8">
              <w:rPr>
                <w:rFonts w:eastAsia="Times New Roman" w:cs="Arial"/>
                <w:sz w:val="20"/>
                <w:szCs w:val="20"/>
                <w:lang w:eastAsia="en-AU"/>
              </w:rPr>
              <w:t>$133,253</w:t>
            </w:r>
          </w:p>
        </w:tc>
      </w:tr>
      <w:tr w:rsidR="00257D6C" w:rsidRPr="00F86BA4" w14:paraId="040EF20D" w14:textId="77777777" w:rsidTr="006F1847">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567" w:type="pct"/>
            <w:vAlign w:val="center"/>
            <w:hideMark/>
          </w:tcPr>
          <w:p w14:paraId="65A2059F" w14:textId="247B9274" w:rsidR="00257D6C" w:rsidRPr="00125C7F" w:rsidRDefault="00257D6C">
            <w:pPr>
              <w:spacing w:before="0" w:after="0" w:line="240" w:lineRule="auto"/>
              <w:rPr>
                <w:rFonts w:eastAsia="Times New Roman" w:cs="Arial"/>
                <w:b w:val="0"/>
                <w:bCs w:val="0"/>
                <w:color w:val="000000"/>
                <w:sz w:val="20"/>
                <w:szCs w:val="20"/>
                <w:lang w:eastAsia="en-AU"/>
              </w:rPr>
            </w:pPr>
            <w:r w:rsidRPr="00125C7F">
              <w:rPr>
                <w:rFonts w:eastAsia="Times New Roman" w:cs="Arial"/>
                <w:color w:val="000000" w:themeColor="text1"/>
                <w:sz w:val="20"/>
                <w:szCs w:val="20"/>
                <w:lang w:eastAsia="en-AU"/>
              </w:rPr>
              <w:t>Waratah-Wynyard (Tas</w:t>
            </w:r>
            <w:r w:rsidR="006F1847">
              <w:rPr>
                <w:rFonts w:eastAsia="Times New Roman" w:cs="Arial"/>
                <w:color w:val="000000" w:themeColor="text1"/>
                <w:sz w:val="20"/>
                <w:szCs w:val="20"/>
                <w:lang w:eastAsia="en-AU"/>
              </w:rPr>
              <w:t>)</w:t>
            </w:r>
            <w:r w:rsidR="00642DEF">
              <w:rPr>
                <w:rStyle w:val="FootnoteReference"/>
                <w:rFonts w:eastAsia="Times New Roman" w:cs="Arial"/>
                <w:color w:val="000000" w:themeColor="text1"/>
                <w:sz w:val="20"/>
                <w:szCs w:val="20"/>
                <w:lang w:eastAsia="en-AU"/>
              </w:rPr>
              <w:footnoteReference w:id="19"/>
            </w:r>
          </w:p>
        </w:tc>
        <w:tc>
          <w:tcPr>
            <w:tcW w:w="1098" w:type="pct"/>
            <w:vAlign w:val="center"/>
            <w:hideMark/>
          </w:tcPr>
          <w:p w14:paraId="13BE954F" w14:textId="77777777" w:rsidR="00257D6C" w:rsidRPr="00125C7F" w:rsidRDefault="00257D6C">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25C7F">
              <w:rPr>
                <w:rFonts w:eastAsia="Times New Roman" w:cs="Arial"/>
                <w:color w:val="000000" w:themeColor="text1"/>
                <w:sz w:val="20"/>
                <w:szCs w:val="20"/>
                <w:lang w:eastAsia="en-AU"/>
              </w:rPr>
              <w:t>$176,046</w:t>
            </w:r>
          </w:p>
        </w:tc>
        <w:tc>
          <w:tcPr>
            <w:tcW w:w="1100" w:type="pct"/>
            <w:vAlign w:val="center"/>
            <w:hideMark/>
          </w:tcPr>
          <w:p w14:paraId="1172A46F" w14:textId="1E7EB5F3" w:rsidR="00257D6C" w:rsidRPr="00125C7F" w:rsidRDefault="00BA5267">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7FC94E65">
              <w:rPr>
                <w:rFonts w:eastAsia="Times New Roman" w:cs="Arial"/>
                <w:color w:val="000000" w:themeColor="text1"/>
                <w:sz w:val="20"/>
                <w:szCs w:val="20"/>
                <w:lang w:eastAsia="en-AU"/>
              </w:rPr>
              <w:t>$90,922</w:t>
            </w:r>
          </w:p>
        </w:tc>
        <w:tc>
          <w:tcPr>
            <w:tcW w:w="1235" w:type="pct"/>
            <w:vAlign w:val="center"/>
          </w:tcPr>
          <w:p w14:paraId="761AFAA8" w14:textId="39CB477D" w:rsidR="00257D6C" w:rsidRPr="00125C7F" w:rsidRDefault="0050750D">
            <w:pPr>
              <w:spacing w:before="0"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themeColor="text1"/>
                <w:sz w:val="20"/>
                <w:szCs w:val="20"/>
                <w:lang w:eastAsia="en-AU"/>
              </w:rPr>
            </w:pPr>
            <w:r w:rsidRPr="0050750D">
              <w:rPr>
                <w:rFonts w:eastAsia="Times New Roman" w:cs="Arial"/>
                <w:color w:val="000000" w:themeColor="text1"/>
                <w:sz w:val="20"/>
                <w:szCs w:val="20"/>
                <w:lang w:eastAsia="en-AU"/>
              </w:rPr>
              <w:t>$97,416</w:t>
            </w:r>
          </w:p>
        </w:tc>
      </w:tr>
      <w:tr w:rsidR="00257D6C" w:rsidRPr="00F86BA4" w14:paraId="54F8DCD3" w14:textId="77777777" w:rsidTr="006F1847">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567" w:type="pct"/>
            <w:vAlign w:val="center"/>
            <w:hideMark/>
          </w:tcPr>
          <w:p w14:paraId="4C68894E" w14:textId="77777777" w:rsidR="00257D6C" w:rsidRPr="00125C7F" w:rsidRDefault="00257D6C">
            <w:pPr>
              <w:spacing w:before="0" w:after="0" w:line="240" w:lineRule="auto"/>
              <w:rPr>
                <w:rFonts w:eastAsia="Times New Roman" w:cs="Arial"/>
                <w:b w:val="0"/>
                <w:bCs w:val="0"/>
                <w:color w:val="000000"/>
                <w:sz w:val="20"/>
                <w:szCs w:val="20"/>
                <w:lang w:eastAsia="en-AU"/>
              </w:rPr>
            </w:pPr>
            <w:r w:rsidRPr="00125C7F">
              <w:rPr>
                <w:rFonts w:eastAsia="Times New Roman" w:cs="Arial"/>
                <w:color w:val="000000" w:themeColor="text1"/>
                <w:sz w:val="20"/>
                <w:szCs w:val="20"/>
                <w:lang w:eastAsia="en-AU"/>
              </w:rPr>
              <w:t>APY Lands (SA)</w:t>
            </w:r>
          </w:p>
        </w:tc>
        <w:tc>
          <w:tcPr>
            <w:tcW w:w="1098" w:type="pct"/>
            <w:vAlign w:val="center"/>
            <w:hideMark/>
          </w:tcPr>
          <w:p w14:paraId="2FC108F8" w14:textId="77777777" w:rsidR="00945A77" w:rsidRDefault="00945A77">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szCs w:val="20"/>
                <w:lang w:eastAsia="en-AU"/>
              </w:rPr>
            </w:pPr>
            <w:r w:rsidRPr="00945A77">
              <w:rPr>
                <w:rFonts w:eastAsia="Times New Roman" w:cs="Arial"/>
                <w:color w:val="000000" w:themeColor="text1"/>
                <w:sz w:val="20"/>
                <w:szCs w:val="20"/>
                <w:lang w:eastAsia="en-AU"/>
              </w:rPr>
              <w:t xml:space="preserve">$374,342 </w:t>
            </w:r>
          </w:p>
          <w:p w14:paraId="7A225DF9" w14:textId="03174BBB" w:rsidR="00257D6C" w:rsidRPr="00125C7F" w:rsidRDefault="00257D6C">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Pr>
                <w:rFonts w:eastAsia="Times New Roman" w:cs="Arial"/>
                <w:color w:val="000000" w:themeColor="text1"/>
                <w:sz w:val="20"/>
                <w:szCs w:val="20"/>
                <w:lang w:eastAsia="en-AU"/>
              </w:rPr>
              <w:t>(to 3</w:t>
            </w:r>
            <w:r w:rsidR="00BA5267">
              <w:rPr>
                <w:rFonts w:eastAsia="Times New Roman" w:cs="Arial"/>
                <w:color w:val="000000" w:themeColor="text1"/>
                <w:sz w:val="20"/>
                <w:szCs w:val="20"/>
                <w:lang w:eastAsia="en-AU"/>
              </w:rPr>
              <w:t>0</w:t>
            </w:r>
            <w:r>
              <w:rPr>
                <w:rFonts w:eastAsia="Times New Roman" w:cs="Arial"/>
                <w:color w:val="000000" w:themeColor="text1"/>
                <w:sz w:val="20"/>
                <w:szCs w:val="20"/>
                <w:lang w:eastAsia="en-AU"/>
              </w:rPr>
              <w:t xml:space="preserve"> </w:t>
            </w:r>
            <w:r w:rsidR="00BA5267">
              <w:rPr>
                <w:rFonts w:eastAsia="Times New Roman" w:cs="Arial"/>
                <w:color w:val="000000" w:themeColor="text1"/>
                <w:sz w:val="20"/>
                <w:szCs w:val="20"/>
                <w:lang w:eastAsia="en-AU"/>
              </w:rPr>
              <w:t>Sept</w:t>
            </w:r>
            <w:r>
              <w:rPr>
                <w:rFonts w:eastAsia="Times New Roman" w:cs="Arial"/>
                <w:color w:val="000000" w:themeColor="text1"/>
                <w:sz w:val="20"/>
                <w:szCs w:val="20"/>
                <w:lang w:eastAsia="en-AU"/>
              </w:rPr>
              <w:t xml:space="preserve"> 22)</w:t>
            </w:r>
          </w:p>
        </w:tc>
        <w:tc>
          <w:tcPr>
            <w:tcW w:w="1100" w:type="pct"/>
            <w:vAlign w:val="center"/>
            <w:hideMark/>
          </w:tcPr>
          <w:p w14:paraId="137C11F2" w14:textId="14AA0D54" w:rsidR="00257D6C" w:rsidRPr="00125C7F" w:rsidRDefault="00BA5267" w:rsidP="00BA526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szCs w:val="20"/>
                <w:lang w:eastAsia="en-AU"/>
              </w:rPr>
            </w:pPr>
            <w:r w:rsidRPr="00BA5267">
              <w:rPr>
                <w:rFonts w:eastAsia="Times New Roman" w:cs="Arial"/>
                <w:color w:val="000000" w:themeColor="text1"/>
                <w:sz w:val="20"/>
                <w:szCs w:val="20"/>
                <w:lang w:eastAsia="en-AU"/>
              </w:rPr>
              <w:t>$317,816</w:t>
            </w:r>
          </w:p>
        </w:tc>
        <w:tc>
          <w:tcPr>
            <w:tcW w:w="1235" w:type="pct"/>
            <w:vAlign w:val="center"/>
          </w:tcPr>
          <w:p w14:paraId="19C92764" w14:textId="56BD46DE" w:rsidR="00257D6C" w:rsidRPr="00125C7F" w:rsidRDefault="009A2D6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sz w:val="20"/>
                <w:szCs w:val="20"/>
                <w:lang w:eastAsia="en-AU"/>
              </w:rPr>
            </w:pPr>
            <w:r>
              <w:rPr>
                <w:rFonts w:eastAsia="Times New Roman" w:cs="Arial"/>
                <w:color w:val="000000" w:themeColor="text1"/>
                <w:sz w:val="20"/>
                <w:szCs w:val="20"/>
                <w:lang w:eastAsia="en-AU"/>
              </w:rPr>
              <w:t>NA</w:t>
            </w:r>
            <w:r w:rsidR="002D3888">
              <w:rPr>
                <w:rStyle w:val="FootnoteReference"/>
                <w:rFonts w:eastAsia="Times New Roman" w:cs="Arial"/>
                <w:color w:val="000000" w:themeColor="text1"/>
                <w:sz w:val="20"/>
                <w:szCs w:val="20"/>
                <w:lang w:eastAsia="en-AU"/>
              </w:rPr>
              <w:footnoteReference w:id="20"/>
            </w:r>
          </w:p>
        </w:tc>
      </w:tr>
    </w:tbl>
    <w:p w14:paraId="42D0E719" w14:textId="77777777" w:rsidR="00257D6C" w:rsidRDefault="00257D6C" w:rsidP="00257D6C">
      <w:pPr>
        <w:pStyle w:val="Source"/>
      </w:pPr>
      <w:r w:rsidRPr="00680FC5">
        <w:t>Source: Research and Evaluation Branch analysis of NDIS payments data</w:t>
      </w:r>
    </w:p>
    <w:p w14:paraId="01DE5FB9" w14:textId="7C95CFD7" w:rsidR="005D6501" w:rsidRDefault="005D6501" w:rsidP="00A01FA6">
      <w:pPr>
        <w:pStyle w:val="Heading3"/>
      </w:pPr>
      <w:bookmarkStart w:id="147" w:name="_Toc136336676"/>
      <w:r w:rsidRPr="00FC1B1E">
        <w:t xml:space="preserve">The extent </w:t>
      </w:r>
      <w:r>
        <w:t>direct commissioning</w:t>
      </w:r>
      <w:r w:rsidRPr="00FC1B1E">
        <w:t xml:space="preserve"> ha</w:t>
      </w:r>
      <w:r>
        <w:t xml:space="preserve">s </w:t>
      </w:r>
      <w:r w:rsidRPr="00FC1B1E">
        <w:t>operated as intended</w:t>
      </w:r>
      <w:bookmarkEnd w:id="141"/>
      <w:bookmarkEnd w:id="142"/>
      <w:bookmarkEnd w:id="147"/>
    </w:p>
    <w:p w14:paraId="3E664B01" w14:textId="4AA447BE" w:rsidR="005D6501" w:rsidRDefault="00787CA9" w:rsidP="005D6501">
      <w:r>
        <w:t xml:space="preserve">The </w:t>
      </w:r>
      <w:r w:rsidR="00E73778">
        <w:t xml:space="preserve">data shows that </w:t>
      </w:r>
      <w:r w:rsidR="00D5211E">
        <w:t xml:space="preserve">most </w:t>
      </w:r>
      <w:r w:rsidR="00731E6F">
        <w:t>p</w:t>
      </w:r>
      <w:r w:rsidR="00417E4B">
        <w:t xml:space="preserve">articipants </w:t>
      </w:r>
      <w:r w:rsidR="00870849">
        <w:t xml:space="preserve">received </w:t>
      </w:r>
      <w:r w:rsidR="000E4491">
        <w:t>supports under the direct commissioning arrangements</w:t>
      </w:r>
      <w:r w:rsidR="00870849">
        <w:t xml:space="preserve">, indicating that </w:t>
      </w:r>
      <w:r w:rsidR="00815CB3">
        <w:t xml:space="preserve">direct commissioning </w:t>
      </w:r>
      <w:r w:rsidR="00870849">
        <w:t>helps</w:t>
      </w:r>
      <w:r w:rsidR="00815CB3">
        <w:t xml:space="preserve"> fill immediate market gaps.</w:t>
      </w:r>
      <w:r w:rsidR="00870849">
        <w:t xml:space="preserve"> </w:t>
      </w:r>
      <w:r w:rsidR="00B40A16">
        <w:t>Guaranteeing</w:t>
      </w:r>
      <w:r w:rsidR="00280CEC">
        <w:t xml:space="preserve"> </w:t>
      </w:r>
      <w:r w:rsidR="006E754B">
        <w:t xml:space="preserve">service </w:t>
      </w:r>
      <w:r w:rsidR="00280CEC">
        <w:t>providers a market share</w:t>
      </w:r>
      <w:r w:rsidR="00870849">
        <w:t xml:space="preserve"> to connect with participants and support coordinators, will </w:t>
      </w:r>
      <w:r w:rsidR="00B40A16">
        <w:t>hopefully also encourage</w:t>
      </w:r>
      <w:r w:rsidR="00870849">
        <w:t xml:space="preserve"> them to continue to service the target LGAs when the </w:t>
      </w:r>
      <w:r w:rsidR="006F6E1E">
        <w:t xml:space="preserve">commissioning </w:t>
      </w:r>
      <w:r w:rsidR="00870849">
        <w:t xml:space="preserve">arrangement </w:t>
      </w:r>
      <w:r w:rsidR="006F6E1E">
        <w:t>ends</w:t>
      </w:r>
      <w:r w:rsidR="00B40A16">
        <w:t xml:space="preserve"> (refer to</w:t>
      </w:r>
      <w:r w:rsidR="006E754B">
        <w:t xml:space="preserve"> </w:t>
      </w:r>
      <w:r w:rsidR="006E754B">
        <w:rPr>
          <w:color w:val="2B579A"/>
          <w:shd w:val="clear" w:color="auto" w:fill="E6E6E6"/>
        </w:rPr>
        <w:fldChar w:fldCharType="begin"/>
      </w:r>
      <w:r w:rsidR="006E754B">
        <w:instrText xml:space="preserve"> REF _Ref115783672 \n \h </w:instrText>
      </w:r>
      <w:r w:rsidR="006E754B">
        <w:rPr>
          <w:color w:val="2B579A"/>
          <w:shd w:val="clear" w:color="auto" w:fill="E6E6E6"/>
        </w:rPr>
      </w:r>
      <w:r w:rsidR="006E754B">
        <w:rPr>
          <w:color w:val="2B579A"/>
          <w:shd w:val="clear" w:color="auto" w:fill="E6E6E6"/>
        </w:rPr>
        <w:fldChar w:fldCharType="separate"/>
      </w:r>
      <w:r w:rsidR="00DE04FA">
        <w:t>Appendix A</w:t>
      </w:r>
      <w:r w:rsidR="006E754B">
        <w:rPr>
          <w:color w:val="2B579A"/>
          <w:shd w:val="clear" w:color="auto" w:fill="E6E6E6"/>
        </w:rPr>
        <w:fldChar w:fldCharType="end"/>
      </w:r>
      <w:r w:rsidR="00B40A16">
        <w:t>)</w:t>
      </w:r>
      <w:r w:rsidR="006F6E1E">
        <w:t>.</w:t>
      </w:r>
      <w:r w:rsidR="00B40A16">
        <w:t xml:space="preserve"> </w:t>
      </w:r>
      <w:r w:rsidR="006F6E1E">
        <w:t xml:space="preserve">This section </w:t>
      </w:r>
      <w:r w:rsidR="0033602C">
        <w:t>discusses</w:t>
      </w:r>
      <w:r w:rsidR="006F6E1E">
        <w:t xml:space="preserve"> how well the direct commission</w:t>
      </w:r>
      <w:r w:rsidR="0033602C">
        <w:t>ing</w:t>
      </w:r>
      <w:r w:rsidR="006F6E1E">
        <w:t xml:space="preserve"> </w:t>
      </w:r>
      <w:r w:rsidR="00D85C65">
        <w:t>t</w:t>
      </w:r>
      <w:r w:rsidR="006F6E1E">
        <w:t xml:space="preserve">rials to date have </w:t>
      </w:r>
      <w:r w:rsidR="0033602C">
        <w:t>operated in line with this theory.</w:t>
      </w:r>
    </w:p>
    <w:p w14:paraId="1193E793" w14:textId="1A7F9C14" w:rsidR="0054142A" w:rsidRDefault="0054142A" w:rsidP="00A01FA6">
      <w:pPr>
        <w:pStyle w:val="Heading4"/>
      </w:pPr>
      <w:r>
        <w:t xml:space="preserve">The </w:t>
      </w:r>
      <w:r w:rsidR="00307DF2">
        <w:t>financial</w:t>
      </w:r>
      <w:r w:rsidR="00B40A16">
        <w:t xml:space="preserve"> </w:t>
      </w:r>
      <w:r>
        <w:t>viability of service delivery</w:t>
      </w:r>
    </w:p>
    <w:p w14:paraId="32BBDB1A" w14:textId="2A148623" w:rsidR="006A486A" w:rsidRDefault="00B40A16" w:rsidP="005D6501">
      <w:r>
        <w:t>By guaranteeing a certain volume of participants, d</w:t>
      </w:r>
      <w:r w:rsidR="00A5577E">
        <w:t xml:space="preserve">irect commissioning aims </w:t>
      </w:r>
      <w:r w:rsidR="00EE2DA7">
        <w:t xml:space="preserve">to </w:t>
      </w:r>
      <w:r w:rsidR="00D437C7">
        <w:t xml:space="preserve">encourage service providers to </w:t>
      </w:r>
      <w:r>
        <w:t xml:space="preserve">start supporting new locations. </w:t>
      </w:r>
      <w:r w:rsidR="00CA5181">
        <w:t xml:space="preserve">In </w:t>
      </w:r>
      <w:r w:rsidR="008024AC">
        <w:t xml:space="preserve">the ACT the </w:t>
      </w:r>
      <w:r>
        <w:t xml:space="preserve">commissioned </w:t>
      </w:r>
      <w:r w:rsidR="008024AC">
        <w:t xml:space="preserve">service providers reported that they were </w:t>
      </w:r>
      <w:r w:rsidR="00801EAE">
        <w:t xml:space="preserve">already </w:t>
      </w:r>
      <w:r w:rsidR="008024AC">
        <w:t xml:space="preserve">planning on expanding in the ACT prior to the </w:t>
      </w:r>
      <w:r w:rsidR="0081795A">
        <w:t>t</w:t>
      </w:r>
      <w:r w:rsidR="008024AC">
        <w:t>rial</w:t>
      </w:r>
      <w:r>
        <w:t>. However,</w:t>
      </w:r>
      <w:r w:rsidR="00676835">
        <w:t xml:space="preserve"> the </w:t>
      </w:r>
      <w:r w:rsidR="0081795A">
        <w:t>t</w:t>
      </w:r>
      <w:r w:rsidR="00676835">
        <w:t xml:space="preserve">rial </w:t>
      </w:r>
      <w:r w:rsidR="0067244B">
        <w:t>fast-track</w:t>
      </w:r>
      <w:r>
        <w:t>ed</w:t>
      </w:r>
      <w:r w:rsidR="0067244B">
        <w:t xml:space="preserve"> their plans </w:t>
      </w:r>
      <w:r>
        <w:t>by offering</w:t>
      </w:r>
      <w:r w:rsidR="0067244B">
        <w:t xml:space="preserve"> a base of participants to grow from. </w:t>
      </w:r>
      <w:r w:rsidR="00AB0BDC">
        <w:t xml:space="preserve">Two of the service providers specifically recruited staff </w:t>
      </w:r>
      <w:r w:rsidR="002E631F">
        <w:t>due to</w:t>
      </w:r>
      <w:r w:rsidR="00615E46">
        <w:t xml:space="preserve"> the direct commissioning contract.</w:t>
      </w:r>
      <w:r w:rsidR="00721A99">
        <w:t xml:space="preserve"> </w:t>
      </w:r>
      <w:r w:rsidR="005B3305">
        <w:t>Similarly, in Tas</w:t>
      </w:r>
      <w:r w:rsidR="00E06821">
        <w:t>mania</w:t>
      </w:r>
      <w:r w:rsidR="005B3305">
        <w:t xml:space="preserve">, two of the providers used the </w:t>
      </w:r>
      <w:r w:rsidR="0081795A">
        <w:t>t</w:t>
      </w:r>
      <w:r w:rsidR="005B3305">
        <w:t xml:space="preserve">rial to help grow </w:t>
      </w:r>
      <w:r w:rsidR="005279CC">
        <w:t>a</w:t>
      </w:r>
      <w:r w:rsidR="005B3305">
        <w:t xml:space="preserve"> </w:t>
      </w:r>
      <w:r w:rsidR="005279CC">
        <w:t>Tasmanian</w:t>
      </w:r>
      <w:r w:rsidR="005B3305">
        <w:t xml:space="preserve"> workforce</w:t>
      </w:r>
      <w:r w:rsidR="009D5693">
        <w:t>.</w:t>
      </w:r>
    </w:p>
    <w:p w14:paraId="3E156E93" w14:textId="55DF01CE" w:rsidR="00B834B0" w:rsidRDefault="00B834B0" w:rsidP="00844D79">
      <w:pPr>
        <w:pStyle w:val="Quote"/>
      </w:pPr>
      <w:r>
        <w:t>“I</w:t>
      </w:r>
      <w:r w:rsidRPr="00B834B0">
        <w:t>t's been a really nice way as an organisation to recruit for a specific area and know that you're going to get work. So we were able to recruit a clinician in the area and develop a full-time caseload easily, which was nice.</w:t>
      </w:r>
      <w:r>
        <w:t>” (Service provider interview)</w:t>
      </w:r>
    </w:p>
    <w:p w14:paraId="1B1FDCBC" w14:textId="6E20073E" w:rsidR="00340A42" w:rsidRDefault="00130E19" w:rsidP="005D6501">
      <w:r>
        <w:lastRenderedPageBreak/>
        <w:t xml:space="preserve">In the ACT and </w:t>
      </w:r>
      <w:r w:rsidR="007B0E59">
        <w:t>Tasmania,</w:t>
      </w:r>
      <w:r>
        <w:t xml:space="preserve"> the deeds of standing offer with service providers did </w:t>
      </w:r>
      <w:r w:rsidR="00D30DB2">
        <w:t xml:space="preserve">not </w:t>
      </w:r>
      <w:r>
        <w:t xml:space="preserve">guarantee </w:t>
      </w:r>
      <w:r w:rsidR="00D30DB2">
        <w:t xml:space="preserve">the number of participants </w:t>
      </w:r>
      <w:r w:rsidR="00416AD3">
        <w:t xml:space="preserve">or the timeframe over which </w:t>
      </w:r>
      <w:r w:rsidR="00B40A16">
        <w:t>providers would receive referrals</w:t>
      </w:r>
      <w:r w:rsidR="00416AD3">
        <w:t xml:space="preserve">. </w:t>
      </w:r>
      <w:r w:rsidR="00B40A16">
        <w:t>P</w:t>
      </w:r>
      <w:r w:rsidR="00726B97">
        <w:t>roviders in the ACT reported that</w:t>
      </w:r>
      <w:r w:rsidR="00504750">
        <w:t xml:space="preserve"> </w:t>
      </w:r>
      <w:r w:rsidR="00E1196B">
        <w:t xml:space="preserve">they </w:t>
      </w:r>
      <w:r w:rsidR="00B40A16">
        <w:t xml:space="preserve">had </w:t>
      </w:r>
      <w:r w:rsidR="006A1018">
        <w:t>expected to receive more referrals and that holding unfilled vacancies on their caseload</w:t>
      </w:r>
      <w:r w:rsidR="00B40A16">
        <w:t xml:space="preserve"> </w:t>
      </w:r>
      <w:r w:rsidR="006A1018">
        <w:t xml:space="preserve">had a </w:t>
      </w:r>
      <w:r w:rsidR="00504750">
        <w:t>negative</w:t>
      </w:r>
      <w:r w:rsidR="006A1018">
        <w:t xml:space="preserve"> financial impact.</w:t>
      </w:r>
    </w:p>
    <w:p w14:paraId="76FF098D" w14:textId="217C26AD" w:rsidR="004F0229" w:rsidRDefault="00874681" w:rsidP="00844D79">
      <w:pPr>
        <w:pStyle w:val="Quote"/>
      </w:pPr>
      <w:r>
        <w:t>“</w:t>
      </w:r>
      <w:r w:rsidRPr="00874681">
        <w:t xml:space="preserve">We onboarded an extra two </w:t>
      </w:r>
      <w:r>
        <w:t>practitioners</w:t>
      </w:r>
      <w:r w:rsidRPr="00874681">
        <w:t xml:space="preserve"> specifically for the </w:t>
      </w:r>
      <w:r w:rsidR="00E1304E">
        <w:t>t</w:t>
      </w:r>
      <w:r w:rsidRPr="00874681">
        <w:t xml:space="preserve">rial thinking the demand would be a little bit higher but unfortunately the demand wasn't there. </w:t>
      </w:r>
      <w:r w:rsidR="006A1018">
        <w:t>We</w:t>
      </w:r>
      <w:r w:rsidRPr="00874681">
        <w:t xml:space="preserve"> had to let one go because we just didn</w:t>
      </w:r>
      <w:r w:rsidR="002A2448">
        <w:t>’</w:t>
      </w:r>
      <w:r w:rsidRPr="00874681">
        <w:t xml:space="preserve">t get the referrals through that we thought we would from the </w:t>
      </w:r>
      <w:r w:rsidR="00E1304E">
        <w:t>t</w:t>
      </w:r>
      <w:r w:rsidRPr="00874681">
        <w:t>rial.</w:t>
      </w:r>
      <w:r w:rsidR="00641341">
        <w:t>” (Service provider interview)</w:t>
      </w:r>
    </w:p>
    <w:p w14:paraId="77027B75" w14:textId="5FDDDC41" w:rsidR="00101173" w:rsidRDefault="00101173" w:rsidP="00101173">
      <w:r>
        <w:t>In Tas</w:t>
      </w:r>
      <w:r w:rsidR="00042D25">
        <w:t>mania</w:t>
      </w:r>
      <w:r>
        <w:t xml:space="preserve">, </w:t>
      </w:r>
      <w:r w:rsidR="002A2448">
        <w:t xml:space="preserve">none of the contracted </w:t>
      </w:r>
      <w:r>
        <w:t xml:space="preserve">providers </w:t>
      </w:r>
      <w:r w:rsidR="002A2448">
        <w:t>had</w:t>
      </w:r>
      <w:r>
        <w:t xml:space="preserve"> staff based in Waratah-Wynyard itself</w:t>
      </w:r>
      <w:r w:rsidR="002A2448">
        <w:t xml:space="preserve"> </w:t>
      </w:r>
      <w:r>
        <w:t>and so operated a fly-in fly-out or drive-in drive</w:t>
      </w:r>
      <w:r w:rsidR="00EA286C">
        <w:t>-</w:t>
      </w:r>
      <w:r>
        <w:t xml:space="preserve">out model. As part of the </w:t>
      </w:r>
      <w:r w:rsidR="00E1304E">
        <w:t>t</w:t>
      </w:r>
      <w:r>
        <w:t xml:space="preserve">rial, service providers were able to claim </w:t>
      </w:r>
      <w:r w:rsidR="002A2448">
        <w:t xml:space="preserve">the </w:t>
      </w:r>
      <w:r>
        <w:t>full costs of t</w:t>
      </w:r>
      <w:r w:rsidR="002A2448">
        <w:t>ravel above the amount normally allowed under the NDIS Pric</w:t>
      </w:r>
      <w:r w:rsidR="006432DD">
        <w:t>ing</w:t>
      </w:r>
      <w:r w:rsidR="002A2448">
        <w:t xml:space="preserve"> </w:t>
      </w:r>
      <w:r w:rsidR="006432DD">
        <w:t>Arrangements</w:t>
      </w:r>
      <w:r w:rsidR="002A2448">
        <w:t>.</w:t>
      </w:r>
      <w:r w:rsidR="002A2448">
        <w:rPr>
          <w:rStyle w:val="FootnoteReference"/>
        </w:rPr>
        <w:footnoteReference w:id="21"/>
      </w:r>
      <w:r w:rsidR="00F965D5">
        <w:t xml:space="preserve"> </w:t>
      </w:r>
      <w:r>
        <w:t>Th</w:t>
      </w:r>
      <w:r w:rsidR="002A2448">
        <w:t>is made it financially viable for providers</w:t>
      </w:r>
      <w:r>
        <w:t xml:space="preserve"> </w:t>
      </w:r>
      <w:r w:rsidR="004C74BD">
        <w:t xml:space="preserve">to </w:t>
      </w:r>
      <w:r w:rsidR="002A2448">
        <w:t xml:space="preserve">deliver </w:t>
      </w:r>
      <w:r w:rsidR="004C74BD">
        <w:t xml:space="preserve">the </w:t>
      </w:r>
      <w:r w:rsidR="002A2448">
        <w:t>supports when participants</w:t>
      </w:r>
      <w:r>
        <w:t xml:space="preserve"> needed the</w:t>
      </w:r>
      <w:r w:rsidR="002A2448">
        <w:t>m</w:t>
      </w:r>
      <w:r>
        <w:t xml:space="preserve">, rather than </w:t>
      </w:r>
      <w:r w:rsidR="006F5B67">
        <w:t>waiting</w:t>
      </w:r>
      <w:r>
        <w:t xml:space="preserve"> </w:t>
      </w:r>
      <w:r w:rsidR="006F5B67">
        <w:t>to</w:t>
      </w:r>
      <w:r>
        <w:t xml:space="preserve"> pool </w:t>
      </w:r>
      <w:r w:rsidR="006F5B67">
        <w:t>a group</w:t>
      </w:r>
      <w:r>
        <w:t xml:space="preserve"> </w:t>
      </w:r>
      <w:r w:rsidR="006F5B67">
        <w:t xml:space="preserve">of </w:t>
      </w:r>
      <w:r>
        <w:t xml:space="preserve">participants to </w:t>
      </w:r>
      <w:r w:rsidR="004C74BD">
        <w:t xml:space="preserve">apportion </w:t>
      </w:r>
      <w:r w:rsidR="006F5B67">
        <w:t>the</w:t>
      </w:r>
      <w:r>
        <w:t xml:space="preserve"> travel costs.</w:t>
      </w:r>
    </w:p>
    <w:p w14:paraId="35474139" w14:textId="136FBA95" w:rsidR="00101173" w:rsidRDefault="00101173" w:rsidP="00844D79">
      <w:pPr>
        <w:pStyle w:val="Quote"/>
      </w:pPr>
      <w:r>
        <w:t>“Covering the travel costs is usually a challenge. And that's been a good thing with this trial is I've been able to say to the therapist, you can just go down for the one person</w:t>
      </w:r>
      <w:r w:rsidR="00F91090">
        <w:t>,</w:t>
      </w:r>
      <w:r>
        <w:t xml:space="preserve"> just get it done and claim it</w:t>
      </w:r>
      <w:r w:rsidR="3F71145B">
        <w:t>.”</w:t>
      </w:r>
      <w:r>
        <w:t xml:space="preserve"> (Service provider interview)</w:t>
      </w:r>
    </w:p>
    <w:p w14:paraId="52120E04" w14:textId="36B71DF2" w:rsidR="006547B8" w:rsidRDefault="00320397" w:rsidP="00523538">
      <w:r>
        <w:t>S</w:t>
      </w:r>
      <w:r w:rsidR="00F7486A">
        <w:t>ervice providers</w:t>
      </w:r>
      <w:r w:rsidR="000E4B95">
        <w:t xml:space="preserve"> in the ACT and Tas</w:t>
      </w:r>
      <w:r w:rsidR="00B23218">
        <w:t>mania</w:t>
      </w:r>
      <w:r w:rsidR="00F7486A">
        <w:t xml:space="preserve"> unanimously reported that </w:t>
      </w:r>
      <w:r w:rsidR="00015A89">
        <w:t xml:space="preserve">the </w:t>
      </w:r>
      <w:r w:rsidR="006432DD">
        <w:t>t</w:t>
      </w:r>
      <w:r w:rsidR="00015A89">
        <w:t>rial was administratively burdensome</w:t>
      </w:r>
      <w:r w:rsidR="00B55FB4">
        <w:t xml:space="preserve">. This </w:t>
      </w:r>
      <w:r w:rsidR="00307DF2">
        <w:t xml:space="preserve">mainly </w:t>
      </w:r>
      <w:r w:rsidR="00B55FB4">
        <w:t>related to reporting</w:t>
      </w:r>
      <w:r w:rsidR="008410CD">
        <w:t xml:space="preserve"> and invoicing</w:t>
      </w:r>
      <w:r w:rsidR="00B55FB4">
        <w:t xml:space="preserve"> requirements, which </w:t>
      </w:r>
      <w:r w:rsidR="00060BF3">
        <w:t xml:space="preserve">was </w:t>
      </w:r>
      <w:r w:rsidR="00307DF2">
        <w:t>manual</w:t>
      </w:r>
      <w:r w:rsidR="00B55FB4">
        <w:t xml:space="preserve"> given </w:t>
      </w:r>
      <w:r w:rsidR="00307DF2">
        <w:t>the supports were</w:t>
      </w:r>
      <w:r w:rsidR="000E4B95">
        <w:t xml:space="preserve"> </w:t>
      </w:r>
      <w:r w:rsidR="00EC50BC">
        <w:t xml:space="preserve">paid directly by the NDIA </w:t>
      </w:r>
      <w:r w:rsidR="00307DF2">
        <w:t>instead of</w:t>
      </w:r>
      <w:r w:rsidR="00EC50BC">
        <w:t xml:space="preserve"> </w:t>
      </w:r>
      <w:r w:rsidR="002178BB">
        <w:t xml:space="preserve">claiming </w:t>
      </w:r>
      <w:r w:rsidR="00307DF2">
        <w:t xml:space="preserve">from </w:t>
      </w:r>
      <w:r w:rsidR="00EC50BC">
        <w:t>participant plans</w:t>
      </w:r>
      <w:r w:rsidR="000E4B95">
        <w:t xml:space="preserve">. </w:t>
      </w:r>
      <w:r w:rsidR="00307DF2">
        <w:t>P</w:t>
      </w:r>
      <w:r w:rsidR="000E4B95">
        <w:t xml:space="preserve">roviders </w:t>
      </w:r>
      <w:r w:rsidR="00DD3D06">
        <w:t>also reported that</w:t>
      </w:r>
      <w:r w:rsidR="004D79EF">
        <w:t xml:space="preserve"> referral</w:t>
      </w:r>
      <w:r w:rsidR="00856BC5">
        <w:t>s</w:t>
      </w:r>
      <w:r w:rsidR="004D79EF">
        <w:t xml:space="preserve"> from the Agency </w:t>
      </w:r>
      <w:r w:rsidR="00307DF2">
        <w:t>often lacked</w:t>
      </w:r>
      <w:r w:rsidR="00D83A48">
        <w:t xml:space="preserve"> information</w:t>
      </w:r>
      <w:r w:rsidR="004D79EF">
        <w:t xml:space="preserve"> </w:t>
      </w:r>
      <w:r w:rsidR="00307DF2">
        <w:t>about the participants which</w:t>
      </w:r>
      <w:r>
        <w:t xml:space="preserve"> made</w:t>
      </w:r>
      <w:r w:rsidR="00307DF2">
        <w:t xml:space="preserve"> it difficult to engage them.</w:t>
      </w:r>
    </w:p>
    <w:p w14:paraId="3DE7A68D" w14:textId="7A348CB3" w:rsidR="00125C8B" w:rsidRDefault="00307DF2" w:rsidP="00307DF2">
      <w:r>
        <w:t>Overall, t</w:t>
      </w:r>
      <w:r w:rsidR="002444C0">
        <w:t>he small number of participants and the administrative</w:t>
      </w:r>
      <w:r w:rsidR="00067CCD">
        <w:t xml:space="preserve"> </w:t>
      </w:r>
      <w:r>
        <w:t>burden</w:t>
      </w:r>
      <w:r w:rsidR="00067CCD">
        <w:t xml:space="preserve"> meant that </w:t>
      </w:r>
      <w:r>
        <w:t xml:space="preserve">the </w:t>
      </w:r>
      <w:r w:rsidR="00A44A0A">
        <w:t xml:space="preserve">direct commissioning arrangements </w:t>
      </w:r>
      <w:r>
        <w:t>in ACT and Tasmania ended up being unprofitable for providers.</w:t>
      </w:r>
    </w:p>
    <w:p w14:paraId="6CD93AC6" w14:textId="14D9380B" w:rsidR="005D5621" w:rsidRDefault="002444C0" w:rsidP="00844D79">
      <w:pPr>
        <w:pStyle w:val="Quote"/>
      </w:pPr>
      <w:r>
        <w:t>“</w:t>
      </w:r>
      <w:r w:rsidR="006547B8">
        <w:t>I think the disappointing part about th</w:t>
      </w:r>
      <w:r w:rsidR="002B7B42">
        <w:t>e</w:t>
      </w:r>
      <w:r w:rsidR="006547B8">
        <w:t xml:space="preserve"> process is </w:t>
      </w:r>
      <w:r>
        <w:t xml:space="preserve">it’s a </w:t>
      </w:r>
      <w:r w:rsidR="006547B8">
        <w:t>really small tender in th</w:t>
      </w:r>
      <w:r w:rsidR="00521783">
        <w:t>e</w:t>
      </w:r>
      <w:r w:rsidR="006547B8">
        <w:t xml:space="preserve"> scheme of things and much smaller because we've had seven of those 30 participants. So now if we look at that versus the amount of effort and time </w:t>
      </w:r>
      <w:r w:rsidR="00052E5B">
        <w:t>we spent</w:t>
      </w:r>
      <w:r w:rsidR="006547B8">
        <w:t xml:space="preserve"> putting together the tender, the amount of work that we've had to put into getting those participants ready to engage in our service, it's not </w:t>
      </w:r>
      <w:r w:rsidR="00307DF2">
        <w:t>worth it</w:t>
      </w:r>
      <w:r w:rsidR="006547B8">
        <w:t xml:space="preserve">. </w:t>
      </w:r>
      <w:r w:rsidR="00052E5B">
        <w:t>We’ve</w:t>
      </w:r>
      <w:r w:rsidR="006547B8">
        <w:t xml:space="preserve"> absolutely made a loss if you're costing our time and energy for that</w:t>
      </w:r>
      <w:r w:rsidR="00521783">
        <w:t xml:space="preserve"> work.” (Service provider interview)</w:t>
      </w:r>
    </w:p>
    <w:p w14:paraId="47CD30E4" w14:textId="3DA6BC70" w:rsidR="00986161" w:rsidRDefault="00986161" w:rsidP="00844D79">
      <w:pPr>
        <w:pStyle w:val="Quote"/>
      </w:pPr>
      <w:r>
        <w:t>“I'm not sure we would have gone to all the effort of the tender submission for eight referrals.</w:t>
      </w:r>
      <w:r w:rsidR="009F76C7">
        <w:t>” (</w:t>
      </w:r>
      <w:r>
        <w:t>Service provider interview</w:t>
      </w:r>
      <w:r w:rsidR="009F76C7">
        <w:t>)</w:t>
      </w:r>
    </w:p>
    <w:p w14:paraId="653A5003" w14:textId="30DEE9DA" w:rsidR="009F76C7" w:rsidRDefault="003C7AB1" w:rsidP="003C7AB1">
      <w:r>
        <w:t>I</w:t>
      </w:r>
      <w:r w:rsidR="00B147EE">
        <w:t xml:space="preserve">t is too early to assess whether </w:t>
      </w:r>
      <w:r w:rsidR="00046B2D">
        <w:t xml:space="preserve">delivering supports under a direct commissioning arrangement will be </w:t>
      </w:r>
      <w:r>
        <w:t xml:space="preserve">financially </w:t>
      </w:r>
      <w:r w:rsidR="00046B2D">
        <w:t>viable for the service provider</w:t>
      </w:r>
      <w:r w:rsidR="00307DF2">
        <w:t xml:space="preserve"> contracted in the APY Lands</w:t>
      </w:r>
      <w:r>
        <w:t xml:space="preserve">. </w:t>
      </w:r>
      <w:r>
        <w:lastRenderedPageBreak/>
        <w:t xml:space="preserve">However, during interviews </w:t>
      </w:r>
      <w:r w:rsidR="00582DBE">
        <w:t xml:space="preserve">the </w:t>
      </w:r>
      <w:r>
        <w:t>s</w:t>
      </w:r>
      <w:r w:rsidR="000809DF">
        <w:t>ervice provider and other community stakeholders reported that service delivery in the APY Lands is very expensive</w:t>
      </w:r>
      <w:r>
        <w:t xml:space="preserve"> due to distance and limited infrastructure such as accommodation and housing. </w:t>
      </w:r>
      <w:r w:rsidR="00C853DF">
        <w:t xml:space="preserve">Some </w:t>
      </w:r>
      <w:r>
        <w:t xml:space="preserve">providers did not </w:t>
      </w:r>
      <w:r w:rsidR="008218C3">
        <w:t xml:space="preserve">respond to the tender due to concerns over financial viability. </w:t>
      </w:r>
    </w:p>
    <w:p w14:paraId="1447AD4C" w14:textId="25A24DAA" w:rsidR="00D91061" w:rsidRDefault="00D91061" w:rsidP="00844D79">
      <w:pPr>
        <w:pStyle w:val="Quote"/>
      </w:pPr>
      <w:r>
        <w:t xml:space="preserve">“We </w:t>
      </w:r>
      <w:r w:rsidR="00250B94">
        <w:t>had</w:t>
      </w:r>
      <w:r>
        <w:t xml:space="preserve"> a fair bit of financial modelling done at the time the tender came out as we were keen to go for it. It came out that we would lose half a million dollars over three years.</w:t>
      </w:r>
      <w:r w:rsidR="0082434D">
        <w:t xml:space="preserve"> There were guarantees for a certain amount </w:t>
      </w:r>
      <w:r w:rsidR="008F43F2">
        <w:t>[of money] but it would only allow three staff</w:t>
      </w:r>
      <w:r w:rsidR="003C7AB1">
        <w:t>. Y</w:t>
      </w:r>
      <w:r w:rsidR="00250B94">
        <w:t xml:space="preserve">ou </w:t>
      </w:r>
      <w:r w:rsidR="008F43F2">
        <w:t xml:space="preserve">would probably need double that. It didn’t provide for any set-up costs. Housing is non-existent so we would have to get demountable housing or houses to refurbish so </w:t>
      </w:r>
      <w:r w:rsidR="00250B94">
        <w:t xml:space="preserve">it </w:t>
      </w:r>
      <w:r w:rsidR="008F43F2">
        <w:t>would be very expensive. We gave feedback that it just didn’t stack up.” (Service provider interview)</w:t>
      </w:r>
    </w:p>
    <w:p w14:paraId="6FC7C64C" w14:textId="1EF5E481" w:rsidR="00CD5169" w:rsidRDefault="00004C57" w:rsidP="00986161">
      <w:r>
        <w:t>The service provider that has commenced in two of the four regions had a</w:t>
      </w:r>
      <w:r w:rsidR="009E59F0">
        <w:t>n existing</w:t>
      </w:r>
      <w:r>
        <w:t xml:space="preserve"> presence </w:t>
      </w:r>
      <w:r w:rsidR="004006A1">
        <w:t xml:space="preserve">and infrastructure </w:t>
      </w:r>
      <w:r>
        <w:t xml:space="preserve">in </w:t>
      </w:r>
      <w:r w:rsidR="004006A1">
        <w:t xml:space="preserve">these </w:t>
      </w:r>
      <w:r w:rsidR="00015285">
        <w:t>communities</w:t>
      </w:r>
      <w:r w:rsidR="003C7AB1">
        <w:t xml:space="preserve">. The provider </w:t>
      </w:r>
      <w:r w:rsidR="00581F0F">
        <w:t xml:space="preserve">only </w:t>
      </w:r>
      <w:r w:rsidR="00F13206">
        <w:t>tendered</w:t>
      </w:r>
      <w:r w:rsidR="00581F0F">
        <w:t xml:space="preserve"> for </w:t>
      </w:r>
      <w:r w:rsidR="00EC52CB">
        <w:t>the locations it had infrastructure it could leverage</w:t>
      </w:r>
      <w:r w:rsidR="006A6E8D">
        <w:t xml:space="preserve"> due to the issues raised above</w:t>
      </w:r>
      <w:r w:rsidR="00EC52CB">
        <w:t xml:space="preserve">. Though it is early days, the service provider is </w:t>
      </w:r>
      <w:r w:rsidR="00B55C5D">
        <w:t>hopeful that the direct commissioning will set them up to continue a sustainable service in the future.</w:t>
      </w:r>
    </w:p>
    <w:p w14:paraId="57A3F302" w14:textId="4ED954A5" w:rsidR="00B55C5D" w:rsidRDefault="00C61D4B" w:rsidP="00844D79">
      <w:pPr>
        <w:pStyle w:val="Quote"/>
      </w:pPr>
      <w:r>
        <w:t>“I</w:t>
      </w:r>
      <w:r w:rsidRPr="00C61D4B">
        <w:t xml:space="preserve">t's </w:t>
      </w:r>
      <w:r w:rsidR="003C7AB1" w:rsidRPr="00C61D4B">
        <w:t>giving</w:t>
      </w:r>
      <w:r w:rsidRPr="00C61D4B">
        <w:t xml:space="preserve"> us the ability to invest in some of that stuff </w:t>
      </w:r>
      <w:r>
        <w:t>[infrastructure and workforce]</w:t>
      </w:r>
      <w:r w:rsidR="009D1BDB">
        <w:t>,</w:t>
      </w:r>
      <w:r>
        <w:t xml:space="preserve"> </w:t>
      </w:r>
      <w:r w:rsidRPr="00C61D4B">
        <w:t>where before we weren't confident investing in it if we weren't able to have the participants attending</w:t>
      </w:r>
      <w:r w:rsidR="009D1BDB">
        <w:t>.</w:t>
      </w:r>
      <w:r w:rsidRPr="00C61D4B">
        <w:t xml:space="preserve"> </w:t>
      </w:r>
      <w:r w:rsidR="009D1BDB">
        <w:t>S</w:t>
      </w:r>
      <w:r w:rsidRPr="00C61D4B">
        <w:t>o it really has given us the ability to invest into the process and the support for the participants</w:t>
      </w:r>
      <w:r w:rsidR="009D1BDB">
        <w:t>.” (Service provider interview)</w:t>
      </w:r>
    </w:p>
    <w:p w14:paraId="75CB11BF" w14:textId="196E29E2" w:rsidR="00870F3C" w:rsidRPr="00870F3C" w:rsidRDefault="009C26EE" w:rsidP="003C7AB1">
      <w:r>
        <w:t>T</w:t>
      </w:r>
      <w:r w:rsidR="003C7AB1">
        <w:t>ogether, t</w:t>
      </w:r>
      <w:r>
        <w:t xml:space="preserve">he findings suggest that </w:t>
      </w:r>
      <w:r w:rsidR="003C7AB1">
        <w:t xml:space="preserve">at least in metropolitan and regional locations, </w:t>
      </w:r>
      <w:r w:rsidR="00E24ACE">
        <w:t xml:space="preserve">the current </w:t>
      </w:r>
      <w:r w:rsidR="00C9188D">
        <w:t>direct commissioning arrangements</w:t>
      </w:r>
      <w:r>
        <w:t xml:space="preserve"> do not </w:t>
      </w:r>
      <w:r w:rsidR="003C7AB1">
        <w:t>make service delivery</w:t>
      </w:r>
      <w:r>
        <w:t xml:space="preserve"> </w:t>
      </w:r>
      <w:r w:rsidR="00BE2722">
        <w:t xml:space="preserve">financially viable. </w:t>
      </w:r>
      <w:r w:rsidR="00057AF6">
        <w:t xml:space="preserve">However, </w:t>
      </w:r>
      <w:r w:rsidR="00B92B90">
        <w:t xml:space="preserve">by </w:t>
      </w:r>
      <w:r w:rsidR="003C7AB1">
        <w:t xml:space="preserve">guaranteeing more referrals (possibly through contracting less providers) and streamlining </w:t>
      </w:r>
      <w:r w:rsidR="00057AF6">
        <w:t xml:space="preserve">invoicing and reporting </w:t>
      </w:r>
      <w:r w:rsidR="003C7AB1">
        <w:t>requirements, direct commissioning could become more financially attractive for service providers.</w:t>
      </w:r>
    </w:p>
    <w:p w14:paraId="7319FBF9" w14:textId="37640071" w:rsidR="00D80B16" w:rsidRDefault="009B43A9" w:rsidP="00A01FA6">
      <w:pPr>
        <w:pStyle w:val="Heading4"/>
      </w:pPr>
      <w:r>
        <w:t>Post-</w:t>
      </w:r>
      <w:r w:rsidR="00034249">
        <w:t>t</w:t>
      </w:r>
      <w:r>
        <w:t xml:space="preserve">rial </w:t>
      </w:r>
      <w:r w:rsidR="00BD1EA8">
        <w:t>sustainability of service delivery</w:t>
      </w:r>
    </w:p>
    <w:p w14:paraId="3B49E0C3" w14:textId="5BCE8BF0" w:rsidR="00067555" w:rsidRDefault="00AD0887" w:rsidP="00BD1EA8">
      <w:r>
        <w:t xml:space="preserve">Direct commissioning </w:t>
      </w:r>
      <w:r w:rsidR="00682210">
        <w:t>intends to</w:t>
      </w:r>
      <w:r w:rsidR="00B21F0E">
        <w:t xml:space="preserve"> provide a base for service providers to build a</w:t>
      </w:r>
      <w:r w:rsidR="00682210">
        <w:t xml:space="preserve"> financially viable market presence and </w:t>
      </w:r>
      <w:r w:rsidR="00B21F0E">
        <w:t xml:space="preserve">continue service delivery after the </w:t>
      </w:r>
      <w:r w:rsidR="00682210">
        <w:t xml:space="preserve">end </w:t>
      </w:r>
      <w:r w:rsidR="00B21F0E">
        <w:t xml:space="preserve">of the contract. </w:t>
      </w:r>
      <w:r w:rsidR="00DD353D">
        <w:t>To</w:t>
      </w:r>
      <w:r w:rsidR="00086A24">
        <w:t xml:space="preserve"> do this, service providers need to receive </w:t>
      </w:r>
      <w:r w:rsidR="00682210">
        <w:t xml:space="preserve">a critical volume of </w:t>
      </w:r>
      <w:r w:rsidR="00086A24">
        <w:t>ongoing referrals</w:t>
      </w:r>
      <w:r w:rsidR="00682210">
        <w:t>.</w:t>
      </w:r>
    </w:p>
    <w:p w14:paraId="5937B447" w14:textId="37F747D9" w:rsidR="00AD0887" w:rsidRDefault="00DD353D" w:rsidP="00BD1EA8">
      <w:r>
        <w:t xml:space="preserve">Service providers </w:t>
      </w:r>
      <w:r w:rsidR="00067555">
        <w:t xml:space="preserve">in the ACT reported that through the </w:t>
      </w:r>
      <w:r w:rsidR="00561004">
        <w:t>t</w:t>
      </w:r>
      <w:r w:rsidR="00067555">
        <w:t xml:space="preserve">rial they </w:t>
      </w:r>
      <w:r w:rsidR="00682210">
        <w:t>developed new</w:t>
      </w:r>
      <w:r w:rsidR="00067555">
        <w:t xml:space="preserve"> relationships with support coordinators which </w:t>
      </w:r>
      <w:r w:rsidR="00682210">
        <w:t xml:space="preserve">is </w:t>
      </w:r>
      <w:r w:rsidR="00067555">
        <w:t>resulting in new referrals. Similarly, support coordinators reported that</w:t>
      </w:r>
      <w:r w:rsidR="00F63BE8">
        <w:t xml:space="preserve"> they were continuing to refer participants to the service providers. </w:t>
      </w:r>
    </w:p>
    <w:p w14:paraId="420A192B" w14:textId="7A7F6565" w:rsidR="00F63BE8" w:rsidRDefault="00155092" w:rsidP="00844D79">
      <w:pPr>
        <w:pStyle w:val="Quote"/>
      </w:pPr>
      <w:r>
        <w:t>“F</w:t>
      </w:r>
      <w:r w:rsidRPr="00155092">
        <w:t xml:space="preserve">rom the </w:t>
      </w:r>
      <w:r w:rsidR="00561004">
        <w:t>t</w:t>
      </w:r>
      <w:r w:rsidRPr="00155092">
        <w:t xml:space="preserve">rial we've had </w:t>
      </w:r>
      <w:r>
        <w:t>three</w:t>
      </w:r>
      <w:r w:rsidRPr="00155092">
        <w:t xml:space="preserve"> participants with the </w:t>
      </w:r>
      <w:r>
        <w:t>one</w:t>
      </w:r>
      <w:r w:rsidRPr="00155092">
        <w:t xml:space="preserve"> organisation, so </w:t>
      </w:r>
      <w:r>
        <w:t xml:space="preserve">that </w:t>
      </w:r>
      <w:r w:rsidRPr="00155092">
        <w:t xml:space="preserve">relationship has strengthened. We didn't even know about them before the </w:t>
      </w:r>
      <w:r w:rsidR="00561004">
        <w:t>t</w:t>
      </w:r>
      <w:r>
        <w:t>r</w:t>
      </w:r>
      <w:r w:rsidRPr="00155092">
        <w:t>ial. Since then, they have sent through other referrals directly to us.</w:t>
      </w:r>
      <w:r>
        <w:t>” (Service provider interview)</w:t>
      </w:r>
    </w:p>
    <w:p w14:paraId="5D00DDAA" w14:textId="3B6CE0DC" w:rsidR="00964CA3" w:rsidRDefault="00373A1F" w:rsidP="00F728FD">
      <w:r>
        <w:t xml:space="preserve">In </w:t>
      </w:r>
      <w:r w:rsidR="00682210">
        <w:t>Tasmania</w:t>
      </w:r>
      <w:r>
        <w:t>, service providers reported picking up new referrals</w:t>
      </w:r>
      <w:r w:rsidR="00682210">
        <w:t xml:space="preserve"> </w:t>
      </w:r>
      <w:r w:rsidR="00B464CC">
        <w:t>within</w:t>
      </w:r>
      <w:r w:rsidR="00682210">
        <w:t xml:space="preserve"> Waratah-Wynyard. H</w:t>
      </w:r>
      <w:r w:rsidR="00A21DD3">
        <w:t>owever</w:t>
      </w:r>
      <w:r w:rsidR="00682210">
        <w:t xml:space="preserve">, </w:t>
      </w:r>
      <w:r w:rsidR="00D005FA">
        <w:t xml:space="preserve">without the additional </w:t>
      </w:r>
      <w:r w:rsidR="001F309D">
        <w:t xml:space="preserve">funding for </w:t>
      </w:r>
      <w:r w:rsidR="00D005FA">
        <w:t xml:space="preserve">travel costs </w:t>
      </w:r>
      <w:r w:rsidR="000A21FD">
        <w:t xml:space="preserve">available </w:t>
      </w:r>
      <w:r w:rsidR="00D005FA">
        <w:t xml:space="preserve">during the </w:t>
      </w:r>
      <w:r w:rsidR="00561004">
        <w:t>t</w:t>
      </w:r>
      <w:r w:rsidR="00D005FA">
        <w:t xml:space="preserve">rial, they </w:t>
      </w:r>
      <w:r w:rsidR="00682210">
        <w:t xml:space="preserve">will </w:t>
      </w:r>
      <w:r w:rsidR="00D005FA">
        <w:t xml:space="preserve">need </w:t>
      </w:r>
      <w:r w:rsidR="00682210">
        <w:t>a critical number of participants</w:t>
      </w:r>
      <w:r w:rsidR="00D005FA">
        <w:t xml:space="preserve"> to pool travel costs to continue to provide services. </w:t>
      </w:r>
    </w:p>
    <w:p w14:paraId="39E1DDE6" w14:textId="1A914B6A" w:rsidR="00B40FD0" w:rsidRDefault="00B40FD0" w:rsidP="00964CA3">
      <w:pPr>
        <w:pStyle w:val="Quote"/>
        <w:keepNext/>
        <w:ind w:right="238"/>
      </w:pPr>
      <w:r>
        <w:lastRenderedPageBreak/>
        <w:t xml:space="preserve">“Our clinicians are located outside of the tender region and </w:t>
      </w:r>
      <w:r w:rsidRPr="00B40FD0">
        <w:t>actually we've supported approximately 7</w:t>
      </w:r>
      <w:r w:rsidR="006B1458">
        <w:t xml:space="preserve"> other</w:t>
      </w:r>
      <w:r w:rsidRPr="00B40FD0">
        <w:t xml:space="preserve"> people in the Waratah</w:t>
      </w:r>
      <w:r w:rsidR="00555ABC">
        <w:t>-</w:t>
      </w:r>
      <w:r w:rsidRPr="00B40FD0">
        <w:t>Wynyard region where we've</w:t>
      </w:r>
      <w:r w:rsidR="00555ABC">
        <w:t xml:space="preserve"> </w:t>
      </w:r>
      <w:r w:rsidRPr="00B40FD0">
        <w:t xml:space="preserve">tagged them </w:t>
      </w:r>
      <w:r w:rsidR="00555ABC">
        <w:t>o</w:t>
      </w:r>
      <w:r w:rsidRPr="00B40FD0">
        <w:t xml:space="preserve">nto </w:t>
      </w:r>
      <w:r w:rsidR="00555ABC">
        <w:t>a</w:t>
      </w:r>
      <w:r w:rsidRPr="00B40FD0">
        <w:t xml:space="preserve"> visit</w:t>
      </w:r>
      <w:r w:rsidR="00555ABC">
        <w:t xml:space="preserve"> [under the Trial]</w:t>
      </w:r>
      <w:r w:rsidRPr="00B40FD0">
        <w:t xml:space="preserve"> where we've only been able to obviously charge under the normal guidelines</w:t>
      </w:r>
      <w:r w:rsidR="000A39AD">
        <w:t>…</w:t>
      </w:r>
      <w:r w:rsidRPr="00B40FD0">
        <w:t>But there's no promise about being able to continue services</w:t>
      </w:r>
      <w:r w:rsidR="003778BF">
        <w:t>…S</w:t>
      </w:r>
      <w:r w:rsidRPr="00B40FD0">
        <w:t>adly, at this stage that unless there was some kind of funding support, it would be near impossible to continue our service into that region</w:t>
      </w:r>
      <w:r w:rsidR="00A94091">
        <w:t>.” (Service provider interview)</w:t>
      </w:r>
    </w:p>
    <w:p w14:paraId="340D7756" w14:textId="4467DC62" w:rsidR="00A45D19" w:rsidRPr="00FC455D" w:rsidRDefault="00A45D19" w:rsidP="00A45D19">
      <w:r>
        <w:t>In Tas</w:t>
      </w:r>
      <w:r w:rsidR="00D11557">
        <w:t>mania</w:t>
      </w:r>
      <w:r>
        <w:t xml:space="preserve">, service providers and support coordinators expressed anxiety </w:t>
      </w:r>
      <w:r w:rsidR="00682210">
        <w:t>about whether supports will still be available when</w:t>
      </w:r>
      <w:r>
        <w:t xml:space="preserve"> the </w:t>
      </w:r>
      <w:r w:rsidR="001A6AF5">
        <w:t>t</w:t>
      </w:r>
      <w:r>
        <w:t xml:space="preserve">rial ends. </w:t>
      </w:r>
      <w:r w:rsidR="00452EBC">
        <w:t>A</w:t>
      </w:r>
      <w:r w:rsidR="00EC1A7E">
        <w:t xml:space="preserve">t the time of this report, </w:t>
      </w:r>
      <w:r w:rsidR="00682210">
        <w:t xml:space="preserve">the contracts </w:t>
      </w:r>
      <w:r w:rsidR="00EC1A7E">
        <w:t>were still ongoing so it is unclear t</w:t>
      </w:r>
      <w:r w:rsidR="00F134F0">
        <w:t xml:space="preserve">he extent participants will be able to continue to </w:t>
      </w:r>
      <w:r w:rsidR="00682210">
        <w:t xml:space="preserve">access </w:t>
      </w:r>
      <w:r w:rsidR="00F134F0">
        <w:t xml:space="preserve">supports under normal </w:t>
      </w:r>
      <w:r w:rsidR="00377568">
        <w:t xml:space="preserve">NDIS </w:t>
      </w:r>
      <w:r w:rsidR="00682210">
        <w:t xml:space="preserve">pricing </w:t>
      </w:r>
      <w:r w:rsidR="00F134F0">
        <w:t xml:space="preserve">arrangements. </w:t>
      </w:r>
    </w:p>
    <w:p w14:paraId="59913E3C" w14:textId="015E2C62" w:rsidR="00A45D19" w:rsidRPr="00A45D19" w:rsidRDefault="00F134F0" w:rsidP="00844D79">
      <w:pPr>
        <w:pStyle w:val="Quote"/>
      </w:pPr>
      <w:r>
        <w:t>“</w:t>
      </w:r>
      <w:r w:rsidR="00682210">
        <w:t>N</w:t>
      </w:r>
      <w:r>
        <w:t>othing has changed due to the trial. If those providers are not offered that financial incentive to come to Tasmania then we are in no better place than we were two years ago when it started.</w:t>
      </w:r>
      <w:r w:rsidR="00D35D99">
        <w:t>” (Support coordinator interview)</w:t>
      </w:r>
    </w:p>
    <w:p w14:paraId="25687869" w14:textId="67C3E017" w:rsidR="00D85196" w:rsidRDefault="00FC455D" w:rsidP="00FC455D">
      <w:r>
        <w:t>T</w:t>
      </w:r>
      <w:r w:rsidR="00682210">
        <w:t>ogether, t</w:t>
      </w:r>
      <w:r>
        <w:t>he</w:t>
      </w:r>
      <w:r w:rsidR="00682210">
        <w:t>se</w:t>
      </w:r>
      <w:r>
        <w:t xml:space="preserve"> findings suggest that </w:t>
      </w:r>
      <w:r w:rsidR="00D85196">
        <w:t xml:space="preserve">while </w:t>
      </w:r>
      <w:r w:rsidR="002B4FDC">
        <w:t xml:space="preserve">direct commissioning supports participants </w:t>
      </w:r>
      <w:r w:rsidR="00C512EE">
        <w:t xml:space="preserve">to </w:t>
      </w:r>
      <w:r w:rsidR="00D85196">
        <w:t>access supports during the contract period, there are</w:t>
      </w:r>
      <w:r>
        <w:t xml:space="preserve"> </w:t>
      </w:r>
      <w:r w:rsidR="00D85196">
        <w:t xml:space="preserve">financial </w:t>
      </w:r>
      <w:r w:rsidR="006C401A">
        <w:t xml:space="preserve">barriers </w:t>
      </w:r>
      <w:r w:rsidR="00D85196">
        <w:t>for providers to continue offering supports after the contract</w:t>
      </w:r>
      <w:r w:rsidR="005D02F3">
        <w:t xml:space="preserve"> ends</w:t>
      </w:r>
      <w:r w:rsidR="00D85196">
        <w:t>. This suggests direct commissioning</w:t>
      </w:r>
      <w:r w:rsidR="00321786">
        <w:t xml:space="preserve"> in the form trialled</w:t>
      </w:r>
      <w:r w:rsidR="00D85196">
        <w:t xml:space="preserve"> does not lead to ongoing market strengthening and might not be a sustainable solution given the considerable effort involved.</w:t>
      </w:r>
    </w:p>
    <w:p w14:paraId="71466DEB" w14:textId="77777777" w:rsidR="009C4F5C" w:rsidRDefault="009C4F5C" w:rsidP="00A01FA6">
      <w:pPr>
        <w:pStyle w:val="Heading3"/>
      </w:pPr>
      <w:bookmarkStart w:id="148" w:name="_Toc136336677"/>
      <w:r>
        <w:t>Factors affecting the success of direct commissioning</w:t>
      </w:r>
      <w:bookmarkEnd w:id="148"/>
      <w:r>
        <w:t xml:space="preserve"> </w:t>
      </w:r>
    </w:p>
    <w:p w14:paraId="3C2FFB6D" w14:textId="3D8E664E" w:rsidR="009C4F5C" w:rsidRDefault="009C4F5C" w:rsidP="009C4F5C">
      <w:r>
        <w:t>Like CFPs, the evaluation findings suggest that the same factors limiting the success of market facilitation will limit the ongoing success of direct commissioning. In the ACT, the contracted providers plan to maintain their presence after the contract ends as factors such as travel costs will not be an impact. However, according to service providers and support coordinators, a low understanding of behaviour supports amongst participants will make it difficult to maintain and grow their market share after the contract ends.</w:t>
      </w:r>
    </w:p>
    <w:p w14:paraId="17CD4603" w14:textId="1AF7A18B" w:rsidR="009C4F5C" w:rsidRDefault="009C4F5C" w:rsidP="009C4F5C">
      <w:r w:rsidRPr="00F11D3D">
        <w:t xml:space="preserve">At this stage it appears that in Tasmania, direct commissioning may not result in ongoing </w:t>
      </w:r>
      <w:r>
        <w:t xml:space="preserve">service delivery by the service providers due to high anticipated travel costs. </w:t>
      </w:r>
    </w:p>
    <w:p w14:paraId="5CB18A74" w14:textId="4477EC05" w:rsidR="009C4F5C" w:rsidRDefault="009C4F5C" w:rsidP="009C4F5C">
      <w:r>
        <w:t xml:space="preserve">While direct commissioning does not appear to be able to overcome </w:t>
      </w:r>
      <w:r w:rsidR="009E7839">
        <w:t>the</w:t>
      </w:r>
      <w:r w:rsidR="00BC1DDA">
        <w:t>se</w:t>
      </w:r>
      <w:r w:rsidR="009E7839">
        <w:t xml:space="preserve"> structural</w:t>
      </w:r>
      <w:r>
        <w:t xml:space="preserve"> challenges, NDIA stakeholders and service providers identified establishing contracts and engaging participants as factors to improve for future direct commissioning arrangements.</w:t>
      </w:r>
    </w:p>
    <w:p w14:paraId="452B35D8" w14:textId="152AFEA5" w:rsidR="009C4F5C" w:rsidRPr="00FE3F6A" w:rsidRDefault="009C4F5C" w:rsidP="00A01FA6">
      <w:pPr>
        <w:pStyle w:val="Heading4"/>
      </w:pPr>
      <w:r>
        <w:t>Establishing contracts</w:t>
      </w:r>
    </w:p>
    <w:p w14:paraId="25BD6F32" w14:textId="751D6AC4" w:rsidR="009C4F5C" w:rsidRDefault="009C4F5C" w:rsidP="009C4F5C">
      <w:r>
        <w:t>Implementing direct commissioning arrangements required substantial effort including scoping, tender development, quote evaluation, participant recruitment and plan reviews. This meant that it took substantial time for all the direct commissioning trials to commence delivering supports to participants</w:t>
      </w:r>
      <w:r w:rsidR="00D44BE9">
        <w:t xml:space="preserve">, with it taking around one year between start of </w:t>
      </w:r>
      <w:r w:rsidR="0061431E">
        <w:t xml:space="preserve">the </w:t>
      </w:r>
      <w:r w:rsidR="00305803">
        <w:t>t</w:t>
      </w:r>
      <w:r w:rsidR="0061431E">
        <w:t>ria</w:t>
      </w:r>
      <w:r w:rsidR="00AE4A74">
        <w:t xml:space="preserve">ls </w:t>
      </w:r>
      <w:r w:rsidR="0061431E">
        <w:t xml:space="preserve">and service delivery in ACT and Tasmania, and almost two years in the APY Lands. </w:t>
      </w:r>
    </w:p>
    <w:p w14:paraId="6F5F8ED4" w14:textId="0B86B7F2" w:rsidR="009C4F5C" w:rsidRDefault="009C4F5C" w:rsidP="009C4F5C">
      <w:r>
        <w:t xml:space="preserve">The NDIA had to take National Delivery staff offline to recruit participants for the </w:t>
      </w:r>
      <w:r w:rsidR="00305803">
        <w:t>t</w:t>
      </w:r>
      <w:r>
        <w:t xml:space="preserve">rials and then undertake the required plan reviews. Staff in National Delivery reported that it was </w:t>
      </w:r>
      <w:r>
        <w:lastRenderedPageBreak/>
        <w:t>somewhat manageable due to the small group of participants. However, this might not be the case if the NDIA decides to scale up the use of direct commissioning</w:t>
      </w:r>
      <w:r w:rsidR="0030042C">
        <w:t>,</w:t>
      </w:r>
      <w:r>
        <w:t xml:space="preserve"> which would further delay participants receiving supports. </w:t>
      </w:r>
    </w:p>
    <w:p w14:paraId="242CD28E" w14:textId="77777777" w:rsidR="009C4F5C" w:rsidRDefault="009C4F5C" w:rsidP="00A01FA6">
      <w:pPr>
        <w:pStyle w:val="Heading4"/>
      </w:pPr>
      <w:r>
        <w:t xml:space="preserve">Participant recruitment and engagement </w:t>
      </w:r>
    </w:p>
    <w:p w14:paraId="66965C83" w14:textId="67985422" w:rsidR="009C4F5C" w:rsidRDefault="003004E0" w:rsidP="009C4F5C">
      <w:r>
        <w:t>Market Development</w:t>
      </w:r>
      <w:r w:rsidR="009C4F5C">
        <w:t xml:space="preserve"> and National Delivery stakeholders reported challenges recruiting participants to the </w:t>
      </w:r>
      <w:r>
        <w:t>t</w:t>
      </w:r>
      <w:r w:rsidR="009C4F5C">
        <w:t xml:space="preserve">rials. Overall, around one in three participants contacted agreed to participate in the ACT and Tasmania. Participants gave a range of reasons for choosing not to participate, such as not wanting a plan review, not being ready to engage, already having a provider or being happy to wait for a specific provider to have a vacancy. </w:t>
      </w:r>
    </w:p>
    <w:p w14:paraId="31680002" w14:textId="7D787110" w:rsidR="009C4F5C" w:rsidRDefault="009C4F5C" w:rsidP="009C4F5C">
      <w:r>
        <w:t xml:space="preserve">This meant that in the ACT, only </w:t>
      </w:r>
      <w:r w:rsidR="00761094">
        <w:t>21</w:t>
      </w:r>
      <w:r>
        <w:t xml:space="preserve"> out of the target of 30 participants ended up receiving supports under the contracts. In Tasmania, the NDIA broadened the catchment region beyond Waratah-Wynard to get the full quota of participants. </w:t>
      </w:r>
    </w:p>
    <w:p w14:paraId="7DD50E36" w14:textId="015A2D4C" w:rsidR="009C4F5C" w:rsidRDefault="009C4F5C" w:rsidP="009C4F5C">
      <w:r>
        <w:t>Service providers also reported issues engaging participants after they had received a referral. The</w:t>
      </w:r>
      <w:r w:rsidR="00B422FD">
        <w:t>y</w:t>
      </w:r>
      <w:r>
        <w:t xml:space="preserve"> commented that the referrals contain</w:t>
      </w:r>
      <w:r w:rsidR="00B422FD">
        <w:t>ed</w:t>
      </w:r>
      <w:r>
        <w:t xml:space="preserve"> limited information about the </w:t>
      </w:r>
      <w:r w:rsidR="007B183D">
        <w:t>participant,</w:t>
      </w:r>
      <w:r>
        <w:t xml:space="preserve"> and they had to gather considerable necessary information before they could commence service delivery</w:t>
      </w:r>
      <w:r w:rsidR="003F5425">
        <w:t xml:space="preserve"> (e.g., nature of disability, </w:t>
      </w:r>
      <w:r w:rsidR="002A2FDA">
        <w:t>living arrangements).</w:t>
      </w:r>
    </w:p>
    <w:p w14:paraId="16AED0A6" w14:textId="77777777" w:rsidR="00340AA4" w:rsidRDefault="009C4F5C" w:rsidP="00FC455D">
      <w:r>
        <w:t xml:space="preserve">Service providers also thought that since participants did not actively seek out the support themselves, they were generally less engaged and motivated to receive support. </w:t>
      </w:r>
      <w:r w:rsidR="00074961">
        <w:t xml:space="preserve">Analysis of </w:t>
      </w:r>
      <w:r w:rsidR="00315045">
        <w:t xml:space="preserve">participant direct commissioning expenditure </w:t>
      </w:r>
      <w:r w:rsidR="00922BD6">
        <w:t xml:space="preserve">supports this view. In </w:t>
      </w:r>
      <w:r w:rsidR="005367D6">
        <w:t xml:space="preserve">Tasmania, around one-third of participants </w:t>
      </w:r>
      <w:r w:rsidR="006C3762">
        <w:t xml:space="preserve">had used less than </w:t>
      </w:r>
      <w:r w:rsidR="00E13D67">
        <w:t xml:space="preserve">half </w:t>
      </w:r>
      <w:r w:rsidR="006C3762">
        <w:t xml:space="preserve">of their funds, </w:t>
      </w:r>
      <w:r w:rsidR="00E84001">
        <w:t xml:space="preserve">while in the ACT </w:t>
      </w:r>
      <w:r w:rsidR="00BF3A27">
        <w:t xml:space="preserve">approximately 60% used less than half of their funding. </w:t>
      </w:r>
    </w:p>
    <w:p w14:paraId="3217FD2E" w14:textId="597A002B" w:rsidR="00B25927" w:rsidRDefault="008B1BE3" w:rsidP="00D421E3">
      <w:r>
        <w:t>These two factors, according to service providers, added time and, therefore, they bore additional costs.</w:t>
      </w:r>
    </w:p>
    <w:p w14:paraId="7C4FE92E" w14:textId="069D4F41" w:rsidR="00325AC3" w:rsidRDefault="00325AC3" w:rsidP="00A01FA6">
      <w:pPr>
        <w:pStyle w:val="Heading2"/>
      </w:pPr>
      <w:bookmarkStart w:id="149" w:name="_Toc111206335"/>
      <w:bookmarkStart w:id="150" w:name="_Toc111206449"/>
      <w:bookmarkStart w:id="151" w:name="_Toc136336678"/>
      <w:r>
        <w:lastRenderedPageBreak/>
        <w:t>Conclusions</w:t>
      </w:r>
      <w:bookmarkEnd w:id="149"/>
      <w:bookmarkEnd w:id="150"/>
      <w:bookmarkEnd w:id="151"/>
    </w:p>
    <w:p w14:paraId="6801B875" w14:textId="543DCDF2" w:rsidR="005D6501" w:rsidRDefault="007E0CE7" w:rsidP="00A01FA6">
      <w:pPr>
        <w:pStyle w:val="Heading3"/>
      </w:pPr>
      <w:bookmarkStart w:id="152" w:name="_Toc111206336"/>
      <w:bookmarkStart w:id="153" w:name="_Toc111206450"/>
      <w:bookmarkStart w:id="154" w:name="_Toc136336679"/>
      <w:r>
        <w:t xml:space="preserve">The </w:t>
      </w:r>
      <w:r w:rsidR="004C3D94">
        <w:t>impacts</w:t>
      </w:r>
      <w:r w:rsidR="005D6501">
        <w:t xml:space="preserve"> of market interventions</w:t>
      </w:r>
      <w:bookmarkEnd w:id="152"/>
      <w:bookmarkEnd w:id="153"/>
      <w:bookmarkEnd w:id="154"/>
    </w:p>
    <w:p w14:paraId="27FA1C02" w14:textId="79329EF3" w:rsidR="00D83925" w:rsidRDefault="002251BC" w:rsidP="005D6501">
      <w:r>
        <w:t xml:space="preserve">The evaluation findings </w:t>
      </w:r>
      <w:r w:rsidR="005973B6">
        <w:t>suggest that CFPs</w:t>
      </w:r>
      <w:r w:rsidR="00C31553">
        <w:t>,</w:t>
      </w:r>
      <w:r w:rsidR="005973B6">
        <w:t xml:space="preserve"> and </w:t>
      </w:r>
      <w:r w:rsidR="00C31553">
        <w:t>under some conditions</w:t>
      </w:r>
      <w:r w:rsidR="005973B6">
        <w:t xml:space="preserve"> direct </w:t>
      </w:r>
      <w:r w:rsidR="00240004">
        <w:t>commissioning</w:t>
      </w:r>
      <w:r w:rsidR="005973B6">
        <w:t>,</w:t>
      </w:r>
      <w:r w:rsidR="00C31553">
        <w:t xml:space="preserve"> </w:t>
      </w:r>
      <w:r w:rsidR="005973B6">
        <w:t xml:space="preserve">are </w:t>
      </w:r>
      <w:r w:rsidR="00D83925">
        <w:t>promising approach</w:t>
      </w:r>
      <w:r w:rsidR="00C31553">
        <w:t>es</w:t>
      </w:r>
      <w:r w:rsidR="005973B6">
        <w:t xml:space="preserve"> to increasing participant use of funded supports in thin markets.</w:t>
      </w:r>
      <w:r w:rsidR="00510D52">
        <w:t xml:space="preserve"> </w:t>
      </w:r>
      <w:r w:rsidR="00BC5A1D">
        <w:t xml:space="preserve">Across the </w:t>
      </w:r>
      <w:r w:rsidR="00E8079F">
        <w:t>nine</w:t>
      </w:r>
      <w:r w:rsidR="00BC5A1D">
        <w:t xml:space="preserve"> CFP projects in the scope of this evaluation, 86% (98 of 114) of targeted participants </w:t>
      </w:r>
      <w:r w:rsidR="00421A2B">
        <w:t>had r</w:t>
      </w:r>
      <w:r w:rsidR="00BC5A1D">
        <w:t xml:space="preserve">eceived the </w:t>
      </w:r>
      <w:r w:rsidR="00D94B51">
        <w:t xml:space="preserve">intended </w:t>
      </w:r>
      <w:r w:rsidR="00BC5A1D">
        <w:t xml:space="preserve">support at the time of preparing this report. </w:t>
      </w:r>
      <w:r w:rsidR="00232138">
        <w:t>Seven</w:t>
      </w:r>
      <w:r w:rsidR="00BC5A1D">
        <w:t xml:space="preserve"> of the </w:t>
      </w:r>
      <w:r w:rsidR="00D56B02">
        <w:t xml:space="preserve">CFPs </w:t>
      </w:r>
      <w:r w:rsidR="00D94B51">
        <w:t>focused on</w:t>
      </w:r>
      <w:r w:rsidR="00BC5A1D">
        <w:t xml:space="preserve"> functional assessment</w:t>
      </w:r>
      <w:r w:rsidR="00D94B51">
        <w:t>s</w:t>
      </w:r>
      <w:r w:rsidR="00BC5A1D">
        <w:t xml:space="preserve"> to </w:t>
      </w:r>
      <w:r w:rsidR="00120E55">
        <w:t xml:space="preserve">understand what </w:t>
      </w:r>
      <w:r w:rsidR="00227D91">
        <w:t xml:space="preserve">additional </w:t>
      </w:r>
      <w:r w:rsidR="00120E55">
        <w:t>supports participants</w:t>
      </w:r>
      <w:r w:rsidR="005F230B">
        <w:t xml:space="preserve"> need</w:t>
      </w:r>
      <w:r w:rsidR="00120E55">
        <w:t>.</w:t>
      </w:r>
      <w:r w:rsidR="00BC5A1D">
        <w:t xml:space="preserve"> For </w:t>
      </w:r>
      <w:r w:rsidR="00651686">
        <w:t>these</w:t>
      </w:r>
      <w:r w:rsidR="00BC5A1D">
        <w:t xml:space="preserve"> </w:t>
      </w:r>
      <w:r w:rsidR="00FD2580">
        <w:t>CFPs</w:t>
      </w:r>
      <w:r w:rsidR="00BC5A1D">
        <w:t xml:space="preserve">, expenditure within the relevant follow-on support categories increased </w:t>
      </w:r>
      <w:r w:rsidR="00A056E6">
        <w:t>by 13</w:t>
      </w:r>
      <w:r w:rsidR="00651686">
        <w:t>2</w:t>
      </w:r>
      <w:r w:rsidR="00A056E6">
        <w:t xml:space="preserve">% respectively </w:t>
      </w:r>
      <w:r w:rsidR="00BC5A1D">
        <w:t xml:space="preserve">after the CFP period </w:t>
      </w:r>
      <w:r w:rsidR="00C50A81">
        <w:t xml:space="preserve">compared with </w:t>
      </w:r>
      <w:r w:rsidR="00BC5A1D">
        <w:t>the prior 12-months</w:t>
      </w:r>
      <w:r w:rsidR="00CD3D75">
        <w:t xml:space="preserve">. This equates to on average </w:t>
      </w:r>
      <w:r w:rsidR="00C50A81">
        <w:t>an additiona</w:t>
      </w:r>
      <w:r w:rsidR="00403BED">
        <w:t>l</w:t>
      </w:r>
      <w:r w:rsidR="00C50A81">
        <w:t xml:space="preserve"> spend of </w:t>
      </w:r>
      <w:r w:rsidR="00CD3D75">
        <w:t>$</w:t>
      </w:r>
      <w:r w:rsidR="00E66145">
        <w:t>4</w:t>
      </w:r>
      <w:r w:rsidR="00CD3D75">
        <w:t>,</w:t>
      </w:r>
      <w:r w:rsidR="00E66145">
        <w:t xml:space="preserve">982 </w:t>
      </w:r>
      <w:r w:rsidR="00CD3D75">
        <w:t>per participant</w:t>
      </w:r>
      <w:r w:rsidR="00403BED">
        <w:t xml:space="preserve">. </w:t>
      </w:r>
    </w:p>
    <w:p w14:paraId="2368294E" w14:textId="481AC250" w:rsidR="00B17927" w:rsidRDefault="00C11905" w:rsidP="00510D52">
      <w:pPr>
        <w:spacing w:after="200"/>
      </w:pPr>
      <w:r>
        <w:t>An</w:t>
      </w:r>
      <w:r w:rsidR="00D94B51">
        <w:t xml:space="preserve"> advantage of a CFP is that it</w:t>
      </w:r>
      <w:r w:rsidR="00B17927">
        <w:t xml:space="preserve"> </w:t>
      </w:r>
      <w:r w:rsidR="00C93896">
        <w:t xml:space="preserve">can be easily deployed using </w:t>
      </w:r>
      <w:r w:rsidR="00B17927">
        <w:t xml:space="preserve">the existing NDIS </w:t>
      </w:r>
      <w:r w:rsidR="00122893">
        <w:t>Pricing Arrangements and Price Limits</w:t>
      </w:r>
      <w:r w:rsidR="00C93896">
        <w:t>.</w:t>
      </w:r>
      <w:r w:rsidR="00B17927">
        <w:t xml:space="preserve"> </w:t>
      </w:r>
      <w:r w:rsidR="00C93896">
        <w:t>P</w:t>
      </w:r>
      <w:r w:rsidR="00B17927">
        <w:t>articipants</w:t>
      </w:r>
      <w:r w:rsidR="00A43391">
        <w:t xml:space="preserve">, </w:t>
      </w:r>
      <w:r w:rsidR="00B17927">
        <w:t>their families</w:t>
      </w:r>
      <w:r w:rsidR="00A43391">
        <w:t>,</w:t>
      </w:r>
      <w:r w:rsidR="00B17927">
        <w:t xml:space="preserve"> or support coordinators can establish a CFP independent</w:t>
      </w:r>
      <w:r w:rsidR="00CE45D1">
        <w:t xml:space="preserve"> </w:t>
      </w:r>
      <w:r w:rsidR="00B17927">
        <w:t xml:space="preserve">of the NDIA. However, most of the CFPs to date have focused on one-off functional assessments </w:t>
      </w:r>
      <w:r w:rsidR="00C90398">
        <w:t>for other supports such as therapies and ATHM</w:t>
      </w:r>
      <w:r w:rsidR="00B17927">
        <w:t xml:space="preserve">. To understand the </w:t>
      </w:r>
      <w:r w:rsidR="00E3352C">
        <w:t xml:space="preserve">full </w:t>
      </w:r>
      <w:r w:rsidR="00B17927">
        <w:t xml:space="preserve">potential of CFPs, they need </w:t>
      </w:r>
      <w:r w:rsidR="00C90398">
        <w:t xml:space="preserve">piloting </w:t>
      </w:r>
      <w:r w:rsidR="00B17927">
        <w:t xml:space="preserve">across a wider range of </w:t>
      </w:r>
      <w:r w:rsidR="00421A2B">
        <w:t>support types</w:t>
      </w:r>
      <w:r w:rsidR="00C90398">
        <w:t xml:space="preserve">. </w:t>
      </w:r>
      <w:r w:rsidR="00B17927">
        <w:t xml:space="preserve">The NDIA has commenced </w:t>
      </w:r>
      <w:r w:rsidR="0077033C">
        <w:t xml:space="preserve">further piloting </w:t>
      </w:r>
      <w:r w:rsidR="00B17927">
        <w:t xml:space="preserve">with a CFP targeting Core supports in Central Desert (NT). There is a case to </w:t>
      </w:r>
      <w:r w:rsidR="006C1AE4">
        <w:t xml:space="preserve">undertake </w:t>
      </w:r>
      <w:r w:rsidR="00421A2B">
        <w:t xml:space="preserve">further </w:t>
      </w:r>
      <w:r w:rsidR="00C90398">
        <w:t>piloting</w:t>
      </w:r>
      <w:r w:rsidR="00B17927">
        <w:t xml:space="preserve"> </w:t>
      </w:r>
      <w:r w:rsidR="00421A2B">
        <w:t xml:space="preserve">into regional and rural LGAs where market facilitation seems ineffective. </w:t>
      </w:r>
      <w:r w:rsidR="00B17927">
        <w:t xml:space="preserve">Broader </w:t>
      </w:r>
      <w:r w:rsidR="00C90398">
        <w:t xml:space="preserve">piloting </w:t>
      </w:r>
      <w:r w:rsidR="00846786">
        <w:t>will</w:t>
      </w:r>
      <w:r w:rsidR="00B17927">
        <w:t xml:space="preserve"> also occur following the NDIA’s release of a CFP tool</w:t>
      </w:r>
      <w:r w:rsidR="009570B7">
        <w:t>kit</w:t>
      </w:r>
      <w:r w:rsidR="00B17927">
        <w:t xml:space="preserve"> in December 2022.</w:t>
      </w:r>
    </w:p>
    <w:p w14:paraId="61CE6A32" w14:textId="27B3DA1F" w:rsidR="008C700F" w:rsidRDefault="00255662" w:rsidP="005D6501">
      <w:r>
        <w:t xml:space="preserve">The three direct commissioning trials </w:t>
      </w:r>
      <w:r w:rsidR="00421A2B">
        <w:t xml:space="preserve">have </w:t>
      </w:r>
      <w:r>
        <w:t xml:space="preserve">also </w:t>
      </w:r>
      <w:r w:rsidR="00510D52">
        <w:t>increased</w:t>
      </w:r>
      <w:r>
        <w:t xml:space="preserve"> participant use of supports, although only </w:t>
      </w:r>
      <w:r w:rsidR="00B201FF">
        <w:t>marginally</w:t>
      </w:r>
      <w:r>
        <w:t xml:space="preserve"> in the ACT and Waratah-Wynyard (Tas). In the ACT, </w:t>
      </w:r>
      <w:r w:rsidR="00661615">
        <w:t xml:space="preserve">the </w:t>
      </w:r>
      <w:r>
        <w:t xml:space="preserve">participants </w:t>
      </w:r>
      <w:r w:rsidR="00661615" w:rsidDel="00D434A1">
        <w:t>involved</w:t>
      </w:r>
      <w:r w:rsidDel="00D434A1">
        <w:t xml:space="preserve"> </w:t>
      </w:r>
      <w:r>
        <w:t xml:space="preserve">increased their use of </w:t>
      </w:r>
      <w:r w:rsidR="00421A2B">
        <w:t>specialist behaviour su</w:t>
      </w:r>
      <w:r>
        <w:t>pports by $</w:t>
      </w:r>
      <w:r w:rsidR="00730734">
        <w:t>2</w:t>
      </w:r>
      <w:r w:rsidR="00F5751F">
        <w:t>,</w:t>
      </w:r>
      <w:r w:rsidR="00730734">
        <w:t>592</w:t>
      </w:r>
      <w:r>
        <w:t xml:space="preserve"> </w:t>
      </w:r>
      <w:r w:rsidR="002E751D">
        <w:t>(</w:t>
      </w:r>
      <w:r w:rsidR="00730734">
        <w:t>annualised</w:t>
      </w:r>
      <w:r w:rsidR="002E751D">
        <w:t>)</w:t>
      </w:r>
      <w:r>
        <w:t xml:space="preserve"> compared to the </w:t>
      </w:r>
      <w:r w:rsidR="00730734">
        <w:t>12-</w:t>
      </w:r>
      <w:r>
        <w:t xml:space="preserve">months prior. In Waratah-Wynyard, the </w:t>
      </w:r>
      <w:r w:rsidR="003C18F0">
        <w:t xml:space="preserve">annualised </w:t>
      </w:r>
      <w:r>
        <w:t xml:space="preserve">increase </w:t>
      </w:r>
      <w:r w:rsidR="00FB61AF">
        <w:t xml:space="preserve">in supports </w:t>
      </w:r>
      <w:r>
        <w:t>was $</w:t>
      </w:r>
      <w:r w:rsidR="00730734">
        <w:t>2</w:t>
      </w:r>
      <w:r w:rsidR="00F5751F">
        <w:t>,</w:t>
      </w:r>
      <w:r w:rsidR="00730734">
        <w:t>6</w:t>
      </w:r>
      <w:r w:rsidR="00F5751F">
        <w:t>0</w:t>
      </w:r>
      <w:r w:rsidR="00730734">
        <w:t>4</w:t>
      </w:r>
      <w:r>
        <w:t xml:space="preserve"> </w:t>
      </w:r>
      <w:r w:rsidR="00FB61AF">
        <w:t>for</w:t>
      </w:r>
      <w:r>
        <w:t xml:space="preserve"> speech pathology or occupational therapy per participant.</w:t>
      </w:r>
      <w:r w:rsidR="00F5751F">
        <w:t xml:space="preserve"> </w:t>
      </w:r>
      <w:r w:rsidR="00730734">
        <w:t xml:space="preserve">However, </w:t>
      </w:r>
      <w:r w:rsidR="005E63C2">
        <w:t xml:space="preserve">when </w:t>
      </w:r>
      <w:r w:rsidR="00730734">
        <w:t xml:space="preserve">compared to participants </w:t>
      </w:r>
      <w:r w:rsidR="00B201FF">
        <w:t xml:space="preserve">who </w:t>
      </w:r>
      <w:r w:rsidR="00730734">
        <w:t>chose not to</w:t>
      </w:r>
      <w:r w:rsidR="00B201FF">
        <w:t xml:space="preserve"> participate</w:t>
      </w:r>
      <w:r w:rsidR="005E63C2">
        <w:t xml:space="preserve"> in the trial</w:t>
      </w:r>
      <w:r w:rsidR="00730734">
        <w:t>, the</w:t>
      </w:r>
      <w:r w:rsidR="005E63C2">
        <w:t>se</w:t>
      </w:r>
      <w:r w:rsidR="00730734">
        <w:t xml:space="preserve"> </w:t>
      </w:r>
      <w:r w:rsidR="00A056E6">
        <w:t xml:space="preserve">annualised </w:t>
      </w:r>
      <w:r w:rsidR="00730734">
        <w:t xml:space="preserve">increases </w:t>
      </w:r>
      <w:r w:rsidR="00386CD3">
        <w:t xml:space="preserve">were only $237 </w:t>
      </w:r>
      <w:r w:rsidR="00421A2B">
        <w:t xml:space="preserve">and $167 </w:t>
      </w:r>
      <w:r w:rsidR="000B26C6">
        <w:t xml:space="preserve">higher </w:t>
      </w:r>
      <w:r w:rsidR="00386CD3">
        <w:t xml:space="preserve">per participant in the ACT </w:t>
      </w:r>
      <w:r w:rsidR="00421A2B">
        <w:t xml:space="preserve">and </w:t>
      </w:r>
      <w:r w:rsidR="00386CD3">
        <w:t>Waratah-Wynyard</w:t>
      </w:r>
      <w:r w:rsidR="00421A2B">
        <w:t xml:space="preserve"> respectively</w:t>
      </w:r>
      <w:r w:rsidR="00386CD3">
        <w:t>.</w:t>
      </w:r>
    </w:p>
    <w:p w14:paraId="3484A70D" w14:textId="4D5D3B29" w:rsidR="00255662" w:rsidRDefault="0099352C" w:rsidP="005D6501">
      <w:r>
        <w:t>Although early</w:t>
      </w:r>
      <w:r w:rsidR="00EB242F">
        <w:t>, d</w:t>
      </w:r>
      <w:r w:rsidR="00386CD3">
        <w:t xml:space="preserve">irect commissioning in the APY Lands </w:t>
      </w:r>
      <w:r w:rsidR="00A11B3E">
        <w:t xml:space="preserve">appears to have </w:t>
      </w:r>
      <w:r w:rsidR="00386CD3">
        <w:t>been more successful</w:t>
      </w:r>
      <w:r w:rsidR="00126C28">
        <w:t xml:space="preserve"> to date</w:t>
      </w:r>
      <w:r w:rsidR="00386CD3">
        <w:t xml:space="preserve">, with a </w:t>
      </w:r>
      <w:r w:rsidR="00A73BC8">
        <w:t>possible projected</w:t>
      </w:r>
      <w:r w:rsidR="00386CD3">
        <w:t xml:space="preserve"> increase in </w:t>
      </w:r>
      <w:r w:rsidR="00126C28">
        <w:t xml:space="preserve">average per participant </w:t>
      </w:r>
      <w:r w:rsidR="00386CD3">
        <w:t>expenditure on Assistance with Social, Economic and Community Participation supports of $</w:t>
      </w:r>
      <w:r w:rsidR="008B3A29">
        <w:t>6</w:t>
      </w:r>
      <w:r w:rsidR="00386CD3">
        <w:t>,</w:t>
      </w:r>
      <w:r w:rsidR="008B3A29">
        <w:t>631</w:t>
      </w:r>
      <w:r w:rsidR="00386CD3">
        <w:t xml:space="preserve"> annualised.</w:t>
      </w:r>
      <w:r w:rsidR="00661615">
        <w:t xml:space="preserve"> </w:t>
      </w:r>
      <w:r w:rsidR="00FF7841">
        <w:t>However, i</w:t>
      </w:r>
      <w:r w:rsidR="008C700F">
        <w:t>t is difficult to estimate the impact</w:t>
      </w:r>
      <w:r w:rsidR="001E5589">
        <w:t xml:space="preserve"> as there is no suitable comparison group within or outside the APY Lands</w:t>
      </w:r>
      <w:r w:rsidR="00661615">
        <w:t>.</w:t>
      </w:r>
      <w:r>
        <w:t xml:space="preserve"> Furthermore, u</w:t>
      </w:r>
      <w:r w:rsidR="00126C28">
        <w:t xml:space="preserve">nder the contract the provider receives </w:t>
      </w:r>
      <w:r w:rsidR="003165BF">
        <w:t xml:space="preserve">a guaranteed amount whether </w:t>
      </w:r>
      <w:r w:rsidR="008C700F">
        <w:t>participant</w:t>
      </w:r>
      <w:r w:rsidR="00516AD6">
        <w:t>s</w:t>
      </w:r>
      <w:r w:rsidR="008C700F">
        <w:t xml:space="preserve"> receive support as scheduled or not</w:t>
      </w:r>
      <w:r w:rsidR="00126C28">
        <w:t>.</w:t>
      </w:r>
    </w:p>
    <w:p w14:paraId="755DA74B" w14:textId="4D77F959" w:rsidR="00B201FF" w:rsidRDefault="00127EA8" w:rsidP="00B201FF">
      <w:pPr>
        <w:spacing w:after="200"/>
      </w:pPr>
      <w:r>
        <w:t>Direct commissioning will likely be necessary in some circumstances to ensure participants access the supports they need. However, as</w:t>
      </w:r>
      <w:r w:rsidR="00B201FF">
        <w:t xml:space="preserve"> there </w:t>
      </w:r>
      <w:r w:rsidR="00E654BD">
        <w:t xml:space="preserve">were </w:t>
      </w:r>
      <w:r w:rsidR="00B201FF">
        <w:t xml:space="preserve">only three direct commissioning projects, it is difficult to draw </w:t>
      </w:r>
      <w:r w:rsidR="00F255DB">
        <w:t xml:space="preserve">reliable </w:t>
      </w:r>
      <w:r w:rsidR="00B201FF">
        <w:t>conclusions about ‘if’ and ‘in which contexts’ direct commissioning is likely to be effective</w:t>
      </w:r>
      <w:r w:rsidR="0026106B">
        <w:t xml:space="preserve">, especially given the differing recruitment and </w:t>
      </w:r>
      <w:r w:rsidR="00726C98">
        <w:t>payment arrangements</w:t>
      </w:r>
      <w:r w:rsidR="007A56CC">
        <w:t xml:space="preserve"> </w:t>
      </w:r>
      <w:r w:rsidR="00522277">
        <w:t xml:space="preserve">deployed </w:t>
      </w:r>
      <w:r w:rsidR="007A56CC">
        <w:t>in the trials</w:t>
      </w:r>
      <w:r w:rsidR="00726C98">
        <w:t xml:space="preserve">. </w:t>
      </w:r>
      <w:r w:rsidR="00C7304F">
        <w:t>More testing is needed to determine whether</w:t>
      </w:r>
      <w:r w:rsidR="00B201FF">
        <w:t xml:space="preserve"> direct commissioning might be more effective (and necessary) in remote/very remote LGAs </w:t>
      </w:r>
      <w:r w:rsidR="00B201FF">
        <w:lastRenderedPageBreak/>
        <w:t>that are far from providers</w:t>
      </w:r>
      <w:r w:rsidR="00692BC5">
        <w:t xml:space="preserve"> or is </w:t>
      </w:r>
      <w:r w:rsidR="00B201FF">
        <w:t>better suited to Core supports than Capacity Building supports</w:t>
      </w:r>
      <w:r w:rsidR="00B22892">
        <w:t xml:space="preserve">, </w:t>
      </w:r>
      <w:r w:rsidR="00692BC5">
        <w:t>as the preliminary evidence might suggest</w:t>
      </w:r>
      <w:r w:rsidR="00B22892">
        <w:t>.</w:t>
      </w:r>
    </w:p>
    <w:p w14:paraId="7F728B7B" w14:textId="664D6303" w:rsidR="002251BC" w:rsidRDefault="00A57DA0" w:rsidP="005D6501">
      <w:r>
        <w:t>T</w:t>
      </w:r>
      <w:r w:rsidR="00510D52">
        <w:t xml:space="preserve">argeted market facilitation </w:t>
      </w:r>
      <w:r w:rsidR="00BC6418">
        <w:t>projects were</w:t>
      </w:r>
      <w:r w:rsidR="00127EA8">
        <w:t xml:space="preserve"> initially</w:t>
      </w:r>
      <w:r w:rsidR="00510D52">
        <w:t xml:space="preserve"> appealing due to its relatively ‘light touch’ nature and </w:t>
      </w:r>
      <w:r>
        <w:t>has</w:t>
      </w:r>
      <w:r w:rsidR="00510D52">
        <w:t xml:space="preserve"> generally been the NDIA’s first option in thin markets. However, t</w:t>
      </w:r>
      <w:r w:rsidR="00C31553">
        <w:t xml:space="preserve">he evaluation presents </w:t>
      </w:r>
      <w:r w:rsidR="002251BC">
        <w:t xml:space="preserve">strong evidence that </w:t>
      </w:r>
      <w:r w:rsidR="00BC6418">
        <w:t>these</w:t>
      </w:r>
      <w:r w:rsidR="002251BC">
        <w:t xml:space="preserve"> projects </w:t>
      </w:r>
      <w:r w:rsidR="00510D52">
        <w:t>are</w:t>
      </w:r>
      <w:r w:rsidR="00267AA2">
        <w:t xml:space="preserve"> not effective above </w:t>
      </w:r>
      <w:r w:rsidR="00D63CA1">
        <w:t>the widespread</w:t>
      </w:r>
      <w:r w:rsidR="00267AA2">
        <w:t xml:space="preserve"> business as usual activities that could affect </w:t>
      </w:r>
      <w:r w:rsidR="002251BC" w:rsidRPr="002251BC">
        <w:t>NDIS plan</w:t>
      </w:r>
      <w:r w:rsidR="00267AA2">
        <w:t xml:space="preserve"> implementation. </w:t>
      </w:r>
      <w:r w:rsidR="00B04C63">
        <w:t>O</w:t>
      </w:r>
      <w:r w:rsidR="00267AA2">
        <w:t xml:space="preserve">n average participants </w:t>
      </w:r>
      <w:r>
        <w:t>in the targeted LGAs used</w:t>
      </w:r>
      <w:r w:rsidR="00D52B53">
        <w:t xml:space="preserve"> $3</w:t>
      </w:r>
      <w:r w:rsidR="00C64917">
        <w:t>,00</w:t>
      </w:r>
      <w:r w:rsidR="00723FA6">
        <w:t>0</w:t>
      </w:r>
      <w:r w:rsidR="00D52B53">
        <w:t xml:space="preserve"> more </w:t>
      </w:r>
      <w:r>
        <w:t xml:space="preserve">supports </w:t>
      </w:r>
      <w:r w:rsidR="00FC1EE1">
        <w:t xml:space="preserve">per month </w:t>
      </w:r>
      <w:r w:rsidR="00D52B53">
        <w:t>than</w:t>
      </w:r>
      <w:r w:rsidR="00B04C63">
        <w:t xml:space="preserve"> </w:t>
      </w:r>
      <w:r>
        <w:t xml:space="preserve">similar </w:t>
      </w:r>
      <w:r w:rsidR="00B04C63">
        <w:t>participants in similar locations elsewhere</w:t>
      </w:r>
      <w:r>
        <w:t>. However</w:t>
      </w:r>
      <w:r w:rsidR="00D52B53">
        <w:t>, this difference was not statistically significant</w:t>
      </w:r>
      <w:r>
        <w:t xml:space="preserve"> </w:t>
      </w:r>
      <w:r w:rsidR="00D512DF">
        <w:t xml:space="preserve">overall or </w:t>
      </w:r>
      <w:r>
        <w:t>in 29 of 31 LGAs</w:t>
      </w:r>
      <w:r w:rsidR="00B04C63">
        <w:t xml:space="preserve">. This </w:t>
      </w:r>
      <w:r w:rsidR="00BB0378">
        <w:t>hold</w:t>
      </w:r>
      <w:r w:rsidR="00BC6418">
        <w:t>s</w:t>
      </w:r>
      <w:r w:rsidR="00BB0378">
        <w:t xml:space="preserve"> for Core, Capital and Capacity Building supports</w:t>
      </w:r>
      <w:r w:rsidR="00D52B53">
        <w:t xml:space="preserve"> </w:t>
      </w:r>
      <w:r w:rsidR="00127EA8">
        <w:t>in</w:t>
      </w:r>
      <w:r w:rsidR="00D52B53">
        <w:t xml:space="preserve"> metropolitan, </w:t>
      </w:r>
      <w:r w:rsidR="006E754B">
        <w:t>regional,</w:t>
      </w:r>
      <w:r w:rsidR="00D52B53">
        <w:t xml:space="preserve"> and remote LGAs.</w:t>
      </w:r>
    </w:p>
    <w:p w14:paraId="564E02CE" w14:textId="3E628261" w:rsidR="0028497F" w:rsidRDefault="00510D52" w:rsidP="00A57DA0">
      <w:pPr>
        <w:spacing w:after="200"/>
      </w:pPr>
      <w:r>
        <w:t xml:space="preserve">The evaluation findings do not necessarily </w:t>
      </w:r>
      <w:r w:rsidR="00B22892">
        <w:t>indicate</w:t>
      </w:r>
      <w:r>
        <w:t xml:space="preserve"> that market facilitation </w:t>
      </w:r>
      <w:r w:rsidR="002C2311">
        <w:t xml:space="preserve">doesn’t have a </w:t>
      </w:r>
      <w:r>
        <w:t>role in the NDIS. Rather, market facilitation is already widespread through the various NDIS intermediaries such as Local Area Coordinators, Early Childhood Partners</w:t>
      </w:r>
      <w:r w:rsidR="005A390D">
        <w:t xml:space="preserve">, </w:t>
      </w:r>
      <w:r>
        <w:t xml:space="preserve">various support </w:t>
      </w:r>
      <w:r w:rsidR="005A390D">
        <w:t xml:space="preserve">coordination </w:t>
      </w:r>
      <w:r>
        <w:t>roles</w:t>
      </w:r>
      <w:r w:rsidR="005A390D">
        <w:t xml:space="preserve"> and Remote Community Connectors</w:t>
      </w:r>
      <w:r>
        <w:t xml:space="preserve">. Various parts of the NDIA also undertake widespread market facilitation including National Delivery, Provider Engagement and Analytics, Data and Actuarial. </w:t>
      </w:r>
      <w:r w:rsidR="00D13ABE" w:rsidRPr="00D13ABE">
        <w:t xml:space="preserve">This makes it challenging to </w:t>
      </w:r>
      <w:r w:rsidR="00AF13D5">
        <w:t>isolate</w:t>
      </w:r>
      <w:r w:rsidR="00D13ABE" w:rsidRPr="00D13ABE">
        <w:t xml:space="preserve"> the impacts of the targeted market facilitation undertaken in the Thin Market Trials.</w:t>
      </w:r>
    </w:p>
    <w:p w14:paraId="582126D2" w14:textId="087E8441" w:rsidR="00510D52" w:rsidRDefault="00023257" w:rsidP="00A57DA0">
      <w:pPr>
        <w:spacing w:after="200"/>
      </w:pPr>
      <w:r>
        <w:t>Although widespread</w:t>
      </w:r>
      <w:r w:rsidR="00510D52">
        <w:t>, currently market facilitation activities are largely uncoordinated without an overarching strategy to understand and address common challenges affecting all, or most, thin markets.</w:t>
      </w:r>
      <w:r w:rsidR="00A57DA0">
        <w:t xml:space="preserve"> This potentially creates duplication, </w:t>
      </w:r>
      <w:r w:rsidR="006E754B">
        <w:t>inconsistencies</w:t>
      </w:r>
      <w:r w:rsidR="00F81B66">
        <w:t xml:space="preserve"> </w:t>
      </w:r>
      <w:r w:rsidR="00A57DA0">
        <w:t>and gaps in addressing macro-level market challenges.</w:t>
      </w:r>
    </w:p>
    <w:p w14:paraId="45E5C901" w14:textId="343B8E8E" w:rsidR="00B22892" w:rsidRDefault="00B22892" w:rsidP="00A01FA6">
      <w:pPr>
        <w:pStyle w:val="Heading3"/>
      </w:pPr>
      <w:bookmarkStart w:id="155" w:name="_Toc111206337"/>
      <w:bookmarkStart w:id="156" w:name="_Toc111206451"/>
      <w:bookmarkStart w:id="157" w:name="_Toc136336680"/>
      <w:r>
        <w:t>Extent market interventions worked as intended</w:t>
      </w:r>
      <w:bookmarkEnd w:id="155"/>
      <w:bookmarkEnd w:id="156"/>
      <w:bookmarkEnd w:id="157"/>
    </w:p>
    <w:p w14:paraId="1B5D15EA" w14:textId="64308985" w:rsidR="00B22892" w:rsidRDefault="0075265B" w:rsidP="00B22892">
      <w:r>
        <w:t xml:space="preserve">Despite varying effectiveness, to </w:t>
      </w:r>
      <w:r w:rsidR="007563F8">
        <w:t>some</w:t>
      </w:r>
      <w:r>
        <w:t xml:space="preserve"> extent the mechanisms by which market facilitation and alternative commissioning theoretically lead to participant and market outcomes operated as expected.</w:t>
      </w:r>
      <w:r w:rsidR="007563F8">
        <w:t xml:space="preserve"> However, with each trialled intervention there are areas where the underlying theoretical mechanism </w:t>
      </w:r>
      <w:r w:rsidR="006F7F76">
        <w:t xml:space="preserve">did not operate </w:t>
      </w:r>
      <w:r w:rsidR="007563F8">
        <w:t>in thin markets.</w:t>
      </w:r>
    </w:p>
    <w:p w14:paraId="0CBB089A" w14:textId="6AE36F5B" w:rsidR="00DF5DB6" w:rsidRDefault="007563F8" w:rsidP="00B22892">
      <w:r>
        <w:t xml:space="preserve">Based on surveys and interviews market facilitation increased service provider </w:t>
      </w:r>
      <w:r w:rsidR="00A970DA">
        <w:t>awareness</w:t>
      </w:r>
      <w:r>
        <w:t xml:space="preserve"> of potential demand and support coordinator </w:t>
      </w:r>
      <w:r w:rsidR="00A970DA">
        <w:t>awareness</w:t>
      </w:r>
      <w:r>
        <w:t xml:space="preserve"> of </w:t>
      </w:r>
      <w:r w:rsidR="00FE6BDA">
        <w:t>available</w:t>
      </w:r>
      <w:r>
        <w:t xml:space="preserve"> supply. This was mainly through the NDIA providing market data and Market Development teams proactively connecting support coordinators with service providers</w:t>
      </w:r>
      <w:r w:rsidR="00FE6BDA">
        <w:t xml:space="preserve">. </w:t>
      </w:r>
      <w:r w:rsidR="00DF5DB6">
        <w:t>While</w:t>
      </w:r>
      <w:r w:rsidR="00422CA0">
        <w:t xml:space="preserve"> new providers entered the targeted LGAs</w:t>
      </w:r>
      <w:r w:rsidR="006924C7">
        <w:t xml:space="preserve"> and some</w:t>
      </w:r>
      <w:r w:rsidR="00DF5DB6">
        <w:t xml:space="preserve"> expanded their footprint</w:t>
      </w:r>
      <w:r w:rsidR="00422CA0">
        <w:t xml:space="preserve">, </w:t>
      </w:r>
      <w:r w:rsidR="00DF5DB6">
        <w:t>some providers also left the target LGA</w:t>
      </w:r>
      <w:r w:rsidR="00AA1955">
        <w:t>s</w:t>
      </w:r>
      <w:r w:rsidR="00A52268">
        <w:t xml:space="preserve"> and</w:t>
      </w:r>
      <w:r w:rsidR="000F2144">
        <w:t xml:space="preserve"> the overall strength of local markets generally did not improve</w:t>
      </w:r>
      <w:r w:rsidR="00AA1955">
        <w:t xml:space="preserve">. </w:t>
      </w:r>
      <w:r w:rsidR="00A52268">
        <w:t>This s</w:t>
      </w:r>
      <w:r w:rsidR="000F2144">
        <w:t xml:space="preserve">uggests that the </w:t>
      </w:r>
      <w:r w:rsidR="0093445B">
        <w:t>market intervention activities only worked partially as intended.</w:t>
      </w:r>
    </w:p>
    <w:p w14:paraId="545D58A1" w14:textId="49C89F18" w:rsidR="00A970DA" w:rsidRDefault="00842F0E" w:rsidP="00B22892">
      <w:r>
        <w:t>A</w:t>
      </w:r>
      <w:r w:rsidR="00FE6BDA">
        <w:t xml:space="preserve"> </w:t>
      </w:r>
      <w:r w:rsidR="003B44F5">
        <w:t>limitation of</w:t>
      </w:r>
      <w:r w:rsidR="00FE6BDA">
        <w:t xml:space="preserve"> </w:t>
      </w:r>
      <w:r w:rsidR="006C23A8">
        <w:t xml:space="preserve">targeting support coordinators </w:t>
      </w:r>
      <w:r w:rsidR="00FE6BDA">
        <w:t xml:space="preserve">is the fact that only </w:t>
      </w:r>
      <w:r w:rsidR="008A40ED">
        <w:t>52</w:t>
      </w:r>
      <w:r w:rsidR="00FE6BDA">
        <w:t xml:space="preserve">% of </w:t>
      </w:r>
      <w:r w:rsidR="008A40ED">
        <w:t>participants in the LGAs targeted by market facilitation projects</w:t>
      </w:r>
      <w:r w:rsidR="00FE6BDA">
        <w:t xml:space="preserve"> have </w:t>
      </w:r>
      <w:r w:rsidR="008A40ED">
        <w:t>support coordination in their NDIS plan</w:t>
      </w:r>
      <w:r w:rsidR="00AB36A2">
        <w:t>, although t</w:t>
      </w:r>
      <w:r w:rsidR="008A40ED">
        <w:t>his is</w:t>
      </w:r>
      <w:r>
        <w:t xml:space="preserve"> higher in remote and very remote thin markets</w:t>
      </w:r>
      <w:r w:rsidR="003C6EA2">
        <w:t>.</w:t>
      </w:r>
      <w:r w:rsidR="00F7734D">
        <w:rPr>
          <w:rStyle w:val="FootnoteReference"/>
        </w:rPr>
        <w:footnoteReference w:id="22"/>
      </w:r>
      <w:r w:rsidR="00F7734D">
        <w:t xml:space="preserve"> </w:t>
      </w:r>
      <w:r w:rsidR="003B44F5">
        <w:t>T</w:t>
      </w:r>
      <w:r>
        <w:t>h</w:t>
      </w:r>
      <w:r w:rsidR="003B44F5">
        <w:t xml:space="preserve">erefore, </w:t>
      </w:r>
      <w:r>
        <w:t xml:space="preserve">a key strategy underpinning the market facilitation precluded </w:t>
      </w:r>
      <w:r w:rsidR="003B44F5">
        <w:t>many</w:t>
      </w:r>
      <w:r>
        <w:t xml:space="preserve"> participants.</w:t>
      </w:r>
    </w:p>
    <w:p w14:paraId="242F7418" w14:textId="7CE41538" w:rsidR="00547ABA" w:rsidRDefault="00AB65B6" w:rsidP="00B22892">
      <w:r>
        <w:lastRenderedPageBreak/>
        <w:t>S</w:t>
      </w:r>
      <w:r w:rsidR="00A970DA">
        <w:t xml:space="preserve">ervice providers </w:t>
      </w:r>
      <w:r>
        <w:t xml:space="preserve">also highlighted </w:t>
      </w:r>
      <w:r w:rsidR="00A970DA">
        <w:t xml:space="preserve">that the available market data is not current or granular enough to give them a true understanding of demand, especially in remote communities. </w:t>
      </w:r>
      <w:r>
        <w:t>T</w:t>
      </w:r>
      <w:r w:rsidR="003B44F5">
        <w:t>o get this granular picture, t</w:t>
      </w:r>
      <w:r>
        <w:t>hey</w:t>
      </w:r>
      <w:r w:rsidR="00A970DA">
        <w:t xml:space="preserve"> </w:t>
      </w:r>
      <w:r w:rsidR="00842F0E">
        <w:t>must</w:t>
      </w:r>
      <w:r w:rsidR="00A970DA">
        <w:t xml:space="preserve"> engage multiple support coordinators</w:t>
      </w:r>
      <w:r w:rsidR="00BA156D">
        <w:t xml:space="preserve"> which is challenging where there is high turnover</w:t>
      </w:r>
      <w:r w:rsidR="00284119">
        <w:t xml:space="preserve"> of support coordinators</w:t>
      </w:r>
      <w:r w:rsidR="00842F0E">
        <w:t xml:space="preserve">. </w:t>
      </w:r>
      <w:r w:rsidR="00547ABA">
        <w:t xml:space="preserve">This turnover also impacts support coordinator awareness of </w:t>
      </w:r>
      <w:r w:rsidR="00E85C21">
        <w:t>service providers and their capacity.</w:t>
      </w:r>
    </w:p>
    <w:p w14:paraId="1B4054E3" w14:textId="205D643E" w:rsidR="006241CE" w:rsidRDefault="00A056E6" w:rsidP="00B22892">
      <w:r>
        <w:t xml:space="preserve">Unlike market facilitation, CFPs and direct commissioning aim to </w:t>
      </w:r>
      <w:r w:rsidR="006241CE">
        <w:t>make service provision more viable for providers by providing gr</w:t>
      </w:r>
      <w:r w:rsidR="00D910F1">
        <w:t>e</w:t>
      </w:r>
      <w:r w:rsidR="006241CE">
        <w:t>ater assurance of demand. Theoretically, this will also result in service providers forming sustainable connections with the targeted participants and connecting with new participants to establish an ongoing presence. The evaluation findings suggest that CFPs are more likely to achieve this.</w:t>
      </w:r>
    </w:p>
    <w:p w14:paraId="17EC12A4" w14:textId="43866A2E" w:rsidR="00FE6BDA" w:rsidRDefault="006241CE" w:rsidP="00B22892">
      <w:r>
        <w:t>Although the nature of supports commissioned via CFPs to date have mainly been assessments, the service providers involved commented that pooling participants has made service delivery viable. Furthermore, by CFPs being support coordinator led, the providers have made local connections on the ground which they hope will lead to ongoing service delivery. This warrants ongoing monitoring.</w:t>
      </w:r>
    </w:p>
    <w:p w14:paraId="03C18BFF" w14:textId="653FE7A1" w:rsidR="006241CE" w:rsidRDefault="002C6596" w:rsidP="00B22892">
      <w:r>
        <w:t xml:space="preserve">Based on the three trials to date, the success of direct commissioning </w:t>
      </w:r>
      <w:r w:rsidR="00813A38">
        <w:t xml:space="preserve">has had mixed success </w:t>
      </w:r>
      <w:r>
        <w:t xml:space="preserve">at assuring demand and financial viability </w:t>
      </w:r>
      <w:r w:rsidR="00813A38">
        <w:t>for providers</w:t>
      </w:r>
      <w:r>
        <w:t>. In the ACT and Waratah-Wynyard (Tas), the providers inv</w:t>
      </w:r>
      <w:r w:rsidR="00813A38">
        <w:t>olved have not received the number of referrals they expected</w:t>
      </w:r>
      <w:r w:rsidR="00236FBB">
        <w:t xml:space="preserve">, which </w:t>
      </w:r>
      <w:r w:rsidR="00813A38">
        <w:t>has created financial challenges</w:t>
      </w:r>
      <w:r w:rsidR="00236FBB">
        <w:t>.</w:t>
      </w:r>
      <w:r w:rsidR="00813A38">
        <w:t xml:space="preserve"> </w:t>
      </w:r>
      <w:r w:rsidR="00236FBB">
        <w:t>F</w:t>
      </w:r>
      <w:r w:rsidR="00DF0E99">
        <w:t xml:space="preserve">or providers in Waratah-Wynyard </w:t>
      </w:r>
      <w:r w:rsidR="00236FBB">
        <w:t xml:space="preserve">they </w:t>
      </w:r>
      <w:r w:rsidR="00813A38">
        <w:t xml:space="preserve">doubt that it will be financially viable to </w:t>
      </w:r>
      <w:r w:rsidR="009E4DB5">
        <w:t xml:space="preserve">provide supports </w:t>
      </w:r>
      <w:r w:rsidR="00236FBB">
        <w:t>there</w:t>
      </w:r>
      <w:r w:rsidR="00813A38">
        <w:t xml:space="preserve"> beyond the commissioning period. </w:t>
      </w:r>
      <w:r w:rsidR="00CF6B50">
        <w:t>Furthermore, u</w:t>
      </w:r>
      <w:r w:rsidR="00813A38">
        <w:t>nlike CFPs, the NDIA rather than support coordinators led direct commissioning</w:t>
      </w:r>
      <w:r w:rsidR="00A730E2">
        <w:t>.</w:t>
      </w:r>
      <w:r w:rsidR="00813A38">
        <w:t xml:space="preserve"> </w:t>
      </w:r>
      <w:r w:rsidR="00282D0A">
        <w:t>T</w:t>
      </w:r>
      <w:r w:rsidR="00813A38">
        <w:t xml:space="preserve">he providers involved in the ACT and Waratah-Wynyard trials have not formed </w:t>
      </w:r>
      <w:r w:rsidR="00CF6B50">
        <w:t xml:space="preserve">close </w:t>
      </w:r>
      <w:r w:rsidR="00813A38">
        <w:t xml:space="preserve">relationships </w:t>
      </w:r>
      <w:r w:rsidR="008D222A">
        <w:t xml:space="preserve">with support coordinators </w:t>
      </w:r>
      <w:r w:rsidR="00813A38">
        <w:t>that can support an ongoing presence.</w:t>
      </w:r>
    </w:p>
    <w:p w14:paraId="3C54111B" w14:textId="4AC77502" w:rsidR="00A730E2" w:rsidRDefault="00A730E2" w:rsidP="00B22892">
      <w:r>
        <w:t>In the APY</w:t>
      </w:r>
      <w:r w:rsidR="00B041AD">
        <w:t xml:space="preserve"> L</w:t>
      </w:r>
      <w:r>
        <w:t xml:space="preserve">ands, the provider has greater assurance of demand due to the participant opt-out rather than opt-in approach and a guaranteed contract value. While this guarantees financial viability during the life of the contract, it is </w:t>
      </w:r>
      <w:r w:rsidR="003A17C7">
        <w:t>unlikely</w:t>
      </w:r>
      <w:r>
        <w:t xml:space="preserve"> this </w:t>
      </w:r>
      <w:r w:rsidRPr="00A730E2">
        <w:t>will lead to ongoing</w:t>
      </w:r>
      <w:r>
        <w:t xml:space="preserve"> service provision given the challenges delivering the</w:t>
      </w:r>
      <w:r w:rsidR="003E0980">
        <w:t xml:space="preserve"> NDIS</w:t>
      </w:r>
      <w:r>
        <w:t xml:space="preserve"> in </w:t>
      </w:r>
      <w:r w:rsidR="00F4225A">
        <w:t xml:space="preserve">very </w:t>
      </w:r>
      <w:r>
        <w:t>remote communities.</w:t>
      </w:r>
    </w:p>
    <w:p w14:paraId="02CC168B" w14:textId="77777777" w:rsidR="003165BF" w:rsidRDefault="003165BF" w:rsidP="00A01FA6">
      <w:pPr>
        <w:pStyle w:val="Heading3"/>
      </w:pPr>
      <w:bookmarkStart w:id="158" w:name="_Toc111206338"/>
      <w:bookmarkStart w:id="159" w:name="_Toc111206452"/>
      <w:bookmarkStart w:id="160" w:name="_Toc136336681"/>
      <w:r>
        <w:t>Factors affecting the success of market interventions</w:t>
      </w:r>
      <w:bookmarkEnd w:id="158"/>
      <w:bookmarkEnd w:id="159"/>
      <w:bookmarkEnd w:id="160"/>
    </w:p>
    <w:p w14:paraId="30D72952" w14:textId="5D7EB35D" w:rsidR="00640C1B" w:rsidRDefault="00640C1B" w:rsidP="00640C1B">
      <w:r>
        <w:t>The market intervention projects to date have mainly operated via the participant side</w:t>
      </w:r>
      <w:r w:rsidR="00917344">
        <w:t xml:space="preserve"> (i.e.</w:t>
      </w:r>
      <w:r>
        <w:t>,</w:t>
      </w:r>
      <w:r w:rsidR="00917344">
        <w:t xml:space="preserve"> demand side</w:t>
      </w:r>
      <w:r w:rsidR="003A5C08">
        <w:t>)</w:t>
      </w:r>
      <w:r>
        <w:t xml:space="preserve"> rather than addressing supply challenges such as pricing, travel costs and workforce shortages. Irrespective of this though, participant</w:t>
      </w:r>
      <w:r w:rsidR="00B90992">
        <w:t xml:space="preserve"> </w:t>
      </w:r>
      <w:r w:rsidR="003A5C08">
        <w:t>use</w:t>
      </w:r>
      <w:r w:rsidR="00B90992">
        <w:t xml:space="preserve"> of supports </w:t>
      </w:r>
      <w:r>
        <w:t xml:space="preserve">depends on </w:t>
      </w:r>
      <w:r w:rsidR="003A5C08">
        <w:t xml:space="preserve">their </w:t>
      </w:r>
      <w:r>
        <w:t xml:space="preserve">understanding of the NDIS and the supports in their plans. </w:t>
      </w:r>
      <w:r w:rsidR="00026B0E" w:rsidRPr="00222EEB">
        <w:t xml:space="preserve">Based on interviews with providers, </w:t>
      </w:r>
      <w:r w:rsidR="00026B0E">
        <w:t xml:space="preserve">low </w:t>
      </w:r>
      <w:r w:rsidR="00026B0E" w:rsidRPr="00222EEB">
        <w:t>participant understanding of their NDIS plans may have contributed</w:t>
      </w:r>
      <w:r w:rsidR="00026B0E">
        <w:t xml:space="preserve"> to the limited success o</w:t>
      </w:r>
      <w:r w:rsidR="003A5C08">
        <w:t>f</w:t>
      </w:r>
      <w:r w:rsidR="00026B0E">
        <w:t xml:space="preserve"> market facilitation and direct commissioning trials</w:t>
      </w:r>
      <w:r w:rsidR="00026B0E" w:rsidRPr="00222EEB">
        <w:t>.</w:t>
      </w:r>
      <w:r w:rsidR="00026B0E">
        <w:t xml:space="preserve"> </w:t>
      </w:r>
      <w:r>
        <w:t xml:space="preserve">Therefore, participant education </w:t>
      </w:r>
      <w:r w:rsidR="003A0B7E">
        <w:t>remains</w:t>
      </w:r>
      <w:r>
        <w:t xml:space="preserve"> vital to underpin both business-as-usual and targeted market intervention. </w:t>
      </w:r>
    </w:p>
    <w:p w14:paraId="1054138F" w14:textId="734D0C7C" w:rsidR="004D2936" w:rsidRDefault="0022184F" w:rsidP="00B22892">
      <w:r>
        <w:t xml:space="preserve">There are three </w:t>
      </w:r>
      <w:r w:rsidR="00981695">
        <w:t xml:space="preserve">supply side </w:t>
      </w:r>
      <w:r w:rsidR="00674C69">
        <w:t>challenges</w:t>
      </w:r>
      <w:r w:rsidR="001D72B4">
        <w:t xml:space="preserve"> for </w:t>
      </w:r>
      <w:r w:rsidR="004D2936">
        <w:t>effective</w:t>
      </w:r>
      <w:r w:rsidR="00CD1B2C">
        <w:t xml:space="preserve"> market intervention</w:t>
      </w:r>
      <w:r w:rsidR="003E0980">
        <w:t>:</w:t>
      </w:r>
    </w:p>
    <w:p w14:paraId="273CBBD7" w14:textId="241D6841" w:rsidR="004D2936" w:rsidRDefault="003E0980" w:rsidP="001412AA">
      <w:pPr>
        <w:pStyle w:val="Bulletlist"/>
      </w:pPr>
      <w:r>
        <w:t>P</w:t>
      </w:r>
      <w:r w:rsidR="004D2936">
        <w:t xml:space="preserve">roviders covering the cost of travel under the NDIS </w:t>
      </w:r>
      <w:r>
        <w:t>Pric</w:t>
      </w:r>
      <w:r w:rsidR="00516AD6">
        <w:t>ing Arrangements</w:t>
      </w:r>
      <w:r w:rsidR="00CD1B2C">
        <w:t xml:space="preserve"> and Price Limits</w:t>
      </w:r>
      <w:r w:rsidR="004D2936">
        <w:t>, especially in regional areas</w:t>
      </w:r>
      <w:r w:rsidR="00516AD6">
        <w:t>.</w:t>
      </w:r>
    </w:p>
    <w:p w14:paraId="4E7228CE" w14:textId="24C85206" w:rsidR="004D2936" w:rsidRDefault="00516AD6" w:rsidP="001412AA">
      <w:pPr>
        <w:pStyle w:val="Bulletlist"/>
      </w:pPr>
      <w:r>
        <w:t xml:space="preserve">Limited </w:t>
      </w:r>
      <w:r w:rsidR="004D2936">
        <w:t xml:space="preserve">options in regional and remote areas to </w:t>
      </w:r>
      <w:r>
        <w:t>transport</w:t>
      </w:r>
      <w:r w:rsidR="004D2936">
        <w:t xml:space="preserve"> participants to providers</w:t>
      </w:r>
      <w:r>
        <w:t>.</w:t>
      </w:r>
    </w:p>
    <w:p w14:paraId="2F926936" w14:textId="641720FF" w:rsidR="00813A38" w:rsidRDefault="003E0980" w:rsidP="001412AA">
      <w:pPr>
        <w:pStyle w:val="Bulletlist"/>
      </w:pPr>
      <w:r>
        <w:lastRenderedPageBreak/>
        <w:t>W</w:t>
      </w:r>
      <w:r w:rsidR="004D2936">
        <w:t>orkforce shortages which limit the ability to establish services in thin markets.</w:t>
      </w:r>
    </w:p>
    <w:p w14:paraId="53F10F95" w14:textId="301D2142" w:rsidR="00813A38" w:rsidRDefault="004D2936" w:rsidP="00B22892">
      <w:r>
        <w:t xml:space="preserve">With the rapidly rising costs of the NDIS, </w:t>
      </w:r>
      <w:r w:rsidR="00267587">
        <w:t xml:space="preserve">alternatives to </w:t>
      </w:r>
      <w:r>
        <w:t xml:space="preserve">increasing travel allowances in the NDIS </w:t>
      </w:r>
      <w:r w:rsidR="00AE65F1">
        <w:t>Pricing Arrangements</w:t>
      </w:r>
      <w:r>
        <w:t xml:space="preserve"> </w:t>
      </w:r>
      <w:r w:rsidR="00267587">
        <w:t>are attractive</w:t>
      </w:r>
      <w:r>
        <w:t xml:space="preserve">. CFPs offer </w:t>
      </w:r>
      <w:r w:rsidR="0092391E">
        <w:t xml:space="preserve">such </w:t>
      </w:r>
      <w:r>
        <w:t xml:space="preserve">a mechanism </w:t>
      </w:r>
      <w:r w:rsidR="0092391E">
        <w:t>by allowing</w:t>
      </w:r>
      <w:r w:rsidR="00AE65F1">
        <w:t xml:space="preserve"> providers to</w:t>
      </w:r>
      <w:r>
        <w:t xml:space="preserve"> </w:t>
      </w:r>
      <w:r w:rsidR="00AE65F1">
        <w:t>claim</w:t>
      </w:r>
      <w:r>
        <w:t xml:space="preserve"> the actual cost of travel and split the cost across multiple participants. Coupled with greater assurance of service provision, this should </w:t>
      </w:r>
      <w:r w:rsidR="00AE65F1">
        <w:t>allay provider concerns about the financial viability of providing services in thin markets. Additionally, sharing travel costs will offer participants and the NDIS improved value for money.</w:t>
      </w:r>
    </w:p>
    <w:p w14:paraId="3A08E311" w14:textId="2150875F" w:rsidR="00AE65F1" w:rsidRDefault="00680BE2" w:rsidP="00B22892">
      <w:r>
        <w:t>The NDIA does not have any direct control over transport options and infrastructure. This is the remit of State and Territory Governments and private operators. However, CFPs or direct commissioning could be mechanisms to increase transport options for regional and remote participants to travel to a provider of their choice.</w:t>
      </w:r>
    </w:p>
    <w:p w14:paraId="1A5FA930" w14:textId="43E7FECF" w:rsidR="00587850" w:rsidRDefault="00680BE2" w:rsidP="00587850">
      <w:r>
        <w:t xml:space="preserve">Addressing workforce shortages is more complex. </w:t>
      </w:r>
      <w:r w:rsidR="00EF0D2E">
        <w:t>The NDIS will require</w:t>
      </w:r>
      <w:r w:rsidR="00F730DB">
        <w:t xml:space="preserve"> </w:t>
      </w:r>
      <w:r w:rsidR="00EF0D2E">
        <w:t xml:space="preserve">an estimated 128,000 additional workers by July 2025 to meet </w:t>
      </w:r>
      <w:r w:rsidR="00135127">
        <w:t>growing demand. This is in addition to the estimated 181,000 to 292,000 workers expected to leave the sector between July 2022 and June 2025</w:t>
      </w:r>
      <w:r w:rsidR="00784AA3">
        <w:rPr>
          <w:rStyle w:val="FootnoteReference"/>
        </w:rPr>
        <w:footnoteReference w:id="23"/>
      </w:r>
      <w:r w:rsidR="00135127">
        <w:t>.</w:t>
      </w:r>
      <w:r w:rsidR="0006370B">
        <w:t>This includes Allied Health</w:t>
      </w:r>
      <w:r w:rsidR="00516AD6">
        <w:t xml:space="preserve"> and</w:t>
      </w:r>
      <w:r w:rsidR="0006370B">
        <w:t xml:space="preserve"> community-based and home-based support workers</w:t>
      </w:r>
      <w:r w:rsidR="003736C2">
        <w:t>.</w:t>
      </w:r>
      <w:r w:rsidR="0006370B">
        <w:t xml:space="preserve"> </w:t>
      </w:r>
      <w:r w:rsidR="000C7A47">
        <w:t>In a recent survey, 70% of disability service providers reported problems recruiting workers</w:t>
      </w:r>
      <w:r w:rsidR="000C7A47">
        <w:rPr>
          <w:rStyle w:val="FootnoteReference"/>
        </w:rPr>
        <w:footnoteReference w:id="24"/>
      </w:r>
      <w:r w:rsidR="00ED3D51">
        <w:t>,</w:t>
      </w:r>
      <w:r w:rsidR="000C7A47">
        <w:t xml:space="preserve"> </w:t>
      </w:r>
      <w:r w:rsidR="003E0980">
        <w:t xml:space="preserve">which </w:t>
      </w:r>
      <w:r w:rsidR="000C7A47">
        <w:t>suggest</w:t>
      </w:r>
      <w:r w:rsidR="003E0980">
        <w:t>s</w:t>
      </w:r>
      <w:r w:rsidR="000C7A47">
        <w:t xml:space="preserve"> shortages will persist in the near term. </w:t>
      </w:r>
      <w:r w:rsidR="00587850">
        <w:t>The aged care, veterans care and community mental health sectors face similar capacity shortages, especially in regional and remote locations</w:t>
      </w:r>
      <w:r w:rsidR="003736C2">
        <w:t>.</w:t>
      </w:r>
      <w:r w:rsidR="00587850">
        <w:rPr>
          <w:rStyle w:val="FootnoteReference"/>
        </w:rPr>
        <w:footnoteReference w:id="25"/>
      </w:r>
    </w:p>
    <w:p w14:paraId="73235443" w14:textId="66B7F6E2" w:rsidR="007129CA" w:rsidRDefault="00E629DE" w:rsidP="009818D6">
      <w:r>
        <w:t>G</w:t>
      </w:r>
      <w:r w:rsidR="00587850">
        <w:t xml:space="preserve">iven service shortages across related sectors </w:t>
      </w:r>
      <w:r w:rsidR="00987B4A">
        <w:t>and potential workforce cross-over</w:t>
      </w:r>
      <w:r w:rsidR="00587850">
        <w:t xml:space="preserve">, joint commissioning might offer a solution </w:t>
      </w:r>
      <w:r w:rsidR="00375BD1">
        <w:t>until</w:t>
      </w:r>
      <w:r w:rsidR="00587850">
        <w:t xml:space="preserve"> workforce initiatives take effec</w:t>
      </w:r>
      <w:r w:rsidR="00987B4A">
        <w:t>t.</w:t>
      </w:r>
      <w:r w:rsidR="00F46994">
        <w:t xml:space="preserve"> </w:t>
      </w:r>
    </w:p>
    <w:p w14:paraId="5097CA6E" w14:textId="11871833" w:rsidR="0066117A" w:rsidRDefault="00B201FF" w:rsidP="00A01FA6">
      <w:pPr>
        <w:pStyle w:val="Heading3"/>
      </w:pPr>
      <w:bookmarkStart w:id="161" w:name="_Toc136336682"/>
      <w:r>
        <w:t>Conclusion</w:t>
      </w:r>
      <w:bookmarkEnd w:id="161"/>
    </w:p>
    <w:p w14:paraId="4A5FE7FD" w14:textId="7B4BFF97" w:rsidR="00A33E27" w:rsidRDefault="00DA2F1B" w:rsidP="005D6501">
      <w:r>
        <w:t xml:space="preserve">The evaluation findings suggest the following for </w:t>
      </w:r>
      <w:r w:rsidR="00446D26">
        <w:t xml:space="preserve">market </w:t>
      </w:r>
      <w:r w:rsidR="00446D26" w:rsidRPr="00446D26">
        <w:t>interventions in thin markets</w:t>
      </w:r>
      <w:r w:rsidR="00A33E27">
        <w:t>:</w:t>
      </w:r>
      <w:r w:rsidR="00446D26" w:rsidRPr="00446D26">
        <w:t xml:space="preserve"> </w:t>
      </w:r>
    </w:p>
    <w:p w14:paraId="1D99106C" w14:textId="6BC286B3" w:rsidR="00387BFE" w:rsidRDefault="00387BFE">
      <w:pPr>
        <w:pStyle w:val="Bulletlist"/>
      </w:pPr>
      <w:r w:rsidRPr="00387BFE">
        <w:t>Coordinated strategic macro-level market facilitation within the NDIA and local level market facilitation alongside the role of various market intermediaries should operate as business as usual, rather than as a distinct intervention in thin markets</w:t>
      </w:r>
      <w:r>
        <w:t>.</w:t>
      </w:r>
      <w:r w:rsidRPr="00387BFE">
        <w:t xml:space="preserve"> </w:t>
      </w:r>
    </w:p>
    <w:p w14:paraId="2A112336" w14:textId="3003D1EC" w:rsidR="009E3666" w:rsidRDefault="00446D26">
      <w:pPr>
        <w:pStyle w:val="Bulletlist"/>
      </w:pPr>
      <w:r w:rsidRPr="00121251">
        <w:t xml:space="preserve">Where a targeted local-level intervention is necessary, a CFP should be the first option if there is sufficient support coordinator or participant </w:t>
      </w:r>
      <w:r w:rsidR="00C624CA" w:rsidRPr="00121251">
        <w:t>capacity</w:t>
      </w:r>
      <w:r w:rsidRPr="00121251">
        <w:t xml:space="preserve"> and it is viable for a provider under the existing NDIS </w:t>
      </w:r>
      <w:r w:rsidR="00121251" w:rsidRPr="00121251">
        <w:t>Pricing Arrangements and Price Limits</w:t>
      </w:r>
      <w:r w:rsidRPr="00121251">
        <w:t>.</w:t>
      </w:r>
    </w:p>
    <w:p w14:paraId="35EBB267" w14:textId="70FB189F" w:rsidR="00121251" w:rsidRPr="00121251" w:rsidRDefault="00674C69" w:rsidP="00631A78">
      <w:pPr>
        <w:pStyle w:val="Bulletlist"/>
      </w:pPr>
      <w:r>
        <w:t>Direct</w:t>
      </w:r>
      <w:r w:rsidRPr="00674C69">
        <w:t xml:space="preserve"> commissioning should be considered if the above market conditions are unfavourable</w:t>
      </w:r>
      <w:r>
        <w:t>.</w:t>
      </w:r>
    </w:p>
    <w:p w14:paraId="72C865AB" w14:textId="3E990448" w:rsidR="007D10B7" w:rsidRPr="007D10B7" w:rsidRDefault="007D10B7" w:rsidP="00A01FA6">
      <w:pPr>
        <w:pStyle w:val="Heading2"/>
      </w:pPr>
      <w:bookmarkStart w:id="162" w:name="_Toc136336683"/>
      <w:r w:rsidRPr="007D10B7">
        <w:lastRenderedPageBreak/>
        <w:t>Recommendations</w:t>
      </w:r>
      <w:bookmarkEnd w:id="162"/>
    </w:p>
    <w:p w14:paraId="28D2ACFC" w14:textId="33E50479" w:rsidR="0093170F" w:rsidRDefault="00971902" w:rsidP="00A129F7">
      <w:r>
        <w:t xml:space="preserve">The conclusions drawn from the evaluation </w:t>
      </w:r>
      <w:r w:rsidR="002764C1">
        <w:t xml:space="preserve">have informed recommendations </w:t>
      </w:r>
      <w:bookmarkStart w:id="163" w:name="_Hlk124170387"/>
      <w:r w:rsidR="002764C1">
        <w:t>for future market intervention in the NDIS</w:t>
      </w:r>
      <w:bookmarkEnd w:id="163"/>
      <w:r w:rsidR="002764C1">
        <w:t>.</w:t>
      </w:r>
      <w:r w:rsidR="00D87157">
        <w:t xml:space="preserve"> </w:t>
      </w:r>
      <w:r w:rsidR="007548EC">
        <w:rPr>
          <w:b/>
        </w:rPr>
        <w:t>T</w:t>
      </w:r>
      <w:r w:rsidR="004B752E" w:rsidRPr="00C627FE">
        <w:rPr>
          <w:b/>
        </w:rPr>
        <w:t>hese</w:t>
      </w:r>
      <w:r w:rsidR="00CB06FA" w:rsidRPr="00C627FE">
        <w:rPr>
          <w:b/>
        </w:rPr>
        <w:t xml:space="preserve"> align to </w:t>
      </w:r>
      <w:r w:rsidR="00635D61" w:rsidRPr="00C627FE">
        <w:rPr>
          <w:b/>
        </w:rPr>
        <w:t xml:space="preserve">the </w:t>
      </w:r>
      <w:r w:rsidR="001453AF" w:rsidRPr="00C627FE">
        <w:rPr>
          <w:b/>
        </w:rPr>
        <w:t xml:space="preserve">aims </w:t>
      </w:r>
      <w:r w:rsidR="00EE4ED3" w:rsidRPr="00C627FE">
        <w:rPr>
          <w:b/>
        </w:rPr>
        <w:t xml:space="preserve">and objectives </w:t>
      </w:r>
      <w:r w:rsidR="001453AF" w:rsidRPr="00C627FE">
        <w:rPr>
          <w:b/>
        </w:rPr>
        <w:t>of the NDIS Review</w:t>
      </w:r>
      <w:r w:rsidR="007912A0" w:rsidRPr="007912A0">
        <w:rPr>
          <w:bCs/>
        </w:rPr>
        <w:t>.</w:t>
      </w:r>
      <w:r w:rsidR="001453AF">
        <w:rPr>
          <w:rStyle w:val="FootnoteReference"/>
        </w:rPr>
        <w:footnoteReference w:id="26"/>
      </w:r>
    </w:p>
    <w:p w14:paraId="4683347D" w14:textId="4EB8F66E" w:rsidR="007E07C7" w:rsidRDefault="004B752E" w:rsidP="00A129F7">
      <w:r>
        <w:t xml:space="preserve">The recommended </w:t>
      </w:r>
      <w:r w:rsidRPr="00A15DF4">
        <w:rPr>
          <w:b/>
        </w:rPr>
        <w:t>strategic initiatives are longer-term actions</w:t>
      </w:r>
      <w:r>
        <w:t xml:space="preserve"> </w:t>
      </w:r>
      <w:r w:rsidR="0008672D" w:rsidRPr="0008672D">
        <w:t>to build a more responsive and supportive market and workforce to reduce the occurrence of thin markets. These align closely with the objectives of Part 2 of the NDIS Review</w:t>
      </w:r>
      <w:r w:rsidR="0008672D">
        <w:t>.</w:t>
      </w:r>
    </w:p>
    <w:p w14:paraId="6751E0DB" w14:textId="3AABA702" w:rsidR="009155E2" w:rsidRPr="004D726F" w:rsidRDefault="0093170F" w:rsidP="009155E2">
      <w:r w:rsidRPr="6E315BD6">
        <w:rPr>
          <w:b/>
          <w:bCs/>
        </w:rPr>
        <w:t>Medium-term recommendations</w:t>
      </w:r>
      <w:r>
        <w:t xml:space="preserve"> </w:t>
      </w:r>
      <w:r w:rsidR="009A6BEB">
        <w:t>focus on further</w:t>
      </w:r>
      <w:r>
        <w:t xml:space="preserve"> testing </w:t>
      </w:r>
      <w:r w:rsidR="009A6BEB">
        <w:t xml:space="preserve">of CFPs and direct commissioning </w:t>
      </w:r>
      <w:r>
        <w:t xml:space="preserve">to determine </w:t>
      </w:r>
      <w:r w:rsidR="009155E2">
        <w:t xml:space="preserve">the most </w:t>
      </w:r>
      <w:r>
        <w:t>effective market intervention approaches in different contexts</w:t>
      </w:r>
      <w:r w:rsidR="009A6BEB">
        <w:t xml:space="preserve">. These </w:t>
      </w:r>
      <w:r w:rsidR="009155E2">
        <w:t>aim to improve the design, operation and sustainability of the NDIS in different types of thin markets</w:t>
      </w:r>
      <w:r w:rsidR="00671FA8">
        <w:t>, which aligns with the objectives under Part 1 of the NDIS Review</w:t>
      </w:r>
      <w:r w:rsidR="009155E2">
        <w:t>. In time, this will inform strategic initiatives to build a more responsive and supportive NDIS market.</w:t>
      </w:r>
    </w:p>
    <w:p w14:paraId="2337B9A3" w14:textId="3E94CEBA" w:rsidR="00CF6C82" w:rsidRDefault="000E2174" w:rsidP="00A129F7">
      <w:r w:rsidRPr="000E2174">
        <w:t>Finally, the</w:t>
      </w:r>
      <w:r>
        <w:t xml:space="preserve"> evaluation findings suggest </w:t>
      </w:r>
      <w:r w:rsidRPr="000A1BAC">
        <w:rPr>
          <w:b/>
          <w:bCs/>
        </w:rPr>
        <w:t>immediate</w:t>
      </w:r>
      <w:r w:rsidRPr="000A1BAC">
        <w:rPr>
          <w:b/>
        </w:rPr>
        <w:t xml:space="preserve"> actions</w:t>
      </w:r>
      <w:r>
        <w:t xml:space="preserve"> to enhance current approaches to commissioning and market facilitation whi</w:t>
      </w:r>
      <w:r w:rsidR="00C41E0A">
        <w:t>le</w:t>
      </w:r>
      <w:r>
        <w:t xml:space="preserve"> </w:t>
      </w:r>
      <w:r w:rsidR="00DC0E30">
        <w:t xml:space="preserve">there is </w:t>
      </w:r>
      <w:r>
        <w:t xml:space="preserve">further testing </w:t>
      </w:r>
      <w:r w:rsidR="00D168AB">
        <w:t>of market intervention approaches</w:t>
      </w:r>
      <w:r w:rsidR="00C41E0A">
        <w:t>.</w:t>
      </w:r>
    </w:p>
    <w:p w14:paraId="3B556375" w14:textId="49882070" w:rsidR="007620EC" w:rsidRDefault="007620EC" w:rsidP="00A01FA6">
      <w:pPr>
        <w:pStyle w:val="Heading3"/>
      </w:pPr>
      <w:bookmarkStart w:id="164" w:name="_Toc136336684"/>
      <w:r>
        <w:t>Strategic initiatives</w:t>
      </w:r>
      <w:r w:rsidR="00EF25DC">
        <w:t xml:space="preserve"> to strengthen </w:t>
      </w:r>
      <w:r w:rsidR="009F20B8">
        <w:t>thin markets</w:t>
      </w:r>
      <w:bookmarkEnd w:id="164"/>
    </w:p>
    <w:p w14:paraId="55D56209" w14:textId="2CA6720B" w:rsidR="007620EC" w:rsidRDefault="007620EC" w:rsidP="007620EC">
      <w:pPr>
        <w:pStyle w:val="Heading5"/>
      </w:pPr>
      <w:r w:rsidRPr="007B74EB">
        <w:t xml:space="preserve">Recommendation </w:t>
      </w:r>
      <w:r w:rsidR="00EF25DC">
        <w:t>1</w:t>
      </w:r>
    </w:p>
    <w:p w14:paraId="761EC7A3" w14:textId="06E72FA4" w:rsidR="007620EC" w:rsidRDefault="007620EC" w:rsidP="007620EC">
      <w:pPr>
        <w:pStyle w:val="BodyText1"/>
        <w:rPr>
          <w:lang w:eastAsia="ja-JP"/>
        </w:rPr>
      </w:pPr>
      <w:r>
        <w:rPr>
          <w:lang w:eastAsia="ja-JP"/>
        </w:rPr>
        <w:t>T</w:t>
      </w:r>
      <w:r w:rsidRPr="009C26EA">
        <w:rPr>
          <w:lang w:eastAsia="ja-JP"/>
        </w:rPr>
        <w:t xml:space="preserve">he NDIA should work with the disability sector and other key stakeholders to develop and </w:t>
      </w:r>
      <w:r w:rsidR="00EB16E9">
        <w:rPr>
          <w:lang w:eastAsia="ja-JP"/>
        </w:rPr>
        <w:t>implement</w:t>
      </w:r>
      <w:r w:rsidRPr="009C26EA">
        <w:rPr>
          <w:lang w:eastAsia="ja-JP"/>
        </w:rPr>
        <w:t xml:space="preserve"> a thin market intervention strategy. This </w:t>
      </w:r>
      <w:bookmarkStart w:id="165" w:name="_Hlk124170484"/>
      <w:r w:rsidRPr="009C26EA">
        <w:rPr>
          <w:lang w:eastAsia="ja-JP"/>
        </w:rPr>
        <w:t xml:space="preserve">should clarify and streamline when to use different types of market intervention and </w:t>
      </w:r>
      <w:r w:rsidR="00EB16E9">
        <w:rPr>
          <w:lang w:eastAsia="ja-JP"/>
        </w:rPr>
        <w:t xml:space="preserve">define </w:t>
      </w:r>
      <w:r w:rsidRPr="009C26EA">
        <w:rPr>
          <w:lang w:eastAsia="ja-JP"/>
        </w:rPr>
        <w:t>the roles of various NDIS intermediaries, NDIA business units, other Commonwealth and State and Territory Government Agencies and Disability Representative and Carer Organisations</w:t>
      </w:r>
      <w:bookmarkEnd w:id="165"/>
      <w:r w:rsidRPr="009C26EA">
        <w:rPr>
          <w:lang w:eastAsia="ja-JP"/>
        </w:rPr>
        <w:t>.</w:t>
      </w:r>
    </w:p>
    <w:p w14:paraId="15DDA64A" w14:textId="672F584F" w:rsidR="007620EC" w:rsidRDefault="007620EC" w:rsidP="007620EC">
      <w:pPr>
        <w:pStyle w:val="Heading5"/>
      </w:pPr>
      <w:r>
        <w:t xml:space="preserve">Recommendation </w:t>
      </w:r>
      <w:r w:rsidR="00EF25DC">
        <w:t>2</w:t>
      </w:r>
    </w:p>
    <w:p w14:paraId="734111E9" w14:textId="7BB24343" w:rsidR="007620EC" w:rsidRDefault="007620EC" w:rsidP="007620EC">
      <w:pPr>
        <w:pStyle w:val="BodyText1"/>
        <w:rPr>
          <w:lang w:eastAsia="ja-JP"/>
        </w:rPr>
      </w:pPr>
      <w:r>
        <w:rPr>
          <w:lang w:eastAsia="ja-JP"/>
        </w:rPr>
        <w:t xml:space="preserve">The NDIA should </w:t>
      </w:r>
      <w:r w:rsidR="00EB16E9">
        <w:rPr>
          <w:lang w:eastAsia="ja-JP"/>
        </w:rPr>
        <w:t xml:space="preserve">explore the potential to </w:t>
      </w:r>
      <w:r>
        <w:rPr>
          <w:lang w:eastAsia="ja-JP"/>
        </w:rPr>
        <w:t>work with the Department of Social Services and other Government Agencies to trial the joint commissioning of services where thin markets exist across the NDIS, aged care, veterans care and community mental health sectors. As part of this there could be consideration to devolving responsibility for commissioning supports to local or regional organisations or governance bodies. Depending on the location and context of a thin market, these could include Aboriginal controlled organisations or assemblies or local government, with commissioning support provided by an appropriate Commonwealth Agency.</w:t>
      </w:r>
    </w:p>
    <w:p w14:paraId="22591E38" w14:textId="415CD9C4" w:rsidR="007620EC" w:rsidRDefault="007620EC" w:rsidP="007620EC">
      <w:pPr>
        <w:pStyle w:val="Heading5"/>
      </w:pPr>
      <w:r w:rsidRPr="00680D64">
        <w:lastRenderedPageBreak/>
        <w:t xml:space="preserve">Recommendation </w:t>
      </w:r>
      <w:r w:rsidR="00EF25DC">
        <w:t>3</w:t>
      </w:r>
    </w:p>
    <w:p w14:paraId="4FE90683" w14:textId="652B97DE" w:rsidR="007620EC" w:rsidRDefault="007620EC" w:rsidP="007620EC">
      <w:pPr>
        <w:pStyle w:val="BodyText1"/>
        <w:rPr>
          <w:lang w:eastAsia="ja-JP"/>
        </w:rPr>
      </w:pPr>
      <w:r w:rsidRPr="00B36B03">
        <w:rPr>
          <w:lang w:eastAsia="ja-JP"/>
        </w:rPr>
        <w:t>T</w:t>
      </w:r>
      <w:r>
        <w:rPr>
          <w:lang w:eastAsia="ja-JP"/>
        </w:rPr>
        <w:t>o inform</w:t>
      </w:r>
      <w:r w:rsidR="00C1571C">
        <w:rPr>
          <w:lang w:eastAsia="ja-JP"/>
        </w:rPr>
        <w:t xml:space="preserve"> </w:t>
      </w:r>
      <w:r>
        <w:rPr>
          <w:lang w:eastAsia="ja-JP"/>
        </w:rPr>
        <w:t xml:space="preserve">NDIS workforce strategy, </w:t>
      </w:r>
      <w:r w:rsidR="007A324E">
        <w:rPr>
          <w:lang w:eastAsia="ja-JP"/>
        </w:rPr>
        <w:t>the NDIA should work with the</w:t>
      </w:r>
      <w:r w:rsidRPr="00B36B03">
        <w:rPr>
          <w:lang w:eastAsia="ja-JP"/>
        </w:rPr>
        <w:t xml:space="preserve"> Department of Social Services to collaborate on LGA-level spatial mapping of the current and potential NDIS workforce. This would guide detailed workforce planning and potentially the types of market interventions necessary in different thin markets.</w:t>
      </w:r>
    </w:p>
    <w:p w14:paraId="6E514AF7" w14:textId="77777777" w:rsidR="001412AA" w:rsidRDefault="007620EC" w:rsidP="007620EC">
      <w:pPr>
        <w:pStyle w:val="BodyText1"/>
        <w:rPr>
          <w:b/>
          <w:bCs/>
          <w:lang w:eastAsia="ja-JP"/>
        </w:rPr>
      </w:pPr>
      <w:r w:rsidRPr="006A7408">
        <w:rPr>
          <w:b/>
          <w:bCs/>
          <w:lang w:eastAsia="ja-JP"/>
        </w:rPr>
        <w:t xml:space="preserve">Recommendation </w:t>
      </w:r>
      <w:r w:rsidR="00EF25DC">
        <w:rPr>
          <w:b/>
          <w:bCs/>
          <w:lang w:eastAsia="ja-JP"/>
        </w:rPr>
        <w:t>4</w:t>
      </w:r>
    </w:p>
    <w:p w14:paraId="39ABA3F6" w14:textId="241925BF" w:rsidR="007620EC" w:rsidRDefault="007620EC" w:rsidP="007620EC">
      <w:pPr>
        <w:pStyle w:val="BodyText1"/>
        <w:rPr>
          <w:lang w:eastAsia="ja-JP"/>
        </w:rPr>
      </w:pPr>
      <w:r w:rsidRPr="00B36B03">
        <w:rPr>
          <w:lang w:eastAsia="ja-JP"/>
        </w:rPr>
        <w:t>Investment</w:t>
      </w:r>
      <w:r>
        <w:rPr>
          <w:lang w:eastAsia="ja-JP"/>
        </w:rPr>
        <w:t xml:space="preserve"> in educating participants and their informal supporters </w:t>
      </w:r>
      <w:bookmarkStart w:id="166" w:name="_Hlk124173904"/>
      <w:r>
        <w:rPr>
          <w:lang w:eastAsia="ja-JP"/>
        </w:rPr>
        <w:t>about the benefits and effectiveness of NDIS funded supports</w:t>
      </w:r>
      <w:bookmarkEnd w:id="166"/>
      <w:r w:rsidRPr="00B36B03">
        <w:rPr>
          <w:lang w:eastAsia="ja-JP"/>
        </w:rPr>
        <w:t xml:space="preserve"> should </w:t>
      </w:r>
      <w:r w:rsidR="00C1571C">
        <w:rPr>
          <w:lang w:eastAsia="ja-JP"/>
        </w:rPr>
        <w:t>be a priority</w:t>
      </w:r>
      <w:r w:rsidRPr="00B36B03">
        <w:rPr>
          <w:lang w:eastAsia="ja-JP"/>
        </w:rPr>
        <w:t>. The NDIA’s Research and Evaluation Branch has commenced this through</w:t>
      </w:r>
      <w:r w:rsidR="000A7A29">
        <w:rPr>
          <w:lang w:eastAsia="ja-JP"/>
        </w:rPr>
        <w:t xml:space="preserve"> development of</w:t>
      </w:r>
      <w:r w:rsidRPr="00B36B03">
        <w:rPr>
          <w:lang w:eastAsia="ja-JP"/>
        </w:rPr>
        <w:t xml:space="preserve"> a series of Guides for Understanding Supports. It will be important to expand and focus this program on underutilised supports. It will also be important to develop and promote the Guides in formats suitable for different cultures and languages given the contexts of many NDIS thin markets.</w:t>
      </w:r>
    </w:p>
    <w:p w14:paraId="5E73A967" w14:textId="3E23A439" w:rsidR="00EF25DC" w:rsidRDefault="00EF25DC" w:rsidP="00A01FA6">
      <w:pPr>
        <w:pStyle w:val="Heading3"/>
      </w:pPr>
      <w:bookmarkStart w:id="167" w:name="_Toc136336685"/>
      <w:r>
        <w:t>Further testing to determine effective market intervention approaches in different contexts</w:t>
      </w:r>
      <w:bookmarkEnd w:id="167"/>
    </w:p>
    <w:p w14:paraId="1636C064" w14:textId="09A631F2" w:rsidR="00EF25DC" w:rsidRDefault="00EF25DC" w:rsidP="00EF25DC">
      <w:pPr>
        <w:pStyle w:val="Heading5"/>
      </w:pPr>
      <w:r w:rsidRPr="00353B1E">
        <w:t>Recommendation</w:t>
      </w:r>
      <w:r>
        <w:t xml:space="preserve"> 5</w:t>
      </w:r>
    </w:p>
    <w:p w14:paraId="4D7F8C5A" w14:textId="1EC411FE" w:rsidR="00EF25DC" w:rsidRDefault="00EF25DC" w:rsidP="00EF25DC">
      <w:pPr>
        <w:pStyle w:val="BodyText1"/>
        <w:rPr>
          <w:lang w:eastAsia="ja-JP"/>
        </w:rPr>
      </w:pPr>
      <w:r w:rsidRPr="00B36B03">
        <w:rPr>
          <w:lang w:eastAsia="ja-JP"/>
        </w:rPr>
        <w:t>To understand the potential of CFPs as a ubiquitous market intervention strategy, the</w:t>
      </w:r>
      <w:r>
        <w:rPr>
          <w:lang w:eastAsia="ja-JP"/>
        </w:rPr>
        <w:t xml:space="preserve">re should be further testing of </w:t>
      </w:r>
      <w:r w:rsidRPr="00B36B03">
        <w:rPr>
          <w:lang w:eastAsia="ja-JP"/>
        </w:rPr>
        <w:t xml:space="preserve">the effectiveness of CFPs on a range of Core, Capital and Capacity Building </w:t>
      </w:r>
      <w:r w:rsidR="0044196A">
        <w:rPr>
          <w:lang w:eastAsia="ja-JP"/>
        </w:rPr>
        <w:t>s</w:t>
      </w:r>
      <w:r w:rsidRPr="00B36B03">
        <w:rPr>
          <w:lang w:eastAsia="ja-JP"/>
        </w:rPr>
        <w:t>upports in locations where market facilitation has not had a significant impact.</w:t>
      </w:r>
    </w:p>
    <w:p w14:paraId="3138323C" w14:textId="13F150BF" w:rsidR="00EF25DC" w:rsidRDefault="00EF25DC" w:rsidP="00EF25DC">
      <w:pPr>
        <w:pStyle w:val="Heading5"/>
      </w:pPr>
      <w:r w:rsidRPr="00353B1E">
        <w:t xml:space="preserve">Recommendation </w:t>
      </w:r>
      <w:r>
        <w:t>6</w:t>
      </w:r>
    </w:p>
    <w:p w14:paraId="53EC03F5" w14:textId="77AE31AC" w:rsidR="00EF25DC" w:rsidRDefault="00EF25DC" w:rsidP="00EF25DC">
      <w:pPr>
        <w:pStyle w:val="BodyText1"/>
        <w:rPr>
          <w:lang w:eastAsia="ja-JP"/>
        </w:rPr>
      </w:pPr>
      <w:r w:rsidRPr="6E315BD6">
        <w:rPr>
          <w:lang w:eastAsia="ja-JP"/>
        </w:rPr>
        <w:t xml:space="preserve">To support </w:t>
      </w:r>
      <w:r w:rsidR="00654153" w:rsidRPr="6E315BD6">
        <w:rPr>
          <w:lang w:eastAsia="ja-JP"/>
        </w:rPr>
        <w:t>the</w:t>
      </w:r>
      <w:r w:rsidRPr="6E315BD6">
        <w:rPr>
          <w:lang w:eastAsia="ja-JP"/>
        </w:rPr>
        <w:t xml:space="preserve"> evaluation of CFPs, the NDIA should monitor participant use of funded supports under CFPs established independently of the NDIA following release of the CFP tool</w:t>
      </w:r>
      <w:r w:rsidR="004E7B4A">
        <w:rPr>
          <w:lang w:eastAsia="ja-JP"/>
        </w:rPr>
        <w:t>kit</w:t>
      </w:r>
      <w:r w:rsidRPr="6E315BD6">
        <w:rPr>
          <w:lang w:eastAsia="ja-JP"/>
        </w:rPr>
        <w:t>. One possibility could be to introduce a temporary support item for CFPs in the NDIS Pricing Arrangements and Price Limits.</w:t>
      </w:r>
    </w:p>
    <w:p w14:paraId="363121F8" w14:textId="0E018166" w:rsidR="00234684" w:rsidRDefault="00234684" w:rsidP="00234684">
      <w:pPr>
        <w:pStyle w:val="Heading5"/>
      </w:pPr>
      <w:r w:rsidRPr="008117B5">
        <w:t xml:space="preserve">Recommendation </w:t>
      </w:r>
      <w:r>
        <w:t>7</w:t>
      </w:r>
    </w:p>
    <w:p w14:paraId="15F0FCAA" w14:textId="77777777" w:rsidR="00234684" w:rsidRDefault="00234684" w:rsidP="00234684">
      <w:pPr>
        <w:pStyle w:val="BodyText1"/>
        <w:rPr>
          <w:lang w:eastAsia="ja-JP"/>
        </w:rPr>
      </w:pPr>
      <w:r w:rsidRPr="00B36B03">
        <w:rPr>
          <w:lang w:eastAsia="ja-JP"/>
        </w:rPr>
        <w:t>As part of the ongoing development of CFPs, there</w:t>
      </w:r>
      <w:r>
        <w:rPr>
          <w:lang w:eastAsia="ja-JP"/>
        </w:rPr>
        <w:t xml:space="preserve"> should </w:t>
      </w:r>
      <w:r w:rsidRPr="00B36B03">
        <w:rPr>
          <w:lang w:eastAsia="ja-JP"/>
        </w:rPr>
        <w:t>be ongoing evaluation of</w:t>
      </w:r>
      <w:r>
        <w:rPr>
          <w:lang w:eastAsia="ja-JP"/>
        </w:rPr>
        <w:t xml:space="preserve"> the extent providers deliver supports in the target communities beyond the CFP period and if not why. </w:t>
      </w:r>
      <w:r w:rsidRPr="00B36B03">
        <w:rPr>
          <w:lang w:eastAsia="ja-JP"/>
        </w:rPr>
        <w:t>This could help refine the CFP approach.</w:t>
      </w:r>
    </w:p>
    <w:p w14:paraId="46AB3441" w14:textId="75EE2A46" w:rsidR="00B06336" w:rsidRDefault="00B06336" w:rsidP="00B06336">
      <w:pPr>
        <w:pStyle w:val="BodyText1"/>
        <w:rPr>
          <w:b/>
          <w:bCs/>
          <w:lang w:eastAsia="ja-JP"/>
        </w:rPr>
      </w:pPr>
      <w:r w:rsidRPr="00316DD0">
        <w:rPr>
          <w:b/>
          <w:bCs/>
          <w:lang w:eastAsia="ja-JP"/>
        </w:rPr>
        <w:t xml:space="preserve">Recommendation </w:t>
      </w:r>
      <w:r w:rsidR="00234684">
        <w:rPr>
          <w:b/>
          <w:bCs/>
          <w:lang w:eastAsia="ja-JP"/>
        </w:rPr>
        <w:t>8</w:t>
      </w:r>
    </w:p>
    <w:p w14:paraId="31008532" w14:textId="6C55E53A" w:rsidR="00B06336" w:rsidRDefault="00B06336" w:rsidP="00B06336">
      <w:pPr>
        <w:pStyle w:val="BodyText1"/>
        <w:rPr>
          <w:lang w:eastAsia="ja-JP"/>
        </w:rPr>
      </w:pPr>
      <w:r w:rsidRPr="00B36B03">
        <w:rPr>
          <w:lang w:eastAsia="ja-JP"/>
        </w:rPr>
        <w:t xml:space="preserve">There should be resistance to provider sentiment to further increase travel allowances in the NDIS Pricing Arrangements and Price Limits. Instead, the </w:t>
      </w:r>
      <w:r>
        <w:rPr>
          <w:lang w:eastAsia="ja-JP"/>
        </w:rPr>
        <w:t xml:space="preserve">focus </w:t>
      </w:r>
      <w:r w:rsidRPr="00B36B03">
        <w:rPr>
          <w:lang w:eastAsia="ja-JP"/>
        </w:rPr>
        <w:t xml:space="preserve">should be </w:t>
      </w:r>
      <w:r>
        <w:rPr>
          <w:lang w:eastAsia="ja-JP"/>
        </w:rPr>
        <w:t xml:space="preserve">on building market capacity to implement </w:t>
      </w:r>
      <w:r w:rsidR="008B2207">
        <w:rPr>
          <w:lang w:eastAsia="ja-JP"/>
        </w:rPr>
        <w:t>commissioning approaches</w:t>
      </w:r>
      <w:r>
        <w:rPr>
          <w:lang w:eastAsia="ja-JP"/>
        </w:rPr>
        <w:t>.</w:t>
      </w:r>
    </w:p>
    <w:p w14:paraId="2E81A081" w14:textId="312E47C2" w:rsidR="00234684" w:rsidRDefault="00234684" w:rsidP="00234684">
      <w:pPr>
        <w:pStyle w:val="BodyText1"/>
        <w:keepNext/>
        <w:rPr>
          <w:b/>
          <w:bCs/>
          <w:lang w:eastAsia="ja-JP"/>
        </w:rPr>
      </w:pPr>
      <w:r w:rsidRPr="00620E7C">
        <w:rPr>
          <w:b/>
          <w:bCs/>
          <w:lang w:eastAsia="ja-JP"/>
        </w:rPr>
        <w:t xml:space="preserve">Recommendation </w:t>
      </w:r>
      <w:r>
        <w:rPr>
          <w:b/>
          <w:bCs/>
          <w:lang w:eastAsia="ja-JP"/>
        </w:rPr>
        <w:t>9</w:t>
      </w:r>
    </w:p>
    <w:p w14:paraId="3DF7463C" w14:textId="77777777" w:rsidR="00234684" w:rsidRDefault="00234684" w:rsidP="00234684">
      <w:pPr>
        <w:pStyle w:val="BodyText1"/>
        <w:rPr>
          <w:lang w:eastAsia="ja-JP"/>
        </w:rPr>
      </w:pPr>
      <w:r>
        <w:rPr>
          <w:lang w:eastAsia="ja-JP"/>
        </w:rPr>
        <w:t>To address transport shortages for participants to access supports in thin markets, Core - Transport supports c</w:t>
      </w:r>
      <w:r w:rsidRPr="00B36B03">
        <w:rPr>
          <w:lang w:eastAsia="ja-JP"/>
        </w:rPr>
        <w:t xml:space="preserve">ould be a focus </w:t>
      </w:r>
      <w:r>
        <w:rPr>
          <w:lang w:eastAsia="ja-JP"/>
        </w:rPr>
        <w:t>of ongoing trials of CFPs and direct commissioning in regional and remote thin markets.</w:t>
      </w:r>
    </w:p>
    <w:p w14:paraId="3EA75212" w14:textId="1BE02B7A" w:rsidR="00EF25DC" w:rsidRDefault="00EF25DC" w:rsidP="00EF25DC">
      <w:pPr>
        <w:pStyle w:val="Heading5"/>
      </w:pPr>
      <w:r>
        <w:lastRenderedPageBreak/>
        <w:t xml:space="preserve">Recommendation </w:t>
      </w:r>
      <w:r w:rsidR="00234684">
        <w:t>10</w:t>
      </w:r>
    </w:p>
    <w:p w14:paraId="34044E36" w14:textId="0EBAAFB4" w:rsidR="00EF25DC" w:rsidRDefault="00EF25DC" w:rsidP="00EF25DC">
      <w:pPr>
        <w:pStyle w:val="BodyText1"/>
        <w:rPr>
          <w:lang w:eastAsia="ja-JP"/>
        </w:rPr>
      </w:pPr>
      <w:r w:rsidRPr="00B36B03">
        <w:rPr>
          <w:lang w:eastAsia="ja-JP"/>
        </w:rPr>
        <w:t xml:space="preserve">To better understand the effectiveness of direct commissioning, there should be </w:t>
      </w:r>
      <w:r w:rsidR="00654153">
        <w:rPr>
          <w:lang w:eastAsia="ja-JP"/>
        </w:rPr>
        <w:t>further</w:t>
      </w:r>
      <w:r w:rsidRPr="00B36B03">
        <w:rPr>
          <w:lang w:eastAsia="ja-JP"/>
        </w:rPr>
        <w:t xml:space="preserve"> piloting including for Capacity Building and Capital supports in remote and very remote thin markets and possibly Core and Capital supports in regional and rural thin markets. However, as it takes a large effort to implement direct commissioning arrangements this should be where a CFP </w:t>
      </w:r>
      <w:r w:rsidR="006A3C6E">
        <w:rPr>
          <w:lang w:eastAsia="ja-JP"/>
        </w:rPr>
        <w:t>is unlikely to be effective</w:t>
      </w:r>
      <w:r w:rsidR="00F00A49">
        <w:rPr>
          <w:lang w:eastAsia="ja-JP"/>
        </w:rPr>
        <w:t xml:space="preserve"> </w:t>
      </w:r>
      <w:r w:rsidRPr="00B36B03">
        <w:rPr>
          <w:lang w:eastAsia="ja-JP"/>
        </w:rPr>
        <w:t>or feasible.</w:t>
      </w:r>
    </w:p>
    <w:p w14:paraId="683B6866" w14:textId="77777777" w:rsidR="00905D7D" w:rsidRDefault="00905D7D" w:rsidP="00A01FA6">
      <w:pPr>
        <w:pStyle w:val="Heading3"/>
      </w:pPr>
      <w:bookmarkStart w:id="168" w:name="_Toc136336686"/>
      <w:r>
        <w:t>Enhancements to current market intervention approaches</w:t>
      </w:r>
      <w:bookmarkEnd w:id="168"/>
    </w:p>
    <w:p w14:paraId="5BA011C2" w14:textId="53CAC113" w:rsidR="00CC10A4" w:rsidRDefault="00E957FA" w:rsidP="00CC10A4">
      <w:pPr>
        <w:pStyle w:val="Heading5"/>
      </w:pPr>
      <w:r w:rsidRPr="007716AD">
        <w:t xml:space="preserve">Recommendation </w:t>
      </w:r>
      <w:r w:rsidR="007716AD">
        <w:t>1</w:t>
      </w:r>
      <w:r w:rsidR="00CC74DA">
        <w:t>1</w:t>
      </w:r>
    </w:p>
    <w:p w14:paraId="669C0F3C" w14:textId="0367329F" w:rsidR="00CC10A4" w:rsidRDefault="00CC10A4" w:rsidP="00CC10A4">
      <w:pPr>
        <w:pStyle w:val="BodyText1"/>
        <w:rPr>
          <w:lang w:eastAsia="ja-JP"/>
        </w:rPr>
      </w:pPr>
      <w:r w:rsidRPr="00B36B03">
        <w:rPr>
          <w:lang w:eastAsia="ja-JP"/>
        </w:rPr>
        <w:t>For future direct commissioning projects, providers should get greater assurance of the contract value to ensure the arrangement is financially viable. There should also be greater involvement of support coordinators so that providers can form ‘on the ground’ relationships and maintain a viable presence beyond the contract.</w:t>
      </w:r>
    </w:p>
    <w:p w14:paraId="0D632B52" w14:textId="403213FD" w:rsidR="00A76E27" w:rsidRPr="007716AD" w:rsidRDefault="00A76E27" w:rsidP="00A76E27">
      <w:pPr>
        <w:pStyle w:val="Heading5"/>
      </w:pPr>
      <w:r w:rsidRPr="007716AD">
        <w:t xml:space="preserve">Recommendation </w:t>
      </w:r>
      <w:r>
        <w:t>1</w:t>
      </w:r>
      <w:r w:rsidR="00CC74DA">
        <w:t>2</w:t>
      </w:r>
    </w:p>
    <w:p w14:paraId="3081A40F" w14:textId="038DC0DB" w:rsidR="00A76E27" w:rsidRDefault="00A76E27" w:rsidP="00A76E27">
      <w:pPr>
        <w:pStyle w:val="BodyText1"/>
        <w:rPr>
          <w:lang w:eastAsia="ja-JP"/>
        </w:rPr>
      </w:pPr>
      <w:r w:rsidRPr="007716AD">
        <w:rPr>
          <w:lang w:eastAsia="ja-JP"/>
        </w:rPr>
        <w:t>As part of business-as-usual market facilitation, the NDIA should consider quarterly releases of detailed data on the amount of funds by support category available in participant plans. Ideally this data would be at sub LGA level (e.g.</w:t>
      </w:r>
      <w:r w:rsidR="00BB70AE">
        <w:rPr>
          <w:lang w:eastAsia="ja-JP"/>
        </w:rPr>
        <w:t>,</w:t>
      </w:r>
      <w:r w:rsidRPr="007716AD">
        <w:rPr>
          <w:lang w:eastAsia="ja-JP"/>
        </w:rPr>
        <w:t xml:space="preserve"> Statistical Areas Level 2) and have a lag of no more than one quarter.</w:t>
      </w:r>
    </w:p>
    <w:p w14:paraId="01C796F1" w14:textId="0F71B59E" w:rsidR="00E957FA" w:rsidRDefault="00E957FA" w:rsidP="00E957FA">
      <w:pPr>
        <w:pStyle w:val="Heading5"/>
      </w:pPr>
      <w:r w:rsidRPr="00167EC0">
        <w:t xml:space="preserve">Recommendation </w:t>
      </w:r>
      <w:r w:rsidR="007716AD">
        <w:t>1</w:t>
      </w:r>
      <w:r w:rsidR="00CC74DA">
        <w:t>3</w:t>
      </w:r>
    </w:p>
    <w:p w14:paraId="2E754DD4" w14:textId="6453D070" w:rsidR="00E957FA" w:rsidRDefault="00E957FA" w:rsidP="00E957FA">
      <w:pPr>
        <w:pStyle w:val="BodyText1"/>
        <w:rPr>
          <w:lang w:eastAsia="ja-JP"/>
        </w:rPr>
      </w:pPr>
      <w:r>
        <w:rPr>
          <w:lang w:eastAsia="ja-JP"/>
        </w:rPr>
        <w:t>The NDIA should consider developing and promoting a national online service provider capacity matrix for participants, support coordinators and other NDIS market intermediaries</w:t>
      </w:r>
      <w:r w:rsidRPr="00B36B03">
        <w:rPr>
          <w:lang w:eastAsia="ja-JP"/>
        </w:rPr>
        <w:t>. Service</w:t>
      </w:r>
      <w:r>
        <w:rPr>
          <w:lang w:eastAsia="ja-JP"/>
        </w:rPr>
        <w:t xml:space="preserve"> providers could voluntarily update their vacancies and waitlists</w:t>
      </w:r>
      <w:r w:rsidRPr="00B36B03">
        <w:rPr>
          <w:lang w:eastAsia="ja-JP"/>
        </w:rPr>
        <w:t xml:space="preserve"> for various NDIS supports directly, such that it requires minimal maintenance.</w:t>
      </w:r>
    </w:p>
    <w:p w14:paraId="239B13E8" w14:textId="77777777" w:rsidR="007D10B7" w:rsidRPr="00E57AAA" w:rsidRDefault="007D10B7" w:rsidP="00E57AAA">
      <w:pPr>
        <w:spacing w:before="0" w:after="160" w:line="259" w:lineRule="auto"/>
        <w:contextualSpacing/>
        <w:rPr>
          <w:highlight w:val="yellow"/>
        </w:rPr>
      </w:pPr>
    </w:p>
    <w:p w14:paraId="723B159A" w14:textId="11DB226B" w:rsidR="008B1539" w:rsidRPr="008B1539" w:rsidRDefault="008B1539" w:rsidP="00A6316D">
      <w:pPr>
        <w:rPr>
          <w:b/>
          <w:bCs/>
        </w:rPr>
        <w:sectPr w:rsidR="008B1539" w:rsidRPr="008B1539" w:rsidSect="00AF54CF">
          <w:footerReference w:type="default" r:id="rId45"/>
          <w:pgSz w:w="11906" w:h="16838"/>
          <w:pgMar w:top="1440" w:right="1440" w:bottom="1440" w:left="1440" w:header="709" w:footer="0" w:gutter="0"/>
          <w:pgNumType w:start="1"/>
          <w:cols w:space="708"/>
          <w:docGrid w:linePitch="360"/>
        </w:sectPr>
      </w:pPr>
    </w:p>
    <w:p w14:paraId="11B4F50C" w14:textId="6B6D442C" w:rsidR="003950DF" w:rsidRDefault="00D46E47" w:rsidP="00A01FA6">
      <w:pPr>
        <w:pStyle w:val="Appendix1"/>
      </w:pPr>
      <w:bookmarkStart w:id="169" w:name="_Ref115783672"/>
      <w:bookmarkStart w:id="170" w:name="_Toc136336687"/>
      <w:r>
        <w:lastRenderedPageBreak/>
        <w:t>Program theory</w:t>
      </w:r>
      <w:bookmarkEnd w:id="169"/>
      <w:bookmarkEnd w:id="170"/>
    </w:p>
    <w:p w14:paraId="59DD38DB" w14:textId="65E63D18" w:rsidR="00341788" w:rsidRDefault="009F371A" w:rsidP="00341788">
      <w:r>
        <w:rPr>
          <w:noProof/>
          <w:lang w:eastAsia="en-AU"/>
        </w:rPr>
        <w:drawing>
          <wp:inline distT="0" distB="0" distL="0" distR="0" wp14:anchorId="4CC2AC31" wp14:editId="169B7B9B">
            <wp:extent cx="7446221" cy="5016500"/>
            <wp:effectExtent l="0" t="0" r="2540" b="0"/>
            <wp:docPr id="2" name="Picture 2" descr="This figure provides a description of the thin market trial program theory. It shows how the interventions lead to market impacts and participant impac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figure provides a description of the thin market trial program theory. It shows how the interventions lead to market impacts and participant impacts. "/>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449335" cy="5018598"/>
                    </a:xfrm>
                    <a:prstGeom prst="rect">
                      <a:avLst/>
                    </a:prstGeom>
                    <a:noFill/>
                  </pic:spPr>
                </pic:pic>
              </a:graphicData>
            </a:graphic>
          </wp:inline>
        </w:drawing>
      </w:r>
    </w:p>
    <w:p w14:paraId="6FC14710" w14:textId="77777777" w:rsidR="00341788" w:rsidRDefault="00341788" w:rsidP="00341788">
      <w:pPr>
        <w:sectPr w:rsidR="00341788" w:rsidSect="00AB59C0">
          <w:footerReference w:type="default" r:id="rId47"/>
          <w:pgSz w:w="16838" w:h="11906" w:orient="landscape"/>
          <w:pgMar w:top="1440" w:right="1440" w:bottom="1440" w:left="1440" w:header="709" w:footer="0" w:gutter="0"/>
          <w:cols w:space="708"/>
          <w:docGrid w:linePitch="360"/>
        </w:sectPr>
      </w:pPr>
    </w:p>
    <w:p w14:paraId="4E94C8F1" w14:textId="4D3D4CE2" w:rsidR="00C87434" w:rsidRDefault="00D46E47" w:rsidP="00A01FA6">
      <w:pPr>
        <w:pStyle w:val="Appendix1"/>
      </w:pPr>
      <w:bookmarkStart w:id="171" w:name="_Ref115783703"/>
      <w:bookmarkStart w:id="172" w:name="_Toc136336688"/>
      <w:r>
        <w:lastRenderedPageBreak/>
        <w:t>Thin Market Trial</w:t>
      </w:r>
      <w:r w:rsidR="00612CA9">
        <w:t xml:space="preserve"> overview</w:t>
      </w:r>
      <w:bookmarkEnd w:id="171"/>
      <w:bookmarkEnd w:id="172"/>
    </w:p>
    <w:p w14:paraId="7A96DCE4" w14:textId="50ED9C11" w:rsidR="00946036" w:rsidRPr="00144408" w:rsidRDefault="00946036" w:rsidP="00946036">
      <w:r>
        <w:rPr>
          <w:color w:val="2B579A"/>
          <w:highlight w:val="yellow"/>
          <w:shd w:val="clear" w:color="auto" w:fill="E6E6E6"/>
        </w:rPr>
        <w:fldChar w:fldCharType="begin"/>
      </w:r>
      <w:r>
        <w:instrText xml:space="preserve"> REF _Ref82099092 \h </w:instrText>
      </w:r>
      <w:r>
        <w:rPr>
          <w:color w:val="2B579A"/>
          <w:highlight w:val="yellow"/>
          <w:shd w:val="clear" w:color="auto" w:fill="E6E6E6"/>
        </w:rPr>
      </w:r>
      <w:r>
        <w:rPr>
          <w:color w:val="2B579A"/>
          <w:highlight w:val="yellow"/>
          <w:shd w:val="clear" w:color="auto" w:fill="E6E6E6"/>
        </w:rPr>
        <w:fldChar w:fldCharType="separate"/>
      </w:r>
      <w:r w:rsidR="00DE04FA">
        <w:t xml:space="preserve">Table </w:t>
      </w:r>
      <w:r w:rsidR="00DE04FA">
        <w:rPr>
          <w:noProof/>
        </w:rPr>
        <w:t>7</w:t>
      </w:r>
      <w:r>
        <w:rPr>
          <w:color w:val="2B579A"/>
          <w:highlight w:val="yellow"/>
          <w:shd w:val="clear" w:color="auto" w:fill="E6E6E6"/>
        </w:rPr>
        <w:fldChar w:fldCharType="end"/>
      </w:r>
      <w:r>
        <w:t xml:space="preserve"> presents an overview of the Thin Market Trials as relevant to this report. Note that * indicates a DRM</w:t>
      </w:r>
      <w:r w:rsidR="00421F22">
        <w:t>C</w:t>
      </w:r>
      <w:r>
        <w:t xml:space="preserve">-trial. </w:t>
      </w:r>
    </w:p>
    <w:p w14:paraId="08A50042" w14:textId="53316A6E" w:rsidR="00946036" w:rsidRDefault="00946036" w:rsidP="00157C14">
      <w:pPr>
        <w:pStyle w:val="Caption"/>
      </w:pPr>
      <w:bookmarkStart w:id="173" w:name="_Ref82099092"/>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7</w:t>
      </w:r>
      <w:r>
        <w:rPr>
          <w:color w:val="2B579A"/>
          <w:shd w:val="clear" w:color="auto" w:fill="E6E6E6"/>
        </w:rPr>
        <w:fldChar w:fldCharType="end"/>
      </w:r>
      <w:bookmarkEnd w:id="173"/>
      <w:r>
        <w:t>: Overview of Thin Market Trials</w:t>
      </w:r>
    </w:p>
    <w:tbl>
      <w:tblPr>
        <w:tblStyle w:val="TableGrid"/>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Description w:val="This table provides an overview of the thin market trials included in this report. It provides the LGA, the intervention type, support types targeted, the start and end dates and the status."/>
      </w:tblPr>
      <w:tblGrid>
        <w:gridCol w:w="3689"/>
        <w:gridCol w:w="2648"/>
        <w:gridCol w:w="3943"/>
        <w:gridCol w:w="1958"/>
        <w:gridCol w:w="1710"/>
      </w:tblGrid>
      <w:tr w:rsidR="00504A1A" w:rsidRPr="00D02D90" w14:paraId="6CE3E3CA" w14:textId="77777777">
        <w:trPr>
          <w:tblHeader/>
        </w:trPr>
        <w:tc>
          <w:tcPr>
            <w:tcW w:w="1322" w:type="pct"/>
            <w:shd w:val="clear" w:color="auto" w:fill="6B2976" w:themeFill="background2"/>
          </w:tcPr>
          <w:p w14:paraId="5CCC5A84" w14:textId="77777777" w:rsidR="00504A1A" w:rsidRPr="00D02D90" w:rsidRDefault="00504A1A">
            <w:pPr>
              <w:rPr>
                <w:color w:val="FFFFFF"/>
              </w:rPr>
            </w:pPr>
            <w:r w:rsidRPr="00D02D90">
              <w:rPr>
                <w:color w:val="FFFFFF"/>
              </w:rPr>
              <w:t>Location</w:t>
            </w:r>
            <w:r>
              <w:rPr>
                <w:color w:val="FFFFFF"/>
              </w:rPr>
              <w:t xml:space="preserve"> (LGA)</w:t>
            </w:r>
          </w:p>
        </w:tc>
        <w:tc>
          <w:tcPr>
            <w:tcW w:w="949" w:type="pct"/>
            <w:shd w:val="clear" w:color="auto" w:fill="6B2976" w:themeFill="background2"/>
          </w:tcPr>
          <w:p w14:paraId="26B96E78" w14:textId="77777777" w:rsidR="00504A1A" w:rsidRPr="00D02D90" w:rsidRDefault="00504A1A">
            <w:pPr>
              <w:rPr>
                <w:color w:val="FFFFFF"/>
              </w:rPr>
            </w:pPr>
            <w:r w:rsidRPr="00D02D90">
              <w:rPr>
                <w:color w:val="FFFFFF"/>
              </w:rPr>
              <w:t xml:space="preserve">Intervention </w:t>
            </w:r>
          </w:p>
        </w:tc>
        <w:tc>
          <w:tcPr>
            <w:tcW w:w="1413" w:type="pct"/>
            <w:shd w:val="clear" w:color="auto" w:fill="6B2976" w:themeFill="background2"/>
          </w:tcPr>
          <w:p w14:paraId="32CFB661" w14:textId="77777777" w:rsidR="00504A1A" w:rsidRPr="00D02D90" w:rsidRDefault="00504A1A">
            <w:pPr>
              <w:rPr>
                <w:color w:val="FFFFFF"/>
              </w:rPr>
            </w:pPr>
            <w:r w:rsidRPr="00D02D90">
              <w:rPr>
                <w:color w:val="FFFFFF"/>
              </w:rPr>
              <w:t>Support type</w:t>
            </w:r>
          </w:p>
        </w:tc>
        <w:tc>
          <w:tcPr>
            <w:tcW w:w="702" w:type="pct"/>
            <w:shd w:val="clear" w:color="auto" w:fill="6B2976" w:themeFill="background2"/>
          </w:tcPr>
          <w:p w14:paraId="65947756" w14:textId="77777777" w:rsidR="00504A1A" w:rsidRPr="00D02D90" w:rsidRDefault="00504A1A">
            <w:pPr>
              <w:rPr>
                <w:color w:val="FFFFFF"/>
              </w:rPr>
            </w:pPr>
            <w:r w:rsidRPr="00D02D90">
              <w:rPr>
                <w:color w:val="FFFFFF"/>
              </w:rPr>
              <w:t>Start date - end date</w:t>
            </w:r>
          </w:p>
        </w:tc>
        <w:tc>
          <w:tcPr>
            <w:tcW w:w="613" w:type="pct"/>
            <w:shd w:val="clear" w:color="auto" w:fill="6B2976" w:themeFill="background2"/>
          </w:tcPr>
          <w:p w14:paraId="0BB2FEC1" w14:textId="77777777" w:rsidR="00504A1A" w:rsidRPr="00D02D90" w:rsidRDefault="00504A1A">
            <w:pPr>
              <w:rPr>
                <w:color w:val="FFFFFF"/>
              </w:rPr>
            </w:pPr>
            <w:r w:rsidRPr="00D02D90">
              <w:rPr>
                <w:color w:val="FFFFFF"/>
              </w:rPr>
              <w:t>Project status</w:t>
            </w:r>
          </w:p>
        </w:tc>
      </w:tr>
      <w:tr w:rsidR="00504A1A" w:rsidRPr="00A528EE" w14:paraId="2BAF8B52" w14:textId="77777777">
        <w:tc>
          <w:tcPr>
            <w:tcW w:w="1322" w:type="pct"/>
            <w:shd w:val="clear" w:color="auto" w:fill="F7EEF7"/>
          </w:tcPr>
          <w:p w14:paraId="7DA6A6A1" w14:textId="77777777" w:rsidR="00504A1A" w:rsidRPr="00A528EE" w:rsidRDefault="00504A1A">
            <w:pPr>
              <w:rPr>
                <w:color w:val="000000"/>
              </w:rPr>
            </w:pPr>
            <w:r w:rsidRPr="00A528EE">
              <w:rPr>
                <w:color w:val="000000"/>
              </w:rPr>
              <w:t>ACT*</w:t>
            </w:r>
          </w:p>
        </w:tc>
        <w:tc>
          <w:tcPr>
            <w:tcW w:w="949" w:type="pct"/>
            <w:shd w:val="clear" w:color="auto" w:fill="F7EEF7"/>
          </w:tcPr>
          <w:p w14:paraId="7D535E34" w14:textId="77777777" w:rsidR="00504A1A" w:rsidRPr="00C15B2C" w:rsidRDefault="00504A1A">
            <w:pPr>
              <w:spacing w:after="0"/>
              <w:rPr>
                <w:color w:val="000000"/>
              </w:rPr>
            </w:pPr>
            <w:r w:rsidRPr="00C15B2C">
              <w:rPr>
                <w:color w:val="000000"/>
              </w:rPr>
              <w:t>Direct commissioning</w:t>
            </w:r>
          </w:p>
          <w:p w14:paraId="0251EA81" w14:textId="77777777" w:rsidR="00504A1A" w:rsidRPr="00A528EE" w:rsidRDefault="00504A1A">
            <w:pPr>
              <w:rPr>
                <w:color w:val="000000"/>
              </w:rPr>
            </w:pPr>
          </w:p>
        </w:tc>
        <w:tc>
          <w:tcPr>
            <w:tcW w:w="1413" w:type="pct"/>
            <w:shd w:val="clear" w:color="auto" w:fill="F7EEF7"/>
          </w:tcPr>
          <w:p w14:paraId="1B9E02D9" w14:textId="77777777" w:rsidR="00504A1A" w:rsidRPr="00A528EE" w:rsidRDefault="00504A1A">
            <w:pPr>
              <w:rPr>
                <w:color w:val="000000"/>
              </w:rPr>
            </w:pPr>
            <w:r w:rsidRPr="00A528EE">
              <w:rPr>
                <w:color w:val="000000"/>
              </w:rPr>
              <w:t>Capacity Building Improved Relationships (specialist behavioural intervention support)</w:t>
            </w:r>
          </w:p>
        </w:tc>
        <w:tc>
          <w:tcPr>
            <w:tcW w:w="702" w:type="pct"/>
            <w:shd w:val="clear" w:color="auto" w:fill="F7EEF7"/>
          </w:tcPr>
          <w:p w14:paraId="17E00A37" w14:textId="77777777" w:rsidR="00504A1A" w:rsidRPr="00A528EE" w:rsidRDefault="00504A1A">
            <w:pPr>
              <w:rPr>
                <w:color w:val="000000"/>
              </w:rPr>
            </w:pPr>
            <w:r w:rsidRPr="00A528EE">
              <w:rPr>
                <w:color w:val="000000"/>
              </w:rPr>
              <w:t xml:space="preserve">Mar 21 – </w:t>
            </w:r>
            <w:r>
              <w:rPr>
                <w:color w:val="000000"/>
              </w:rPr>
              <w:t>Nov</w:t>
            </w:r>
            <w:r w:rsidRPr="00A528EE">
              <w:rPr>
                <w:color w:val="000000"/>
              </w:rPr>
              <w:t xml:space="preserve"> 2</w:t>
            </w:r>
            <w:r>
              <w:rPr>
                <w:color w:val="000000"/>
              </w:rPr>
              <w:t>2</w:t>
            </w:r>
            <w:r w:rsidRPr="00A528EE">
              <w:rPr>
                <w:color w:val="000000"/>
              </w:rPr>
              <w:t xml:space="preserve"> (DC commenced </w:t>
            </w:r>
            <w:r>
              <w:rPr>
                <w:color w:val="000000"/>
              </w:rPr>
              <w:t>Mar</w:t>
            </w:r>
            <w:r w:rsidRPr="00A528EE">
              <w:rPr>
                <w:color w:val="000000"/>
              </w:rPr>
              <w:t xml:space="preserve"> 21)</w:t>
            </w:r>
          </w:p>
        </w:tc>
        <w:tc>
          <w:tcPr>
            <w:tcW w:w="613" w:type="pct"/>
            <w:shd w:val="clear" w:color="auto" w:fill="F7EEF7"/>
          </w:tcPr>
          <w:p w14:paraId="08F4A01F" w14:textId="77777777" w:rsidR="00504A1A" w:rsidRPr="00A528EE" w:rsidRDefault="00504A1A">
            <w:pPr>
              <w:rPr>
                <w:color w:val="000000"/>
              </w:rPr>
            </w:pPr>
            <w:r w:rsidRPr="00A528EE">
              <w:rPr>
                <w:color w:val="000000"/>
              </w:rPr>
              <w:t>Ongoing</w:t>
            </w:r>
          </w:p>
        </w:tc>
      </w:tr>
      <w:tr w:rsidR="00504A1A" w14:paraId="48859CEE" w14:textId="77777777">
        <w:tc>
          <w:tcPr>
            <w:tcW w:w="1322" w:type="pct"/>
          </w:tcPr>
          <w:p w14:paraId="08809C43" w14:textId="77777777" w:rsidR="00504A1A" w:rsidRDefault="00504A1A">
            <w:r>
              <w:t>Alice Springs*, Barkly*, Central Desert*, MacDonnell* (NT)</w:t>
            </w:r>
          </w:p>
        </w:tc>
        <w:tc>
          <w:tcPr>
            <w:tcW w:w="949" w:type="pct"/>
          </w:tcPr>
          <w:p w14:paraId="48F77727" w14:textId="77777777" w:rsidR="00504A1A" w:rsidRPr="00A528EE" w:rsidRDefault="00504A1A">
            <w:pPr>
              <w:pStyle w:val="ListParagraph"/>
              <w:numPr>
                <w:ilvl w:val="0"/>
                <w:numId w:val="7"/>
              </w:numPr>
              <w:ind w:left="311" w:hanging="311"/>
            </w:pPr>
            <w:r w:rsidRPr="00A528EE">
              <w:t>Market facilitation</w:t>
            </w:r>
          </w:p>
          <w:p w14:paraId="58A2F194" w14:textId="77777777" w:rsidR="00504A1A" w:rsidRPr="001A1595" w:rsidRDefault="00504A1A">
            <w:pPr>
              <w:pStyle w:val="ListParagraph"/>
              <w:numPr>
                <w:ilvl w:val="0"/>
                <w:numId w:val="8"/>
              </w:numPr>
              <w:ind w:left="311" w:hanging="311"/>
            </w:pPr>
            <w:r w:rsidRPr="00A528EE">
              <w:t>CFP</w:t>
            </w:r>
            <w:r>
              <w:t xml:space="preserve"> (Central Desert)</w:t>
            </w:r>
          </w:p>
        </w:tc>
        <w:tc>
          <w:tcPr>
            <w:tcW w:w="1413" w:type="pct"/>
          </w:tcPr>
          <w:p w14:paraId="7E1A8F82" w14:textId="77777777" w:rsidR="00504A1A" w:rsidRPr="00985164" w:rsidRDefault="00504A1A">
            <w:pPr>
              <w:pStyle w:val="ListParagraph"/>
              <w:numPr>
                <w:ilvl w:val="0"/>
                <w:numId w:val="8"/>
              </w:numPr>
              <w:ind w:left="311" w:hanging="311"/>
            </w:pPr>
            <w:r w:rsidRPr="4C43C148">
              <w:t>All supports</w:t>
            </w:r>
          </w:p>
          <w:p w14:paraId="5C0058C6" w14:textId="77777777" w:rsidR="00504A1A" w:rsidRDefault="00504A1A">
            <w:pPr>
              <w:pStyle w:val="ListParagraph"/>
              <w:numPr>
                <w:ilvl w:val="0"/>
                <w:numId w:val="8"/>
              </w:numPr>
              <w:ind w:left="311" w:hanging="311"/>
            </w:pPr>
            <w:r w:rsidRPr="4C43C148">
              <w:t>Core Assistance with Daily Life (CFP)</w:t>
            </w:r>
          </w:p>
        </w:tc>
        <w:tc>
          <w:tcPr>
            <w:tcW w:w="702" w:type="pct"/>
          </w:tcPr>
          <w:p w14:paraId="145A8929" w14:textId="77777777" w:rsidR="00504A1A" w:rsidRDefault="00504A1A">
            <w:r>
              <w:t>Apr 20 – Sep 21</w:t>
            </w:r>
          </w:p>
        </w:tc>
        <w:tc>
          <w:tcPr>
            <w:tcW w:w="613" w:type="pct"/>
          </w:tcPr>
          <w:p w14:paraId="704CAC94" w14:textId="77777777" w:rsidR="00504A1A" w:rsidRDefault="00504A1A">
            <w:r>
              <w:t>Ongoing (Central Desert, Barkly)</w:t>
            </w:r>
          </w:p>
        </w:tc>
      </w:tr>
      <w:tr w:rsidR="00504A1A" w:rsidRPr="00A528EE" w14:paraId="2CED7DD9" w14:textId="77777777">
        <w:tc>
          <w:tcPr>
            <w:tcW w:w="1322" w:type="pct"/>
            <w:shd w:val="clear" w:color="auto" w:fill="F7EEF7"/>
          </w:tcPr>
          <w:p w14:paraId="48E23758" w14:textId="77777777" w:rsidR="00504A1A" w:rsidRPr="00A528EE" w:rsidRDefault="00504A1A">
            <w:pPr>
              <w:rPr>
                <w:color w:val="000000"/>
              </w:rPr>
            </w:pPr>
            <w:r w:rsidRPr="00A528EE">
              <w:rPr>
                <w:color w:val="000000"/>
              </w:rPr>
              <w:t>APY Lands (SA)</w:t>
            </w:r>
          </w:p>
        </w:tc>
        <w:tc>
          <w:tcPr>
            <w:tcW w:w="949" w:type="pct"/>
            <w:shd w:val="clear" w:color="auto" w:fill="F7EEF7"/>
          </w:tcPr>
          <w:p w14:paraId="2971FF7D" w14:textId="77777777" w:rsidR="00504A1A" w:rsidRPr="00A528EE" w:rsidRDefault="00504A1A">
            <w:pPr>
              <w:pStyle w:val="ListParagraph"/>
              <w:numPr>
                <w:ilvl w:val="0"/>
                <w:numId w:val="7"/>
              </w:numPr>
              <w:ind w:left="311" w:hanging="311"/>
            </w:pPr>
            <w:r w:rsidRPr="00A528EE">
              <w:t>Direct commissioning</w:t>
            </w:r>
          </w:p>
          <w:p w14:paraId="1563340E" w14:textId="77777777" w:rsidR="00504A1A" w:rsidRPr="00A528EE" w:rsidRDefault="00504A1A">
            <w:pPr>
              <w:pStyle w:val="ListParagraph"/>
              <w:numPr>
                <w:ilvl w:val="0"/>
                <w:numId w:val="8"/>
              </w:numPr>
              <w:ind w:left="311" w:hanging="311"/>
            </w:pPr>
            <w:r w:rsidRPr="00A528EE">
              <w:t>CFP</w:t>
            </w:r>
          </w:p>
        </w:tc>
        <w:tc>
          <w:tcPr>
            <w:tcW w:w="1413" w:type="pct"/>
            <w:shd w:val="clear" w:color="auto" w:fill="F7EEF7"/>
          </w:tcPr>
          <w:p w14:paraId="19D0C82B" w14:textId="77777777" w:rsidR="00504A1A" w:rsidRPr="00A528EE" w:rsidRDefault="00504A1A">
            <w:pPr>
              <w:pStyle w:val="ListParagraph"/>
              <w:numPr>
                <w:ilvl w:val="0"/>
                <w:numId w:val="8"/>
              </w:numPr>
              <w:ind w:left="311" w:hanging="311"/>
            </w:pPr>
            <w:r w:rsidRPr="00A528EE">
              <w:t>Core Assistance with Social, Economic and Community Participation</w:t>
            </w:r>
            <w:r>
              <w:t xml:space="preserve"> (DC)</w:t>
            </w:r>
          </w:p>
          <w:p w14:paraId="799BCD3E" w14:textId="77777777" w:rsidR="00504A1A" w:rsidRPr="00A528EE" w:rsidRDefault="00504A1A">
            <w:pPr>
              <w:pStyle w:val="ListParagraph"/>
              <w:numPr>
                <w:ilvl w:val="0"/>
                <w:numId w:val="8"/>
              </w:numPr>
              <w:ind w:left="311" w:hanging="311"/>
            </w:pPr>
            <w:r w:rsidRPr="00A528EE">
              <w:t>Capacity Building Daily Activities</w:t>
            </w:r>
            <w:r>
              <w:t xml:space="preserve"> (CFP)</w:t>
            </w:r>
          </w:p>
        </w:tc>
        <w:tc>
          <w:tcPr>
            <w:tcW w:w="702" w:type="pct"/>
            <w:shd w:val="clear" w:color="auto" w:fill="F7EEF7"/>
          </w:tcPr>
          <w:p w14:paraId="691DC97E" w14:textId="77777777" w:rsidR="00504A1A" w:rsidRDefault="00504A1A">
            <w:pPr>
              <w:rPr>
                <w:color w:val="000000"/>
              </w:rPr>
            </w:pPr>
            <w:r w:rsidRPr="00A528EE">
              <w:rPr>
                <w:color w:val="000000"/>
              </w:rPr>
              <w:t>May 20 – Oct 23</w:t>
            </w:r>
          </w:p>
          <w:p w14:paraId="36C7DE49" w14:textId="77777777" w:rsidR="00504A1A" w:rsidRPr="00A528EE" w:rsidRDefault="00504A1A">
            <w:pPr>
              <w:rPr>
                <w:color w:val="000000"/>
              </w:rPr>
            </w:pPr>
            <w:r>
              <w:rPr>
                <w:color w:val="000000"/>
              </w:rPr>
              <w:t>(DC commenced Mar 22)</w:t>
            </w:r>
          </w:p>
        </w:tc>
        <w:tc>
          <w:tcPr>
            <w:tcW w:w="613" w:type="pct"/>
            <w:shd w:val="clear" w:color="auto" w:fill="F7EEF7"/>
          </w:tcPr>
          <w:p w14:paraId="2CA7657F" w14:textId="77777777" w:rsidR="00504A1A" w:rsidRPr="00A528EE" w:rsidRDefault="00504A1A">
            <w:pPr>
              <w:rPr>
                <w:color w:val="000000"/>
              </w:rPr>
            </w:pPr>
            <w:r w:rsidRPr="00A528EE">
              <w:rPr>
                <w:color w:val="000000"/>
              </w:rPr>
              <w:t xml:space="preserve">Ongoing </w:t>
            </w:r>
          </w:p>
        </w:tc>
      </w:tr>
      <w:tr w:rsidR="00504A1A" w14:paraId="1577D71B" w14:textId="77777777">
        <w:tc>
          <w:tcPr>
            <w:tcW w:w="1322" w:type="pct"/>
          </w:tcPr>
          <w:p w14:paraId="2E01B6F7" w14:textId="77777777" w:rsidR="00504A1A" w:rsidRDefault="00504A1A">
            <w:r>
              <w:t xml:space="preserve">Ararat*, Latrobe*, Baw </w:t>
            </w:r>
            <w:proofErr w:type="spellStart"/>
            <w:r>
              <w:t>Baw</w:t>
            </w:r>
            <w:proofErr w:type="spellEnd"/>
            <w:r>
              <w:t>, Bass Coast, East Gippsland, South Gippsland, Wellington (VIC)</w:t>
            </w:r>
          </w:p>
        </w:tc>
        <w:tc>
          <w:tcPr>
            <w:tcW w:w="949" w:type="pct"/>
          </w:tcPr>
          <w:p w14:paraId="12D4E000" w14:textId="77777777" w:rsidR="00504A1A" w:rsidRDefault="00504A1A">
            <w:r>
              <w:t>Market facilitation</w:t>
            </w:r>
          </w:p>
        </w:tc>
        <w:tc>
          <w:tcPr>
            <w:tcW w:w="1413" w:type="pct"/>
          </w:tcPr>
          <w:p w14:paraId="0BA2114E" w14:textId="77777777" w:rsidR="00504A1A" w:rsidRDefault="00504A1A">
            <w:r>
              <w:t>Capacity Building Improved Relationships (s</w:t>
            </w:r>
            <w:r w:rsidRPr="006746A2">
              <w:t xml:space="preserve">pecialist </w:t>
            </w:r>
            <w:r>
              <w:t>b</w:t>
            </w:r>
            <w:r w:rsidRPr="006746A2">
              <w:t xml:space="preserve">ehavioural </w:t>
            </w:r>
            <w:r>
              <w:t>i</w:t>
            </w:r>
            <w:r w:rsidRPr="006746A2">
              <w:t xml:space="preserve">ntervention </w:t>
            </w:r>
            <w:r>
              <w:t>s</w:t>
            </w:r>
            <w:r w:rsidRPr="006746A2">
              <w:t>upport</w:t>
            </w:r>
            <w:r>
              <w:t>)</w:t>
            </w:r>
          </w:p>
        </w:tc>
        <w:tc>
          <w:tcPr>
            <w:tcW w:w="702" w:type="pct"/>
          </w:tcPr>
          <w:p w14:paraId="637EA4BE" w14:textId="77777777" w:rsidR="00504A1A" w:rsidRDefault="00504A1A">
            <w:r>
              <w:t>May 20 – Jun 21</w:t>
            </w:r>
          </w:p>
        </w:tc>
        <w:tc>
          <w:tcPr>
            <w:tcW w:w="613" w:type="pct"/>
          </w:tcPr>
          <w:p w14:paraId="0C82EAD6" w14:textId="77777777" w:rsidR="00504A1A" w:rsidRDefault="00504A1A">
            <w:r>
              <w:t>Closed</w:t>
            </w:r>
          </w:p>
        </w:tc>
      </w:tr>
      <w:tr w:rsidR="00504A1A" w14:paraId="23AA1D76" w14:textId="77777777">
        <w:tc>
          <w:tcPr>
            <w:tcW w:w="1322" w:type="pct"/>
            <w:shd w:val="clear" w:color="auto" w:fill="F7EEF7"/>
          </w:tcPr>
          <w:p w14:paraId="3183E59A" w14:textId="77777777" w:rsidR="00504A1A" w:rsidRDefault="00504A1A">
            <w:r>
              <w:t>Aurukun (Qld)</w:t>
            </w:r>
          </w:p>
        </w:tc>
        <w:tc>
          <w:tcPr>
            <w:tcW w:w="949" w:type="pct"/>
            <w:shd w:val="clear" w:color="auto" w:fill="F7EEF7"/>
          </w:tcPr>
          <w:p w14:paraId="2C0C00AA" w14:textId="77777777" w:rsidR="00504A1A" w:rsidRDefault="00504A1A">
            <w:pPr>
              <w:spacing w:after="0"/>
            </w:pPr>
            <w:r w:rsidRPr="008D585E">
              <w:t>Market facilitation</w:t>
            </w:r>
          </w:p>
        </w:tc>
        <w:tc>
          <w:tcPr>
            <w:tcW w:w="1413" w:type="pct"/>
            <w:shd w:val="clear" w:color="auto" w:fill="F7EEF7"/>
          </w:tcPr>
          <w:p w14:paraId="63824AAE" w14:textId="77777777" w:rsidR="00504A1A" w:rsidRDefault="00504A1A">
            <w:r w:rsidRPr="001D356D">
              <w:t>All supports</w:t>
            </w:r>
          </w:p>
        </w:tc>
        <w:tc>
          <w:tcPr>
            <w:tcW w:w="702" w:type="pct"/>
            <w:shd w:val="clear" w:color="auto" w:fill="F7EEF7"/>
          </w:tcPr>
          <w:p w14:paraId="1877D5A5" w14:textId="77777777" w:rsidR="00504A1A" w:rsidRDefault="00504A1A">
            <w:r>
              <w:t>Dec 21 – TBC</w:t>
            </w:r>
          </w:p>
        </w:tc>
        <w:tc>
          <w:tcPr>
            <w:tcW w:w="613" w:type="pct"/>
            <w:shd w:val="clear" w:color="auto" w:fill="F7EEF7"/>
          </w:tcPr>
          <w:p w14:paraId="484BEC03" w14:textId="77777777" w:rsidR="00504A1A" w:rsidRDefault="00504A1A">
            <w:r>
              <w:t>Ongoing</w:t>
            </w:r>
          </w:p>
        </w:tc>
      </w:tr>
      <w:tr w:rsidR="00504A1A" w14:paraId="568DD1AE" w14:textId="77777777">
        <w:tc>
          <w:tcPr>
            <w:tcW w:w="1322" w:type="pct"/>
          </w:tcPr>
          <w:p w14:paraId="503900B2" w14:textId="77777777" w:rsidR="00504A1A" w:rsidRDefault="00504A1A">
            <w:r>
              <w:lastRenderedPageBreak/>
              <w:t>Berri-Barmera (SA)</w:t>
            </w:r>
          </w:p>
        </w:tc>
        <w:tc>
          <w:tcPr>
            <w:tcW w:w="949" w:type="pct"/>
          </w:tcPr>
          <w:p w14:paraId="35DC9BC9" w14:textId="77777777" w:rsidR="00504A1A" w:rsidRDefault="00504A1A">
            <w:pPr>
              <w:spacing w:after="0"/>
            </w:pPr>
            <w:r>
              <w:t>Market facilitation</w:t>
            </w:r>
          </w:p>
        </w:tc>
        <w:tc>
          <w:tcPr>
            <w:tcW w:w="1413" w:type="pct"/>
          </w:tcPr>
          <w:p w14:paraId="6B512FCE" w14:textId="77777777" w:rsidR="00504A1A" w:rsidRDefault="00504A1A">
            <w:r>
              <w:t xml:space="preserve">Core </w:t>
            </w:r>
            <w:r w:rsidRPr="00A40083">
              <w:t>Assistance with Social &amp; Community Participation</w:t>
            </w:r>
          </w:p>
        </w:tc>
        <w:tc>
          <w:tcPr>
            <w:tcW w:w="702" w:type="pct"/>
          </w:tcPr>
          <w:p w14:paraId="24A3DE1C" w14:textId="77777777" w:rsidR="00504A1A" w:rsidRDefault="00504A1A">
            <w:r>
              <w:t>Aug 21 – TBC</w:t>
            </w:r>
          </w:p>
        </w:tc>
        <w:tc>
          <w:tcPr>
            <w:tcW w:w="613" w:type="pct"/>
          </w:tcPr>
          <w:p w14:paraId="3D8C9DC8" w14:textId="77777777" w:rsidR="00504A1A" w:rsidRDefault="00504A1A">
            <w:r>
              <w:t>Ongoing</w:t>
            </w:r>
          </w:p>
        </w:tc>
      </w:tr>
      <w:tr w:rsidR="00504A1A" w14:paraId="2361536B" w14:textId="77777777">
        <w:tc>
          <w:tcPr>
            <w:tcW w:w="1322" w:type="pct"/>
            <w:shd w:val="clear" w:color="auto" w:fill="F7EEF7"/>
          </w:tcPr>
          <w:p w14:paraId="19B1D9C1" w14:textId="77777777" w:rsidR="00504A1A" w:rsidRDefault="00504A1A">
            <w:r>
              <w:t>Bland, Junee (NSW)</w:t>
            </w:r>
          </w:p>
        </w:tc>
        <w:tc>
          <w:tcPr>
            <w:tcW w:w="949" w:type="pct"/>
            <w:shd w:val="clear" w:color="auto" w:fill="F7EEF7"/>
          </w:tcPr>
          <w:p w14:paraId="56FB76E9" w14:textId="77777777" w:rsidR="00504A1A" w:rsidRDefault="00504A1A">
            <w:pPr>
              <w:spacing w:after="0"/>
            </w:pPr>
            <w:r>
              <w:t>Market facilitation</w:t>
            </w:r>
          </w:p>
        </w:tc>
        <w:tc>
          <w:tcPr>
            <w:tcW w:w="1413" w:type="pct"/>
            <w:shd w:val="clear" w:color="auto" w:fill="F7EEF7"/>
          </w:tcPr>
          <w:p w14:paraId="080DB286" w14:textId="77777777" w:rsidR="00504A1A" w:rsidRDefault="00504A1A">
            <w:r>
              <w:t>All supports</w:t>
            </w:r>
          </w:p>
        </w:tc>
        <w:tc>
          <w:tcPr>
            <w:tcW w:w="702" w:type="pct"/>
            <w:shd w:val="clear" w:color="auto" w:fill="F7EEF7"/>
          </w:tcPr>
          <w:p w14:paraId="1086650C" w14:textId="77777777" w:rsidR="00504A1A" w:rsidRDefault="00504A1A">
            <w:r>
              <w:t>Oct 21 – Jun 22</w:t>
            </w:r>
          </w:p>
        </w:tc>
        <w:tc>
          <w:tcPr>
            <w:tcW w:w="613" w:type="pct"/>
            <w:shd w:val="clear" w:color="auto" w:fill="F7EEF7"/>
          </w:tcPr>
          <w:p w14:paraId="0EDF30D7" w14:textId="77777777" w:rsidR="00504A1A" w:rsidRDefault="00504A1A">
            <w:r>
              <w:t>Closed</w:t>
            </w:r>
          </w:p>
        </w:tc>
      </w:tr>
      <w:tr w:rsidR="00504A1A" w:rsidRPr="00A528EE" w14:paraId="235138F6" w14:textId="77777777">
        <w:tc>
          <w:tcPr>
            <w:tcW w:w="1322" w:type="pct"/>
            <w:shd w:val="clear" w:color="auto" w:fill="auto"/>
          </w:tcPr>
          <w:p w14:paraId="67C9E2E5" w14:textId="77777777" w:rsidR="00504A1A" w:rsidRPr="00A528EE" w:rsidRDefault="00504A1A">
            <w:pPr>
              <w:rPr>
                <w:color w:val="000000"/>
              </w:rPr>
            </w:pPr>
            <w:r w:rsidRPr="00A528EE">
              <w:rPr>
                <w:color w:val="000000"/>
              </w:rPr>
              <w:t>Broome (WA)</w:t>
            </w:r>
          </w:p>
        </w:tc>
        <w:tc>
          <w:tcPr>
            <w:tcW w:w="949" w:type="pct"/>
            <w:shd w:val="clear" w:color="auto" w:fill="auto"/>
          </w:tcPr>
          <w:p w14:paraId="47125FC8" w14:textId="77777777" w:rsidR="00504A1A" w:rsidRDefault="00504A1A">
            <w:pPr>
              <w:rPr>
                <w:color w:val="000000"/>
              </w:rPr>
            </w:pPr>
            <w:r w:rsidRPr="00A528EE">
              <w:rPr>
                <w:color w:val="000000"/>
              </w:rPr>
              <w:t>CFP</w:t>
            </w:r>
          </w:p>
        </w:tc>
        <w:tc>
          <w:tcPr>
            <w:tcW w:w="1413" w:type="pct"/>
            <w:shd w:val="clear" w:color="auto" w:fill="auto"/>
          </w:tcPr>
          <w:p w14:paraId="26F14769" w14:textId="77777777" w:rsidR="00504A1A" w:rsidRPr="00A528EE" w:rsidRDefault="00504A1A">
            <w:pPr>
              <w:rPr>
                <w:color w:val="000000"/>
              </w:rPr>
            </w:pPr>
            <w:r>
              <w:rPr>
                <w:color w:val="000000"/>
              </w:rPr>
              <w:t xml:space="preserve">Assessments to access Capital </w:t>
            </w:r>
            <w:r w:rsidRPr="00A528EE">
              <w:rPr>
                <w:color w:val="000000"/>
              </w:rPr>
              <w:t>Assistive Technology (Orthotics &amp; Prosthetics)</w:t>
            </w:r>
          </w:p>
        </w:tc>
        <w:tc>
          <w:tcPr>
            <w:tcW w:w="702" w:type="pct"/>
            <w:shd w:val="clear" w:color="auto" w:fill="auto"/>
          </w:tcPr>
          <w:p w14:paraId="114D5320" w14:textId="77777777" w:rsidR="00504A1A" w:rsidRPr="00A528EE" w:rsidRDefault="00504A1A">
            <w:pPr>
              <w:rPr>
                <w:color w:val="000000"/>
              </w:rPr>
            </w:pPr>
            <w:r w:rsidRPr="00A528EE">
              <w:rPr>
                <w:color w:val="000000"/>
              </w:rPr>
              <w:t xml:space="preserve">Sep 20 – </w:t>
            </w:r>
            <w:r>
              <w:rPr>
                <w:color w:val="000000"/>
              </w:rPr>
              <w:t>Nov</w:t>
            </w:r>
            <w:r w:rsidRPr="00A528EE">
              <w:rPr>
                <w:color w:val="000000"/>
              </w:rPr>
              <w:t xml:space="preserve"> 21</w:t>
            </w:r>
          </w:p>
        </w:tc>
        <w:tc>
          <w:tcPr>
            <w:tcW w:w="613" w:type="pct"/>
            <w:shd w:val="clear" w:color="auto" w:fill="auto"/>
          </w:tcPr>
          <w:p w14:paraId="5E7AAD24" w14:textId="77777777" w:rsidR="00504A1A" w:rsidRPr="00A528EE" w:rsidRDefault="00504A1A">
            <w:pPr>
              <w:rPr>
                <w:color w:val="000000"/>
              </w:rPr>
            </w:pPr>
            <w:r>
              <w:rPr>
                <w:color w:val="000000"/>
              </w:rPr>
              <w:t>Closed</w:t>
            </w:r>
          </w:p>
        </w:tc>
      </w:tr>
      <w:tr w:rsidR="00504A1A" w14:paraId="409BF2CB" w14:textId="77777777">
        <w:tc>
          <w:tcPr>
            <w:tcW w:w="1322" w:type="pct"/>
            <w:shd w:val="clear" w:color="auto" w:fill="F7EEF7"/>
          </w:tcPr>
          <w:p w14:paraId="7E030B02" w14:textId="77777777" w:rsidR="00504A1A" w:rsidRDefault="00504A1A">
            <w:r>
              <w:t>Carpentaria (Qld)</w:t>
            </w:r>
          </w:p>
        </w:tc>
        <w:tc>
          <w:tcPr>
            <w:tcW w:w="949" w:type="pct"/>
            <w:shd w:val="clear" w:color="auto" w:fill="F7EEF7"/>
          </w:tcPr>
          <w:p w14:paraId="55CA3D2B" w14:textId="77777777" w:rsidR="00504A1A" w:rsidRDefault="00504A1A">
            <w:pPr>
              <w:spacing w:after="0"/>
            </w:pPr>
            <w:r w:rsidRPr="008D585E">
              <w:t>Market facilitation</w:t>
            </w:r>
          </w:p>
        </w:tc>
        <w:tc>
          <w:tcPr>
            <w:tcW w:w="1413" w:type="pct"/>
            <w:shd w:val="clear" w:color="auto" w:fill="F7EEF7"/>
          </w:tcPr>
          <w:p w14:paraId="4A9974C2" w14:textId="77777777" w:rsidR="00504A1A" w:rsidRDefault="00504A1A">
            <w:r w:rsidRPr="001D356D">
              <w:t>All supports</w:t>
            </w:r>
          </w:p>
        </w:tc>
        <w:tc>
          <w:tcPr>
            <w:tcW w:w="702" w:type="pct"/>
            <w:shd w:val="clear" w:color="auto" w:fill="F7EEF7"/>
          </w:tcPr>
          <w:p w14:paraId="7C212405" w14:textId="77777777" w:rsidR="00504A1A" w:rsidRDefault="00504A1A">
            <w:r>
              <w:t xml:space="preserve">Oct 21 – TBC </w:t>
            </w:r>
          </w:p>
        </w:tc>
        <w:tc>
          <w:tcPr>
            <w:tcW w:w="613" w:type="pct"/>
            <w:shd w:val="clear" w:color="auto" w:fill="F7EEF7"/>
          </w:tcPr>
          <w:p w14:paraId="1E6FC316" w14:textId="77777777" w:rsidR="00504A1A" w:rsidRDefault="00504A1A">
            <w:r>
              <w:t>Ongoing</w:t>
            </w:r>
          </w:p>
        </w:tc>
      </w:tr>
      <w:tr w:rsidR="00504A1A" w14:paraId="7D4138F9" w14:textId="77777777">
        <w:tc>
          <w:tcPr>
            <w:tcW w:w="1322" w:type="pct"/>
            <w:shd w:val="clear" w:color="auto" w:fill="auto"/>
          </w:tcPr>
          <w:p w14:paraId="39BE1A62" w14:textId="77777777" w:rsidR="00504A1A" w:rsidRDefault="00504A1A">
            <w:r>
              <w:t>Cloncurry, Doomadgee, Woorabinda, Mornington (Qld)</w:t>
            </w:r>
          </w:p>
        </w:tc>
        <w:tc>
          <w:tcPr>
            <w:tcW w:w="949" w:type="pct"/>
            <w:shd w:val="clear" w:color="auto" w:fill="auto"/>
          </w:tcPr>
          <w:p w14:paraId="4D06E3C3" w14:textId="77777777" w:rsidR="00504A1A" w:rsidRPr="006F0525" w:rsidRDefault="00504A1A">
            <w:pPr>
              <w:pStyle w:val="ListParagraph"/>
              <w:numPr>
                <w:ilvl w:val="0"/>
                <w:numId w:val="7"/>
              </w:numPr>
              <w:ind w:left="311" w:hanging="311"/>
            </w:pPr>
            <w:r>
              <w:t xml:space="preserve">Market </w:t>
            </w:r>
            <w:r w:rsidRPr="006F0525">
              <w:t>facilitation</w:t>
            </w:r>
          </w:p>
          <w:p w14:paraId="1C5C9898" w14:textId="77777777" w:rsidR="00504A1A" w:rsidRPr="001A1595" w:rsidRDefault="00504A1A">
            <w:pPr>
              <w:pStyle w:val="ListParagraph"/>
              <w:numPr>
                <w:ilvl w:val="0"/>
                <w:numId w:val="8"/>
              </w:numPr>
              <w:ind w:left="311" w:hanging="311"/>
            </w:pPr>
            <w:r w:rsidRPr="006F0525">
              <w:t>CFP (Mornington</w:t>
            </w:r>
            <w:r>
              <w:t>)</w:t>
            </w:r>
          </w:p>
        </w:tc>
        <w:tc>
          <w:tcPr>
            <w:tcW w:w="1413" w:type="pct"/>
            <w:shd w:val="clear" w:color="auto" w:fill="auto"/>
          </w:tcPr>
          <w:p w14:paraId="2756B026" w14:textId="77777777" w:rsidR="00504A1A" w:rsidRPr="00985164" w:rsidRDefault="00504A1A">
            <w:pPr>
              <w:pStyle w:val="ListParagraph"/>
              <w:numPr>
                <w:ilvl w:val="0"/>
                <w:numId w:val="8"/>
              </w:numPr>
              <w:ind w:left="311" w:hanging="311"/>
            </w:pPr>
            <w:r w:rsidRPr="4C43C148">
              <w:t>All supports</w:t>
            </w:r>
          </w:p>
          <w:p w14:paraId="43B06CBC" w14:textId="77777777" w:rsidR="00504A1A" w:rsidRDefault="00504A1A">
            <w:pPr>
              <w:pStyle w:val="ListParagraph"/>
              <w:numPr>
                <w:ilvl w:val="0"/>
                <w:numId w:val="8"/>
              </w:numPr>
              <w:ind w:left="311" w:hanging="311"/>
            </w:pPr>
            <w:r w:rsidRPr="4C43C148">
              <w:t>Capacity Building Daily Activities (CFP)</w:t>
            </w:r>
          </w:p>
        </w:tc>
        <w:tc>
          <w:tcPr>
            <w:tcW w:w="702" w:type="pct"/>
            <w:shd w:val="clear" w:color="auto" w:fill="auto"/>
          </w:tcPr>
          <w:p w14:paraId="62483459" w14:textId="77777777" w:rsidR="00504A1A" w:rsidRDefault="00504A1A">
            <w:r>
              <w:t>Aug 20 – Jun 21</w:t>
            </w:r>
          </w:p>
        </w:tc>
        <w:tc>
          <w:tcPr>
            <w:tcW w:w="613" w:type="pct"/>
            <w:shd w:val="clear" w:color="auto" w:fill="auto"/>
          </w:tcPr>
          <w:p w14:paraId="070D2230" w14:textId="77777777" w:rsidR="00504A1A" w:rsidRDefault="00504A1A">
            <w:r>
              <w:t xml:space="preserve">Closed </w:t>
            </w:r>
          </w:p>
          <w:p w14:paraId="1DE5357A" w14:textId="77777777" w:rsidR="00504A1A" w:rsidRDefault="00504A1A">
            <w:r>
              <w:t>(Mornington ongoing)</w:t>
            </w:r>
          </w:p>
        </w:tc>
      </w:tr>
      <w:tr w:rsidR="00504A1A" w14:paraId="101247AA" w14:textId="77777777">
        <w:tc>
          <w:tcPr>
            <w:tcW w:w="1322" w:type="pct"/>
            <w:shd w:val="clear" w:color="auto" w:fill="F7EEF7"/>
          </w:tcPr>
          <w:p w14:paraId="4A339660" w14:textId="77777777" w:rsidR="00504A1A" w:rsidRDefault="00504A1A">
            <w:r>
              <w:t>Goondiwindi (Qld)</w:t>
            </w:r>
          </w:p>
        </w:tc>
        <w:tc>
          <w:tcPr>
            <w:tcW w:w="949" w:type="pct"/>
            <w:shd w:val="clear" w:color="auto" w:fill="F7EEF7"/>
          </w:tcPr>
          <w:p w14:paraId="381CCCB3" w14:textId="77777777" w:rsidR="00504A1A" w:rsidRDefault="00504A1A">
            <w:pPr>
              <w:spacing w:after="0"/>
            </w:pPr>
            <w:r>
              <w:t>Market facilitation</w:t>
            </w:r>
          </w:p>
        </w:tc>
        <w:tc>
          <w:tcPr>
            <w:tcW w:w="1413" w:type="pct"/>
            <w:shd w:val="clear" w:color="auto" w:fill="F7EEF7"/>
          </w:tcPr>
          <w:p w14:paraId="43E5B11D" w14:textId="77777777" w:rsidR="00504A1A" w:rsidRPr="00A40083" w:rsidRDefault="00504A1A">
            <w:r>
              <w:t>Core Assistance with Daily Life</w:t>
            </w:r>
          </w:p>
        </w:tc>
        <w:tc>
          <w:tcPr>
            <w:tcW w:w="702" w:type="pct"/>
            <w:shd w:val="clear" w:color="auto" w:fill="F7EEF7"/>
          </w:tcPr>
          <w:p w14:paraId="5DC88751" w14:textId="77777777" w:rsidR="00504A1A" w:rsidRDefault="00504A1A">
            <w:r>
              <w:t xml:space="preserve">Apr 21 – TBC  </w:t>
            </w:r>
          </w:p>
        </w:tc>
        <w:tc>
          <w:tcPr>
            <w:tcW w:w="613" w:type="pct"/>
            <w:shd w:val="clear" w:color="auto" w:fill="F7EEF7"/>
          </w:tcPr>
          <w:p w14:paraId="70FC09D6" w14:textId="77777777" w:rsidR="00504A1A" w:rsidRDefault="00504A1A">
            <w:r>
              <w:t>Ongoing</w:t>
            </w:r>
          </w:p>
        </w:tc>
      </w:tr>
      <w:tr w:rsidR="00504A1A" w:rsidRPr="00A528EE" w14:paraId="5BD94946" w14:textId="77777777">
        <w:tc>
          <w:tcPr>
            <w:tcW w:w="1322" w:type="pct"/>
            <w:shd w:val="clear" w:color="auto" w:fill="auto"/>
          </w:tcPr>
          <w:p w14:paraId="2853EE0C" w14:textId="77777777" w:rsidR="00504A1A" w:rsidRPr="00A528EE" w:rsidRDefault="00504A1A">
            <w:pPr>
              <w:rPr>
                <w:color w:val="000000"/>
              </w:rPr>
            </w:pPr>
            <w:r w:rsidRPr="00A528EE">
              <w:rPr>
                <w:color w:val="000000"/>
              </w:rPr>
              <w:t>Halls Creek*, Wyndham-East Kimberley* (WA)</w:t>
            </w:r>
          </w:p>
        </w:tc>
        <w:tc>
          <w:tcPr>
            <w:tcW w:w="949" w:type="pct"/>
            <w:shd w:val="clear" w:color="auto" w:fill="auto"/>
          </w:tcPr>
          <w:p w14:paraId="36DFF90F" w14:textId="77777777" w:rsidR="00504A1A" w:rsidRPr="00A528EE" w:rsidRDefault="00504A1A">
            <w:pPr>
              <w:rPr>
                <w:color w:val="000000"/>
              </w:rPr>
            </w:pPr>
            <w:r w:rsidRPr="00A528EE">
              <w:rPr>
                <w:color w:val="000000"/>
              </w:rPr>
              <w:t>Market facilitation</w:t>
            </w:r>
          </w:p>
        </w:tc>
        <w:tc>
          <w:tcPr>
            <w:tcW w:w="1413" w:type="pct"/>
            <w:shd w:val="clear" w:color="auto" w:fill="auto"/>
          </w:tcPr>
          <w:p w14:paraId="49627EDA" w14:textId="77777777" w:rsidR="00504A1A" w:rsidRPr="00A528EE" w:rsidRDefault="00504A1A">
            <w:pPr>
              <w:rPr>
                <w:color w:val="000000"/>
              </w:rPr>
            </w:pPr>
            <w:r w:rsidRPr="00A528EE">
              <w:rPr>
                <w:color w:val="000000"/>
              </w:rPr>
              <w:t>Capacity Building Daily Activities</w:t>
            </w:r>
          </w:p>
        </w:tc>
        <w:tc>
          <w:tcPr>
            <w:tcW w:w="702" w:type="pct"/>
            <w:shd w:val="clear" w:color="auto" w:fill="auto"/>
          </w:tcPr>
          <w:p w14:paraId="62A95932" w14:textId="77777777" w:rsidR="00504A1A" w:rsidRPr="00A528EE" w:rsidRDefault="00504A1A">
            <w:pPr>
              <w:rPr>
                <w:color w:val="000000"/>
              </w:rPr>
            </w:pPr>
            <w:r w:rsidRPr="00A528EE">
              <w:rPr>
                <w:color w:val="000000"/>
              </w:rPr>
              <w:t xml:space="preserve">June 20 – </w:t>
            </w:r>
            <w:r w:rsidRPr="00E33B0E">
              <w:rPr>
                <w:color w:val="000000"/>
              </w:rPr>
              <w:t>TBC</w:t>
            </w:r>
          </w:p>
        </w:tc>
        <w:tc>
          <w:tcPr>
            <w:tcW w:w="613" w:type="pct"/>
            <w:shd w:val="clear" w:color="auto" w:fill="auto"/>
          </w:tcPr>
          <w:p w14:paraId="15CFB180" w14:textId="77777777" w:rsidR="00504A1A" w:rsidRPr="00A528EE" w:rsidRDefault="00504A1A">
            <w:pPr>
              <w:rPr>
                <w:color w:val="000000"/>
              </w:rPr>
            </w:pPr>
            <w:r w:rsidRPr="00A528EE">
              <w:rPr>
                <w:color w:val="000000"/>
              </w:rPr>
              <w:t>Ongoing</w:t>
            </w:r>
          </w:p>
        </w:tc>
      </w:tr>
      <w:tr w:rsidR="00504A1A" w14:paraId="69CF9EC3" w14:textId="77777777">
        <w:tc>
          <w:tcPr>
            <w:tcW w:w="1322" w:type="pct"/>
            <w:shd w:val="clear" w:color="auto" w:fill="F7EEF7"/>
          </w:tcPr>
          <w:p w14:paraId="39DCF119" w14:textId="77777777" w:rsidR="00504A1A" w:rsidRDefault="00504A1A">
            <w:r>
              <w:t>Katherine (NT)</w:t>
            </w:r>
          </w:p>
        </w:tc>
        <w:tc>
          <w:tcPr>
            <w:tcW w:w="949" w:type="pct"/>
            <w:shd w:val="clear" w:color="auto" w:fill="F7EEF7"/>
          </w:tcPr>
          <w:p w14:paraId="6C1A30C9" w14:textId="77777777" w:rsidR="00504A1A" w:rsidRDefault="00504A1A">
            <w:r>
              <w:t>CFP</w:t>
            </w:r>
          </w:p>
        </w:tc>
        <w:tc>
          <w:tcPr>
            <w:tcW w:w="1413" w:type="pct"/>
            <w:shd w:val="clear" w:color="auto" w:fill="F7EEF7"/>
          </w:tcPr>
          <w:p w14:paraId="43CE6DA7" w14:textId="77777777" w:rsidR="00504A1A" w:rsidRDefault="00504A1A">
            <w:r>
              <w:t>Assessments to access Capital Assistive Technology and Home Modifications</w:t>
            </w:r>
          </w:p>
        </w:tc>
        <w:tc>
          <w:tcPr>
            <w:tcW w:w="702" w:type="pct"/>
            <w:shd w:val="clear" w:color="auto" w:fill="F7EEF7"/>
          </w:tcPr>
          <w:p w14:paraId="61518964" w14:textId="77777777" w:rsidR="00504A1A" w:rsidRDefault="00504A1A">
            <w:r>
              <w:t>Mar 20 – Jun 21</w:t>
            </w:r>
          </w:p>
        </w:tc>
        <w:tc>
          <w:tcPr>
            <w:tcW w:w="613" w:type="pct"/>
            <w:shd w:val="clear" w:color="auto" w:fill="F7EEF7"/>
          </w:tcPr>
          <w:p w14:paraId="1010A67C" w14:textId="77777777" w:rsidR="00504A1A" w:rsidRDefault="00504A1A">
            <w:r>
              <w:t>Closed</w:t>
            </w:r>
          </w:p>
        </w:tc>
      </w:tr>
      <w:tr w:rsidR="00504A1A" w:rsidRPr="00A528EE" w14:paraId="667B001A" w14:textId="77777777">
        <w:tc>
          <w:tcPr>
            <w:tcW w:w="1322" w:type="pct"/>
            <w:shd w:val="clear" w:color="auto" w:fill="auto"/>
          </w:tcPr>
          <w:p w14:paraId="5D0A9620" w14:textId="77777777" w:rsidR="00504A1A" w:rsidRPr="00A528EE" w:rsidRDefault="00504A1A">
            <w:pPr>
              <w:rPr>
                <w:color w:val="000000"/>
              </w:rPr>
            </w:pPr>
            <w:r w:rsidRPr="00A528EE">
              <w:rPr>
                <w:color w:val="000000"/>
              </w:rPr>
              <w:lastRenderedPageBreak/>
              <w:t>Palm Island* (Qld)</w:t>
            </w:r>
          </w:p>
        </w:tc>
        <w:tc>
          <w:tcPr>
            <w:tcW w:w="949" w:type="pct"/>
            <w:shd w:val="clear" w:color="auto" w:fill="auto"/>
          </w:tcPr>
          <w:p w14:paraId="7A2E2A0E" w14:textId="77777777" w:rsidR="00504A1A" w:rsidRPr="00A528EE" w:rsidRDefault="00504A1A">
            <w:pPr>
              <w:rPr>
                <w:color w:val="000000"/>
              </w:rPr>
            </w:pPr>
            <w:r w:rsidRPr="00A528EE">
              <w:rPr>
                <w:color w:val="000000"/>
              </w:rPr>
              <w:t>Market facilitation</w:t>
            </w:r>
          </w:p>
        </w:tc>
        <w:tc>
          <w:tcPr>
            <w:tcW w:w="1413" w:type="pct"/>
            <w:shd w:val="clear" w:color="auto" w:fill="auto"/>
          </w:tcPr>
          <w:p w14:paraId="58105285" w14:textId="77777777" w:rsidR="00504A1A" w:rsidRPr="00A528EE" w:rsidRDefault="00504A1A">
            <w:pPr>
              <w:rPr>
                <w:color w:val="000000"/>
              </w:rPr>
            </w:pPr>
            <w:r>
              <w:rPr>
                <w:color w:val="000000"/>
              </w:rPr>
              <w:t>S</w:t>
            </w:r>
            <w:r w:rsidRPr="00A528EE">
              <w:rPr>
                <w:color w:val="000000"/>
              </w:rPr>
              <w:t xml:space="preserve">upports for participants with psychosocial disability </w:t>
            </w:r>
          </w:p>
        </w:tc>
        <w:tc>
          <w:tcPr>
            <w:tcW w:w="702" w:type="pct"/>
            <w:shd w:val="clear" w:color="auto" w:fill="auto"/>
          </w:tcPr>
          <w:p w14:paraId="053AA6D7" w14:textId="77777777" w:rsidR="00504A1A" w:rsidRPr="00A528EE" w:rsidRDefault="00504A1A">
            <w:pPr>
              <w:rPr>
                <w:color w:val="000000"/>
              </w:rPr>
            </w:pPr>
            <w:r>
              <w:rPr>
                <w:color w:val="000000"/>
              </w:rPr>
              <w:t>Dec 21</w:t>
            </w:r>
            <w:r w:rsidRPr="00A528EE">
              <w:rPr>
                <w:color w:val="000000"/>
              </w:rPr>
              <w:t xml:space="preserve"> – </w:t>
            </w:r>
            <w:r w:rsidRPr="00E33B0E">
              <w:rPr>
                <w:color w:val="000000"/>
              </w:rPr>
              <w:t>TBC</w:t>
            </w:r>
          </w:p>
        </w:tc>
        <w:tc>
          <w:tcPr>
            <w:tcW w:w="613" w:type="pct"/>
            <w:shd w:val="clear" w:color="auto" w:fill="auto"/>
          </w:tcPr>
          <w:p w14:paraId="361F3683" w14:textId="77777777" w:rsidR="00504A1A" w:rsidRPr="00A528EE" w:rsidRDefault="00504A1A">
            <w:pPr>
              <w:rPr>
                <w:color w:val="000000"/>
              </w:rPr>
            </w:pPr>
            <w:r>
              <w:rPr>
                <w:color w:val="000000"/>
              </w:rPr>
              <w:t>Ongoing</w:t>
            </w:r>
          </w:p>
        </w:tc>
      </w:tr>
      <w:tr w:rsidR="00504A1A" w14:paraId="3D812AF0" w14:textId="77777777">
        <w:tc>
          <w:tcPr>
            <w:tcW w:w="1322" w:type="pct"/>
            <w:shd w:val="clear" w:color="auto" w:fill="F7EEF7"/>
          </w:tcPr>
          <w:p w14:paraId="17BFCE59" w14:textId="77777777" w:rsidR="00504A1A" w:rsidRDefault="00504A1A">
            <w:r>
              <w:t>Tiwi Islands, West Arnhem, West Daly (NT)</w:t>
            </w:r>
          </w:p>
        </w:tc>
        <w:tc>
          <w:tcPr>
            <w:tcW w:w="949" w:type="pct"/>
            <w:shd w:val="clear" w:color="auto" w:fill="F7EEF7"/>
          </w:tcPr>
          <w:p w14:paraId="345BEB33" w14:textId="77777777" w:rsidR="00504A1A" w:rsidRDefault="00504A1A">
            <w:pPr>
              <w:pStyle w:val="ListParagraph"/>
              <w:numPr>
                <w:ilvl w:val="0"/>
                <w:numId w:val="7"/>
              </w:numPr>
              <w:ind w:left="311" w:hanging="311"/>
            </w:pPr>
            <w:r>
              <w:t>Market facilitation</w:t>
            </w:r>
          </w:p>
          <w:p w14:paraId="455AC637" w14:textId="77777777" w:rsidR="00504A1A" w:rsidRDefault="00504A1A">
            <w:pPr>
              <w:pStyle w:val="ListParagraph"/>
              <w:numPr>
                <w:ilvl w:val="0"/>
                <w:numId w:val="7"/>
              </w:numPr>
              <w:ind w:left="311" w:hanging="311"/>
            </w:pPr>
            <w:r w:rsidRPr="00CF6A8E">
              <w:t>CFP</w:t>
            </w:r>
            <w:r>
              <w:t xml:space="preserve"> (excluding West Daly)</w:t>
            </w:r>
          </w:p>
        </w:tc>
        <w:tc>
          <w:tcPr>
            <w:tcW w:w="1413" w:type="pct"/>
            <w:shd w:val="clear" w:color="auto" w:fill="F7EEF7"/>
          </w:tcPr>
          <w:p w14:paraId="4672F8C8" w14:textId="77777777" w:rsidR="00504A1A" w:rsidRPr="007D30A4" w:rsidRDefault="00504A1A">
            <w:pPr>
              <w:pStyle w:val="ListParagraph"/>
              <w:numPr>
                <w:ilvl w:val="0"/>
                <w:numId w:val="8"/>
              </w:numPr>
              <w:ind w:left="311" w:hanging="311"/>
            </w:pPr>
            <w:r>
              <w:t xml:space="preserve">All </w:t>
            </w:r>
            <w:r w:rsidRPr="007D30A4">
              <w:t>supports</w:t>
            </w:r>
          </w:p>
          <w:p w14:paraId="43BEF177" w14:textId="77777777" w:rsidR="00504A1A" w:rsidRDefault="00504A1A">
            <w:pPr>
              <w:pStyle w:val="ListParagraph"/>
              <w:numPr>
                <w:ilvl w:val="0"/>
                <w:numId w:val="8"/>
              </w:numPr>
              <w:ind w:left="311" w:hanging="311"/>
            </w:pPr>
            <w:r>
              <w:t>Capacity Building</w:t>
            </w:r>
            <w:r w:rsidRPr="00BB7EB2">
              <w:t xml:space="preserve"> Daily </w:t>
            </w:r>
            <w:r>
              <w:t>Activities</w:t>
            </w:r>
            <w:r w:rsidRPr="00BB7EB2">
              <w:t xml:space="preserve"> (CFP)</w:t>
            </w:r>
          </w:p>
        </w:tc>
        <w:tc>
          <w:tcPr>
            <w:tcW w:w="702" w:type="pct"/>
            <w:shd w:val="clear" w:color="auto" w:fill="F7EEF7"/>
          </w:tcPr>
          <w:p w14:paraId="0F422FC9" w14:textId="77777777" w:rsidR="00504A1A" w:rsidRDefault="00504A1A">
            <w:r>
              <w:t>Jun 20 – TBC</w:t>
            </w:r>
          </w:p>
        </w:tc>
        <w:tc>
          <w:tcPr>
            <w:tcW w:w="613" w:type="pct"/>
            <w:shd w:val="clear" w:color="auto" w:fill="F7EEF7"/>
          </w:tcPr>
          <w:p w14:paraId="792FE56B" w14:textId="77777777" w:rsidR="00504A1A" w:rsidRDefault="00504A1A">
            <w:r>
              <w:t>Ongoing</w:t>
            </w:r>
          </w:p>
        </w:tc>
      </w:tr>
      <w:tr w:rsidR="00504A1A" w:rsidRPr="00A528EE" w14:paraId="34ADAC23" w14:textId="77777777">
        <w:tc>
          <w:tcPr>
            <w:tcW w:w="1322" w:type="pct"/>
            <w:shd w:val="clear" w:color="auto" w:fill="auto"/>
          </w:tcPr>
          <w:p w14:paraId="1F5916C6" w14:textId="77777777" w:rsidR="00504A1A" w:rsidRPr="00A528EE" w:rsidRDefault="00504A1A">
            <w:pPr>
              <w:rPr>
                <w:color w:val="000000"/>
              </w:rPr>
            </w:pPr>
            <w:r w:rsidRPr="00A528EE">
              <w:rPr>
                <w:color w:val="000000"/>
              </w:rPr>
              <w:t>Walgett*, Wentworth*, Brewarrina, Bourke (NSW)</w:t>
            </w:r>
          </w:p>
        </w:tc>
        <w:tc>
          <w:tcPr>
            <w:tcW w:w="949" w:type="pct"/>
            <w:shd w:val="clear" w:color="auto" w:fill="auto"/>
          </w:tcPr>
          <w:p w14:paraId="37CB7EC0" w14:textId="77777777" w:rsidR="00504A1A" w:rsidRPr="00A528EE" w:rsidRDefault="00504A1A">
            <w:pPr>
              <w:rPr>
                <w:color w:val="000000"/>
              </w:rPr>
            </w:pPr>
            <w:r w:rsidRPr="00A528EE">
              <w:rPr>
                <w:color w:val="000000"/>
              </w:rPr>
              <w:t>Market facilitation</w:t>
            </w:r>
          </w:p>
        </w:tc>
        <w:tc>
          <w:tcPr>
            <w:tcW w:w="1413" w:type="pct"/>
            <w:shd w:val="clear" w:color="auto" w:fill="auto"/>
          </w:tcPr>
          <w:p w14:paraId="14CA56E8" w14:textId="77777777" w:rsidR="00504A1A" w:rsidRPr="00A528EE" w:rsidRDefault="00504A1A">
            <w:pPr>
              <w:rPr>
                <w:color w:val="000000"/>
              </w:rPr>
            </w:pPr>
            <w:r w:rsidRPr="00A528EE">
              <w:rPr>
                <w:color w:val="000000"/>
              </w:rPr>
              <w:t>All supports</w:t>
            </w:r>
          </w:p>
        </w:tc>
        <w:tc>
          <w:tcPr>
            <w:tcW w:w="702" w:type="pct"/>
            <w:shd w:val="clear" w:color="auto" w:fill="auto"/>
          </w:tcPr>
          <w:p w14:paraId="3174BCE0" w14:textId="77777777" w:rsidR="00504A1A" w:rsidRPr="00A528EE" w:rsidRDefault="00504A1A">
            <w:pPr>
              <w:rPr>
                <w:color w:val="000000"/>
              </w:rPr>
            </w:pPr>
            <w:r w:rsidRPr="00A528EE">
              <w:rPr>
                <w:color w:val="000000"/>
              </w:rPr>
              <w:t>Mar 20 – Jun 21 (Walgett only)</w:t>
            </w:r>
          </w:p>
          <w:p w14:paraId="667EB8DC" w14:textId="77777777" w:rsidR="00504A1A" w:rsidRPr="00A528EE" w:rsidRDefault="00504A1A">
            <w:pPr>
              <w:rPr>
                <w:color w:val="000000"/>
              </w:rPr>
            </w:pPr>
            <w:r w:rsidRPr="00A528EE">
              <w:rPr>
                <w:color w:val="000000"/>
              </w:rPr>
              <w:t>Mar 20 – Oct 21</w:t>
            </w:r>
          </w:p>
        </w:tc>
        <w:tc>
          <w:tcPr>
            <w:tcW w:w="613" w:type="pct"/>
            <w:shd w:val="clear" w:color="auto" w:fill="auto"/>
          </w:tcPr>
          <w:p w14:paraId="2686C7CF" w14:textId="77777777" w:rsidR="00504A1A" w:rsidRPr="00A528EE" w:rsidRDefault="00504A1A">
            <w:pPr>
              <w:rPr>
                <w:color w:val="000000"/>
              </w:rPr>
            </w:pPr>
            <w:r w:rsidRPr="00A528EE">
              <w:rPr>
                <w:color w:val="000000"/>
              </w:rPr>
              <w:t>Ongoing</w:t>
            </w:r>
          </w:p>
          <w:p w14:paraId="1BAC1BA8" w14:textId="77777777" w:rsidR="00504A1A" w:rsidRPr="00A528EE" w:rsidRDefault="00504A1A">
            <w:pPr>
              <w:rPr>
                <w:color w:val="000000"/>
              </w:rPr>
            </w:pPr>
            <w:r w:rsidRPr="00A528EE">
              <w:rPr>
                <w:color w:val="000000"/>
              </w:rPr>
              <w:t>(Walgett closed)</w:t>
            </w:r>
          </w:p>
        </w:tc>
      </w:tr>
      <w:tr w:rsidR="00504A1A" w14:paraId="15397048" w14:textId="77777777">
        <w:tc>
          <w:tcPr>
            <w:tcW w:w="1322" w:type="pct"/>
            <w:shd w:val="clear" w:color="auto" w:fill="F7EEF7"/>
          </w:tcPr>
          <w:p w14:paraId="05B185B9" w14:textId="77777777" w:rsidR="00504A1A" w:rsidRDefault="00504A1A">
            <w:r>
              <w:t>Waratah-Wynyard* (TAS)</w:t>
            </w:r>
          </w:p>
        </w:tc>
        <w:tc>
          <w:tcPr>
            <w:tcW w:w="949" w:type="pct"/>
            <w:shd w:val="clear" w:color="auto" w:fill="F7EEF7"/>
          </w:tcPr>
          <w:p w14:paraId="0663B6DE" w14:textId="77777777" w:rsidR="00504A1A" w:rsidRDefault="00504A1A">
            <w:pPr>
              <w:spacing w:after="0"/>
            </w:pPr>
            <w:r>
              <w:t>Direct commissioning</w:t>
            </w:r>
          </w:p>
          <w:p w14:paraId="3A6B2004" w14:textId="77777777" w:rsidR="00504A1A" w:rsidRDefault="00504A1A"/>
        </w:tc>
        <w:tc>
          <w:tcPr>
            <w:tcW w:w="1413" w:type="pct"/>
            <w:shd w:val="clear" w:color="auto" w:fill="F7EEF7"/>
          </w:tcPr>
          <w:p w14:paraId="3AB80A3A" w14:textId="77777777" w:rsidR="00504A1A" w:rsidRDefault="00504A1A">
            <w:r>
              <w:t>Capacity Building Daily Activities (focus on occupational therapy and speech pathology)</w:t>
            </w:r>
          </w:p>
        </w:tc>
        <w:tc>
          <w:tcPr>
            <w:tcW w:w="702" w:type="pct"/>
            <w:shd w:val="clear" w:color="auto" w:fill="F7EEF7"/>
          </w:tcPr>
          <w:p w14:paraId="416D2591" w14:textId="77777777" w:rsidR="00504A1A" w:rsidRDefault="00504A1A">
            <w:r>
              <w:t xml:space="preserve">Apr 20 – Oct 22 </w:t>
            </w:r>
          </w:p>
          <w:p w14:paraId="134704FE" w14:textId="77777777" w:rsidR="00504A1A" w:rsidRDefault="00504A1A">
            <w:r>
              <w:t>(Note DC commenced Jul 21)</w:t>
            </w:r>
          </w:p>
        </w:tc>
        <w:tc>
          <w:tcPr>
            <w:tcW w:w="613" w:type="pct"/>
            <w:shd w:val="clear" w:color="auto" w:fill="F7EEF7"/>
          </w:tcPr>
          <w:p w14:paraId="26974B88" w14:textId="77777777" w:rsidR="00504A1A" w:rsidRDefault="00504A1A">
            <w:r>
              <w:t>Ongoing</w:t>
            </w:r>
          </w:p>
        </w:tc>
      </w:tr>
    </w:tbl>
    <w:p w14:paraId="554DC03A" w14:textId="4A12C186" w:rsidR="00504A1A" w:rsidRDefault="00504A1A" w:rsidP="002D3DA9">
      <w:pPr>
        <w:sectPr w:rsidR="00504A1A" w:rsidSect="002D3DA9">
          <w:pgSz w:w="16838" w:h="11906" w:orient="landscape"/>
          <w:pgMar w:top="1440" w:right="1440" w:bottom="1440" w:left="1440" w:header="709" w:footer="0" w:gutter="0"/>
          <w:cols w:space="708"/>
          <w:docGrid w:linePitch="360"/>
        </w:sectPr>
      </w:pPr>
    </w:p>
    <w:p w14:paraId="5353F211" w14:textId="325D5A7A" w:rsidR="00612CA9" w:rsidRDefault="00FA1AE3" w:rsidP="00A01FA6">
      <w:pPr>
        <w:pStyle w:val="Appendix1"/>
      </w:pPr>
      <w:bookmarkStart w:id="174" w:name="_Toc136336689"/>
      <w:r>
        <w:lastRenderedPageBreak/>
        <w:t>Data and methods supplementary information</w:t>
      </w:r>
      <w:bookmarkEnd w:id="174"/>
    </w:p>
    <w:p w14:paraId="73DB9B8F" w14:textId="77777777" w:rsidR="008000E1" w:rsidRDefault="008000E1" w:rsidP="008000E1">
      <w:r>
        <w:t xml:space="preserve">This appendix provides further information on the data and methods used in the evaluation. </w:t>
      </w:r>
    </w:p>
    <w:p w14:paraId="4AEBBB47" w14:textId="77777777" w:rsidR="008000E1" w:rsidRDefault="008000E1" w:rsidP="00A01FA6">
      <w:pPr>
        <w:pStyle w:val="Appendix2"/>
      </w:pPr>
      <w:bookmarkStart w:id="175" w:name="_Ref119069084"/>
      <w:r>
        <w:t>Service provider survey</w:t>
      </w:r>
      <w:bookmarkEnd w:id="175"/>
    </w:p>
    <w:p w14:paraId="507C7639" w14:textId="37A901A6" w:rsidR="008000E1" w:rsidRDefault="008000E1" w:rsidP="008000E1">
      <w:r>
        <w:rPr>
          <w:color w:val="2B579A"/>
          <w:shd w:val="clear" w:color="auto" w:fill="E6E6E6"/>
        </w:rPr>
        <w:fldChar w:fldCharType="begin"/>
      </w:r>
      <w:r>
        <w:instrText xml:space="preserve"> REF _Ref113271696 \h </w:instrText>
      </w:r>
      <w:r>
        <w:rPr>
          <w:color w:val="2B579A"/>
          <w:shd w:val="clear" w:color="auto" w:fill="E6E6E6"/>
        </w:rPr>
      </w:r>
      <w:r>
        <w:rPr>
          <w:color w:val="2B579A"/>
          <w:shd w:val="clear" w:color="auto" w:fill="E6E6E6"/>
        </w:rPr>
        <w:fldChar w:fldCharType="separate"/>
      </w:r>
      <w:r w:rsidR="00DE04FA">
        <w:t xml:space="preserve">Table </w:t>
      </w:r>
      <w:r w:rsidR="00DE04FA">
        <w:rPr>
          <w:noProof/>
        </w:rPr>
        <w:t>8</w:t>
      </w:r>
      <w:r>
        <w:rPr>
          <w:color w:val="2B579A"/>
          <w:shd w:val="clear" w:color="auto" w:fill="E6E6E6"/>
        </w:rPr>
        <w:fldChar w:fldCharType="end"/>
      </w:r>
      <w:r>
        <w:t xml:space="preserve"> outlines the number of responses received for each Trial</w:t>
      </w:r>
      <w:r w:rsidR="00827247">
        <w:t xml:space="preserve"> and</w:t>
      </w:r>
      <w:r>
        <w:t xml:space="preserve"> the response rate</w:t>
      </w:r>
      <w:r w:rsidR="00827247">
        <w:t>.</w:t>
      </w:r>
    </w:p>
    <w:p w14:paraId="51D043F8" w14:textId="4A3E6B13" w:rsidR="008000E1" w:rsidRDefault="008000E1" w:rsidP="008000E1">
      <w:pPr>
        <w:pStyle w:val="Caption"/>
      </w:pPr>
      <w:bookmarkStart w:id="176" w:name="_Ref113271696"/>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8</w:t>
      </w:r>
      <w:r>
        <w:rPr>
          <w:color w:val="2B579A"/>
          <w:shd w:val="clear" w:color="auto" w:fill="E6E6E6"/>
        </w:rPr>
        <w:fldChar w:fldCharType="end"/>
      </w:r>
      <w:bookmarkEnd w:id="176"/>
      <w:r>
        <w:t>: Service provider survey responses</w:t>
      </w:r>
    </w:p>
    <w:tbl>
      <w:tblPr>
        <w:tblStyle w:val="TableGrid"/>
        <w:tblW w:w="495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Description w:val="This table provides details on the serivce provider survey including the LGAs targeted, the dates of the survey, number of responses and the estimated response rate. "/>
      </w:tblPr>
      <w:tblGrid>
        <w:gridCol w:w="3257"/>
        <w:gridCol w:w="2551"/>
        <w:gridCol w:w="1558"/>
        <w:gridCol w:w="1560"/>
      </w:tblGrid>
      <w:tr w:rsidR="008000E1" w:rsidRPr="00871684" w14:paraId="32C757D6" w14:textId="77777777">
        <w:trPr>
          <w:tblHeader/>
        </w:trPr>
        <w:tc>
          <w:tcPr>
            <w:tcW w:w="1824" w:type="pct"/>
            <w:shd w:val="clear" w:color="auto" w:fill="6B2976"/>
          </w:tcPr>
          <w:p w14:paraId="3DCC6413" w14:textId="77777777" w:rsidR="008000E1" w:rsidRPr="00871684" w:rsidRDefault="008000E1">
            <w:pPr>
              <w:spacing w:before="60" w:after="60"/>
              <w:rPr>
                <w:rFonts w:cs="Arial"/>
                <w:color w:val="FFFFFF"/>
                <w:sz w:val="20"/>
                <w:szCs w:val="20"/>
              </w:rPr>
            </w:pPr>
            <w:r w:rsidRPr="00871684">
              <w:rPr>
                <w:rFonts w:eastAsia="Times New Roman" w:cs="Arial"/>
                <w:b/>
                <w:bCs/>
                <w:color w:val="FFFFFF"/>
                <w:sz w:val="20"/>
                <w:szCs w:val="20"/>
                <w:lang w:eastAsia="en-AU"/>
              </w:rPr>
              <w:t>Trial</w:t>
            </w:r>
          </w:p>
        </w:tc>
        <w:tc>
          <w:tcPr>
            <w:tcW w:w="1429" w:type="pct"/>
            <w:shd w:val="clear" w:color="auto" w:fill="6B2976"/>
          </w:tcPr>
          <w:p w14:paraId="652804B7" w14:textId="77777777" w:rsidR="008000E1" w:rsidRPr="00C8631C" w:rsidRDefault="008000E1">
            <w:pPr>
              <w:spacing w:before="60" w:after="60"/>
              <w:jc w:val="center"/>
              <w:rPr>
                <w:rFonts w:cs="Arial"/>
                <w:b/>
                <w:color w:val="FFFFFF"/>
                <w:sz w:val="20"/>
                <w:szCs w:val="20"/>
              </w:rPr>
            </w:pPr>
            <w:r w:rsidRPr="00C8631C">
              <w:rPr>
                <w:rFonts w:eastAsia="Times New Roman" w:cs="Arial"/>
                <w:b/>
                <w:color w:val="FFFFFF"/>
                <w:sz w:val="20"/>
                <w:szCs w:val="20"/>
                <w:lang w:eastAsia="en-AU"/>
              </w:rPr>
              <w:t>Survey period</w:t>
            </w:r>
          </w:p>
        </w:tc>
        <w:tc>
          <w:tcPr>
            <w:tcW w:w="873" w:type="pct"/>
            <w:shd w:val="clear" w:color="auto" w:fill="6B2976"/>
          </w:tcPr>
          <w:p w14:paraId="4B49DC30" w14:textId="77777777" w:rsidR="008000E1" w:rsidRPr="00C8631C" w:rsidRDefault="008000E1">
            <w:pPr>
              <w:spacing w:before="60" w:after="60"/>
              <w:jc w:val="center"/>
              <w:rPr>
                <w:rFonts w:eastAsia="Times New Roman" w:cs="Arial"/>
                <w:b/>
                <w:color w:val="FFFFFF"/>
                <w:sz w:val="20"/>
                <w:szCs w:val="20"/>
                <w:lang w:eastAsia="en-AU"/>
              </w:rPr>
            </w:pPr>
            <w:r w:rsidRPr="00C8631C">
              <w:rPr>
                <w:rFonts w:eastAsia="Times New Roman" w:cs="Arial"/>
                <w:b/>
                <w:color w:val="FFFFFF"/>
                <w:sz w:val="20"/>
                <w:szCs w:val="20"/>
                <w:lang w:eastAsia="en-AU"/>
              </w:rPr>
              <w:t>Number of respondents</w:t>
            </w:r>
          </w:p>
        </w:tc>
        <w:tc>
          <w:tcPr>
            <w:tcW w:w="874" w:type="pct"/>
            <w:shd w:val="clear" w:color="auto" w:fill="6B2976"/>
          </w:tcPr>
          <w:p w14:paraId="6B90F301" w14:textId="77777777" w:rsidR="008000E1" w:rsidRPr="00C8631C" w:rsidRDefault="008000E1">
            <w:pPr>
              <w:spacing w:before="60" w:after="60"/>
              <w:jc w:val="center"/>
              <w:rPr>
                <w:rFonts w:eastAsia="Times New Roman" w:cs="Arial"/>
                <w:b/>
                <w:color w:val="FFFFFF"/>
                <w:sz w:val="20"/>
                <w:szCs w:val="20"/>
                <w:lang w:eastAsia="en-AU"/>
              </w:rPr>
            </w:pPr>
            <w:r w:rsidRPr="00C8631C">
              <w:rPr>
                <w:rFonts w:eastAsia="Times New Roman" w:cs="Arial"/>
                <w:b/>
                <w:color w:val="FFFFFF"/>
                <w:sz w:val="20"/>
                <w:szCs w:val="20"/>
                <w:lang w:eastAsia="en-AU"/>
              </w:rPr>
              <w:t>Estimated response rate</w:t>
            </w:r>
          </w:p>
        </w:tc>
      </w:tr>
      <w:tr w:rsidR="008000E1" w:rsidRPr="00871684" w14:paraId="20C9ECE5" w14:textId="77777777">
        <w:tc>
          <w:tcPr>
            <w:tcW w:w="1824" w:type="pct"/>
            <w:shd w:val="clear" w:color="auto" w:fill="F7EEF7"/>
          </w:tcPr>
          <w:p w14:paraId="24818AEE" w14:textId="77777777" w:rsidR="008000E1" w:rsidRPr="00871684" w:rsidRDefault="008000E1">
            <w:pPr>
              <w:spacing w:before="60" w:after="60"/>
              <w:rPr>
                <w:rFonts w:cs="Arial"/>
                <w:sz w:val="20"/>
                <w:szCs w:val="20"/>
              </w:rPr>
            </w:pPr>
            <w:r>
              <w:rPr>
                <w:rFonts w:eastAsia="Times New Roman" w:cs="Arial"/>
                <w:sz w:val="20"/>
                <w:szCs w:val="20"/>
                <w:lang w:eastAsia="en-AU"/>
              </w:rPr>
              <w:t xml:space="preserve">Walgett, Wentworth, Bourke, Brewarrina (NSW) </w:t>
            </w:r>
          </w:p>
        </w:tc>
        <w:tc>
          <w:tcPr>
            <w:tcW w:w="1429" w:type="pct"/>
            <w:shd w:val="clear" w:color="auto" w:fill="F7EEF7"/>
          </w:tcPr>
          <w:p w14:paraId="18BB8C4D" w14:textId="77777777" w:rsidR="008000E1" w:rsidRPr="00083377" w:rsidRDefault="008000E1">
            <w:pPr>
              <w:spacing w:before="60" w:after="60"/>
              <w:jc w:val="center"/>
              <w:rPr>
                <w:rFonts w:cs="Arial"/>
                <w:sz w:val="20"/>
              </w:rPr>
            </w:pPr>
            <w:r>
              <w:rPr>
                <w:rFonts w:cs="Arial"/>
                <w:sz w:val="20"/>
                <w:szCs w:val="20"/>
              </w:rPr>
              <w:t xml:space="preserve">13 Apr 21 </w:t>
            </w:r>
            <w:r w:rsidRPr="00083377">
              <w:rPr>
                <w:rFonts w:cs="Arial"/>
                <w:sz w:val="20"/>
                <w:szCs w:val="20"/>
              </w:rPr>
              <w:t>-</w:t>
            </w:r>
            <w:r>
              <w:rPr>
                <w:rFonts w:cs="Arial"/>
                <w:sz w:val="20"/>
              </w:rPr>
              <w:t xml:space="preserve"> </w:t>
            </w:r>
            <w:r w:rsidRPr="00083377">
              <w:rPr>
                <w:rFonts w:cs="Arial"/>
                <w:sz w:val="20"/>
              </w:rPr>
              <w:t>21 Jun 21</w:t>
            </w:r>
          </w:p>
        </w:tc>
        <w:tc>
          <w:tcPr>
            <w:tcW w:w="873" w:type="pct"/>
            <w:shd w:val="clear" w:color="auto" w:fill="F7EEF7"/>
          </w:tcPr>
          <w:p w14:paraId="6E023685"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12</w:t>
            </w:r>
          </w:p>
        </w:tc>
        <w:tc>
          <w:tcPr>
            <w:tcW w:w="874" w:type="pct"/>
            <w:shd w:val="clear" w:color="auto" w:fill="F7EEF7"/>
          </w:tcPr>
          <w:p w14:paraId="65F27045"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36%</w:t>
            </w:r>
          </w:p>
        </w:tc>
      </w:tr>
      <w:tr w:rsidR="008000E1" w:rsidRPr="00871684" w14:paraId="6D4BC6B5" w14:textId="77777777">
        <w:tc>
          <w:tcPr>
            <w:tcW w:w="1824" w:type="pct"/>
          </w:tcPr>
          <w:p w14:paraId="7D91E142" w14:textId="77777777" w:rsidR="008000E1" w:rsidRPr="00871684" w:rsidRDefault="008000E1">
            <w:pPr>
              <w:spacing w:before="60" w:after="60"/>
              <w:rPr>
                <w:rFonts w:cs="Arial"/>
                <w:sz w:val="20"/>
                <w:szCs w:val="20"/>
              </w:rPr>
            </w:pPr>
            <w:r>
              <w:rPr>
                <w:rFonts w:eastAsia="Times New Roman" w:cs="Arial"/>
                <w:sz w:val="20"/>
                <w:szCs w:val="20"/>
                <w:lang w:eastAsia="en-AU"/>
              </w:rPr>
              <w:t>Alice Springs, Central Desert, Barkly, MacDonnell (NT)</w:t>
            </w:r>
          </w:p>
        </w:tc>
        <w:tc>
          <w:tcPr>
            <w:tcW w:w="1429" w:type="pct"/>
          </w:tcPr>
          <w:p w14:paraId="607B9989" w14:textId="77777777" w:rsidR="008000E1" w:rsidRPr="00871684" w:rsidRDefault="008000E1">
            <w:pPr>
              <w:spacing w:before="60" w:after="60"/>
              <w:jc w:val="center"/>
              <w:rPr>
                <w:rFonts w:cs="Arial"/>
                <w:sz w:val="20"/>
                <w:szCs w:val="20"/>
              </w:rPr>
            </w:pPr>
            <w:r>
              <w:rPr>
                <w:rFonts w:cs="Arial"/>
                <w:sz w:val="20"/>
                <w:szCs w:val="20"/>
              </w:rPr>
              <w:t xml:space="preserve">28 Apr 21 </w:t>
            </w:r>
            <w:r w:rsidRPr="00083377">
              <w:rPr>
                <w:rFonts w:cs="Arial"/>
                <w:sz w:val="20"/>
                <w:szCs w:val="20"/>
              </w:rPr>
              <w:t>-</w:t>
            </w:r>
            <w:r>
              <w:rPr>
                <w:rFonts w:cs="Arial"/>
                <w:sz w:val="20"/>
              </w:rPr>
              <w:t xml:space="preserve"> </w:t>
            </w:r>
            <w:r w:rsidRPr="00083377">
              <w:rPr>
                <w:rFonts w:cs="Arial"/>
                <w:sz w:val="20"/>
              </w:rPr>
              <w:t>21 Jun 21</w:t>
            </w:r>
          </w:p>
        </w:tc>
        <w:tc>
          <w:tcPr>
            <w:tcW w:w="873" w:type="pct"/>
          </w:tcPr>
          <w:p w14:paraId="00BE00A7"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16</w:t>
            </w:r>
          </w:p>
        </w:tc>
        <w:tc>
          <w:tcPr>
            <w:tcW w:w="874" w:type="pct"/>
          </w:tcPr>
          <w:p w14:paraId="142BBF04"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47%</w:t>
            </w:r>
          </w:p>
        </w:tc>
      </w:tr>
      <w:tr w:rsidR="008000E1" w:rsidRPr="00871684" w14:paraId="57EB5B24" w14:textId="77777777">
        <w:tc>
          <w:tcPr>
            <w:tcW w:w="1824" w:type="pct"/>
            <w:shd w:val="clear" w:color="auto" w:fill="F7EEF7"/>
          </w:tcPr>
          <w:p w14:paraId="0F12F353" w14:textId="77777777" w:rsidR="008000E1" w:rsidRPr="00871684" w:rsidRDefault="008000E1">
            <w:pPr>
              <w:spacing w:before="60" w:after="60"/>
              <w:rPr>
                <w:rFonts w:cs="Arial"/>
                <w:sz w:val="20"/>
                <w:szCs w:val="20"/>
              </w:rPr>
            </w:pPr>
            <w:r w:rsidRPr="00D925EA">
              <w:rPr>
                <w:rFonts w:eastAsia="Times New Roman" w:cs="Arial"/>
                <w:sz w:val="20"/>
                <w:szCs w:val="20"/>
                <w:lang w:eastAsia="en-AU"/>
              </w:rPr>
              <w:t xml:space="preserve">Ararat, Latrobe, Baw </w:t>
            </w:r>
            <w:proofErr w:type="spellStart"/>
            <w:r w:rsidRPr="00D925EA">
              <w:rPr>
                <w:rFonts w:eastAsia="Times New Roman" w:cs="Arial"/>
                <w:sz w:val="20"/>
                <w:szCs w:val="20"/>
                <w:lang w:eastAsia="en-AU"/>
              </w:rPr>
              <w:t>Baw</w:t>
            </w:r>
            <w:proofErr w:type="spellEnd"/>
            <w:r w:rsidRPr="00D925EA">
              <w:rPr>
                <w:rFonts w:eastAsia="Times New Roman" w:cs="Arial"/>
                <w:sz w:val="20"/>
                <w:szCs w:val="20"/>
                <w:lang w:eastAsia="en-AU"/>
              </w:rPr>
              <w:t>, Bass Coast, East Gippsland, South Gippsland, Wellington</w:t>
            </w:r>
            <w:r>
              <w:rPr>
                <w:rFonts w:eastAsia="Times New Roman" w:cs="Arial"/>
                <w:sz w:val="20"/>
                <w:szCs w:val="20"/>
                <w:lang w:eastAsia="en-AU"/>
              </w:rPr>
              <w:t xml:space="preserve"> (VIC)</w:t>
            </w:r>
          </w:p>
        </w:tc>
        <w:tc>
          <w:tcPr>
            <w:tcW w:w="1429" w:type="pct"/>
            <w:shd w:val="clear" w:color="auto" w:fill="F7EEF7"/>
          </w:tcPr>
          <w:p w14:paraId="650D5FB0" w14:textId="77777777" w:rsidR="008000E1" w:rsidRPr="00871684" w:rsidRDefault="008000E1">
            <w:pPr>
              <w:spacing w:before="60" w:after="60"/>
              <w:jc w:val="center"/>
              <w:rPr>
                <w:rFonts w:cs="Arial"/>
                <w:sz w:val="20"/>
                <w:szCs w:val="20"/>
              </w:rPr>
            </w:pPr>
            <w:r>
              <w:rPr>
                <w:rFonts w:cs="Arial"/>
                <w:sz w:val="20"/>
                <w:szCs w:val="20"/>
              </w:rPr>
              <w:t xml:space="preserve">24 Mar 21 </w:t>
            </w:r>
            <w:r w:rsidRPr="00083377">
              <w:rPr>
                <w:rFonts w:cs="Arial"/>
                <w:sz w:val="20"/>
                <w:szCs w:val="20"/>
              </w:rPr>
              <w:t>-</w:t>
            </w:r>
            <w:r>
              <w:rPr>
                <w:rFonts w:cs="Arial"/>
                <w:sz w:val="20"/>
              </w:rPr>
              <w:t xml:space="preserve"> </w:t>
            </w:r>
            <w:r w:rsidRPr="00083377">
              <w:rPr>
                <w:rFonts w:cs="Arial"/>
                <w:sz w:val="20"/>
              </w:rPr>
              <w:t>21 Jun 21</w:t>
            </w:r>
          </w:p>
        </w:tc>
        <w:tc>
          <w:tcPr>
            <w:tcW w:w="873" w:type="pct"/>
            <w:shd w:val="clear" w:color="auto" w:fill="F7EEF7"/>
          </w:tcPr>
          <w:p w14:paraId="4D1CC70B"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31</w:t>
            </w:r>
          </w:p>
        </w:tc>
        <w:tc>
          <w:tcPr>
            <w:tcW w:w="874" w:type="pct"/>
            <w:shd w:val="clear" w:color="auto" w:fill="F7EEF7"/>
          </w:tcPr>
          <w:p w14:paraId="640CBE3F" w14:textId="6049D8C2"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9%</w:t>
            </w:r>
            <w:r w:rsidR="00806D66">
              <w:rPr>
                <w:rStyle w:val="FootnoteReference"/>
                <w:rFonts w:eastAsia="Times New Roman" w:cs="Arial"/>
                <w:sz w:val="20"/>
                <w:szCs w:val="20"/>
                <w:lang w:eastAsia="en-AU"/>
              </w:rPr>
              <w:footnoteReference w:id="27"/>
            </w:r>
          </w:p>
        </w:tc>
      </w:tr>
      <w:tr w:rsidR="008000E1" w:rsidRPr="00871684" w14:paraId="79709D58" w14:textId="77777777">
        <w:tc>
          <w:tcPr>
            <w:tcW w:w="1824" w:type="pct"/>
            <w:shd w:val="clear" w:color="auto" w:fill="auto"/>
          </w:tcPr>
          <w:p w14:paraId="7B144F43" w14:textId="77777777" w:rsidR="008000E1" w:rsidRPr="00871684" w:rsidRDefault="008000E1">
            <w:pPr>
              <w:spacing w:before="60" w:after="60"/>
              <w:rPr>
                <w:rFonts w:cs="Arial"/>
                <w:sz w:val="20"/>
                <w:szCs w:val="20"/>
              </w:rPr>
            </w:pPr>
            <w:r w:rsidRPr="00871684">
              <w:rPr>
                <w:rFonts w:eastAsia="Times New Roman" w:cs="Arial"/>
                <w:sz w:val="20"/>
                <w:szCs w:val="20"/>
                <w:lang w:eastAsia="en-AU"/>
              </w:rPr>
              <w:t>Katherine</w:t>
            </w:r>
            <w:r>
              <w:rPr>
                <w:rFonts w:eastAsia="Times New Roman" w:cs="Arial"/>
                <w:sz w:val="20"/>
                <w:szCs w:val="20"/>
                <w:lang w:eastAsia="en-AU"/>
              </w:rPr>
              <w:t xml:space="preserve"> (NT)</w:t>
            </w:r>
          </w:p>
        </w:tc>
        <w:tc>
          <w:tcPr>
            <w:tcW w:w="1429" w:type="pct"/>
            <w:shd w:val="clear" w:color="auto" w:fill="auto"/>
          </w:tcPr>
          <w:p w14:paraId="5531BFB7" w14:textId="77777777" w:rsidR="008000E1" w:rsidRPr="00871684" w:rsidRDefault="008000E1">
            <w:pPr>
              <w:spacing w:before="60" w:after="60"/>
              <w:jc w:val="center"/>
              <w:rPr>
                <w:rFonts w:cs="Arial"/>
                <w:sz w:val="20"/>
                <w:szCs w:val="20"/>
              </w:rPr>
            </w:pPr>
            <w:r>
              <w:rPr>
                <w:rFonts w:cs="Arial"/>
                <w:sz w:val="20"/>
                <w:szCs w:val="20"/>
              </w:rPr>
              <w:t>24 Jun 21 – 14 Aug 21</w:t>
            </w:r>
          </w:p>
        </w:tc>
        <w:tc>
          <w:tcPr>
            <w:tcW w:w="873" w:type="pct"/>
            <w:shd w:val="clear" w:color="auto" w:fill="auto"/>
          </w:tcPr>
          <w:p w14:paraId="7094AB6A"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2</w:t>
            </w:r>
          </w:p>
        </w:tc>
        <w:tc>
          <w:tcPr>
            <w:tcW w:w="874" w:type="pct"/>
            <w:shd w:val="clear" w:color="auto" w:fill="auto"/>
          </w:tcPr>
          <w:p w14:paraId="1280FCD8"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67%</w:t>
            </w:r>
          </w:p>
        </w:tc>
      </w:tr>
      <w:tr w:rsidR="008000E1" w:rsidRPr="00637715" w14:paraId="7CC7B8F5" w14:textId="77777777">
        <w:tc>
          <w:tcPr>
            <w:tcW w:w="1824" w:type="pct"/>
            <w:shd w:val="clear" w:color="auto" w:fill="F7EEF7"/>
          </w:tcPr>
          <w:p w14:paraId="70511F9E" w14:textId="77777777" w:rsidR="008000E1" w:rsidRPr="00637715" w:rsidRDefault="008000E1">
            <w:pPr>
              <w:spacing w:before="60" w:after="60"/>
              <w:rPr>
                <w:rFonts w:cs="Arial"/>
                <w:color w:val="000000"/>
                <w:sz w:val="20"/>
                <w:szCs w:val="20"/>
              </w:rPr>
            </w:pPr>
            <w:r w:rsidRPr="00637715">
              <w:rPr>
                <w:rFonts w:eastAsia="Times New Roman" w:cs="Arial"/>
                <w:color w:val="000000"/>
                <w:sz w:val="20"/>
                <w:szCs w:val="20"/>
                <w:lang w:eastAsia="en-AU"/>
              </w:rPr>
              <w:t>Broome</w:t>
            </w:r>
            <w:r>
              <w:rPr>
                <w:rFonts w:eastAsia="Times New Roman" w:cs="Arial"/>
                <w:color w:val="000000"/>
                <w:sz w:val="20"/>
                <w:szCs w:val="20"/>
                <w:lang w:eastAsia="en-AU"/>
              </w:rPr>
              <w:t xml:space="preserve"> (WA)</w:t>
            </w:r>
          </w:p>
        </w:tc>
        <w:tc>
          <w:tcPr>
            <w:tcW w:w="1429" w:type="pct"/>
            <w:shd w:val="clear" w:color="auto" w:fill="F7EEF7"/>
          </w:tcPr>
          <w:p w14:paraId="7336EAE7" w14:textId="77777777" w:rsidR="008000E1" w:rsidRPr="00637715" w:rsidRDefault="008000E1">
            <w:pPr>
              <w:spacing w:before="60" w:after="60"/>
              <w:jc w:val="center"/>
              <w:rPr>
                <w:rFonts w:cs="Arial"/>
                <w:color w:val="000000"/>
                <w:sz w:val="20"/>
                <w:szCs w:val="20"/>
              </w:rPr>
            </w:pPr>
            <w:r>
              <w:rPr>
                <w:rFonts w:cs="Arial"/>
                <w:sz w:val="20"/>
                <w:szCs w:val="20"/>
              </w:rPr>
              <w:t>24 Jun 21 – 16 Jul 21</w:t>
            </w:r>
          </w:p>
        </w:tc>
        <w:tc>
          <w:tcPr>
            <w:tcW w:w="873" w:type="pct"/>
            <w:shd w:val="clear" w:color="auto" w:fill="F7EEF7"/>
          </w:tcPr>
          <w:p w14:paraId="1CDE9F86" w14:textId="77777777" w:rsidR="008000E1" w:rsidRPr="00637715"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2</w:t>
            </w:r>
          </w:p>
        </w:tc>
        <w:tc>
          <w:tcPr>
            <w:tcW w:w="874" w:type="pct"/>
            <w:shd w:val="clear" w:color="auto" w:fill="F7EEF7"/>
          </w:tcPr>
          <w:p w14:paraId="239A980C" w14:textId="77777777" w:rsidR="008000E1" w:rsidRPr="00637715"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67%</w:t>
            </w:r>
          </w:p>
        </w:tc>
      </w:tr>
      <w:tr w:rsidR="008000E1" w:rsidRPr="00637715" w14:paraId="180089ED" w14:textId="77777777">
        <w:tc>
          <w:tcPr>
            <w:tcW w:w="1824" w:type="pct"/>
            <w:shd w:val="clear" w:color="auto" w:fill="auto"/>
          </w:tcPr>
          <w:p w14:paraId="150F7C7A" w14:textId="77777777" w:rsidR="008000E1" w:rsidRPr="00637715" w:rsidRDefault="008000E1">
            <w:pPr>
              <w:spacing w:before="60" w:after="60"/>
              <w:rPr>
                <w:rFonts w:eastAsia="Times New Roman" w:cs="Arial"/>
                <w:color w:val="000000"/>
                <w:sz w:val="20"/>
                <w:szCs w:val="20"/>
                <w:lang w:eastAsia="en-AU"/>
              </w:rPr>
            </w:pPr>
            <w:r>
              <w:rPr>
                <w:rFonts w:eastAsia="Times New Roman" w:cs="Arial"/>
                <w:color w:val="000000"/>
                <w:sz w:val="20"/>
                <w:szCs w:val="20"/>
                <w:lang w:eastAsia="en-AU"/>
              </w:rPr>
              <w:t>West Daly, West Arnhem, Tiwi Islands (NT)</w:t>
            </w:r>
          </w:p>
        </w:tc>
        <w:tc>
          <w:tcPr>
            <w:tcW w:w="1429" w:type="pct"/>
            <w:shd w:val="clear" w:color="auto" w:fill="auto"/>
          </w:tcPr>
          <w:p w14:paraId="0E271656" w14:textId="77777777" w:rsidR="008000E1" w:rsidRPr="00637715" w:rsidRDefault="008000E1">
            <w:pPr>
              <w:spacing w:before="60" w:after="60"/>
              <w:jc w:val="center"/>
              <w:rPr>
                <w:rFonts w:cs="Arial"/>
                <w:color w:val="000000"/>
                <w:sz w:val="20"/>
                <w:szCs w:val="20"/>
              </w:rPr>
            </w:pPr>
            <w:r>
              <w:rPr>
                <w:rFonts w:cs="Arial"/>
                <w:sz w:val="20"/>
                <w:szCs w:val="20"/>
              </w:rPr>
              <w:t xml:space="preserve">26 Mar 21 </w:t>
            </w:r>
            <w:r w:rsidRPr="00083377">
              <w:rPr>
                <w:rFonts w:cs="Arial"/>
                <w:sz w:val="20"/>
                <w:szCs w:val="20"/>
              </w:rPr>
              <w:t>-</w:t>
            </w:r>
            <w:r>
              <w:rPr>
                <w:rFonts w:cs="Arial"/>
                <w:sz w:val="20"/>
              </w:rPr>
              <w:t xml:space="preserve"> </w:t>
            </w:r>
            <w:r w:rsidRPr="00083377">
              <w:rPr>
                <w:rFonts w:cs="Arial"/>
                <w:sz w:val="20"/>
              </w:rPr>
              <w:t>21 Jun 21</w:t>
            </w:r>
          </w:p>
        </w:tc>
        <w:tc>
          <w:tcPr>
            <w:tcW w:w="873" w:type="pct"/>
            <w:shd w:val="clear" w:color="auto" w:fill="auto"/>
          </w:tcPr>
          <w:p w14:paraId="0C9095B2" w14:textId="77777777" w:rsidR="008000E1" w:rsidRPr="00637715"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10</w:t>
            </w:r>
          </w:p>
        </w:tc>
        <w:tc>
          <w:tcPr>
            <w:tcW w:w="874" w:type="pct"/>
            <w:shd w:val="clear" w:color="auto" w:fill="auto"/>
          </w:tcPr>
          <w:p w14:paraId="21CB86D6" w14:textId="62637CF4" w:rsidR="008000E1" w:rsidRPr="00637715"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90%</w:t>
            </w:r>
            <w:r w:rsidR="00806D66">
              <w:rPr>
                <w:rStyle w:val="FootnoteReference"/>
                <w:rFonts w:eastAsia="Times New Roman" w:cs="Arial"/>
                <w:color w:val="000000"/>
                <w:sz w:val="20"/>
                <w:szCs w:val="20"/>
                <w:lang w:eastAsia="en-AU"/>
              </w:rPr>
              <w:footnoteReference w:id="28"/>
            </w:r>
          </w:p>
        </w:tc>
      </w:tr>
      <w:tr w:rsidR="008000E1" w:rsidRPr="00637715" w14:paraId="237CF081" w14:textId="77777777">
        <w:tc>
          <w:tcPr>
            <w:tcW w:w="1824" w:type="pct"/>
            <w:shd w:val="clear" w:color="auto" w:fill="F7EEF7"/>
          </w:tcPr>
          <w:p w14:paraId="67B7F5D4" w14:textId="77777777" w:rsidR="008000E1" w:rsidRPr="00637715" w:rsidRDefault="008000E1">
            <w:pPr>
              <w:spacing w:before="60" w:after="60"/>
              <w:rPr>
                <w:rFonts w:eastAsia="Times New Roman" w:cs="Arial"/>
                <w:color w:val="000000"/>
                <w:sz w:val="20"/>
                <w:szCs w:val="20"/>
                <w:lang w:eastAsia="en-AU"/>
              </w:rPr>
            </w:pPr>
            <w:r>
              <w:rPr>
                <w:rFonts w:eastAsia="Times New Roman" w:cs="Arial"/>
                <w:color w:val="000000"/>
                <w:sz w:val="20"/>
                <w:szCs w:val="20"/>
                <w:lang w:eastAsia="en-AU"/>
              </w:rPr>
              <w:t>Cloncurry, Doomadgee, Mornington, Woorabinda (QLD)</w:t>
            </w:r>
          </w:p>
        </w:tc>
        <w:tc>
          <w:tcPr>
            <w:tcW w:w="1429" w:type="pct"/>
            <w:shd w:val="clear" w:color="auto" w:fill="F7EEF7"/>
          </w:tcPr>
          <w:p w14:paraId="175EB0B7" w14:textId="77777777" w:rsidR="008000E1" w:rsidRPr="00637715" w:rsidRDefault="008000E1">
            <w:pPr>
              <w:spacing w:before="60" w:after="60"/>
              <w:jc w:val="center"/>
              <w:rPr>
                <w:rFonts w:cs="Arial"/>
                <w:color w:val="000000"/>
                <w:sz w:val="20"/>
                <w:szCs w:val="20"/>
              </w:rPr>
            </w:pPr>
            <w:r>
              <w:rPr>
                <w:rFonts w:cs="Arial"/>
                <w:sz w:val="20"/>
                <w:szCs w:val="20"/>
              </w:rPr>
              <w:t xml:space="preserve">26 Mar 21 </w:t>
            </w:r>
            <w:r w:rsidRPr="00083377">
              <w:rPr>
                <w:rFonts w:cs="Arial"/>
                <w:sz w:val="20"/>
                <w:szCs w:val="20"/>
              </w:rPr>
              <w:t>-</w:t>
            </w:r>
            <w:r>
              <w:rPr>
                <w:rFonts w:cs="Arial"/>
                <w:sz w:val="20"/>
              </w:rPr>
              <w:t xml:space="preserve"> </w:t>
            </w:r>
            <w:r w:rsidRPr="00083377">
              <w:rPr>
                <w:rFonts w:cs="Arial"/>
                <w:sz w:val="20"/>
              </w:rPr>
              <w:t>21 Jun 21</w:t>
            </w:r>
          </w:p>
        </w:tc>
        <w:tc>
          <w:tcPr>
            <w:tcW w:w="873" w:type="pct"/>
            <w:shd w:val="clear" w:color="auto" w:fill="F7EEF7"/>
          </w:tcPr>
          <w:p w14:paraId="26AE2922" w14:textId="77777777" w:rsidR="008000E1" w:rsidRPr="00637715"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22</w:t>
            </w:r>
          </w:p>
        </w:tc>
        <w:tc>
          <w:tcPr>
            <w:tcW w:w="874" w:type="pct"/>
            <w:shd w:val="clear" w:color="auto" w:fill="F7EEF7"/>
          </w:tcPr>
          <w:p w14:paraId="026CD03A" w14:textId="77777777" w:rsidR="008000E1" w:rsidRPr="00637715"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29%</w:t>
            </w:r>
          </w:p>
        </w:tc>
      </w:tr>
      <w:tr w:rsidR="008000E1" w:rsidRPr="00637715" w14:paraId="6DBB3BEA" w14:textId="77777777">
        <w:tc>
          <w:tcPr>
            <w:tcW w:w="1824" w:type="pct"/>
            <w:shd w:val="clear" w:color="auto" w:fill="auto"/>
          </w:tcPr>
          <w:p w14:paraId="0B233785" w14:textId="77777777" w:rsidR="008000E1" w:rsidRDefault="008000E1">
            <w:pPr>
              <w:spacing w:before="60" w:after="60"/>
              <w:rPr>
                <w:rFonts w:eastAsia="Times New Roman" w:cs="Arial"/>
                <w:color w:val="000000"/>
                <w:sz w:val="20"/>
                <w:szCs w:val="20"/>
                <w:lang w:eastAsia="en-AU"/>
              </w:rPr>
            </w:pPr>
            <w:r>
              <w:rPr>
                <w:rFonts w:eastAsia="Times New Roman" w:cs="Arial"/>
                <w:color w:val="000000"/>
                <w:sz w:val="20"/>
                <w:szCs w:val="20"/>
                <w:lang w:eastAsia="en-AU"/>
              </w:rPr>
              <w:t>Berri-Barmera (SA)</w:t>
            </w:r>
          </w:p>
        </w:tc>
        <w:tc>
          <w:tcPr>
            <w:tcW w:w="1429" w:type="pct"/>
            <w:shd w:val="clear" w:color="auto" w:fill="auto"/>
          </w:tcPr>
          <w:p w14:paraId="6115ABB4" w14:textId="77777777" w:rsidR="008000E1" w:rsidRDefault="008000E1">
            <w:pPr>
              <w:spacing w:before="60" w:after="60"/>
              <w:jc w:val="center"/>
              <w:rPr>
                <w:rFonts w:cs="Arial"/>
                <w:sz w:val="20"/>
                <w:szCs w:val="20"/>
              </w:rPr>
            </w:pPr>
            <w:r>
              <w:rPr>
                <w:rFonts w:cs="Arial"/>
                <w:sz w:val="20"/>
                <w:szCs w:val="20"/>
              </w:rPr>
              <w:t>2 May 22 – 8 Jun 22</w:t>
            </w:r>
          </w:p>
        </w:tc>
        <w:tc>
          <w:tcPr>
            <w:tcW w:w="873" w:type="pct"/>
            <w:shd w:val="clear" w:color="auto" w:fill="auto"/>
          </w:tcPr>
          <w:p w14:paraId="1768EFAF"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3</w:t>
            </w:r>
          </w:p>
        </w:tc>
        <w:tc>
          <w:tcPr>
            <w:tcW w:w="874" w:type="pct"/>
            <w:shd w:val="clear" w:color="auto" w:fill="auto"/>
          </w:tcPr>
          <w:p w14:paraId="2FBFD781"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30%</w:t>
            </w:r>
          </w:p>
        </w:tc>
      </w:tr>
      <w:tr w:rsidR="008000E1" w:rsidRPr="00637715" w14:paraId="47500145" w14:textId="77777777">
        <w:tc>
          <w:tcPr>
            <w:tcW w:w="1824" w:type="pct"/>
            <w:shd w:val="clear" w:color="auto" w:fill="F7EEF7"/>
          </w:tcPr>
          <w:p w14:paraId="42F667DC" w14:textId="77777777" w:rsidR="008000E1" w:rsidRDefault="008000E1">
            <w:pPr>
              <w:spacing w:before="60" w:after="60"/>
              <w:rPr>
                <w:rFonts w:eastAsia="Times New Roman" w:cs="Arial"/>
                <w:color w:val="000000"/>
                <w:sz w:val="20"/>
                <w:szCs w:val="20"/>
                <w:lang w:eastAsia="en-AU"/>
              </w:rPr>
            </w:pPr>
            <w:r>
              <w:rPr>
                <w:rFonts w:eastAsia="Times New Roman" w:cs="Arial"/>
                <w:color w:val="000000"/>
                <w:sz w:val="20"/>
                <w:szCs w:val="20"/>
                <w:lang w:eastAsia="en-AU"/>
              </w:rPr>
              <w:t>Bland, Junee (NSW)</w:t>
            </w:r>
          </w:p>
        </w:tc>
        <w:tc>
          <w:tcPr>
            <w:tcW w:w="1429" w:type="pct"/>
            <w:shd w:val="clear" w:color="auto" w:fill="F7EEF7"/>
          </w:tcPr>
          <w:p w14:paraId="01FB3379" w14:textId="77777777" w:rsidR="008000E1" w:rsidRDefault="008000E1">
            <w:pPr>
              <w:spacing w:before="60" w:after="60"/>
              <w:jc w:val="center"/>
              <w:rPr>
                <w:rFonts w:cs="Arial"/>
                <w:sz w:val="20"/>
                <w:szCs w:val="20"/>
              </w:rPr>
            </w:pPr>
            <w:r>
              <w:rPr>
                <w:rFonts w:cs="Arial"/>
                <w:sz w:val="20"/>
                <w:szCs w:val="20"/>
              </w:rPr>
              <w:t>24 Mar 22 – 8 Jun 22</w:t>
            </w:r>
          </w:p>
        </w:tc>
        <w:tc>
          <w:tcPr>
            <w:tcW w:w="873" w:type="pct"/>
            <w:shd w:val="clear" w:color="auto" w:fill="F7EEF7"/>
          </w:tcPr>
          <w:p w14:paraId="1CF2668D"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8</w:t>
            </w:r>
          </w:p>
        </w:tc>
        <w:tc>
          <w:tcPr>
            <w:tcW w:w="874" w:type="pct"/>
            <w:shd w:val="clear" w:color="auto" w:fill="F7EEF7"/>
          </w:tcPr>
          <w:p w14:paraId="1A54EE8B"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22%</w:t>
            </w:r>
          </w:p>
        </w:tc>
      </w:tr>
      <w:tr w:rsidR="008000E1" w:rsidRPr="00637715" w14:paraId="6ABE7068" w14:textId="77777777">
        <w:tc>
          <w:tcPr>
            <w:tcW w:w="1824" w:type="pct"/>
            <w:shd w:val="clear" w:color="auto" w:fill="auto"/>
          </w:tcPr>
          <w:p w14:paraId="634D8570" w14:textId="77777777" w:rsidR="008000E1" w:rsidRDefault="008000E1">
            <w:pPr>
              <w:spacing w:before="60" w:after="60"/>
              <w:rPr>
                <w:rFonts w:eastAsia="Times New Roman" w:cs="Arial"/>
                <w:color w:val="000000"/>
                <w:sz w:val="20"/>
                <w:szCs w:val="20"/>
                <w:lang w:eastAsia="en-AU"/>
              </w:rPr>
            </w:pPr>
            <w:r>
              <w:rPr>
                <w:rFonts w:eastAsia="Times New Roman" w:cs="Arial"/>
                <w:color w:val="000000"/>
                <w:sz w:val="20"/>
                <w:szCs w:val="20"/>
                <w:lang w:eastAsia="en-AU"/>
              </w:rPr>
              <w:t>Halls Creek, Wyndham East Kimberley (WA)</w:t>
            </w:r>
          </w:p>
        </w:tc>
        <w:tc>
          <w:tcPr>
            <w:tcW w:w="1429" w:type="pct"/>
            <w:shd w:val="clear" w:color="auto" w:fill="auto"/>
          </w:tcPr>
          <w:p w14:paraId="3004FD91" w14:textId="77777777" w:rsidR="008000E1" w:rsidRDefault="008000E1">
            <w:pPr>
              <w:spacing w:before="60" w:after="60"/>
              <w:jc w:val="center"/>
              <w:rPr>
                <w:rFonts w:cs="Arial"/>
                <w:sz w:val="20"/>
                <w:szCs w:val="20"/>
              </w:rPr>
            </w:pPr>
            <w:r>
              <w:rPr>
                <w:rFonts w:cs="Arial"/>
                <w:sz w:val="20"/>
                <w:szCs w:val="20"/>
              </w:rPr>
              <w:t>18 Mar 22 – 8 Jun 22</w:t>
            </w:r>
          </w:p>
        </w:tc>
        <w:tc>
          <w:tcPr>
            <w:tcW w:w="873" w:type="pct"/>
            <w:shd w:val="clear" w:color="auto" w:fill="auto"/>
          </w:tcPr>
          <w:p w14:paraId="4A808263"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1</w:t>
            </w:r>
          </w:p>
        </w:tc>
        <w:tc>
          <w:tcPr>
            <w:tcW w:w="874" w:type="pct"/>
            <w:shd w:val="clear" w:color="auto" w:fill="auto"/>
          </w:tcPr>
          <w:p w14:paraId="3F16DA38"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6%</w:t>
            </w:r>
          </w:p>
        </w:tc>
      </w:tr>
      <w:tr w:rsidR="008000E1" w:rsidRPr="00637715" w14:paraId="12311D3D" w14:textId="77777777">
        <w:tc>
          <w:tcPr>
            <w:tcW w:w="1824" w:type="pct"/>
            <w:shd w:val="clear" w:color="auto" w:fill="F7EEF7"/>
          </w:tcPr>
          <w:p w14:paraId="26EB2C5C" w14:textId="77777777" w:rsidR="008000E1" w:rsidRDefault="008000E1">
            <w:pPr>
              <w:spacing w:before="60" w:after="60"/>
              <w:rPr>
                <w:rFonts w:eastAsia="Times New Roman" w:cs="Arial"/>
                <w:color w:val="000000"/>
                <w:sz w:val="20"/>
                <w:szCs w:val="20"/>
                <w:lang w:eastAsia="en-AU"/>
              </w:rPr>
            </w:pPr>
            <w:r>
              <w:rPr>
                <w:rFonts w:eastAsia="Times New Roman" w:cs="Arial"/>
                <w:color w:val="000000"/>
                <w:sz w:val="20"/>
                <w:szCs w:val="20"/>
                <w:lang w:eastAsia="en-AU"/>
              </w:rPr>
              <w:t>Palm Island, Aurukun, Carpentaria, Goondiwindi (QLD)</w:t>
            </w:r>
          </w:p>
        </w:tc>
        <w:tc>
          <w:tcPr>
            <w:tcW w:w="1429" w:type="pct"/>
            <w:shd w:val="clear" w:color="auto" w:fill="F7EEF7"/>
          </w:tcPr>
          <w:p w14:paraId="27119273" w14:textId="77777777" w:rsidR="008000E1" w:rsidRDefault="008000E1">
            <w:pPr>
              <w:spacing w:before="60" w:after="60"/>
              <w:jc w:val="center"/>
              <w:rPr>
                <w:rFonts w:cs="Arial"/>
                <w:sz w:val="20"/>
                <w:szCs w:val="20"/>
              </w:rPr>
            </w:pPr>
            <w:r>
              <w:rPr>
                <w:rFonts w:cs="Arial"/>
                <w:sz w:val="20"/>
                <w:szCs w:val="20"/>
              </w:rPr>
              <w:t>18 Mar 22 – 8 Jun 22</w:t>
            </w:r>
          </w:p>
        </w:tc>
        <w:tc>
          <w:tcPr>
            <w:tcW w:w="873" w:type="pct"/>
            <w:shd w:val="clear" w:color="auto" w:fill="F7EEF7"/>
          </w:tcPr>
          <w:p w14:paraId="682C1520"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6</w:t>
            </w:r>
          </w:p>
        </w:tc>
        <w:tc>
          <w:tcPr>
            <w:tcW w:w="874" w:type="pct"/>
            <w:shd w:val="clear" w:color="auto" w:fill="F7EEF7"/>
          </w:tcPr>
          <w:p w14:paraId="7E33542C" w14:textId="77777777" w:rsidR="008000E1" w:rsidRDefault="008000E1">
            <w:pPr>
              <w:spacing w:before="60" w:after="60"/>
              <w:jc w:val="center"/>
              <w:rPr>
                <w:rFonts w:eastAsia="Times New Roman" w:cs="Arial"/>
                <w:color w:val="000000"/>
                <w:sz w:val="20"/>
                <w:szCs w:val="20"/>
                <w:lang w:eastAsia="en-AU"/>
              </w:rPr>
            </w:pPr>
            <w:r>
              <w:rPr>
                <w:rFonts w:eastAsia="Times New Roman" w:cs="Arial"/>
                <w:color w:val="000000"/>
                <w:sz w:val="20"/>
                <w:szCs w:val="20"/>
                <w:lang w:eastAsia="en-AU"/>
              </w:rPr>
              <w:t>15%</w:t>
            </w:r>
          </w:p>
        </w:tc>
      </w:tr>
      <w:tr w:rsidR="008000E1" w:rsidRPr="009636C7" w14:paraId="1C1699B8" w14:textId="77777777">
        <w:tc>
          <w:tcPr>
            <w:tcW w:w="1824" w:type="pct"/>
            <w:shd w:val="clear" w:color="auto" w:fill="C0C0C0"/>
          </w:tcPr>
          <w:p w14:paraId="013B6D61" w14:textId="77777777" w:rsidR="008000E1" w:rsidRPr="009636C7" w:rsidRDefault="008000E1">
            <w:pPr>
              <w:spacing w:before="60" w:after="60"/>
              <w:rPr>
                <w:rFonts w:eastAsia="Times New Roman" w:cs="Arial"/>
                <w:b/>
                <w:color w:val="000000" w:themeColor="text1"/>
                <w:sz w:val="20"/>
                <w:szCs w:val="20"/>
                <w:lang w:eastAsia="en-AU"/>
              </w:rPr>
            </w:pPr>
            <w:r w:rsidRPr="009636C7">
              <w:rPr>
                <w:rFonts w:eastAsia="Times New Roman" w:cs="Arial"/>
                <w:b/>
                <w:color w:val="000000" w:themeColor="text1"/>
                <w:sz w:val="20"/>
                <w:szCs w:val="20"/>
                <w:lang w:eastAsia="en-AU"/>
              </w:rPr>
              <w:t>Total</w:t>
            </w:r>
          </w:p>
        </w:tc>
        <w:tc>
          <w:tcPr>
            <w:tcW w:w="1429" w:type="pct"/>
            <w:shd w:val="clear" w:color="auto" w:fill="C0C0C0"/>
          </w:tcPr>
          <w:p w14:paraId="5FDFC8E6" w14:textId="77777777" w:rsidR="008000E1" w:rsidRPr="009636C7" w:rsidRDefault="008000E1">
            <w:pPr>
              <w:spacing w:before="60" w:after="60"/>
              <w:jc w:val="center"/>
              <w:rPr>
                <w:rFonts w:cs="Arial"/>
                <w:b/>
                <w:color w:val="000000" w:themeColor="text1"/>
                <w:sz w:val="20"/>
                <w:szCs w:val="20"/>
              </w:rPr>
            </w:pPr>
            <w:r w:rsidRPr="009636C7">
              <w:rPr>
                <w:rFonts w:cs="Arial"/>
                <w:b/>
                <w:color w:val="000000" w:themeColor="text1"/>
                <w:sz w:val="20"/>
                <w:szCs w:val="20"/>
              </w:rPr>
              <w:t>-</w:t>
            </w:r>
          </w:p>
        </w:tc>
        <w:tc>
          <w:tcPr>
            <w:tcW w:w="873" w:type="pct"/>
            <w:shd w:val="clear" w:color="auto" w:fill="C0C0C0"/>
          </w:tcPr>
          <w:p w14:paraId="272B1545" w14:textId="77777777" w:rsidR="008000E1" w:rsidRPr="009636C7" w:rsidRDefault="008000E1">
            <w:pPr>
              <w:spacing w:before="60" w:after="60"/>
              <w:jc w:val="center"/>
              <w:rPr>
                <w:rFonts w:eastAsia="Times New Roman" w:cs="Arial"/>
                <w:b/>
                <w:color w:val="000000" w:themeColor="text1"/>
                <w:sz w:val="20"/>
                <w:szCs w:val="20"/>
                <w:lang w:eastAsia="en-AU"/>
              </w:rPr>
            </w:pPr>
            <w:r>
              <w:rPr>
                <w:rFonts w:eastAsia="Times New Roman" w:cs="Arial"/>
                <w:b/>
                <w:color w:val="000000" w:themeColor="text1"/>
                <w:sz w:val="20"/>
                <w:szCs w:val="20"/>
                <w:lang w:eastAsia="en-AU"/>
              </w:rPr>
              <w:t>104</w:t>
            </w:r>
          </w:p>
        </w:tc>
        <w:tc>
          <w:tcPr>
            <w:tcW w:w="874" w:type="pct"/>
            <w:shd w:val="clear" w:color="auto" w:fill="C0C0C0"/>
          </w:tcPr>
          <w:p w14:paraId="3ADBC4B8" w14:textId="77777777" w:rsidR="008000E1" w:rsidRPr="009636C7" w:rsidRDefault="008000E1">
            <w:pPr>
              <w:spacing w:before="60" w:after="60"/>
              <w:jc w:val="center"/>
              <w:rPr>
                <w:rFonts w:eastAsia="Times New Roman" w:cs="Arial"/>
                <w:b/>
                <w:color w:val="000000" w:themeColor="text1"/>
                <w:sz w:val="20"/>
                <w:szCs w:val="20"/>
                <w:lang w:eastAsia="en-AU"/>
              </w:rPr>
            </w:pPr>
            <w:r>
              <w:rPr>
                <w:rFonts w:eastAsia="Times New Roman" w:cs="Arial"/>
                <w:b/>
                <w:color w:val="000000" w:themeColor="text1"/>
                <w:sz w:val="20"/>
                <w:szCs w:val="20"/>
                <w:lang w:eastAsia="en-AU"/>
              </w:rPr>
              <w:t>17</w:t>
            </w:r>
            <w:r w:rsidRPr="009636C7">
              <w:rPr>
                <w:rFonts w:eastAsia="Times New Roman" w:cs="Arial"/>
                <w:b/>
                <w:color w:val="000000" w:themeColor="text1"/>
                <w:sz w:val="20"/>
                <w:szCs w:val="20"/>
                <w:lang w:eastAsia="en-AU"/>
              </w:rPr>
              <w:t>%</w:t>
            </w:r>
          </w:p>
        </w:tc>
      </w:tr>
    </w:tbl>
    <w:p w14:paraId="3B5DF58C" w14:textId="67054FCA" w:rsidR="00856423" w:rsidRPr="00856423" w:rsidRDefault="00856423" w:rsidP="00856423">
      <w:pPr>
        <w:pStyle w:val="Appendix2"/>
      </w:pPr>
      <w:bookmarkStart w:id="177" w:name="_Ref122614375"/>
      <w:r>
        <w:lastRenderedPageBreak/>
        <w:t>Stakeholder interviews</w:t>
      </w:r>
      <w:bookmarkEnd w:id="177"/>
    </w:p>
    <w:p w14:paraId="1665A941" w14:textId="1EA1DFF7" w:rsidR="008000E1" w:rsidRDefault="008000E1" w:rsidP="008000E1">
      <w:pPr>
        <w:pStyle w:val="BodyText1"/>
      </w:pPr>
      <w:r>
        <w:rPr>
          <w:color w:val="2B579A"/>
          <w:shd w:val="clear" w:color="auto" w:fill="E6E6E6"/>
        </w:rPr>
        <w:fldChar w:fldCharType="begin"/>
      </w:r>
      <w:r>
        <w:instrText xml:space="preserve"> REF _Ref113288985 \h </w:instrText>
      </w:r>
      <w:r>
        <w:rPr>
          <w:color w:val="2B579A"/>
          <w:shd w:val="clear" w:color="auto" w:fill="E6E6E6"/>
        </w:rPr>
      </w:r>
      <w:r>
        <w:rPr>
          <w:color w:val="2B579A"/>
          <w:shd w:val="clear" w:color="auto" w:fill="E6E6E6"/>
        </w:rPr>
        <w:fldChar w:fldCharType="separate"/>
      </w:r>
      <w:r w:rsidR="00DE04FA">
        <w:t xml:space="preserve">Table </w:t>
      </w:r>
      <w:r w:rsidR="00DE04FA">
        <w:rPr>
          <w:noProof/>
        </w:rPr>
        <w:t>9</w:t>
      </w:r>
      <w:r>
        <w:rPr>
          <w:color w:val="2B579A"/>
          <w:shd w:val="clear" w:color="auto" w:fill="E6E6E6"/>
        </w:rPr>
        <w:fldChar w:fldCharType="end"/>
      </w:r>
      <w:r>
        <w:t xml:space="preserve"> outlines the number and nature of stakeholders interviewed for each market intervention type. </w:t>
      </w:r>
    </w:p>
    <w:p w14:paraId="551AECB8" w14:textId="5F774322" w:rsidR="008000E1" w:rsidRDefault="008000E1" w:rsidP="008000E1">
      <w:pPr>
        <w:pStyle w:val="Caption"/>
      </w:pPr>
      <w:bookmarkStart w:id="178" w:name="_Ref113288985"/>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9</w:t>
      </w:r>
      <w:r>
        <w:rPr>
          <w:color w:val="2B579A"/>
          <w:shd w:val="clear" w:color="auto" w:fill="E6E6E6"/>
        </w:rPr>
        <w:fldChar w:fldCharType="end"/>
      </w:r>
      <w:bookmarkEnd w:id="178"/>
      <w:r>
        <w:t xml:space="preserve">: </w:t>
      </w:r>
      <w:r w:rsidRPr="00EC302B">
        <w:t>Stakeholder interviews undertaken</w:t>
      </w:r>
    </w:p>
    <w:tbl>
      <w:tblPr>
        <w:tblStyle w:val="TableGrid"/>
        <w:tblW w:w="901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Description w:val="This table provides details of the stakeholder interviews. It provides the number of interviews by stakeholder type for each market intervention. "/>
      </w:tblPr>
      <w:tblGrid>
        <w:gridCol w:w="2106"/>
        <w:gridCol w:w="1078"/>
        <w:gridCol w:w="1320"/>
        <w:gridCol w:w="983"/>
        <w:gridCol w:w="812"/>
        <w:gridCol w:w="1050"/>
        <w:gridCol w:w="1006"/>
        <w:gridCol w:w="661"/>
      </w:tblGrid>
      <w:tr w:rsidR="008000E1" w:rsidRPr="00871684" w14:paraId="1346516B" w14:textId="77777777">
        <w:trPr>
          <w:tblHeader/>
        </w:trPr>
        <w:tc>
          <w:tcPr>
            <w:tcW w:w="2106" w:type="dxa"/>
            <w:shd w:val="clear" w:color="auto" w:fill="6B2976"/>
          </w:tcPr>
          <w:p w14:paraId="04F831FA" w14:textId="77777777" w:rsidR="008000E1" w:rsidRPr="00871684" w:rsidRDefault="008000E1">
            <w:pPr>
              <w:rPr>
                <w:rFonts w:cs="Arial"/>
                <w:color w:val="FFFFFF"/>
                <w:sz w:val="20"/>
                <w:szCs w:val="20"/>
              </w:rPr>
            </w:pPr>
            <w:r>
              <w:rPr>
                <w:rFonts w:eastAsia="Times New Roman" w:cs="Arial"/>
                <w:b/>
                <w:bCs/>
                <w:color w:val="FFFFFF"/>
                <w:sz w:val="20"/>
                <w:szCs w:val="20"/>
                <w:lang w:eastAsia="en-AU"/>
              </w:rPr>
              <w:t>Intervention type</w:t>
            </w:r>
          </w:p>
        </w:tc>
        <w:tc>
          <w:tcPr>
            <w:tcW w:w="1078" w:type="dxa"/>
            <w:shd w:val="clear" w:color="auto" w:fill="6B2976"/>
          </w:tcPr>
          <w:p w14:paraId="40A20336" w14:textId="77777777" w:rsidR="008000E1" w:rsidRPr="00871684" w:rsidRDefault="008000E1">
            <w:pPr>
              <w:jc w:val="center"/>
              <w:rPr>
                <w:rFonts w:cs="Arial"/>
                <w:color w:val="FFFFFF"/>
                <w:sz w:val="20"/>
                <w:szCs w:val="20"/>
              </w:rPr>
            </w:pPr>
            <w:r w:rsidRPr="00871684">
              <w:rPr>
                <w:rFonts w:eastAsia="Times New Roman" w:cs="Arial"/>
                <w:bCs/>
                <w:color w:val="FFFFFF"/>
                <w:sz w:val="20"/>
                <w:szCs w:val="20"/>
                <w:lang w:eastAsia="en-AU"/>
              </w:rPr>
              <w:t>Service providers</w:t>
            </w:r>
          </w:p>
        </w:tc>
        <w:tc>
          <w:tcPr>
            <w:tcW w:w="1320" w:type="dxa"/>
            <w:shd w:val="clear" w:color="auto" w:fill="6B2976"/>
          </w:tcPr>
          <w:p w14:paraId="2261FBB8" w14:textId="77777777" w:rsidR="008000E1" w:rsidRPr="00871684" w:rsidRDefault="008000E1">
            <w:pPr>
              <w:jc w:val="center"/>
              <w:rPr>
                <w:rFonts w:eastAsia="Times New Roman" w:cs="Arial"/>
                <w:bCs/>
                <w:color w:val="FFFFFF"/>
                <w:sz w:val="20"/>
                <w:szCs w:val="20"/>
                <w:lang w:eastAsia="en-AU"/>
              </w:rPr>
            </w:pPr>
            <w:r w:rsidRPr="00871684">
              <w:rPr>
                <w:rFonts w:eastAsia="Times New Roman" w:cs="Arial"/>
                <w:bCs/>
                <w:color w:val="FFFFFF"/>
                <w:sz w:val="20"/>
                <w:szCs w:val="20"/>
                <w:lang w:eastAsia="en-AU"/>
              </w:rPr>
              <w:t>Support coordinators</w:t>
            </w:r>
          </w:p>
        </w:tc>
        <w:tc>
          <w:tcPr>
            <w:tcW w:w="983" w:type="dxa"/>
            <w:shd w:val="clear" w:color="auto" w:fill="6B2976"/>
          </w:tcPr>
          <w:p w14:paraId="2402982A" w14:textId="77777777" w:rsidR="008000E1" w:rsidRPr="00871684" w:rsidRDefault="008000E1">
            <w:pPr>
              <w:jc w:val="center"/>
              <w:rPr>
                <w:rFonts w:eastAsia="Times New Roman" w:cs="Arial"/>
                <w:bCs/>
                <w:color w:val="FFFFFF"/>
                <w:sz w:val="20"/>
                <w:szCs w:val="20"/>
                <w:lang w:eastAsia="en-AU"/>
              </w:rPr>
            </w:pPr>
            <w:r w:rsidRPr="00871684">
              <w:rPr>
                <w:rFonts w:eastAsia="Times New Roman" w:cs="Arial"/>
                <w:bCs/>
                <w:color w:val="FFFFFF"/>
                <w:sz w:val="20"/>
                <w:szCs w:val="20"/>
                <w:lang w:eastAsia="en-AU"/>
              </w:rPr>
              <w:t>National Delivery</w:t>
            </w:r>
          </w:p>
        </w:tc>
        <w:tc>
          <w:tcPr>
            <w:tcW w:w="812" w:type="dxa"/>
            <w:shd w:val="clear" w:color="auto" w:fill="6B2976"/>
          </w:tcPr>
          <w:p w14:paraId="12944054" w14:textId="77777777" w:rsidR="008000E1" w:rsidRPr="00871684" w:rsidRDefault="008000E1">
            <w:pPr>
              <w:jc w:val="center"/>
              <w:rPr>
                <w:rFonts w:eastAsia="Times New Roman" w:cs="Arial"/>
                <w:bCs/>
                <w:color w:val="FFFFFF"/>
                <w:sz w:val="20"/>
                <w:szCs w:val="20"/>
                <w:lang w:eastAsia="en-AU"/>
              </w:rPr>
            </w:pPr>
            <w:r w:rsidRPr="00871684">
              <w:rPr>
                <w:rFonts w:eastAsia="Times New Roman" w:cs="Arial"/>
                <w:bCs/>
                <w:color w:val="FFFFFF"/>
                <w:sz w:val="20"/>
                <w:szCs w:val="20"/>
                <w:lang w:eastAsia="en-AU"/>
              </w:rPr>
              <w:t>PITC</w:t>
            </w:r>
          </w:p>
        </w:tc>
        <w:tc>
          <w:tcPr>
            <w:tcW w:w="1050" w:type="dxa"/>
            <w:shd w:val="clear" w:color="auto" w:fill="6B2976"/>
          </w:tcPr>
          <w:p w14:paraId="5C748B6A" w14:textId="77777777" w:rsidR="008000E1" w:rsidRPr="00871684" w:rsidRDefault="008000E1">
            <w:pPr>
              <w:jc w:val="center"/>
              <w:rPr>
                <w:rFonts w:eastAsia="Times New Roman" w:cs="Arial"/>
                <w:bCs/>
                <w:color w:val="FFFFFF"/>
                <w:sz w:val="20"/>
                <w:szCs w:val="20"/>
                <w:lang w:eastAsia="en-AU"/>
              </w:rPr>
            </w:pPr>
            <w:r w:rsidRPr="00871684">
              <w:rPr>
                <w:rFonts w:eastAsia="Times New Roman" w:cs="Arial"/>
                <w:bCs/>
                <w:color w:val="FFFFFF"/>
                <w:sz w:val="20"/>
                <w:szCs w:val="20"/>
                <w:lang w:eastAsia="en-AU"/>
              </w:rPr>
              <w:t>Working Group</w:t>
            </w:r>
          </w:p>
        </w:tc>
        <w:tc>
          <w:tcPr>
            <w:tcW w:w="1006" w:type="dxa"/>
            <w:shd w:val="clear" w:color="auto" w:fill="6B2976"/>
          </w:tcPr>
          <w:p w14:paraId="7E15447C" w14:textId="77777777" w:rsidR="008000E1" w:rsidRPr="00871684" w:rsidRDefault="008000E1">
            <w:pPr>
              <w:jc w:val="center"/>
              <w:rPr>
                <w:rFonts w:eastAsia="Times New Roman" w:cs="Arial"/>
                <w:bCs/>
                <w:color w:val="FFFFFF"/>
                <w:sz w:val="20"/>
                <w:szCs w:val="20"/>
                <w:lang w:eastAsia="en-AU"/>
              </w:rPr>
            </w:pPr>
            <w:r w:rsidRPr="00871684">
              <w:rPr>
                <w:rFonts w:eastAsia="Times New Roman" w:cs="Arial"/>
                <w:bCs/>
                <w:color w:val="FFFFFF"/>
                <w:sz w:val="20"/>
                <w:szCs w:val="20"/>
                <w:lang w:eastAsia="en-AU"/>
              </w:rPr>
              <w:t>Trial Lead</w:t>
            </w:r>
          </w:p>
        </w:tc>
        <w:tc>
          <w:tcPr>
            <w:tcW w:w="661" w:type="dxa"/>
            <w:shd w:val="clear" w:color="auto" w:fill="6B2976"/>
          </w:tcPr>
          <w:p w14:paraId="10F1473B" w14:textId="77777777" w:rsidR="008000E1" w:rsidRPr="00871684" w:rsidRDefault="008000E1">
            <w:pPr>
              <w:jc w:val="center"/>
              <w:rPr>
                <w:rFonts w:eastAsia="Times New Roman" w:cs="Arial"/>
                <w:bCs/>
                <w:color w:val="FFFFFF"/>
                <w:sz w:val="20"/>
                <w:szCs w:val="20"/>
                <w:lang w:eastAsia="en-AU"/>
              </w:rPr>
            </w:pPr>
            <w:r w:rsidRPr="00871684">
              <w:rPr>
                <w:rFonts w:eastAsia="Times New Roman" w:cs="Arial"/>
                <w:bCs/>
                <w:color w:val="FFFFFF"/>
                <w:sz w:val="20"/>
                <w:szCs w:val="20"/>
                <w:lang w:eastAsia="en-AU"/>
              </w:rPr>
              <w:t>Total</w:t>
            </w:r>
          </w:p>
        </w:tc>
      </w:tr>
      <w:tr w:rsidR="008000E1" w:rsidRPr="00871684" w14:paraId="61FE1CCF" w14:textId="77777777">
        <w:tc>
          <w:tcPr>
            <w:tcW w:w="2106" w:type="dxa"/>
            <w:shd w:val="clear" w:color="auto" w:fill="F7EEF7"/>
          </w:tcPr>
          <w:p w14:paraId="0BAE2514" w14:textId="77777777" w:rsidR="008000E1" w:rsidRPr="00871684" w:rsidRDefault="008000E1">
            <w:pPr>
              <w:spacing w:before="60" w:after="60"/>
              <w:rPr>
                <w:rFonts w:cs="Arial"/>
                <w:sz w:val="20"/>
                <w:szCs w:val="20"/>
              </w:rPr>
            </w:pPr>
            <w:r>
              <w:rPr>
                <w:rFonts w:eastAsia="Times New Roman" w:cs="Arial"/>
                <w:sz w:val="20"/>
                <w:szCs w:val="20"/>
                <w:lang w:eastAsia="en-AU"/>
              </w:rPr>
              <w:t>Market facilitation</w:t>
            </w:r>
          </w:p>
        </w:tc>
        <w:tc>
          <w:tcPr>
            <w:tcW w:w="1078" w:type="dxa"/>
            <w:shd w:val="clear" w:color="auto" w:fill="F7EEF7"/>
          </w:tcPr>
          <w:p w14:paraId="32D13460" w14:textId="77777777" w:rsidR="008000E1" w:rsidRPr="00871684" w:rsidRDefault="008000E1">
            <w:pPr>
              <w:spacing w:before="60" w:after="60"/>
              <w:jc w:val="center"/>
              <w:rPr>
                <w:rFonts w:cs="Arial"/>
                <w:sz w:val="20"/>
                <w:szCs w:val="20"/>
              </w:rPr>
            </w:pPr>
            <w:r>
              <w:rPr>
                <w:rFonts w:cs="Arial"/>
                <w:sz w:val="20"/>
                <w:szCs w:val="20"/>
              </w:rPr>
              <w:t>17</w:t>
            </w:r>
          </w:p>
        </w:tc>
        <w:tc>
          <w:tcPr>
            <w:tcW w:w="1320" w:type="dxa"/>
            <w:shd w:val="clear" w:color="auto" w:fill="F7EEF7"/>
          </w:tcPr>
          <w:p w14:paraId="1ED324FD"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27</w:t>
            </w:r>
          </w:p>
        </w:tc>
        <w:tc>
          <w:tcPr>
            <w:tcW w:w="983" w:type="dxa"/>
            <w:shd w:val="clear" w:color="auto" w:fill="F7EEF7"/>
          </w:tcPr>
          <w:p w14:paraId="253EB6C8"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4</w:t>
            </w:r>
          </w:p>
        </w:tc>
        <w:tc>
          <w:tcPr>
            <w:tcW w:w="812" w:type="dxa"/>
            <w:shd w:val="clear" w:color="auto" w:fill="F7EEF7"/>
          </w:tcPr>
          <w:p w14:paraId="71F6EB53"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4</w:t>
            </w:r>
          </w:p>
        </w:tc>
        <w:tc>
          <w:tcPr>
            <w:tcW w:w="1050" w:type="dxa"/>
            <w:shd w:val="clear" w:color="auto" w:fill="F7EEF7"/>
          </w:tcPr>
          <w:p w14:paraId="28AEB2BC"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6</w:t>
            </w:r>
          </w:p>
        </w:tc>
        <w:tc>
          <w:tcPr>
            <w:tcW w:w="1006" w:type="dxa"/>
            <w:shd w:val="clear" w:color="auto" w:fill="F7EEF7"/>
          </w:tcPr>
          <w:p w14:paraId="510B9935"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4</w:t>
            </w:r>
          </w:p>
        </w:tc>
        <w:tc>
          <w:tcPr>
            <w:tcW w:w="661" w:type="dxa"/>
            <w:shd w:val="clear" w:color="auto" w:fill="F7EEF7"/>
          </w:tcPr>
          <w:p w14:paraId="450167F6"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62</w:t>
            </w:r>
          </w:p>
        </w:tc>
      </w:tr>
      <w:tr w:rsidR="008000E1" w:rsidRPr="00871684" w14:paraId="747B6B46" w14:textId="77777777">
        <w:tc>
          <w:tcPr>
            <w:tcW w:w="2106" w:type="dxa"/>
          </w:tcPr>
          <w:p w14:paraId="6CA4263C" w14:textId="77777777" w:rsidR="008000E1" w:rsidRPr="00871684" w:rsidRDefault="008000E1">
            <w:pPr>
              <w:spacing w:before="60" w:after="60"/>
              <w:rPr>
                <w:rFonts w:cs="Arial"/>
                <w:sz w:val="20"/>
                <w:szCs w:val="20"/>
              </w:rPr>
            </w:pPr>
            <w:r>
              <w:rPr>
                <w:rFonts w:eastAsia="Times New Roman" w:cs="Arial"/>
                <w:sz w:val="20"/>
                <w:szCs w:val="20"/>
                <w:lang w:eastAsia="en-AU"/>
              </w:rPr>
              <w:t>CFPs</w:t>
            </w:r>
          </w:p>
        </w:tc>
        <w:tc>
          <w:tcPr>
            <w:tcW w:w="1078" w:type="dxa"/>
          </w:tcPr>
          <w:p w14:paraId="705BC15B" w14:textId="77777777" w:rsidR="008000E1" w:rsidRPr="00871684" w:rsidRDefault="008000E1">
            <w:pPr>
              <w:spacing w:before="60" w:after="60"/>
              <w:jc w:val="center"/>
              <w:rPr>
                <w:rFonts w:cs="Arial"/>
                <w:sz w:val="20"/>
                <w:szCs w:val="20"/>
              </w:rPr>
            </w:pPr>
            <w:r>
              <w:rPr>
                <w:rFonts w:cs="Arial"/>
                <w:sz w:val="20"/>
                <w:szCs w:val="20"/>
              </w:rPr>
              <w:t>6</w:t>
            </w:r>
          </w:p>
        </w:tc>
        <w:tc>
          <w:tcPr>
            <w:tcW w:w="1320" w:type="dxa"/>
          </w:tcPr>
          <w:p w14:paraId="0B15C01D"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10</w:t>
            </w:r>
          </w:p>
        </w:tc>
        <w:tc>
          <w:tcPr>
            <w:tcW w:w="983" w:type="dxa"/>
          </w:tcPr>
          <w:p w14:paraId="5C77DC58"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0</w:t>
            </w:r>
          </w:p>
        </w:tc>
        <w:tc>
          <w:tcPr>
            <w:tcW w:w="812" w:type="dxa"/>
          </w:tcPr>
          <w:p w14:paraId="7D4D0491"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0</w:t>
            </w:r>
          </w:p>
        </w:tc>
        <w:tc>
          <w:tcPr>
            <w:tcW w:w="1050" w:type="dxa"/>
          </w:tcPr>
          <w:p w14:paraId="0EB51E66"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0</w:t>
            </w:r>
          </w:p>
        </w:tc>
        <w:tc>
          <w:tcPr>
            <w:tcW w:w="1006" w:type="dxa"/>
          </w:tcPr>
          <w:p w14:paraId="555BDBF0"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1</w:t>
            </w:r>
          </w:p>
        </w:tc>
        <w:tc>
          <w:tcPr>
            <w:tcW w:w="661" w:type="dxa"/>
          </w:tcPr>
          <w:p w14:paraId="40115876"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8</w:t>
            </w:r>
          </w:p>
        </w:tc>
      </w:tr>
      <w:tr w:rsidR="008000E1" w:rsidRPr="00871684" w14:paraId="2806A67F" w14:textId="77777777">
        <w:tc>
          <w:tcPr>
            <w:tcW w:w="2106" w:type="dxa"/>
            <w:shd w:val="clear" w:color="auto" w:fill="F7EEF7"/>
          </w:tcPr>
          <w:p w14:paraId="3DCF566A" w14:textId="77777777" w:rsidR="008000E1" w:rsidRPr="00871684" w:rsidRDefault="008000E1">
            <w:pPr>
              <w:spacing w:before="60" w:after="60"/>
              <w:rPr>
                <w:rFonts w:cs="Arial"/>
                <w:sz w:val="20"/>
                <w:szCs w:val="20"/>
              </w:rPr>
            </w:pPr>
            <w:r>
              <w:rPr>
                <w:rFonts w:eastAsia="Times New Roman" w:cs="Arial"/>
                <w:sz w:val="20"/>
                <w:szCs w:val="20"/>
                <w:lang w:eastAsia="en-AU"/>
              </w:rPr>
              <w:t>Direct commissioning</w:t>
            </w:r>
          </w:p>
        </w:tc>
        <w:tc>
          <w:tcPr>
            <w:tcW w:w="1078" w:type="dxa"/>
            <w:shd w:val="clear" w:color="auto" w:fill="F7EEF7"/>
          </w:tcPr>
          <w:p w14:paraId="5632EF42" w14:textId="77777777" w:rsidR="008000E1" w:rsidRPr="00871684" w:rsidRDefault="008000E1">
            <w:pPr>
              <w:spacing w:before="60" w:after="60"/>
              <w:jc w:val="center"/>
              <w:rPr>
                <w:rFonts w:cs="Arial"/>
                <w:sz w:val="20"/>
                <w:szCs w:val="20"/>
              </w:rPr>
            </w:pPr>
            <w:r>
              <w:rPr>
                <w:rFonts w:cs="Arial"/>
                <w:sz w:val="20"/>
                <w:szCs w:val="20"/>
              </w:rPr>
              <w:t>9</w:t>
            </w:r>
          </w:p>
        </w:tc>
        <w:tc>
          <w:tcPr>
            <w:tcW w:w="1320" w:type="dxa"/>
            <w:shd w:val="clear" w:color="auto" w:fill="F7EEF7"/>
          </w:tcPr>
          <w:p w14:paraId="7B118D24"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9</w:t>
            </w:r>
          </w:p>
        </w:tc>
        <w:tc>
          <w:tcPr>
            <w:tcW w:w="983" w:type="dxa"/>
            <w:shd w:val="clear" w:color="auto" w:fill="F7EEF7"/>
          </w:tcPr>
          <w:p w14:paraId="6B6099EF"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4</w:t>
            </w:r>
          </w:p>
        </w:tc>
        <w:tc>
          <w:tcPr>
            <w:tcW w:w="812" w:type="dxa"/>
            <w:shd w:val="clear" w:color="auto" w:fill="F7EEF7"/>
          </w:tcPr>
          <w:p w14:paraId="73FE4967"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0</w:t>
            </w:r>
          </w:p>
        </w:tc>
        <w:tc>
          <w:tcPr>
            <w:tcW w:w="1050" w:type="dxa"/>
            <w:shd w:val="clear" w:color="auto" w:fill="F7EEF7"/>
          </w:tcPr>
          <w:p w14:paraId="7D52DDB0"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14</w:t>
            </w:r>
          </w:p>
        </w:tc>
        <w:tc>
          <w:tcPr>
            <w:tcW w:w="1006" w:type="dxa"/>
            <w:shd w:val="clear" w:color="auto" w:fill="F7EEF7"/>
          </w:tcPr>
          <w:p w14:paraId="6F0FB114"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2</w:t>
            </w:r>
          </w:p>
        </w:tc>
        <w:tc>
          <w:tcPr>
            <w:tcW w:w="661" w:type="dxa"/>
            <w:shd w:val="clear" w:color="auto" w:fill="F7EEF7"/>
          </w:tcPr>
          <w:p w14:paraId="48094E1E" w14:textId="77777777" w:rsidR="008000E1" w:rsidRPr="00871684" w:rsidRDefault="008000E1">
            <w:pPr>
              <w:spacing w:before="60" w:after="60"/>
              <w:jc w:val="center"/>
              <w:rPr>
                <w:rFonts w:eastAsia="Times New Roman" w:cs="Arial"/>
                <w:sz w:val="20"/>
                <w:szCs w:val="20"/>
                <w:lang w:eastAsia="en-AU"/>
              </w:rPr>
            </w:pPr>
            <w:r>
              <w:rPr>
                <w:rFonts w:eastAsia="Times New Roman" w:cs="Arial"/>
                <w:sz w:val="20"/>
                <w:szCs w:val="20"/>
                <w:lang w:eastAsia="en-AU"/>
              </w:rPr>
              <w:t>37</w:t>
            </w:r>
          </w:p>
        </w:tc>
      </w:tr>
      <w:tr w:rsidR="008000E1" w:rsidRPr="00BF1A83" w14:paraId="5BD56C8E" w14:textId="77777777">
        <w:tc>
          <w:tcPr>
            <w:tcW w:w="2106" w:type="dxa"/>
            <w:shd w:val="clear" w:color="auto" w:fill="C0C0C0"/>
          </w:tcPr>
          <w:p w14:paraId="222E288F" w14:textId="77777777" w:rsidR="008000E1" w:rsidRPr="00BF1A83" w:rsidRDefault="008000E1">
            <w:pPr>
              <w:spacing w:before="60" w:after="60"/>
              <w:rPr>
                <w:rFonts w:eastAsia="Times New Roman" w:cs="Arial"/>
                <w:b/>
                <w:sz w:val="20"/>
                <w:szCs w:val="20"/>
                <w:lang w:eastAsia="en-AU"/>
              </w:rPr>
            </w:pPr>
            <w:r w:rsidRPr="00BF1A83">
              <w:rPr>
                <w:rFonts w:eastAsia="Times New Roman" w:cs="Arial"/>
                <w:b/>
                <w:sz w:val="20"/>
                <w:szCs w:val="20"/>
                <w:lang w:eastAsia="en-AU"/>
              </w:rPr>
              <w:t>Total</w:t>
            </w:r>
          </w:p>
        </w:tc>
        <w:tc>
          <w:tcPr>
            <w:tcW w:w="1078" w:type="dxa"/>
            <w:shd w:val="clear" w:color="auto" w:fill="C0C0C0"/>
          </w:tcPr>
          <w:p w14:paraId="5FD6C84B" w14:textId="77777777" w:rsidR="008000E1" w:rsidRPr="00BF1A83" w:rsidRDefault="008000E1">
            <w:pPr>
              <w:spacing w:before="60" w:after="60"/>
              <w:jc w:val="center"/>
              <w:rPr>
                <w:rFonts w:cs="Arial"/>
                <w:b/>
                <w:sz w:val="20"/>
                <w:szCs w:val="20"/>
              </w:rPr>
            </w:pPr>
            <w:r>
              <w:rPr>
                <w:rFonts w:cs="Arial"/>
                <w:b/>
                <w:sz w:val="20"/>
                <w:szCs w:val="20"/>
              </w:rPr>
              <w:t>32</w:t>
            </w:r>
          </w:p>
        </w:tc>
        <w:tc>
          <w:tcPr>
            <w:tcW w:w="1320" w:type="dxa"/>
            <w:shd w:val="clear" w:color="auto" w:fill="C0C0C0"/>
          </w:tcPr>
          <w:p w14:paraId="4DCED6FD" w14:textId="77777777" w:rsidR="008000E1" w:rsidRPr="00BF1A83" w:rsidRDefault="008000E1">
            <w:pPr>
              <w:spacing w:before="60" w:after="60"/>
              <w:jc w:val="center"/>
              <w:rPr>
                <w:rFonts w:eastAsia="Times New Roman" w:cs="Arial"/>
                <w:b/>
                <w:sz w:val="20"/>
                <w:szCs w:val="20"/>
                <w:lang w:eastAsia="en-AU"/>
              </w:rPr>
            </w:pPr>
            <w:r>
              <w:rPr>
                <w:rFonts w:eastAsia="Times New Roman" w:cs="Arial"/>
                <w:b/>
                <w:sz w:val="20"/>
                <w:szCs w:val="20"/>
                <w:lang w:eastAsia="en-AU"/>
              </w:rPr>
              <w:t>46</w:t>
            </w:r>
          </w:p>
        </w:tc>
        <w:tc>
          <w:tcPr>
            <w:tcW w:w="983" w:type="dxa"/>
            <w:shd w:val="clear" w:color="auto" w:fill="C0C0C0"/>
          </w:tcPr>
          <w:p w14:paraId="131A776A" w14:textId="77777777" w:rsidR="008000E1" w:rsidRPr="00BF1A83" w:rsidRDefault="008000E1">
            <w:pPr>
              <w:spacing w:before="60" w:after="60"/>
              <w:jc w:val="center"/>
              <w:rPr>
                <w:rFonts w:eastAsia="Times New Roman" w:cs="Arial"/>
                <w:b/>
                <w:sz w:val="20"/>
                <w:szCs w:val="20"/>
                <w:lang w:eastAsia="en-AU"/>
              </w:rPr>
            </w:pPr>
            <w:r>
              <w:rPr>
                <w:rFonts w:eastAsia="Times New Roman" w:cs="Arial"/>
                <w:b/>
                <w:sz w:val="20"/>
                <w:szCs w:val="20"/>
                <w:lang w:eastAsia="en-AU"/>
              </w:rPr>
              <w:t>8</w:t>
            </w:r>
          </w:p>
        </w:tc>
        <w:tc>
          <w:tcPr>
            <w:tcW w:w="812" w:type="dxa"/>
            <w:shd w:val="clear" w:color="auto" w:fill="C0C0C0"/>
          </w:tcPr>
          <w:p w14:paraId="7963C644" w14:textId="77777777" w:rsidR="008000E1" w:rsidRPr="00BF1A83" w:rsidRDefault="008000E1">
            <w:pPr>
              <w:spacing w:before="60" w:after="60"/>
              <w:jc w:val="center"/>
              <w:rPr>
                <w:rFonts w:eastAsia="Times New Roman" w:cs="Arial"/>
                <w:b/>
                <w:sz w:val="20"/>
                <w:szCs w:val="20"/>
                <w:lang w:eastAsia="en-AU"/>
              </w:rPr>
            </w:pPr>
            <w:r>
              <w:rPr>
                <w:rFonts w:eastAsia="Times New Roman" w:cs="Arial"/>
                <w:b/>
                <w:sz w:val="20"/>
                <w:szCs w:val="20"/>
                <w:lang w:eastAsia="en-AU"/>
              </w:rPr>
              <w:t>4</w:t>
            </w:r>
          </w:p>
        </w:tc>
        <w:tc>
          <w:tcPr>
            <w:tcW w:w="1050" w:type="dxa"/>
            <w:shd w:val="clear" w:color="auto" w:fill="C0C0C0"/>
          </w:tcPr>
          <w:p w14:paraId="03BA17B7" w14:textId="77777777" w:rsidR="008000E1" w:rsidRPr="00BF1A83" w:rsidRDefault="008000E1">
            <w:pPr>
              <w:spacing w:before="60" w:after="60"/>
              <w:jc w:val="center"/>
              <w:rPr>
                <w:rFonts w:eastAsia="Times New Roman" w:cs="Arial"/>
                <w:b/>
                <w:sz w:val="20"/>
                <w:szCs w:val="20"/>
                <w:lang w:eastAsia="en-AU"/>
              </w:rPr>
            </w:pPr>
            <w:r>
              <w:rPr>
                <w:rFonts w:eastAsia="Times New Roman" w:cs="Arial"/>
                <w:b/>
                <w:sz w:val="20"/>
                <w:szCs w:val="20"/>
                <w:lang w:eastAsia="en-AU"/>
              </w:rPr>
              <w:t>20</w:t>
            </w:r>
          </w:p>
        </w:tc>
        <w:tc>
          <w:tcPr>
            <w:tcW w:w="1006" w:type="dxa"/>
            <w:shd w:val="clear" w:color="auto" w:fill="C0C0C0"/>
          </w:tcPr>
          <w:p w14:paraId="152C8872" w14:textId="098CD46C" w:rsidR="008000E1" w:rsidRPr="00BF1A83" w:rsidRDefault="008000E1">
            <w:pPr>
              <w:spacing w:before="60" w:after="60"/>
              <w:jc w:val="center"/>
              <w:rPr>
                <w:rFonts w:eastAsia="Times New Roman" w:cs="Arial"/>
                <w:b/>
                <w:sz w:val="20"/>
                <w:szCs w:val="20"/>
                <w:lang w:eastAsia="en-AU"/>
              </w:rPr>
            </w:pPr>
            <w:r>
              <w:rPr>
                <w:rFonts w:eastAsia="Times New Roman" w:cs="Arial"/>
                <w:b/>
                <w:sz w:val="20"/>
                <w:szCs w:val="20"/>
                <w:lang w:eastAsia="en-AU"/>
              </w:rPr>
              <w:t>4</w:t>
            </w:r>
            <w:r w:rsidR="006D76E4">
              <w:rPr>
                <w:rStyle w:val="FootnoteReference"/>
                <w:rFonts w:eastAsia="Times New Roman" w:cs="Arial"/>
                <w:b/>
                <w:sz w:val="20"/>
                <w:szCs w:val="20"/>
                <w:lang w:eastAsia="en-AU"/>
              </w:rPr>
              <w:footnoteReference w:id="29"/>
            </w:r>
          </w:p>
        </w:tc>
        <w:tc>
          <w:tcPr>
            <w:tcW w:w="661" w:type="dxa"/>
            <w:shd w:val="clear" w:color="auto" w:fill="C0C0C0"/>
          </w:tcPr>
          <w:p w14:paraId="687B4365" w14:textId="77777777" w:rsidR="008000E1" w:rsidRPr="00BF1A83" w:rsidRDefault="008000E1">
            <w:pPr>
              <w:spacing w:before="60" w:after="60"/>
              <w:jc w:val="center"/>
              <w:rPr>
                <w:rFonts w:eastAsia="Times New Roman" w:cs="Arial"/>
                <w:b/>
                <w:sz w:val="20"/>
                <w:szCs w:val="20"/>
                <w:lang w:eastAsia="en-AU"/>
              </w:rPr>
            </w:pPr>
            <w:r>
              <w:rPr>
                <w:rFonts w:eastAsia="Times New Roman" w:cs="Arial"/>
                <w:b/>
                <w:sz w:val="20"/>
                <w:szCs w:val="20"/>
                <w:lang w:eastAsia="en-AU"/>
              </w:rPr>
              <w:t>114</w:t>
            </w:r>
          </w:p>
        </w:tc>
      </w:tr>
    </w:tbl>
    <w:p w14:paraId="4954B223" w14:textId="77777777" w:rsidR="008000E1" w:rsidRPr="00FF2FC7" w:rsidRDefault="008000E1" w:rsidP="00A01FA6">
      <w:pPr>
        <w:pStyle w:val="Appendix2"/>
      </w:pPr>
      <w:bookmarkStart w:id="179" w:name="_Ref119069136"/>
      <w:r>
        <w:t>Quantitative data analysis</w:t>
      </w:r>
      <w:bookmarkEnd w:id="179"/>
    </w:p>
    <w:p w14:paraId="5142C0FB" w14:textId="77777777" w:rsidR="008000E1" w:rsidRDefault="008000E1" w:rsidP="00A01FA6">
      <w:pPr>
        <w:pStyle w:val="Appendix3"/>
      </w:pPr>
      <w:bookmarkStart w:id="180" w:name="_Ref120615385"/>
      <w:r>
        <w:t>Analysis of participant-level expenditure</w:t>
      </w:r>
      <w:bookmarkEnd w:id="180"/>
    </w:p>
    <w:p w14:paraId="08F235FA" w14:textId="77777777" w:rsidR="008000E1" w:rsidRDefault="008000E1" w:rsidP="008000E1">
      <w:r>
        <w:t>A DiD approach was the most fitting option to assess the impact of market facilitation and direct commissioning on participant use of funded supports</w:t>
      </w:r>
      <w:r w:rsidRPr="00F3127F">
        <w:t xml:space="preserve"> </w:t>
      </w:r>
      <w:r>
        <w:t>given the available data. For market facilitation we combined</w:t>
      </w:r>
      <w:r w:rsidRPr="00661D52">
        <w:t xml:space="preserve"> </w:t>
      </w:r>
      <w:r>
        <w:t>with DiD with Propensity Score Matching (PSM). The sections below describe how the evaluation applied this to market facilitation trials.</w:t>
      </w:r>
    </w:p>
    <w:p w14:paraId="4F0D74A9" w14:textId="77777777" w:rsidR="008000E1" w:rsidRPr="00AB19E6" w:rsidRDefault="008000E1" w:rsidP="008000E1">
      <w:pPr>
        <w:pStyle w:val="Heading5"/>
      </w:pPr>
      <w:r>
        <w:t>Difference-in-difference</w:t>
      </w:r>
    </w:p>
    <w:p w14:paraId="5241641D" w14:textId="77777777" w:rsidR="008000E1" w:rsidRDefault="008000E1" w:rsidP="008000E1">
      <w:r>
        <w:t>DiD is an analytical approach that facilitates causal inference. It does this by comparing changes in outcomes over time between a population enrolled in a program/trial (the treatment group) and a population that is not (the control group). DiD builds on potential outcomes when we cannot draw causal conclusions by observing simple before-and-after changes in outcomes, as factors other than the treatment may influence the outcome over time. Further, we cannot simply compare treated and untreated groups due to differences in unobservable characteristics between the two groups.</w:t>
      </w:r>
    </w:p>
    <w:p w14:paraId="31AA9BE1" w14:textId="57379C69" w:rsidR="008000E1" w:rsidRDefault="008000E1" w:rsidP="008000E1">
      <w:r>
        <w:t xml:space="preserve">DiD takes the before-after difference in the treatment group’s outcomes. This is the first difference. In comparing the same group to itself, the first difference controls for factors that are constant over time in that group. Then, to capture time-varying factors, DiD takes the before-after difference in the control group, which was exposed to the same set of conditions as the treatment group. This is the second difference. Finally, DiD “cleans” all time-varying factors from the first difference by subtracting the second difference from it. This leaves us </w:t>
      </w:r>
      <w:r>
        <w:lastRenderedPageBreak/>
        <w:t xml:space="preserve">with the impact estimation also known as the average treatment effect (ATE). </w:t>
      </w:r>
      <w:r w:rsidR="00C51FEB">
        <w:fldChar w:fldCharType="begin"/>
      </w:r>
      <w:r w:rsidR="00C51FEB">
        <w:instrText xml:space="preserve"> REF _Ref121493815 \h </w:instrText>
      </w:r>
      <w:r w:rsidR="00C51FEB">
        <w:fldChar w:fldCharType="separate"/>
      </w:r>
      <w:r w:rsidR="00DE04FA">
        <w:t xml:space="preserve">Figure </w:t>
      </w:r>
      <w:r w:rsidR="00DE04FA">
        <w:rPr>
          <w:noProof/>
        </w:rPr>
        <w:t>22</w:t>
      </w:r>
      <w:r w:rsidR="00C51FEB">
        <w:fldChar w:fldCharType="end"/>
      </w:r>
      <w:r w:rsidRPr="00733DA0">
        <w:t xml:space="preserve"> </w:t>
      </w:r>
      <w:r w:rsidRPr="00F97E80">
        <w:t>is a graphical explanation of DiD estimation.</w:t>
      </w:r>
    </w:p>
    <w:p w14:paraId="5FA969CB" w14:textId="50B59F1A" w:rsidR="00C51FEB" w:rsidRDefault="00C51FEB" w:rsidP="00631A78">
      <w:pPr>
        <w:pStyle w:val="Caption"/>
      </w:pPr>
      <w:bookmarkStart w:id="181" w:name="_Ref121493815"/>
      <w:r>
        <w:t xml:space="preserve">Figure </w:t>
      </w:r>
      <w:r>
        <w:fldChar w:fldCharType="begin"/>
      </w:r>
      <w:r>
        <w:instrText>SEQ Figure \* ARABIC</w:instrText>
      </w:r>
      <w:r>
        <w:fldChar w:fldCharType="separate"/>
      </w:r>
      <w:r w:rsidR="00DE04FA">
        <w:rPr>
          <w:noProof/>
        </w:rPr>
        <w:t>22</w:t>
      </w:r>
      <w:r>
        <w:fldChar w:fldCharType="end"/>
      </w:r>
      <w:bookmarkEnd w:id="181"/>
      <w:r>
        <w:t>: Difference-in-difference</w:t>
      </w:r>
    </w:p>
    <w:p w14:paraId="7C7DA4DE" w14:textId="04994536" w:rsidR="008000E1" w:rsidRDefault="00715E0B" w:rsidP="008000E1">
      <w:r>
        <w:rPr>
          <w:noProof/>
        </w:rPr>
        <w:drawing>
          <wp:inline distT="0" distB="0" distL="0" distR="0" wp14:anchorId="0700D13B" wp14:editId="7C89ABFD">
            <wp:extent cx="4984115" cy="3661664"/>
            <wp:effectExtent l="0" t="0" r="0" b="0"/>
            <wp:docPr id="15" name="Picture 15" descr="This diagram provides a visual representation of the difference-in-difference method described in the preced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is diagram provides a visual representation of the difference-in-difference method described in the preceding tex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93777" cy="3668762"/>
                    </a:xfrm>
                    <a:prstGeom prst="rect">
                      <a:avLst/>
                    </a:prstGeom>
                    <a:noFill/>
                  </pic:spPr>
                </pic:pic>
              </a:graphicData>
            </a:graphic>
          </wp:inline>
        </w:drawing>
      </w:r>
    </w:p>
    <w:p w14:paraId="7B2AC5AA" w14:textId="77777777" w:rsidR="008000E1" w:rsidRDefault="008000E1" w:rsidP="008000E1">
      <w:r w:rsidRPr="00DF03A3">
        <w:t xml:space="preserve">The validity of the DiD approach relies on the parallel trend assumption, </w:t>
      </w:r>
      <w:r>
        <w:t>that is,</w:t>
      </w:r>
      <w:r w:rsidRPr="00DF03A3">
        <w:t xml:space="preserve"> the assumption that no time-varying differences exist between the treatment and control groups. In the figure above, that is the paralleled difference between the purple and green lines post-intervention</w:t>
      </w:r>
      <w:r>
        <w:t xml:space="preserve"> </w:t>
      </w:r>
      <w:r w:rsidRPr="00DF03A3">
        <w:t>–</w:t>
      </w:r>
      <w:r>
        <w:t xml:space="preserve"> </w:t>
      </w:r>
      <w:r w:rsidRPr="00DF03A3">
        <w:t>the unobserved outcome trend in treated group (dotted line). While this assumption cannot be proved, its validity can be assessed by comparing changes in the outcomes for the treatment and control groups repeatedly before the trial is implemented. If the outcome trend moves in parallel before the program began, we can assume that it would have continued moving in tandem in the absence of the intervention.</w:t>
      </w:r>
    </w:p>
    <w:p w14:paraId="32EE160D" w14:textId="77777777" w:rsidR="008000E1" w:rsidRDefault="008000E1" w:rsidP="008000E1">
      <w:pPr>
        <w:pStyle w:val="Heading5"/>
      </w:pPr>
      <w:r>
        <w:t>Propensity score matching</w:t>
      </w:r>
    </w:p>
    <w:p w14:paraId="72D0BDF9" w14:textId="5A353FE8" w:rsidR="008000E1" w:rsidRDefault="008000E1" w:rsidP="008000E1">
      <w:r>
        <w:t xml:space="preserve">To best meet the parallel trend assumption, our analysis employed a propensity score matching (PSM) technique. PSM is a quasi-experimental method </w:t>
      </w:r>
      <w:r w:rsidR="0014312C">
        <w:t>which uses</w:t>
      </w:r>
      <w:r>
        <w:t xml:space="preserve"> statistical estimation to construct an artificial control group by matching each treated participant with one or more non-treated participant of similar characteristics. PSM estimates the probability that a participant will </w:t>
      </w:r>
      <w:r w:rsidR="0014312C">
        <w:t>receive treatment</w:t>
      </w:r>
      <w:r>
        <w:t xml:space="preserve"> based on observed characteristics. This is the propensity score. Then, PSM matches treated participants to untreated participants based on the propensity score. The PSM relies on the assumption that, conditional on some observable characteristics, untreated participants are analogous to treated participants and thus can be compared as if the treatment has been fully randomised.</w:t>
      </w:r>
    </w:p>
    <w:p w14:paraId="4D14DDB6" w14:textId="77777777" w:rsidR="008000E1" w:rsidRDefault="008000E1" w:rsidP="008000E1">
      <w:r>
        <w:lastRenderedPageBreak/>
        <w:t>PSM requires large samples and good data on both treated and non-treated groups. Further, the data must include sufficient untreated participants with characteristics that correspond to those of the treated participants. The data should include all relevant characteristics related to treatment participation and outcomes. Given that all characteristics relevant to treatment participation and outcomes are observable in the dataset, the propensity score will produce valid matches for estimating the impact of an intervention.</w:t>
      </w:r>
    </w:p>
    <w:p w14:paraId="348A6A75" w14:textId="77777777" w:rsidR="008000E1" w:rsidRDefault="008000E1" w:rsidP="008000E1">
      <w:pPr>
        <w:pStyle w:val="Heading5"/>
      </w:pPr>
      <w:r>
        <w:t>Application to participant expenditure analysis</w:t>
      </w:r>
    </w:p>
    <w:p w14:paraId="3D22CE17" w14:textId="77777777" w:rsidR="008000E1" w:rsidRDefault="008000E1" w:rsidP="008000E1">
      <w:r>
        <w:t xml:space="preserve">For the participant expenditure analysis, we first implemented the PSM and then conducted the DiD using the valid control group that had been constructed. </w:t>
      </w:r>
    </w:p>
    <w:p w14:paraId="7B491C0C" w14:textId="77777777" w:rsidR="008000E1" w:rsidRPr="00635A45" w:rsidRDefault="008000E1" w:rsidP="008000E1">
      <w:pPr>
        <w:pStyle w:val="Heading6"/>
      </w:pPr>
      <w:r>
        <w:t>Step 1: Implement PSM to create control group</w:t>
      </w:r>
    </w:p>
    <w:p w14:paraId="3EC5F471" w14:textId="47E18311" w:rsidR="008000E1" w:rsidRDefault="008000E1" w:rsidP="008000E1">
      <w:r w:rsidRPr="00E55B46">
        <w:t xml:space="preserve">The analysis </w:t>
      </w:r>
      <w:r w:rsidR="0014312C">
        <w:t>was</w:t>
      </w:r>
      <w:r w:rsidRPr="00E55B46">
        <w:t xml:space="preserve"> at the participant level and matching was calculated and estimated</w:t>
      </w:r>
      <w:r>
        <w:t xml:space="preserve"> for each LGA individually. This was due to varying start times and differences in targeted support types. The following algorithm below was performed for each LGA:</w:t>
      </w:r>
    </w:p>
    <w:p w14:paraId="4B3F6519" w14:textId="77777777" w:rsidR="008000E1" w:rsidRDefault="008000E1" w:rsidP="008000E1">
      <w:pPr>
        <w:pStyle w:val="Bulletlist"/>
      </w:pPr>
      <w:r>
        <w:t>Step 1: Collected and collapsed payment data into “before treatment” participant observations. This included: 1) a participants total spend in the 12 months prior to intervention, 2) average spend per month in the 12 months prior to intervention, 3) the average claim amount in the 12 months prior to intervention, and 4) median claim amount in the 12 months prior to intervention. After this step, each participant had four variables assigned to them.</w:t>
      </w:r>
    </w:p>
    <w:p w14:paraId="5A1645F3" w14:textId="77777777" w:rsidR="008000E1" w:rsidRDefault="008000E1" w:rsidP="008000E1">
      <w:pPr>
        <w:pStyle w:val="Bulletlist"/>
      </w:pPr>
      <w:r>
        <w:t>Step 2: Collected participant level demographics and merged them to step 1 data set. Demographics included age, NDIS disability, gender, First Nations and CALD indicators, MMM location, vulnerable participant indicator, NDIS severity score, country of birth, NDIS entry quarter, and NDIS entry type.</w:t>
      </w:r>
    </w:p>
    <w:p w14:paraId="23865B43" w14:textId="77777777" w:rsidR="008000E1" w:rsidRDefault="008000E1" w:rsidP="008000E1">
      <w:pPr>
        <w:pStyle w:val="Bulletlist"/>
      </w:pPr>
      <w:r>
        <w:t>Step 3: Collected participant historical budget information and merge to the core dataset. This included annualised budget for 2017/18 financial year, annualised budget for 2018/19 financial year, annualised budget for 2019/20 financial year, total committed support budget, adjusted total committed supports budget, and proportion of plan management arrangements in the participant’s plan history.</w:t>
      </w:r>
    </w:p>
    <w:p w14:paraId="7467E6F6" w14:textId="4C3967EC" w:rsidR="008000E1" w:rsidRDefault="008000E1" w:rsidP="008000E1">
      <w:pPr>
        <w:pStyle w:val="Bulletlist"/>
      </w:pPr>
      <w:r>
        <w:t xml:space="preserve">Step 4: The data set contained individual observations for every NDIS participant. </w:t>
      </w:r>
      <w:r w:rsidR="0010798B">
        <w:rPr>
          <w:color w:val="2B579A"/>
          <w:shd w:val="clear" w:color="auto" w:fill="E6E6E6"/>
        </w:rPr>
        <w:fldChar w:fldCharType="begin"/>
      </w:r>
      <w:r w:rsidR="0010798B">
        <w:instrText xml:space="preserve"> REF _Ref120704906 \h </w:instrText>
      </w:r>
      <w:r w:rsidR="0010798B">
        <w:rPr>
          <w:color w:val="2B579A"/>
          <w:shd w:val="clear" w:color="auto" w:fill="E6E6E6"/>
        </w:rPr>
      </w:r>
      <w:r w:rsidR="0010798B">
        <w:rPr>
          <w:color w:val="2B579A"/>
          <w:shd w:val="clear" w:color="auto" w:fill="E6E6E6"/>
        </w:rPr>
        <w:fldChar w:fldCharType="separate"/>
      </w:r>
      <w:r w:rsidR="00DE04FA">
        <w:t xml:space="preserve">Table </w:t>
      </w:r>
      <w:r w:rsidR="00DE04FA">
        <w:rPr>
          <w:noProof/>
        </w:rPr>
        <w:t>10</w:t>
      </w:r>
      <w:r w:rsidR="0010798B">
        <w:rPr>
          <w:color w:val="2B579A"/>
          <w:shd w:val="clear" w:color="auto" w:fill="E6E6E6"/>
        </w:rPr>
        <w:fldChar w:fldCharType="end"/>
      </w:r>
      <w:r w:rsidR="0010798B">
        <w:t xml:space="preserve"> </w:t>
      </w:r>
      <w:r>
        <w:t xml:space="preserve">lists the balance of all included variables. Participants who reside in the treated LGA of interest were flagged as “treated” and propensity scores estimated using all the available variables. </w:t>
      </w:r>
      <w:r w:rsidR="00373E47">
        <w:t>Binomial logistic regression is used to calculate p</w:t>
      </w:r>
      <w:r>
        <w:t>ropensity scores between 0 and 1. The score predicts the probability that a participant is treated or not.</w:t>
      </w:r>
    </w:p>
    <w:p w14:paraId="51147276" w14:textId="32F8584A" w:rsidR="008000E1" w:rsidRDefault="008000E1" w:rsidP="008000E1">
      <w:pPr>
        <w:pStyle w:val="Bulletlist"/>
      </w:pPr>
      <w:r>
        <w:t xml:space="preserve">Step 5: </w:t>
      </w:r>
      <w:r w:rsidR="00373E47">
        <w:t xml:space="preserve">Following estimation of all </w:t>
      </w:r>
      <w:r>
        <w:t xml:space="preserve">the propensity scores, </w:t>
      </w:r>
      <w:r w:rsidR="00373E47">
        <w:t>e</w:t>
      </w:r>
      <w:r>
        <w:t xml:space="preserve">ach treated participant was matched to three other non-treated participants. To ensure appropriate matching, participants could not be matched to a participant in another LGA that is or was part of a thin market trial (DRM or NDIA initiated). The matching procedure was a nearest neighbour procedure in which every participant was always matched to three others based on their propensity score and no untreated participant could be matched more than once. This means that some matches could be notably different but remain the </w:t>
      </w:r>
      <w:r>
        <w:lastRenderedPageBreak/>
        <w:t>closest match based on the propensity score. We chose to use this method because the large sample of NDIS participants means this error will be zero on average.</w:t>
      </w:r>
    </w:p>
    <w:p w14:paraId="187805E4" w14:textId="77777777" w:rsidR="008000E1" w:rsidRDefault="008000E1" w:rsidP="008000E1">
      <w:pPr>
        <w:pStyle w:val="Bulletlist"/>
      </w:pPr>
      <w:r>
        <w:t>Step 6: The treated participants were saved to a list with their untreated matches and their group categories. For example, group 1 contains 1 treated participant and 3 untreated participants.</w:t>
      </w:r>
    </w:p>
    <w:p w14:paraId="4F86BA51" w14:textId="274FC714" w:rsidR="008000E1" w:rsidRDefault="008000E1" w:rsidP="008000E1">
      <w:r>
        <w:t>The resulting data set was the treated participants in the targeted LGAs and their associated matches. We then visually and analytically tested our matching procedure (</w:t>
      </w:r>
      <w:r w:rsidR="0010798B">
        <w:rPr>
          <w:color w:val="2B579A"/>
          <w:shd w:val="clear" w:color="auto" w:fill="E6E6E6"/>
        </w:rPr>
        <w:fldChar w:fldCharType="begin"/>
      </w:r>
      <w:r w:rsidR="0010798B">
        <w:instrText xml:space="preserve"> REF _Ref120704906 \h </w:instrText>
      </w:r>
      <w:r w:rsidR="0010798B">
        <w:rPr>
          <w:color w:val="2B579A"/>
          <w:shd w:val="clear" w:color="auto" w:fill="E6E6E6"/>
        </w:rPr>
      </w:r>
      <w:r w:rsidR="0010798B">
        <w:rPr>
          <w:color w:val="2B579A"/>
          <w:shd w:val="clear" w:color="auto" w:fill="E6E6E6"/>
        </w:rPr>
        <w:fldChar w:fldCharType="separate"/>
      </w:r>
      <w:r w:rsidR="00DE04FA">
        <w:t xml:space="preserve">Table </w:t>
      </w:r>
      <w:r w:rsidR="00DE04FA">
        <w:rPr>
          <w:noProof/>
        </w:rPr>
        <w:t>10</w:t>
      </w:r>
      <w:r w:rsidR="0010798B">
        <w:rPr>
          <w:color w:val="2B579A"/>
          <w:shd w:val="clear" w:color="auto" w:fill="E6E6E6"/>
        </w:rPr>
        <w:fldChar w:fldCharType="end"/>
      </w:r>
      <w:r w:rsidR="0010798B">
        <w:t xml:space="preserve"> </w:t>
      </w:r>
      <w:r>
        <w:t xml:space="preserve">and </w:t>
      </w:r>
      <w:r w:rsidR="00C51FEB">
        <w:fldChar w:fldCharType="begin"/>
      </w:r>
      <w:r w:rsidR="00C51FEB">
        <w:instrText xml:space="preserve"> REF _Ref121493853 \h </w:instrText>
      </w:r>
      <w:r w:rsidR="00C51FEB">
        <w:fldChar w:fldCharType="separate"/>
      </w:r>
      <w:r w:rsidR="00DE04FA">
        <w:t xml:space="preserve">Figure </w:t>
      </w:r>
      <w:r w:rsidR="00DE04FA">
        <w:rPr>
          <w:noProof/>
        </w:rPr>
        <w:t>23</w:t>
      </w:r>
      <w:r w:rsidR="00C51FEB">
        <w:fldChar w:fldCharType="end"/>
      </w:r>
      <w:r>
        <w:t>).</w:t>
      </w:r>
    </w:p>
    <w:p w14:paraId="7EA6A1FE" w14:textId="428E3F03" w:rsidR="008000E1" w:rsidRDefault="00C51FEB" w:rsidP="008000E1">
      <w:r>
        <w:rPr>
          <w:color w:val="2B579A"/>
          <w:shd w:val="clear" w:color="auto" w:fill="E6E6E6"/>
        </w:rPr>
        <w:fldChar w:fldCharType="begin"/>
      </w:r>
      <w:r>
        <w:rPr>
          <w:color w:val="2B579A"/>
          <w:shd w:val="clear" w:color="auto" w:fill="E6E6E6"/>
        </w:rPr>
        <w:instrText xml:space="preserve"> REF _Ref121493853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23</w:t>
      </w:r>
      <w:r>
        <w:rPr>
          <w:color w:val="2B579A"/>
          <w:shd w:val="clear" w:color="auto" w:fill="E6E6E6"/>
        </w:rPr>
        <w:fldChar w:fldCharType="end"/>
      </w:r>
      <w:r w:rsidR="008000E1">
        <w:t xml:space="preserve"> shows the results of the matching procedure using an example of average spend per month per participant. There is a clear parallel trend in the treated and the control group indicating that the matching procedure produced statistically similar groups to compare</w:t>
      </w:r>
      <w:r w:rsidR="0010798B">
        <w:t>.</w:t>
      </w:r>
    </w:p>
    <w:p w14:paraId="0FEFDFE8" w14:textId="6CAC0952" w:rsidR="00C51FEB" w:rsidRDefault="00C51FEB" w:rsidP="00631A78">
      <w:pPr>
        <w:pStyle w:val="Caption"/>
      </w:pPr>
      <w:bookmarkStart w:id="182" w:name="_Ref121493853"/>
      <w:r>
        <w:t xml:space="preserve">Figure </w:t>
      </w:r>
      <w:r>
        <w:fldChar w:fldCharType="begin"/>
      </w:r>
      <w:r>
        <w:instrText>SEQ Figure \* ARABIC</w:instrText>
      </w:r>
      <w:r>
        <w:fldChar w:fldCharType="separate"/>
      </w:r>
      <w:r w:rsidR="00DE04FA">
        <w:rPr>
          <w:noProof/>
        </w:rPr>
        <w:t>23</w:t>
      </w:r>
      <w:r>
        <w:fldChar w:fldCharType="end"/>
      </w:r>
      <w:bookmarkEnd w:id="182"/>
      <w:r>
        <w:t xml:space="preserve">: </w:t>
      </w:r>
      <w:r w:rsidRPr="00945182">
        <w:t>Average expenditure per participant per month of the control and treated groups</w:t>
      </w:r>
    </w:p>
    <w:p w14:paraId="26DFA5EF" w14:textId="6EE5D41B" w:rsidR="008000E1" w:rsidRPr="00D80ABC" w:rsidRDefault="00C036D8" w:rsidP="008000E1">
      <w:r>
        <w:rPr>
          <w:noProof/>
        </w:rPr>
        <w:drawing>
          <wp:inline distT="0" distB="0" distL="0" distR="0" wp14:anchorId="02070094" wp14:editId="38D3FCFD">
            <wp:extent cx="5486400" cy="3200400"/>
            <wp:effectExtent l="0" t="0" r="0" b="0"/>
            <wp:docPr id="16" name="Chart 16" descr="Figure 23 is a line graph showing the average expenditure per participant per month of the control (purple line) and treated groups (green line)."/>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CED7A9E" w14:textId="648368AA" w:rsidR="008000E1" w:rsidRDefault="00C51FEB" w:rsidP="008000E1">
      <w:r>
        <w:rPr>
          <w:color w:val="2B579A"/>
          <w:shd w:val="clear" w:color="auto" w:fill="E6E6E6"/>
        </w:rPr>
        <w:fldChar w:fldCharType="begin"/>
      </w:r>
      <w:r>
        <w:rPr>
          <w:color w:val="2B579A"/>
          <w:shd w:val="clear" w:color="auto" w:fill="E6E6E6"/>
        </w:rPr>
        <w:instrText xml:space="preserve"> REF _Ref121493853 \h </w:instrText>
      </w:r>
      <w:r>
        <w:rPr>
          <w:color w:val="2B579A"/>
          <w:shd w:val="clear" w:color="auto" w:fill="E6E6E6"/>
        </w:rPr>
      </w:r>
      <w:r>
        <w:rPr>
          <w:color w:val="2B579A"/>
          <w:shd w:val="clear" w:color="auto" w:fill="E6E6E6"/>
        </w:rPr>
        <w:fldChar w:fldCharType="separate"/>
      </w:r>
      <w:r w:rsidR="00DE04FA">
        <w:t xml:space="preserve">Figure </w:t>
      </w:r>
      <w:r w:rsidR="00DE04FA">
        <w:rPr>
          <w:noProof/>
        </w:rPr>
        <w:t>23</w:t>
      </w:r>
      <w:r>
        <w:rPr>
          <w:color w:val="2B579A"/>
          <w:shd w:val="clear" w:color="auto" w:fill="E6E6E6"/>
        </w:rPr>
        <w:fldChar w:fldCharType="end"/>
      </w:r>
      <w:r w:rsidR="008000E1">
        <w:t xml:space="preserve"> and the balance statistics reported in </w:t>
      </w:r>
      <w:r w:rsidR="0010798B">
        <w:rPr>
          <w:color w:val="2B579A"/>
          <w:shd w:val="clear" w:color="auto" w:fill="E6E6E6"/>
        </w:rPr>
        <w:fldChar w:fldCharType="begin"/>
      </w:r>
      <w:r w:rsidR="0010798B">
        <w:instrText xml:space="preserve"> REF _Ref120704906 \h </w:instrText>
      </w:r>
      <w:r w:rsidR="0010798B">
        <w:rPr>
          <w:color w:val="2B579A"/>
          <w:shd w:val="clear" w:color="auto" w:fill="E6E6E6"/>
        </w:rPr>
      </w:r>
      <w:r w:rsidR="0010798B">
        <w:rPr>
          <w:color w:val="2B579A"/>
          <w:shd w:val="clear" w:color="auto" w:fill="E6E6E6"/>
        </w:rPr>
        <w:fldChar w:fldCharType="separate"/>
      </w:r>
      <w:r w:rsidR="00DE04FA">
        <w:t xml:space="preserve">Table </w:t>
      </w:r>
      <w:r w:rsidR="00DE04FA">
        <w:rPr>
          <w:noProof/>
        </w:rPr>
        <w:t>10</w:t>
      </w:r>
      <w:r w:rsidR="0010798B">
        <w:rPr>
          <w:color w:val="2B579A"/>
          <w:shd w:val="clear" w:color="auto" w:fill="E6E6E6"/>
        </w:rPr>
        <w:fldChar w:fldCharType="end"/>
      </w:r>
      <w:r w:rsidR="0010798B">
        <w:t xml:space="preserve"> </w:t>
      </w:r>
      <w:r w:rsidR="008000E1">
        <w:t>(below) mean that we can be confident that there were no time-varying differences, and no time independent differences, between the treatment and control groups in the months prior to the market facilitation starting. The remaining small differences between the cohorts were accounted for in the DiD regression by including them as covariates.</w:t>
      </w:r>
    </w:p>
    <w:p w14:paraId="146BED56" w14:textId="1D20D882" w:rsidR="00373E47" w:rsidRDefault="00373E47" w:rsidP="008000E1">
      <w:r>
        <w:br w:type="page"/>
      </w:r>
    </w:p>
    <w:p w14:paraId="6D85F376" w14:textId="382792DF" w:rsidR="008000E1" w:rsidRDefault="008000E1" w:rsidP="008000E1">
      <w:pPr>
        <w:pStyle w:val="Caption"/>
      </w:pPr>
      <w:bookmarkStart w:id="183" w:name="_Ref120704906"/>
      <w:r>
        <w:lastRenderedPageBreak/>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10</w:t>
      </w:r>
      <w:r>
        <w:rPr>
          <w:color w:val="2B579A"/>
          <w:shd w:val="clear" w:color="auto" w:fill="E6E6E6"/>
        </w:rPr>
        <w:fldChar w:fldCharType="end"/>
      </w:r>
      <w:bookmarkEnd w:id="183"/>
      <w:r>
        <w:t>: Participant matching balance statistics</w:t>
      </w:r>
    </w:p>
    <w:tbl>
      <w:tblPr>
        <w:tblStyle w:val="LightShading-Accent4"/>
        <w:tblW w:w="886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Description w:val="This table provides detailed balanced statistics for the control groups and market faciliation group. "/>
      </w:tblPr>
      <w:tblGrid>
        <w:gridCol w:w="3922"/>
        <w:gridCol w:w="1308"/>
        <w:gridCol w:w="1890"/>
        <w:gridCol w:w="1745"/>
      </w:tblGrid>
      <w:tr w:rsidR="008000E1" w:rsidRPr="005260F1" w14:paraId="38017F4E" w14:textId="77777777">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6D9DDA5" w14:textId="77777777" w:rsidR="008000E1" w:rsidRPr="005260F1" w:rsidRDefault="008000E1">
            <w:pPr>
              <w:spacing w:before="20" w:after="2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Matching variable</w:t>
            </w:r>
          </w:p>
        </w:tc>
        <w:tc>
          <w:tcPr>
            <w:tcW w:w="1308" w:type="dxa"/>
            <w:noWrap/>
            <w:hideMark/>
          </w:tcPr>
          <w:p w14:paraId="2F18CC73" w14:textId="12C68F38" w:rsidR="008000E1" w:rsidRPr="005260F1" w:rsidRDefault="008000E1">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en-AU"/>
              </w:rPr>
            </w:pPr>
            <w:r w:rsidRPr="005260F1">
              <w:rPr>
                <w:rFonts w:asciiTheme="minorHAnsi" w:eastAsia="Times New Roman" w:hAnsiTheme="minorHAnsi" w:cstheme="minorHAnsi"/>
                <w:sz w:val="20"/>
                <w:szCs w:val="20"/>
                <w:lang w:eastAsia="en-AU"/>
              </w:rPr>
              <w:t>P</w:t>
            </w:r>
            <w:r>
              <w:rPr>
                <w:rFonts w:asciiTheme="minorHAnsi" w:eastAsia="Times New Roman" w:hAnsiTheme="minorHAnsi" w:cstheme="minorHAnsi"/>
                <w:sz w:val="20"/>
                <w:szCs w:val="20"/>
                <w:lang w:eastAsia="en-AU"/>
              </w:rPr>
              <w:t xml:space="preserve"> </w:t>
            </w:r>
            <w:r w:rsidRPr="005260F1">
              <w:rPr>
                <w:rFonts w:asciiTheme="minorHAnsi" w:eastAsia="Times New Roman" w:hAnsiTheme="minorHAnsi" w:cstheme="minorHAnsi"/>
                <w:sz w:val="20"/>
                <w:szCs w:val="20"/>
                <w:lang w:eastAsia="en-AU"/>
              </w:rPr>
              <w:t>Value</w:t>
            </w:r>
            <w:r w:rsidR="006D76E4">
              <w:rPr>
                <w:rStyle w:val="FootnoteReference"/>
                <w:rFonts w:asciiTheme="minorHAnsi" w:eastAsia="Times New Roman" w:hAnsiTheme="minorHAnsi" w:cstheme="minorHAnsi"/>
                <w:sz w:val="20"/>
                <w:szCs w:val="20"/>
                <w:lang w:eastAsia="en-AU"/>
              </w:rPr>
              <w:footnoteReference w:id="30"/>
            </w:r>
          </w:p>
        </w:tc>
        <w:tc>
          <w:tcPr>
            <w:tcW w:w="1890" w:type="dxa"/>
            <w:noWrap/>
            <w:hideMark/>
          </w:tcPr>
          <w:p w14:paraId="65681285" w14:textId="77777777" w:rsidR="008000E1" w:rsidRPr="005260F1" w:rsidRDefault="008000E1">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en-AU"/>
              </w:rPr>
            </w:pPr>
            <w:r w:rsidRPr="005260F1">
              <w:rPr>
                <w:rFonts w:asciiTheme="minorHAnsi" w:eastAsia="Times New Roman" w:hAnsiTheme="minorHAnsi" w:cstheme="minorHAnsi"/>
                <w:sz w:val="20"/>
                <w:szCs w:val="20"/>
                <w:lang w:eastAsia="en-AU"/>
              </w:rPr>
              <w:t>Mean</w:t>
            </w:r>
            <w:r>
              <w:rPr>
                <w:rFonts w:asciiTheme="minorHAnsi" w:eastAsia="Times New Roman" w:hAnsiTheme="minorHAnsi" w:cstheme="minorHAnsi"/>
                <w:sz w:val="20"/>
                <w:szCs w:val="20"/>
                <w:lang w:eastAsia="en-AU"/>
              </w:rPr>
              <w:t xml:space="preserve"> - </w:t>
            </w:r>
            <w:r w:rsidRPr="005260F1">
              <w:rPr>
                <w:rFonts w:asciiTheme="minorHAnsi" w:eastAsia="Times New Roman" w:hAnsiTheme="minorHAnsi" w:cstheme="minorHAnsi"/>
                <w:sz w:val="20"/>
                <w:szCs w:val="20"/>
                <w:lang w:eastAsia="en-AU"/>
              </w:rPr>
              <w:t>Control</w:t>
            </w:r>
            <w:r>
              <w:rPr>
                <w:rFonts w:asciiTheme="minorHAnsi" w:eastAsia="Times New Roman" w:hAnsiTheme="minorHAnsi" w:cstheme="minorHAnsi"/>
                <w:sz w:val="20"/>
                <w:szCs w:val="20"/>
                <w:lang w:eastAsia="en-AU"/>
              </w:rPr>
              <w:t xml:space="preserve"> group</w:t>
            </w:r>
          </w:p>
        </w:tc>
        <w:tc>
          <w:tcPr>
            <w:tcW w:w="1745" w:type="dxa"/>
            <w:noWrap/>
            <w:hideMark/>
          </w:tcPr>
          <w:p w14:paraId="649B61BD" w14:textId="77777777" w:rsidR="008000E1" w:rsidRPr="005260F1" w:rsidRDefault="008000E1">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eastAsia="en-AU"/>
              </w:rPr>
            </w:pPr>
            <w:r w:rsidRPr="005260F1">
              <w:rPr>
                <w:rFonts w:asciiTheme="minorHAnsi" w:eastAsia="Times New Roman" w:hAnsiTheme="minorHAnsi" w:cstheme="minorHAnsi"/>
                <w:sz w:val="20"/>
                <w:szCs w:val="20"/>
                <w:lang w:eastAsia="en-AU"/>
              </w:rPr>
              <w:t>Mean</w:t>
            </w:r>
            <w:r>
              <w:rPr>
                <w:rFonts w:asciiTheme="minorHAnsi" w:eastAsia="Times New Roman" w:hAnsiTheme="minorHAnsi" w:cstheme="minorHAnsi"/>
                <w:sz w:val="20"/>
                <w:szCs w:val="20"/>
                <w:lang w:eastAsia="en-AU"/>
              </w:rPr>
              <w:t xml:space="preserve"> – Market facilitation group</w:t>
            </w:r>
          </w:p>
        </w:tc>
      </w:tr>
      <w:tr w:rsidR="008000E1" w:rsidRPr="005260F1" w14:paraId="4162AE47"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2C7D9F8A"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Age</w:t>
            </w:r>
          </w:p>
        </w:tc>
        <w:tc>
          <w:tcPr>
            <w:tcW w:w="1308" w:type="dxa"/>
            <w:noWrap/>
            <w:hideMark/>
          </w:tcPr>
          <w:p w14:paraId="6A5E408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0.236</w:t>
            </w:r>
          </w:p>
        </w:tc>
        <w:tc>
          <w:tcPr>
            <w:tcW w:w="1890" w:type="dxa"/>
            <w:noWrap/>
            <w:hideMark/>
          </w:tcPr>
          <w:p w14:paraId="3CDF761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32</w:t>
            </w:r>
          </w:p>
        </w:tc>
        <w:tc>
          <w:tcPr>
            <w:tcW w:w="1745" w:type="dxa"/>
            <w:noWrap/>
            <w:hideMark/>
          </w:tcPr>
          <w:p w14:paraId="63C2C09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31</w:t>
            </w:r>
          </w:p>
        </w:tc>
      </w:tr>
      <w:tr w:rsidR="008000E1" w:rsidRPr="005260F1" w14:paraId="632F954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01C4C2B2"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Age when entered scheme</w:t>
            </w:r>
          </w:p>
        </w:tc>
        <w:tc>
          <w:tcPr>
            <w:tcW w:w="1308" w:type="dxa"/>
            <w:noWrap/>
          </w:tcPr>
          <w:p w14:paraId="746DE587"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0.952</w:t>
            </w:r>
          </w:p>
        </w:tc>
        <w:tc>
          <w:tcPr>
            <w:tcW w:w="1890" w:type="dxa"/>
            <w:noWrap/>
          </w:tcPr>
          <w:p w14:paraId="370B551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28</w:t>
            </w:r>
          </w:p>
        </w:tc>
        <w:tc>
          <w:tcPr>
            <w:tcW w:w="1745" w:type="dxa"/>
            <w:noWrap/>
          </w:tcPr>
          <w:p w14:paraId="48CC5D99"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28</w:t>
            </w:r>
          </w:p>
        </w:tc>
      </w:tr>
      <w:tr w:rsidR="008000E1" w:rsidRPr="005260F1" w14:paraId="15D2F5E9"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37F2880"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NDIS severity score</w:t>
            </w:r>
          </w:p>
        </w:tc>
        <w:tc>
          <w:tcPr>
            <w:tcW w:w="1308" w:type="dxa"/>
            <w:noWrap/>
            <w:hideMark/>
          </w:tcPr>
          <w:p w14:paraId="30419091"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w:t>
            </w:r>
            <w:r>
              <w:rPr>
                <w:rFonts w:asciiTheme="minorHAnsi" w:eastAsia="Times New Roman" w:hAnsiTheme="minorHAnsi" w:cstheme="minorHAnsi"/>
                <w:color w:val="000000"/>
                <w:sz w:val="20"/>
                <w:szCs w:val="20"/>
                <w:lang w:eastAsia="en-AU"/>
              </w:rPr>
              <w:t>.000</w:t>
            </w:r>
          </w:p>
        </w:tc>
        <w:tc>
          <w:tcPr>
            <w:tcW w:w="1890" w:type="dxa"/>
            <w:noWrap/>
            <w:hideMark/>
          </w:tcPr>
          <w:p w14:paraId="5E53CAE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7.8</w:t>
            </w:r>
          </w:p>
        </w:tc>
        <w:tc>
          <w:tcPr>
            <w:tcW w:w="1745" w:type="dxa"/>
            <w:noWrap/>
            <w:hideMark/>
          </w:tcPr>
          <w:p w14:paraId="4F9B59D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8.1</w:t>
            </w:r>
          </w:p>
        </w:tc>
      </w:tr>
      <w:tr w:rsidR="008000E1" w:rsidRPr="005260F1" w14:paraId="1965A489"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5930ACD5"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Vulnerable participant indicator</w:t>
            </w:r>
          </w:p>
        </w:tc>
        <w:tc>
          <w:tcPr>
            <w:tcW w:w="1308" w:type="dxa"/>
            <w:noWrap/>
            <w:hideMark/>
          </w:tcPr>
          <w:p w14:paraId="3B63424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69F2113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8.0%</w:t>
            </w:r>
          </w:p>
        </w:tc>
        <w:tc>
          <w:tcPr>
            <w:tcW w:w="1745" w:type="dxa"/>
            <w:noWrap/>
            <w:hideMark/>
          </w:tcPr>
          <w:p w14:paraId="068AE45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6.6%</w:t>
            </w:r>
          </w:p>
        </w:tc>
      </w:tr>
      <w:tr w:rsidR="008000E1" w:rsidRPr="005260F1" w14:paraId="500A99D0"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B65DC95"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Adjusted annualised budget</w:t>
            </w:r>
          </w:p>
        </w:tc>
        <w:tc>
          <w:tcPr>
            <w:tcW w:w="1308" w:type="dxa"/>
            <w:noWrap/>
            <w:hideMark/>
          </w:tcPr>
          <w:p w14:paraId="3DCC1E8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5ABC68E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$58,268</w:t>
            </w:r>
          </w:p>
        </w:tc>
        <w:tc>
          <w:tcPr>
            <w:tcW w:w="1745" w:type="dxa"/>
            <w:noWrap/>
            <w:hideMark/>
          </w:tcPr>
          <w:p w14:paraId="091043ED"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$65,099</w:t>
            </w:r>
          </w:p>
        </w:tc>
      </w:tr>
      <w:tr w:rsidR="008000E1" w:rsidRPr="005260F1" w14:paraId="5EAB1B22"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1BB9BA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Total funded budget amount</w:t>
            </w:r>
          </w:p>
        </w:tc>
        <w:tc>
          <w:tcPr>
            <w:tcW w:w="1308" w:type="dxa"/>
            <w:noWrap/>
            <w:hideMark/>
          </w:tcPr>
          <w:p w14:paraId="555010E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7BA4DAE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$67,599</w:t>
            </w:r>
          </w:p>
        </w:tc>
        <w:tc>
          <w:tcPr>
            <w:tcW w:w="1745" w:type="dxa"/>
            <w:noWrap/>
            <w:hideMark/>
          </w:tcPr>
          <w:p w14:paraId="7E6E0B0E"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$77,638</w:t>
            </w:r>
          </w:p>
        </w:tc>
      </w:tr>
      <w:tr w:rsidR="008000E1" w:rsidRPr="005260F1" w14:paraId="39B56F3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53CDBB7"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FY17</w:t>
            </w:r>
            <w:r>
              <w:rPr>
                <w:rFonts w:asciiTheme="minorHAnsi" w:eastAsia="Times New Roman" w:hAnsiTheme="minorHAnsi" w:cstheme="minorHAnsi"/>
                <w:b w:val="0"/>
                <w:bCs w:val="0"/>
                <w:color w:val="000000"/>
                <w:sz w:val="20"/>
                <w:szCs w:val="20"/>
                <w:lang w:eastAsia="en-AU"/>
              </w:rPr>
              <w:t>-</w:t>
            </w:r>
            <w:r w:rsidRPr="005260F1">
              <w:rPr>
                <w:rFonts w:asciiTheme="minorHAnsi" w:eastAsia="Times New Roman" w:hAnsiTheme="minorHAnsi" w:cstheme="minorHAnsi"/>
                <w:b w:val="0"/>
                <w:bCs w:val="0"/>
                <w:color w:val="000000"/>
                <w:sz w:val="20"/>
                <w:szCs w:val="20"/>
                <w:lang w:eastAsia="en-AU"/>
              </w:rPr>
              <w:t>18 committed support budget</w:t>
            </w:r>
          </w:p>
        </w:tc>
        <w:tc>
          <w:tcPr>
            <w:tcW w:w="1308" w:type="dxa"/>
            <w:noWrap/>
            <w:hideMark/>
          </w:tcPr>
          <w:p w14:paraId="6AC5D8B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4316D6A4"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$16,387</w:t>
            </w:r>
          </w:p>
        </w:tc>
        <w:tc>
          <w:tcPr>
            <w:tcW w:w="1745" w:type="dxa"/>
            <w:noWrap/>
            <w:hideMark/>
          </w:tcPr>
          <w:p w14:paraId="5E35316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$12,322</w:t>
            </w:r>
          </w:p>
        </w:tc>
      </w:tr>
      <w:tr w:rsidR="008000E1" w:rsidRPr="005260F1" w14:paraId="5D177E33"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077BA25"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FY18</w:t>
            </w:r>
            <w:r>
              <w:rPr>
                <w:rFonts w:asciiTheme="minorHAnsi" w:eastAsia="Times New Roman" w:hAnsiTheme="minorHAnsi" w:cstheme="minorHAnsi"/>
                <w:b w:val="0"/>
                <w:bCs w:val="0"/>
                <w:color w:val="000000"/>
                <w:sz w:val="20"/>
                <w:szCs w:val="20"/>
                <w:lang w:eastAsia="en-AU"/>
              </w:rPr>
              <w:t>-</w:t>
            </w:r>
            <w:r w:rsidRPr="005260F1">
              <w:rPr>
                <w:rFonts w:asciiTheme="minorHAnsi" w:eastAsia="Times New Roman" w:hAnsiTheme="minorHAnsi" w:cstheme="minorHAnsi"/>
                <w:b w:val="0"/>
                <w:bCs w:val="0"/>
                <w:color w:val="000000"/>
                <w:sz w:val="20"/>
                <w:szCs w:val="20"/>
                <w:lang w:eastAsia="en-AU"/>
              </w:rPr>
              <w:t>19 committed support budget</w:t>
            </w:r>
          </w:p>
        </w:tc>
        <w:tc>
          <w:tcPr>
            <w:tcW w:w="1308" w:type="dxa"/>
            <w:noWrap/>
            <w:hideMark/>
          </w:tcPr>
          <w:p w14:paraId="0C2CBCEA"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2B581B9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$31,670</w:t>
            </w:r>
          </w:p>
        </w:tc>
        <w:tc>
          <w:tcPr>
            <w:tcW w:w="1745" w:type="dxa"/>
            <w:noWrap/>
            <w:hideMark/>
          </w:tcPr>
          <w:p w14:paraId="6E26AF1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$35,793</w:t>
            </w:r>
          </w:p>
        </w:tc>
      </w:tr>
      <w:tr w:rsidR="008000E1" w:rsidRPr="005260F1" w14:paraId="6B351ED4"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9514A5C"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FY19</w:t>
            </w:r>
            <w:r>
              <w:rPr>
                <w:rFonts w:asciiTheme="minorHAnsi" w:eastAsia="Times New Roman" w:hAnsiTheme="minorHAnsi" w:cstheme="minorHAnsi"/>
                <w:b w:val="0"/>
                <w:bCs w:val="0"/>
                <w:color w:val="000000"/>
                <w:sz w:val="20"/>
                <w:szCs w:val="20"/>
                <w:lang w:eastAsia="en-AU"/>
              </w:rPr>
              <w:t>-</w:t>
            </w:r>
            <w:r w:rsidRPr="005260F1">
              <w:rPr>
                <w:rFonts w:asciiTheme="minorHAnsi" w:eastAsia="Times New Roman" w:hAnsiTheme="minorHAnsi" w:cstheme="minorHAnsi"/>
                <w:b w:val="0"/>
                <w:bCs w:val="0"/>
                <w:color w:val="000000"/>
                <w:sz w:val="20"/>
                <w:szCs w:val="20"/>
                <w:lang w:eastAsia="en-AU"/>
              </w:rPr>
              <w:t>20 committed support budget</w:t>
            </w:r>
          </w:p>
        </w:tc>
        <w:tc>
          <w:tcPr>
            <w:tcW w:w="1308" w:type="dxa"/>
            <w:noWrap/>
            <w:hideMark/>
          </w:tcPr>
          <w:p w14:paraId="6E9E917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543FB7E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$52,306</w:t>
            </w:r>
          </w:p>
        </w:tc>
        <w:tc>
          <w:tcPr>
            <w:tcW w:w="1745" w:type="dxa"/>
            <w:noWrap/>
            <w:hideMark/>
          </w:tcPr>
          <w:p w14:paraId="2B8011B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$64,222</w:t>
            </w:r>
          </w:p>
        </w:tc>
      </w:tr>
      <w:tr w:rsidR="008000E1" w:rsidRPr="005260F1" w14:paraId="2145E6DB"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FEC9A6E"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 self-managed plans</w:t>
            </w:r>
          </w:p>
        </w:tc>
        <w:tc>
          <w:tcPr>
            <w:tcW w:w="1308" w:type="dxa"/>
            <w:noWrap/>
            <w:hideMark/>
          </w:tcPr>
          <w:p w14:paraId="62ED720F"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0.001</w:t>
            </w:r>
          </w:p>
        </w:tc>
        <w:tc>
          <w:tcPr>
            <w:tcW w:w="1890" w:type="dxa"/>
            <w:noWrap/>
            <w:hideMark/>
          </w:tcPr>
          <w:p w14:paraId="4A3D8C4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21.4%</w:t>
            </w:r>
          </w:p>
        </w:tc>
        <w:tc>
          <w:tcPr>
            <w:tcW w:w="1745" w:type="dxa"/>
            <w:noWrap/>
            <w:hideMark/>
          </w:tcPr>
          <w:p w14:paraId="363B7009"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22.6%</w:t>
            </w:r>
          </w:p>
        </w:tc>
      </w:tr>
      <w:tr w:rsidR="008000E1" w:rsidRPr="005260F1" w14:paraId="1AD8D740"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11B63461"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 agency managed plans</w:t>
            </w:r>
          </w:p>
        </w:tc>
        <w:tc>
          <w:tcPr>
            <w:tcW w:w="1308" w:type="dxa"/>
            <w:noWrap/>
            <w:hideMark/>
          </w:tcPr>
          <w:p w14:paraId="1604386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3AF4354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86.9%</w:t>
            </w:r>
          </w:p>
        </w:tc>
        <w:tc>
          <w:tcPr>
            <w:tcW w:w="1745" w:type="dxa"/>
            <w:noWrap/>
            <w:hideMark/>
          </w:tcPr>
          <w:p w14:paraId="45AD0D02"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83.9%</w:t>
            </w:r>
          </w:p>
        </w:tc>
      </w:tr>
      <w:tr w:rsidR="008000E1" w:rsidRPr="005260F1" w14:paraId="5D8867A0"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BC67DB5"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 management managed plans</w:t>
            </w:r>
          </w:p>
        </w:tc>
        <w:tc>
          <w:tcPr>
            <w:tcW w:w="1308" w:type="dxa"/>
            <w:noWrap/>
            <w:hideMark/>
          </w:tcPr>
          <w:p w14:paraId="58D138D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1A1095">
              <w:rPr>
                <w:rFonts w:asciiTheme="minorHAnsi" w:eastAsia="Times New Roman" w:hAnsiTheme="minorHAnsi" w:cstheme="minorHAnsi"/>
                <w:color w:val="000000"/>
                <w:sz w:val="20"/>
                <w:szCs w:val="20"/>
                <w:lang w:eastAsia="en-AU"/>
              </w:rPr>
              <w:t>0.000</w:t>
            </w:r>
          </w:p>
        </w:tc>
        <w:tc>
          <w:tcPr>
            <w:tcW w:w="1890" w:type="dxa"/>
            <w:noWrap/>
            <w:hideMark/>
          </w:tcPr>
          <w:p w14:paraId="6D7F1AE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53.7%</w:t>
            </w:r>
          </w:p>
        </w:tc>
        <w:tc>
          <w:tcPr>
            <w:tcW w:w="1745" w:type="dxa"/>
            <w:noWrap/>
            <w:hideMark/>
          </w:tcPr>
          <w:p w14:paraId="4038C91E"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61.0%</w:t>
            </w:r>
          </w:p>
        </w:tc>
      </w:tr>
      <w:tr w:rsidR="008000E1" w:rsidRPr="005260F1" w14:paraId="21A208A1"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54FC5C43"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Historical number of plans</w:t>
            </w:r>
          </w:p>
        </w:tc>
        <w:tc>
          <w:tcPr>
            <w:tcW w:w="1308" w:type="dxa"/>
            <w:noWrap/>
          </w:tcPr>
          <w:p w14:paraId="706C48D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0.688</w:t>
            </w:r>
          </w:p>
        </w:tc>
        <w:tc>
          <w:tcPr>
            <w:tcW w:w="1890" w:type="dxa"/>
            <w:noWrap/>
          </w:tcPr>
          <w:p w14:paraId="0533131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4.77</w:t>
            </w:r>
          </w:p>
        </w:tc>
        <w:tc>
          <w:tcPr>
            <w:tcW w:w="1745" w:type="dxa"/>
            <w:noWrap/>
          </w:tcPr>
          <w:p w14:paraId="136EEDB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4.50</w:t>
            </w:r>
          </w:p>
        </w:tc>
      </w:tr>
      <w:tr w:rsidR="008000E1" w:rsidRPr="005260F1" w14:paraId="2440E90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031D417"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Total claims</w:t>
            </w:r>
            <w:r>
              <w:rPr>
                <w:rFonts w:asciiTheme="minorHAnsi" w:eastAsia="Times New Roman" w:hAnsiTheme="minorHAnsi" w:cstheme="minorHAnsi"/>
                <w:b w:val="0"/>
                <w:bCs w:val="0"/>
                <w:color w:val="000000"/>
                <w:sz w:val="20"/>
                <w:szCs w:val="20"/>
                <w:lang w:eastAsia="en-AU"/>
              </w:rPr>
              <w:t xml:space="preserve"> - 12 months prior</w:t>
            </w:r>
          </w:p>
        </w:tc>
        <w:tc>
          <w:tcPr>
            <w:tcW w:w="1308" w:type="dxa"/>
            <w:noWrap/>
            <w:hideMark/>
          </w:tcPr>
          <w:p w14:paraId="72A25AC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0.002</w:t>
            </w:r>
          </w:p>
        </w:tc>
        <w:tc>
          <w:tcPr>
            <w:tcW w:w="1890" w:type="dxa"/>
            <w:noWrap/>
            <w:hideMark/>
          </w:tcPr>
          <w:p w14:paraId="5980AD9A"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$141,622</w:t>
            </w:r>
          </w:p>
        </w:tc>
        <w:tc>
          <w:tcPr>
            <w:tcW w:w="1745" w:type="dxa"/>
            <w:noWrap/>
            <w:hideMark/>
          </w:tcPr>
          <w:p w14:paraId="3890C0CA"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$109,490</w:t>
            </w:r>
          </w:p>
        </w:tc>
      </w:tr>
      <w:tr w:rsidR="008000E1" w:rsidRPr="005260F1" w14:paraId="4F6AB584"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938EE6F"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Average total claim per month</w:t>
            </w:r>
            <w:r>
              <w:rPr>
                <w:rFonts w:asciiTheme="minorHAnsi" w:eastAsia="Times New Roman" w:hAnsiTheme="minorHAnsi" w:cstheme="minorHAnsi"/>
                <w:b w:val="0"/>
                <w:bCs w:val="0"/>
                <w:color w:val="000000"/>
                <w:sz w:val="20"/>
                <w:szCs w:val="20"/>
                <w:lang w:eastAsia="en-AU"/>
              </w:rPr>
              <w:t xml:space="preserve"> - 12 months prior</w:t>
            </w:r>
          </w:p>
        </w:tc>
        <w:tc>
          <w:tcPr>
            <w:tcW w:w="1308" w:type="dxa"/>
            <w:noWrap/>
            <w:hideMark/>
          </w:tcPr>
          <w:p w14:paraId="4820154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0.516</w:t>
            </w:r>
          </w:p>
        </w:tc>
        <w:tc>
          <w:tcPr>
            <w:tcW w:w="1890" w:type="dxa"/>
            <w:noWrap/>
            <w:hideMark/>
          </w:tcPr>
          <w:p w14:paraId="11DE2A47"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$11,292</w:t>
            </w:r>
          </w:p>
        </w:tc>
        <w:tc>
          <w:tcPr>
            <w:tcW w:w="1745" w:type="dxa"/>
            <w:noWrap/>
            <w:hideMark/>
          </w:tcPr>
          <w:p w14:paraId="1308B09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$11,836</w:t>
            </w:r>
          </w:p>
        </w:tc>
      </w:tr>
      <w:tr w:rsidR="008000E1" w:rsidRPr="005260F1" w14:paraId="27463FD7"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BC2790C"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Number of claims made</w:t>
            </w:r>
            <w:r>
              <w:rPr>
                <w:rFonts w:asciiTheme="minorHAnsi" w:eastAsia="Times New Roman" w:hAnsiTheme="minorHAnsi" w:cstheme="minorHAnsi"/>
                <w:b w:val="0"/>
                <w:bCs w:val="0"/>
                <w:color w:val="000000"/>
                <w:sz w:val="20"/>
                <w:szCs w:val="20"/>
                <w:lang w:eastAsia="en-AU"/>
              </w:rPr>
              <w:t xml:space="preserve"> - 12 months prior</w:t>
            </w:r>
          </w:p>
        </w:tc>
        <w:tc>
          <w:tcPr>
            <w:tcW w:w="1308" w:type="dxa"/>
            <w:noWrap/>
            <w:hideMark/>
          </w:tcPr>
          <w:p w14:paraId="7EAA910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0.776</w:t>
            </w:r>
          </w:p>
        </w:tc>
        <w:tc>
          <w:tcPr>
            <w:tcW w:w="1890" w:type="dxa"/>
            <w:noWrap/>
            <w:hideMark/>
          </w:tcPr>
          <w:p w14:paraId="7089D6C9"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110</w:t>
            </w:r>
          </w:p>
        </w:tc>
        <w:tc>
          <w:tcPr>
            <w:tcW w:w="1745" w:type="dxa"/>
            <w:noWrap/>
            <w:hideMark/>
          </w:tcPr>
          <w:p w14:paraId="7301CDEF"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110</w:t>
            </w:r>
          </w:p>
        </w:tc>
      </w:tr>
      <w:tr w:rsidR="008000E1" w:rsidRPr="005260F1" w14:paraId="7FDAED9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D0BD1E1"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Number of providers used</w:t>
            </w:r>
            <w:r>
              <w:rPr>
                <w:rFonts w:asciiTheme="minorHAnsi" w:eastAsia="Times New Roman" w:hAnsiTheme="minorHAnsi" w:cstheme="minorHAnsi"/>
                <w:b w:val="0"/>
                <w:bCs w:val="0"/>
                <w:color w:val="000000"/>
                <w:sz w:val="20"/>
                <w:szCs w:val="20"/>
                <w:lang w:eastAsia="en-AU"/>
              </w:rPr>
              <w:t xml:space="preserve"> - 12 months prior</w:t>
            </w:r>
          </w:p>
        </w:tc>
        <w:tc>
          <w:tcPr>
            <w:tcW w:w="1308" w:type="dxa"/>
            <w:noWrap/>
            <w:hideMark/>
          </w:tcPr>
          <w:p w14:paraId="597F761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0.579</w:t>
            </w:r>
          </w:p>
        </w:tc>
        <w:tc>
          <w:tcPr>
            <w:tcW w:w="1890" w:type="dxa"/>
            <w:noWrap/>
            <w:hideMark/>
          </w:tcPr>
          <w:p w14:paraId="09E2F40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w:t>
            </w:r>
          </w:p>
        </w:tc>
        <w:tc>
          <w:tcPr>
            <w:tcW w:w="1745" w:type="dxa"/>
            <w:noWrap/>
            <w:hideMark/>
          </w:tcPr>
          <w:p w14:paraId="62B9756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w:t>
            </w:r>
          </w:p>
        </w:tc>
      </w:tr>
      <w:tr w:rsidR="008000E1" w:rsidRPr="005260F1" w14:paraId="7D117C37"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CD920D5"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Number of plans/reviews</w:t>
            </w:r>
            <w:r>
              <w:rPr>
                <w:rFonts w:asciiTheme="minorHAnsi" w:eastAsia="Times New Roman" w:hAnsiTheme="minorHAnsi" w:cstheme="minorHAnsi"/>
                <w:b w:val="0"/>
                <w:bCs w:val="0"/>
                <w:color w:val="000000"/>
                <w:sz w:val="20"/>
                <w:szCs w:val="20"/>
                <w:lang w:eastAsia="en-AU"/>
              </w:rPr>
              <w:t xml:space="preserve"> - 12 months prior</w:t>
            </w:r>
          </w:p>
        </w:tc>
        <w:tc>
          <w:tcPr>
            <w:tcW w:w="1308" w:type="dxa"/>
            <w:noWrap/>
            <w:hideMark/>
          </w:tcPr>
          <w:p w14:paraId="00CD4BBF"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0.666</w:t>
            </w:r>
          </w:p>
        </w:tc>
        <w:tc>
          <w:tcPr>
            <w:tcW w:w="1890" w:type="dxa"/>
            <w:noWrap/>
            <w:hideMark/>
          </w:tcPr>
          <w:p w14:paraId="5EDF92F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w:t>
            </w:r>
          </w:p>
        </w:tc>
        <w:tc>
          <w:tcPr>
            <w:tcW w:w="1745" w:type="dxa"/>
            <w:noWrap/>
            <w:hideMark/>
          </w:tcPr>
          <w:p w14:paraId="4216BB05"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w:t>
            </w:r>
          </w:p>
        </w:tc>
      </w:tr>
      <w:tr w:rsidR="008000E1" w:rsidRPr="005260F1" w14:paraId="1ED37612"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22D73C2C"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First Nations - </w:t>
            </w:r>
            <w:r w:rsidRPr="005260F1">
              <w:rPr>
                <w:rFonts w:asciiTheme="minorHAnsi" w:eastAsia="Times New Roman" w:hAnsiTheme="minorHAnsi" w:cstheme="minorHAnsi"/>
                <w:b w:val="0"/>
                <w:bCs w:val="0"/>
                <w:color w:val="000000"/>
                <w:sz w:val="20"/>
                <w:szCs w:val="20"/>
                <w:lang w:eastAsia="en-AU"/>
              </w:rPr>
              <w:t>No</w:t>
            </w:r>
          </w:p>
        </w:tc>
        <w:tc>
          <w:tcPr>
            <w:tcW w:w="1308" w:type="dxa"/>
            <w:noWrap/>
            <w:hideMark/>
          </w:tcPr>
          <w:p w14:paraId="362C36E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5944253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70.4%</w:t>
            </w:r>
          </w:p>
        </w:tc>
        <w:tc>
          <w:tcPr>
            <w:tcW w:w="1745" w:type="dxa"/>
            <w:noWrap/>
            <w:hideMark/>
          </w:tcPr>
          <w:p w14:paraId="2654D09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68.3%</w:t>
            </w:r>
          </w:p>
        </w:tc>
      </w:tr>
      <w:tr w:rsidR="008000E1" w:rsidRPr="005260F1" w14:paraId="1E0018B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1654703"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First Nations - </w:t>
            </w:r>
            <w:r w:rsidRPr="005260F1">
              <w:rPr>
                <w:rFonts w:asciiTheme="minorHAnsi" w:eastAsia="Times New Roman" w:hAnsiTheme="minorHAnsi" w:cstheme="minorHAnsi"/>
                <w:b w:val="0"/>
                <w:bCs w:val="0"/>
                <w:color w:val="000000"/>
                <w:sz w:val="20"/>
                <w:szCs w:val="20"/>
                <w:lang w:eastAsia="en-AU"/>
              </w:rPr>
              <w:t>Not stated</w:t>
            </w:r>
          </w:p>
        </w:tc>
        <w:tc>
          <w:tcPr>
            <w:tcW w:w="1308" w:type="dxa"/>
            <w:noWrap/>
            <w:hideMark/>
          </w:tcPr>
          <w:p w14:paraId="156219F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6F8A73A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15.0%</w:t>
            </w:r>
          </w:p>
        </w:tc>
        <w:tc>
          <w:tcPr>
            <w:tcW w:w="1745" w:type="dxa"/>
            <w:noWrap/>
            <w:hideMark/>
          </w:tcPr>
          <w:p w14:paraId="2D8337CA"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15.2%</w:t>
            </w:r>
          </w:p>
        </w:tc>
      </w:tr>
      <w:tr w:rsidR="008000E1" w:rsidRPr="005260F1" w14:paraId="5A76DDA5"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4C150F8"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First Nations - </w:t>
            </w:r>
            <w:r w:rsidRPr="005260F1">
              <w:rPr>
                <w:rFonts w:asciiTheme="minorHAnsi" w:eastAsia="Times New Roman" w:hAnsiTheme="minorHAnsi" w:cstheme="minorHAnsi"/>
                <w:b w:val="0"/>
                <w:bCs w:val="0"/>
                <w:color w:val="000000"/>
                <w:sz w:val="20"/>
                <w:szCs w:val="20"/>
                <w:lang w:eastAsia="en-AU"/>
              </w:rPr>
              <w:t>Yes</w:t>
            </w:r>
          </w:p>
        </w:tc>
        <w:tc>
          <w:tcPr>
            <w:tcW w:w="1308" w:type="dxa"/>
            <w:noWrap/>
            <w:hideMark/>
          </w:tcPr>
          <w:p w14:paraId="074BF2D1"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7AF02A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14.6%</w:t>
            </w:r>
          </w:p>
        </w:tc>
        <w:tc>
          <w:tcPr>
            <w:tcW w:w="1745" w:type="dxa"/>
            <w:noWrap/>
            <w:hideMark/>
          </w:tcPr>
          <w:p w14:paraId="6005D2D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16.5%</w:t>
            </w:r>
          </w:p>
        </w:tc>
      </w:tr>
      <w:tr w:rsidR="008000E1" w:rsidRPr="005260F1" w14:paraId="0467333F"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1D21E4BA"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CALD - </w:t>
            </w:r>
            <w:r w:rsidRPr="005260F1">
              <w:rPr>
                <w:rFonts w:asciiTheme="minorHAnsi" w:eastAsia="Times New Roman" w:hAnsiTheme="minorHAnsi" w:cstheme="minorHAnsi"/>
                <w:b w:val="0"/>
                <w:bCs w:val="0"/>
                <w:color w:val="000000"/>
                <w:sz w:val="20"/>
                <w:szCs w:val="20"/>
                <w:lang w:eastAsia="en-AU"/>
              </w:rPr>
              <w:t>No</w:t>
            </w:r>
          </w:p>
        </w:tc>
        <w:tc>
          <w:tcPr>
            <w:tcW w:w="1308" w:type="dxa"/>
            <w:noWrap/>
            <w:hideMark/>
          </w:tcPr>
          <w:p w14:paraId="3850689F"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FCA665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93.3%</w:t>
            </w:r>
          </w:p>
        </w:tc>
        <w:tc>
          <w:tcPr>
            <w:tcW w:w="1745" w:type="dxa"/>
            <w:noWrap/>
            <w:hideMark/>
          </w:tcPr>
          <w:p w14:paraId="12C4010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92.6%</w:t>
            </w:r>
          </w:p>
        </w:tc>
      </w:tr>
      <w:tr w:rsidR="008000E1" w:rsidRPr="005260F1" w14:paraId="0725128B"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625ADF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CALD - </w:t>
            </w:r>
            <w:r w:rsidRPr="005260F1">
              <w:rPr>
                <w:rFonts w:asciiTheme="minorHAnsi" w:eastAsia="Times New Roman" w:hAnsiTheme="minorHAnsi" w:cstheme="minorHAnsi"/>
                <w:b w:val="0"/>
                <w:bCs w:val="0"/>
                <w:color w:val="000000"/>
                <w:sz w:val="20"/>
                <w:szCs w:val="20"/>
                <w:lang w:eastAsia="en-AU"/>
              </w:rPr>
              <w:t>Not stated</w:t>
            </w:r>
          </w:p>
        </w:tc>
        <w:tc>
          <w:tcPr>
            <w:tcW w:w="1308" w:type="dxa"/>
            <w:noWrap/>
            <w:hideMark/>
          </w:tcPr>
          <w:p w14:paraId="6E907BE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37EF3C11"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1.6%</w:t>
            </w:r>
          </w:p>
        </w:tc>
        <w:tc>
          <w:tcPr>
            <w:tcW w:w="1745" w:type="dxa"/>
            <w:noWrap/>
            <w:hideMark/>
          </w:tcPr>
          <w:p w14:paraId="6FE0338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0.5%</w:t>
            </w:r>
          </w:p>
        </w:tc>
      </w:tr>
      <w:tr w:rsidR="008000E1" w:rsidRPr="005260F1" w14:paraId="184FDC77"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4450BFB"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CALD - </w:t>
            </w:r>
            <w:r w:rsidRPr="005260F1">
              <w:rPr>
                <w:rFonts w:asciiTheme="minorHAnsi" w:eastAsia="Times New Roman" w:hAnsiTheme="minorHAnsi" w:cstheme="minorHAnsi"/>
                <w:b w:val="0"/>
                <w:bCs w:val="0"/>
                <w:color w:val="000000"/>
                <w:sz w:val="20"/>
                <w:szCs w:val="20"/>
                <w:lang w:eastAsia="en-AU"/>
              </w:rPr>
              <w:t>Yes</w:t>
            </w:r>
          </w:p>
        </w:tc>
        <w:tc>
          <w:tcPr>
            <w:tcW w:w="1308" w:type="dxa"/>
            <w:noWrap/>
            <w:hideMark/>
          </w:tcPr>
          <w:p w14:paraId="57E95979"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2E1A672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5.2%</w:t>
            </w:r>
          </w:p>
        </w:tc>
        <w:tc>
          <w:tcPr>
            <w:tcW w:w="1745" w:type="dxa"/>
            <w:noWrap/>
            <w:hideMark/>
          </w:tcPr>
          <w:p w14:paraId="45F30D3E"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6.9%</w:t>
            </w:r>
          </w:p>
        </w:tc>
      </w:tr>
      <w:tr w:rsidR="008000E1" w:rsidRPr="005260F1" w14:paraId="33470D3A"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AC98C02"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Female</w:t>
            </w:r>
          </w:p>
        </w:tc>
        <w:tc>
          <w:tcPr>
            <w:tcW w:w="1308" w:type="dxa"/>
            <w:noWrap/>
            <w:hideMark/>
          </w:tcPr>
          <w:p w14:paraId="310D0D3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5CC073F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38.1%</w:t>
            </w:r>
          </w:p>
        </w:tc>
        <w:tc>
          <w:tcPr>
            <w:tcW w:w="1745" w:type="dxa"/>
            <w:noWrap/>
            <w:hideMark/>
          </w:tcPr>
          <w:p w14:paraId="5E2E5A32"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40.1%</w:t>
            </w:r>
          </w:p>
        </w:tc>
      </w:tr>
      <w:tr w:rsidR="008000E1" w:rsidRPr="005260F1" w14:paraId="385430E8"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7D33479"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sidRPr="005260F1">
              <w:rPr>
                <w:rFonts w:asciiTheme="minorHAnsi" w:eastAsia="Times New Roman" w:hAnsiTheme="minorHAnsi" w:cstheme="minorHAnsi"/>
                <w:b w:val="0"/>
                <w:bCs w:val="0"/>
                <w:color w:val="000000"/>
                <w:sz w:val="20"/>
                <w:szCs w:val="20"/>
                <w:lang w:eastAsia="en-AU"/>
              </w:rPr>
              <w:t>Male</w:t>
            </w:r>
          </w:p>
        </w:tc>
        <w:tc>
          <w:tcPr>
            <w:tcW w:w="1308" w:type="dxa"/>
            <w:noWrap/>
            <w:hideMark/>
          </w:tcPr>
          <w:p w14:paraId="0C90EDF6"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2F05AE57"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61.0%</w:t>
            </w:r>
          </w:p>
        </w:tc>
        <w:tc>
          <w:tcPr>
            <w:tcW w:w="1745" w:type="dxa"/>
            <w:noWrap/>
            <w:hideMark/>
          </w:tcPr>
          <w:p w14:paraId="07FE0D6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59.0%</w:t>
            </w:r>
          </w:p>
        </w:tc>
      </w:tr>
      <w:tr w:rsidR="008000E1" w:rsidRPr="005260F1" w14:paraId="107D4B84"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10E518F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Gender u</w:t>
            </w:r>
            <w:r w:rsidRPr="005260F1">
              <w:rPr>
                <w:rFonts w:asciiTheme="minorHAnsi" w:eastAsia="Times New Roman" w:hAnsiTheme="minorHAnsi" w:cstheme="minorHAnsi"/>
                <w:b w:val="0"/>
                <w:bCs w:val="0"/>
                <w:color w:val="000000"/>
                <w:sz w:val="20"/>
                <w:szCs w:val="20"/>
                <w:lang w:eastAsia="en-AU"/>
              </w:rPr>
              <w:t>ndisclosed</w:t>
            </w:r>
          </w:p>
        </w:tc>
        <w:tc>
          <w:tcPr>
            <w:tcW w:w="1308" w:type="dxa"/>
            <w:noWrap/>
            <w:hideMark/>
          </w:tcPr>
          <w:p w14:paraId="3FFC5A2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4F1C805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0.9%</w:t>
            </w:r>
          </w:p>
        </w:tc>
        <w:tc>
          <w:tcPr>
            <w:tcW w:w="1745" w:type="dxa"/>
            <w:noWrap/>
            <w:hideMark/>
          </w:tcPr>
          <w:p w14:paraId="1375279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0.9%</w:t>
            </w:r>
          </w:p>
        </w:tc>
      </w:tr>
      <w:tr w:rsidR="008000E1" w:rsidRPr="005260F1" w14:paraId="576C72BF"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31C6B124"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0 to 6</w:t>
            </w:r>
          </w:p>
        </w:tc>
        <w:tc>
          <w:tcPr>
            <w:tcW w:w="1308" w:type="dxa"/>
            <w:noWrap/>
          </w:tcPr>
          <w:p w14:paraId="2E866FA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7676D8C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5.1%</w:t>
            </w:r>
          </w:p>
        </w:tc>
        <w:tc>
          <w:tcPr>
            <w:tcW w:w="1745" w:type="dxa"/>
            <w:noWrap/>
          </w:tcPr>
          <w:p w14:paraId="4867F69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5.2%</w:t>
            </w:r>
          </w:p>
        </w:tc>
      </w:tr>
      <w:tr w:rsidR="008000E1" w:rsidRPr="005260F1" w14:paraId="5DE20B5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767AEC70"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7 to 14</w:t>
            </w:r>
          </w:p>
        </w:tc>
        <w:tc>
          <w:tcPr>
            <w:tcW w:w="1308" w:type="dxa"/>
            <w:noWrap/>
          </w:tcPr>
          <w:p w14:paraId="64CD89D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3C2DA80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25.5%</w:t>
            </w:r>
          </w:p>
        </w:tc>
        <w:tc>
          <w:tcPr>
            <w:tcW w:w="1745" w:type="dxa"/>
            <w:noWrap/>
          </w:tcPr>
          <w:p w14:paraId="3E94648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25.2%</w:t>
            </w:r>
          </w:p>
        </w:tc>
      </w:tr>
      <w:tr w:rsidR="008000E1" w:rsidRPr="005260F1" w14:paraId="1DB2A366"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43D95F65"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15 to 18</w:t>
            </w:r>
          </w:p>
        </w:tc>
        <w:tc>
          <w:tcPr>
            <w:tcW w:w="1308" w:type="dxa"/>
            <w:noWrap/>
          </w:tcPr>
          <w:p w14:paraId="052D834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3E120F9D"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8.6%</w:t>
            </w:r>
          </w:p>
        </w:tc>
        <w:tc>
          <w:tcPr>
            <w:tcW w:w="1745" w:type="dxa"/>
            <w:noWrap/>
          </w:tcPr>
          <w:p w14:paraId="55EDC53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6.8%</w:t>
            </w:r>
          </w:p>
        </w:tc>
      </w:tr>
      <w:tr w:rsidR="008000E1" w:rsidRPr="005260F1" w14:paraId="23B27AB8"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6933352D"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19 to 24</w:t>
            </w:r>
          </w:p>
        </w:tc>
        <w:tc>
          <w:tcPr>
            <w:tcW w:w="1308" w:type="dxa"/>
            <w:noWrap/>
          </w:tcPr>
          <w:p w14:paraId="6C8BF73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5098844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8.9%</w:t>
            </w:r>
          </w:p>
        </w:tc>
        <w:tc>
          <w:tcPr>
            <w:tcW w:w="1745" w:type="dxa"/>
            <w:noWrap/>
          </w:tcPr>
          <w:p w14:paraId="061661C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8.4%</w:t>
            </w:r>
          </w:p>
        </w:tc>
      </w:tr>
      <w:tr w:rsidR="008000E1" w:rsidRPr="005260F1" w14:paraId="278790B3"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111AB3BF"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lastRenderedPageBreak/>
              <w:t xml:space="preserve">Age - </w:t>
            </w:r>
            <w:r w:rsidRPr="005260F1">
              <w:rPr>
                <w:rFonts w:asciiTheme="minorHAnsi" w:hAnsiTheme="minorHAnsi" w:cstheme="minorHAnsi"/>
                <w:b w:val="0"/>
                <w:bCs w:val="0"/>
                <w:color w:val="000000"/>
                <w:sz w:val="20"/>
                <w:szCs w:val="20"/>
              </w:rPr>
              <w:t>25 to 34</w:t>
            </w:r>
          </w:p>
        </w:tc>
        <w:tc>
          <w:tcPr>
            <w:tcW w:w="1308" w:type="dxa"/>
            <w:noWrap/>
          </w:tcPr>
          <w:p w14:paraId="486E642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4E04133D"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9.1%</w:t>
            </w:r>
          </w:p>
        </w:tc>
        <w:tc>
          <w:tcPr>
            <w:tcW w:w="1745" w:type="dxa"/>
            <w:noWrap/>
          </w:tcPr>
          <w:p w14:paraId="0D62EF6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11.5%</w:t>
            </w:r>
          </w:p>
        </w:tc>
      </w:tr>
      <w:tr w:rsidR="008000E1" w:rsidRPr="005260F1" w14:paraId="21CFBAB8"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16C6D8AE"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35 to 44</w:t>
            </w:r>
          </w:p>
        </w:tc>
        <w:tc>
          <w:tcPr>
            <w:tcW w:w="1308" w:type="dxa"/>
            <w:noWrap/>
          </w:tcPr>
          <w:p w14:paraId="657340C8"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118933F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8.8%</w:t>
            </w:r>
          </w:p>
        </w:tc>
        <w:tc>
          <w:tcPr>
            <w:tcW w:w="1745" w:type="dxa"/>
            <w:noWrap/>
          </w:tcPr>
          <w:p w14:paraId="579C4A0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9.7%</w:t>
            </w:r>
          </w:p>
        </w:tc>
      </w:tr>
      <w:tr w:rsidR="008000E1" w:rsidRPr="005260F1" w14:paraId="3DC2D374"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393ADAB8"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45 to 54</w:t>
            </w:r>
          </w:p>
        </w:tc>
        <w:tc>
          <w:tcPr>
            <w:tcW w:w="1308" w:type="dxa"/>
            <w:noWrap/>
          </w:tcPr>
          <w:p w14:paraId="21E58F5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7EB82BC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11.0%</w:t>
            </w:r>
          </w:p>
        </w:tc>
        <w:tc>
          <w:tcPr>
            <w:tcW w:w="1745" w:type="dxa"/>
            <w:noWrap/>
          </w:tcPr>
          <w:p w14:paraId="7A738BB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12.1%</w:t>
            </w:r>
          </w:p>
        </w:tc>
      </w:tr>
      <w:tr w:rsidR="008000E1" w:rsidRPr="005260F1" w14:paraId="39F7DF14"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7636CDFF"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55 to 64</w:t>
            </w:r>
          </w:p>
        </w:tc>
        <w:tc>
          <w:tcPr>
            <w:tcW w:w="1308" w:type="dxa"/>
            <w:noWrap/>
          </w:tcPr>
          <w:p w14:paraId="2F89AD11"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4FC141B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15.2%</w:t>
            </w:r>
          </w:p>
        </w:tc>
        <w:tc>
          <w:tcPr>
            <w:tcW w:w="1745" w:type="dxa"/>
            <w:noWrap/>
          </w:tcPr>
          <w:p w14:paraId="4402C978"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15.3%</w:t>
            </w:r>
          </w:p>
        </w:tc>
      </w:tr>
      <w:tr w:rsidR="008000E1" w:rsidRPr="005260F1" w14:paraId="29B74FDC"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7535DDFA"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Age - </w:t>
            </w:r>
            <w:r w:rsidRPr="005260F1">
              <w:rPr>
                <w:rFonts w:asciiTheme="minorHAnsi" w:hAnsiTheme="minorHAnsi" w:cstheme="minorHAnsi"/>
                <w:b w:val="0"/>
                <w:bCs w:val="0"/>
                <w:color w:val="000000"/>
                <w:sz w:val="20"/>
                <w:szCs w:val="20"/>
              </w:rPr>
              <w:t>65+</w:t>
            </w:r>
          </w:p>
        </w:tc>
        <w:tc>
          <w:tcPr>
            <w:tcW w:w="1308" w:type="dxa"/>
            <w:noWrap/>
          </w:tcPr>
          <w:p w14:paraId="2E91A64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24A3A46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7.8%</w:t>
            </w:r>
          </w:p>
        </w:tc>
        <w:tc>
          <w:tcPr>
            <w:tcW w:w="1745" w:type="dxa"/>
            <w:noWrap/>
          </w:tcPr>
          <w:p w14:paraId="34E7551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5.7%</w:t>
            </w:r>
          </w:p>
        </w:tc>
      </w:tr>
      <w:tr w:rsidR="008000E1" w:rsidRPr="005260F1" w14:paraId="2A50E48F"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787F66D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Acquired brain injury</w:t>
            </w:r>
          </w:p>
        </w:tc>
        <w:tc>
          <w:tcPr>
            <w:tcW w:w="1308" w:type="dxa"/>
            <w:noWrap/>
            <w:hideMark/>
          </w:tcPr>
          <w:p w14:paraId="4A9A121D"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13B5B6AF"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4.3%</w:t>
            </w:r>
          </w:p>
        </w:tc>
        <w:tc>
          <w:tcPr>
            <w:tcW w:w="1745" w:type="dxa"/>
            <w:noWrap/>
            <w:hideMark/>
          </w:tcPr>
          <w:p w14:paraId="3D2E0A6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4.6%</w:t>
            </w:r>
          </w:p>
        </w:tc>
      </w:tr>
      <w:tr w:rsidR="008000E1" w:rsidRPr="005260F1" w14:paraId="4299552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7C5D1A10"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Autism</w:t>
            </w:r>
          </w:p>
        </w:tc>
        <w:tc>
          <w:tcPr>
            <w:tcW w:w="1308" w:type="dxa"/>
            <w:noWrap/>
            <w:hideMark/>
          </w:tcPr>
          <w:p w14:paraId="1ABDC90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DD5FD1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28.8%</w:t>
            </w:r>
          </w:p>
        </w:tc>
        <w:tc>
          <w:tcPr>
            <w:tcW w:w="1745" w:type="dxa"/>
            <w:noWrap/>
            <w:hideMark/>
          </w:tcPr>
          <w:p w14:paraId="155A41C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24.5%</w:t>
            </w:r>
          </w:p>
        </w:tc>
      </w:tr>
      <w:tr w:rsidR="008000E1" w:rsidRPr="005260F1" w14:paraId="565FAA1C"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F65141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w:t>
            </w:r>
            <w:r w:rsidRPr="005260F1">
              <w:rPr>
                <w:rFonts w:asciiTheme="minorHAnsi" w:eastAsia="Times New Roman" w:hAnsiTheme="minorHAnsi" w:cstheme="minorHAnsi"/>
                <w:b w:val="0"/>
                <w:bCs w:val="0"/>
                <w:color w:val="000000"/>
                <w:sz w:val="20"/>
                <w:szCs w:val="20"/>
                <w:lang w:eastAsia="en-AU"/>
              </w:rPr>
              <w:t xml:space="preserve"> </w:t>
            </w:r>
            <w:r>
              <w:rPr>
                <w:rFonts w:asciiTheme="minorHAnsi" w:eastAsia="Times New Roman" w:hAnsiTheme="minorHAnsi" w:cstheme="minorHAnsi"/>
                <w:b w:val="0"/>
                <w:bCs w:val="0"/>
                <w:color w:val="000000"/>
                <w:sz w:val="20"/>
                <w:szCs w:val="20"/>
                <w:lang w:eastAsia="en-AU"/>
              </w:rPr>
              <w:t xml:space="preserve">- </w:t>
            </w:r>
            <w:r w:rsidRPr="005260F1">
              <w:rPr>
                <w:rFonts w:asciiTheme="minorHAnsi" w:eastAsia="Times New Roman" w:hAnsiTheme="minorHAnsi" w:cstheme="minorHAnsi"/>
                <w:b w:val="0"/>
                <w:bCs w:val="0"/>
                <w:color w:val="000000"/>
                <w:sz w:val="20"/>
                <w:szCs w:val="20"/>
                <w:lang w:eastAsia="en-AU"/>
              </w:rPr>
              <w:t>Cerebral palsy</w:t>
            </w:r>
          </w:p>
        </w:tc>
        <w:tc>
          <w:tcPr>
            <w:tcW w:w="1308" w:type="dxa"/>
            <w:noWrap/>
            <w:hideMark/>
          </w:tcPr>
          <w:p w14:paraId="33C14692"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18BD250F"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3.4%</w:t>
            </w:r>
          </w:p>
        </w:tc>
        <w:tc>
          <w:tcPr>
            <w:tcW w:w="1745" w:type="dxa"/>
            <w:noWrap/>
            <w:hideMark/>
          </w:tcPr>
          <w:p w14:paraId="2B437802"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4.0%</w:t>
            </w:r>
          </w:p>
        </w:tc>
      </w:tr>
      <w:tr w:rsidR="008000E1" w:rsidRPr="005260F1" w14:paraId="467283C9"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2F0DD5A8"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Developmental delay</w:t>
            </w:r>
          </w:p>
        </w:tc>
        <w:tc>
          <w:tcPr>
            <w:tcW w:w="1308" w:type="dxa"/>
            <w:noWrap/>
            <w:hideMark/>
          </w:tcPr>
          <w:p w14:paraId="40CA4D9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2C0EB51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4.8%</w:t>
            </w:r>
          </w:p>
        </w:tc>
        <w:tc>
          <w:tcPr>
            <w:tcW w:w="1745" w:type="dxa"/>
            <w:noWrap/>
            <w:hideMark/>
          </w:tcPr>
          <w:p w14:paraId="4B458E57"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5.1%</w:t>
            </w:r>
          </w:p>
        </w:tc>
      </w:tr>
      <w:tr w:rsidR="008000E1" w:rsidRPr="005260F1" w14:paraId="2B27EC60"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2368A3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Down syndrome</w:t>
            </w:r>
          </w:p>
        </w:tc>
        <w:tc>
          <w:tcPr>
            <w:tcW w:w="1308" w:type="dxa"/>
            <w:noWrap/>
            <w:hideMark/>
          </w:tcPr>
          <w:p w14:paraId="7162264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5D63E6CF"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2.8%</w:t>
            </w:r>
          </w:p>
        </w:tc>
        <w:tc>
          <w:tcPr>
            <w:tcW w:w="1745" w:type="dxa"/>
            <w:noWrap/>
            <w:hideMark/>
          </w:tcPr>
          <w:p w14:paraId="5C9A6BD7"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3.1%</w:t>
            </w:r>
          </w:p>
        </w:tc>
      </w:tr>
      <w:tr w:rsidR="008000E1" w:rsidRPr="005260F1" w14:paraId="1C68ABA0"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5A3ED7A"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Global dev</w:t>
            </w:r>
            <w:r>
              <w:rPr>
                <w:rFonts w:asciiTheme="minorHAnsi" w:eastAsia="Times New Roman" w:hAnsiTheme="minorHAnsi" w:cstheme="minorHAnsi"/>
                <w:b w:val="0"/>
                <w:bCs w:val="0"/>
                <w:color w:val="000000"/>
                <w:sz w:val="20"/>
                <w:szCs w:val="20"/>
                <w:lang w:eastAsia="en-AU"/>
              </w:rPr>
              <w:t>.</w:t>
            </w:r>
            <w:r w:rsidRPr="005260F1">
              <w:rPr>
                <w:rFonts w:asciiTheme="minorHAnsi" w:eastAsia="Times New Roman" w:hAnsiTheme="minorHAnsi" w:cstheme="minorHAnsi"/>
                <w:b w:val="0"/>
                <w:bCs w:val="0"/>
                <w:color w:val="000000"/>
                <w:sz w:val="20"/>
                <w:szCs w:val="20"/>
                <w:lang w:eastAsia="en-AU"/>
              </w:rPr>
              <w:t xml:space="preserve"> delay</w:t>
            </w:r>
          </w:p>
        </w:tc>
        <w:tc>
          <w:tcPr>
            <w:tcW w:w="1308" w:type="dxa"/>
            <w:noWrap/>
            <w:hideMark/>
          </w:tcPr>
          <w:p w14:paraId="6CDA298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878E3F6"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w:t>
            </w:r>
          </w:p>
        </w:tc>
        <w:tc>
          <w:tcPr>
            <w:tcW w:w="1745" w:type="dxa"/>
            <w:noWrap/>
            <w:hideMark/>
          </w:tcPr>
          <w:p w14:paraId="20CE10D6"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w:t>
            </w:r>
          </w:p>
        </w:tc>
      </w:tr>
      <w:tr w:rsidR="008000E1" w:rsidRPr="005260F1" w14:paraId="2B435EE0"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768CD058"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Hearing impairment</w:t>
            </w:r>
          </w:p>
        </w:tc>
        <w:tc>
          <w:tcPr>
            <w:tcW w:w="1308" w:type="dxa"/>
            <w:noWrap/>
            <w:hideMark/>
          </w:tcPr>
          <w:p w14:paraId="1321BB27"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1015925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3.5%</w:t>
            </w:r>
          </w:p>
        </w:tc>
        <w:tc>
          <w:tcPr>
            <w:tcW w:w="1745" w:type="dxa"/>
            <w:noWrap/>
            <w:hideMark/>
          </w:tcPr>
          <w:p w14:paraId="269B34C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3.5%</w:t>
            </w:r>
          </w:p>
        </w:tc>
      </w:tr>
      <w:tr w:rsidR="008000E1" w:rsidRPr="005260F1" w14:paraId="33659BA5"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529B88E5"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Intellectual disability</w:t>
            </w:r>
          </w:p>
        </w:tc>
        <w:tc>
          <w:tcPr>
            <w:tcW w:w="1308" w:type="dxa"/>
            <w:noWrap/>
            <w:hideMark/>
          </w:tcPr>
          <w:p w14:paraId="33DFAB0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26B0423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20.9%</w:t>
            </w:r>
          </w:p>
        </w:tc>
        <w:tc>
          <w:tcPr>
            <w:tcW w:w="1745" w:type="dxa"/>
            <w:noWrap/>
            <w:hideMark/>
          </w:tcPr>
          <w:p w14:paraId="52E8432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22.3%</w:t>
            </w:r>
          </w:p>
        </w:tc>
      </w:tr>
      <w:tr w:rsidR="008000E1" w:rsidRPr="005260F1" w14:paraId="3B9C3BC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5C10C64E"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Multiple sclerosis</w:t>
            </w:r>
          </w:p>
        </w:tc>
        <w:tc>
          <w:tcPr>
            <w:tcW w:w="1308" w:type="dxa"/>
            <w:noWrap/>
            <w:hideMark/>
          </w:tcPr>
          <w:p w14:paraId="0A94957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137157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2.2%</w:t>
            </w:r>
          </w:p>
        </w:tc>
        <w:tc>
          <w:tcPr>
            <w:tcW w:w="1745" w:type="dxa"/>
            <w:noWrap/>
            <w:hideMark/>
          </w:tcPr>
          <w:p w14:paraId="393EDC7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1.9%</w:t>
            </w:r>
          </w:p>
        </w:tc>
      </w:tr>
      <w:tr w:rsidR="008000E1" w:rsidRPr="005260F1" w14:paraId="1E05D6EB"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73AD832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Other</w:t>
            </w:r>
          </w:p>
        </w:tc>
        <w:tc>
          <w:tcPr>
            <w:tcW w:w="1308" w:type="dxa"/>
            <w:noWrap/>
            <w:hideMark/>
          </w:tcPr>
          <w:p w14:paraId="628E3F4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61F1A75"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0.8%</w:t>
            </w:r>
          </w:p>
        </w:tc>
        <w:tc>
          <w:tcPr>
            <w:tcW w:w="1745" w:type="dxa"/>
            <w:noWrap/>
            <w:hideMark/>
          </w:tcPr>
          <w:p w14:paraId="7246B7C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0.9%</w:t>
            </w:r>
          </w:p>
        </w:tc>
      </w:tr>
      <w:tr w:rsidR="008000E1" w:rsidRPr="005260F1" w14:paraId="2BBC218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112A5B3"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Other neurological</w:t>
            </w:r>
          </w:p>
        </w:tc>
        <w:tc>
          <w:tcPr>
            <w:tcW w:w="1308" w:type="dxa"/>
            <w:noWrap/>
            <w:hideMark/>
          </w:tcPr>
          <w:p w14:paraId="236BA3F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37CF4D8"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5.0%</w:t>
            </w:r>
          </w:p>
        </w:tc>
        <w:tc>
          <w:tcPr>
            <w:tcW w:w="1745" w:type="dxa"/>
            <w:noWrap/>
            <w:hideMark/>
          </w:tcPr>
          <w:p w14:paraId="1BC9E75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4.3%</w:t>
            </w:r>
          </w:p>
        </w:tc>
      </w:tr>
      <w:tr w:rsidR="008000E1" w:rsidRPr="005260F1" w14:paraId="7A92025E"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B5E6791"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Other physical</w:t>
            </w:r>
          </w:p>
        </w:tc>
        <w:tc>
          <w:tcPr>
            <w:tcW w:w="1308" w:type="dxa"/>
            <w:noWrap/>
            <w:hideMark/>
          </w:tcPr>
          <w:p w14:paraId="1FB822B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6193FEA"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6.0%</w:t>
            </w:r>
          </w:p>
        </w:tc>
        <w:tc>
          <w:tcPr>
            <w:tcW w:w="1745" w:type="dxa"/>
            <w:noWrap/>
            <w:hideMark/>
          </w:tcPr>
          <w:p w14:paraId="41B5E7FF"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4.6%</w:t>
            </w:r>
          </w:p>
        </w:tc>
      </w:tr>
      <w:tr w:rsidR="008000E1" w:rsidRPr="005260F1" w14:paraId="7D79C890"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E71BD18"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Other sensory/speech</w:t>
            </w:r>
          </w:p>
        </w:tc>
        <w:tc>
          <w:tcPr>
            <w:tcW w:w="1308" w:type="dxa"/>
            <w:noWrap/>
            <w:hideMark/>
          </w:tcPr>
          <w:p w14:paraId="7C701FC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47F076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0.7%</w:t>
            </w:r>
          </w:p>
        </w:tc>
        <w:tc>
          <w:tcPr>
            <w:tcW w:w="1745" w:type="dxa"/>
            <w:noWrap/>
            <w:hideMark/>
          </w:tcPr>
          <w:p w14:paraId="484AED2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0.8%</w:t>
            </w:r>
          </w:p>
        </w:tc>
      </w:tr>
      <w:tr w:rsidR="008000E1" w:rsidRPr="005260F1" w14:paraId="46FE69A8"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41027C2"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Psychosocial disability</w:t>
            </w:r>
          </w:p>
        </w:tc>
        <w:tc>
          <w:tcPr>
            <w:tcW w:w="1308" w:type="dxa"/>
            <w:noWrap/>
            <w:hideMark/>
          </w:tcPr>
          <w:p w14:paraId="3AD22999"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2B92B08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9.5%</w:t>
            </w:r>
          </w:p>
        </w:tc>
        <w:tc>
          <w:tcPr>
            <w:tcW w:w="1745" w:type="dxa"/>
            <w:noWrap/>
            <w:hideMark/>
          </w:tcPr>
          <w:p w14:paraId="358B95C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13.6%</w:t>
            </w:r>
          </w:p>
        </w:tc>
      </w:tr>
      <w:tr w:rsidR="008000E1" w:rsidRPr="005260F1" w14:paraId="528BCD09"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292834D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Spinal cord Injury</w:t>
            </w:r>
          </w:p>
        </w:tc>
        <w:tc>
          <w:tcPr>
            <w:tcW w:w="1308" w:type="dxa"/>
            <w:noWrap/>
            <w:hideMark/>
          </w:tcPr>
          <w:p w14:paraId="0680CC2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162544D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1.5%</w:t>
            </w:r>
          </w:p>
        </w:tc>
        <w:tc>
          <w:tcPr>
            <w:tcW w:w="1745" w:type="dxa"/>
            <w:noWrap/>
            <w:hideMark/>
          </w:tcPr>
          <w:p w14:paraId="2ECEE74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1.3%</w:t>
            </w:r>
          </w:p>
        </w:tc>
      </w:tr>
      <w:tr w:rsidR="008000E1" w:rsidRPr="005260F1" w14:paraId="60A501AF"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5845B33A"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Stroke</w:t>
            </w:r>
          </w:p>
        </w:tc>
        <w:tc>
          <w:tcPr>
            <w:tcW w:w="1308" w:type="dxa"/>
            <w:noWrap/>
            <w:hideMark/>
          </w:tcPr>
          <w:p w14:paraId="04F9939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59EA67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2.3%</w:t>
            </w:r>
          </w:p>
        </w:tc>
        <w:tc>
          <w:tcPr>
            <w:tcW w:w="1745" w:type="dxa"/>
            <w:noWrap/>
            <w:hideMark/>
          </w:tcPr>
          <w:p w14:paraId="62653B6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1.9%</w:t>
            </w:r>
          </w:p>
        </w:tc>
      </w:tr>
      <w:tr w:rsidR="008000E1" w:rsidRPr="005260F1" w14:paraId="737F227D"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53E8EE9"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0</w:t>
            </w:r>
            <w:r>
              <w:rPr>
                <w:rFonts w:asciiTheme="minorHAnsi" w:eastAsia="Times New Roman" w:hAnsiTheme="minorHAnsi" w:cstheme="minorHAnsi"/>
                <w:b w:val="0"/>
                <w:bCs w:val="0"/>
                <w:color w:val="000000"/>
                <w:sz w:val="20"/>
                <w:szCs w:val="20"/>
                <w:lang w:eastAsia="en-AU"/>
              </w:rPr>
              <w:t xml:space="preserve"> disability - </w:t>
            </w:r>
            <w:r w:rsidRPr="005260F1">
              <w:rPr>
                <w:rFonts w:asciiTheme="minorHAnsi" w:eastAsia="Times New Roman" w:hAnsiTheme="minorHAnsi" w:cstheme="minorHAnsi"/>
                <w:b w:val="0"/>
                <w:bCs w:val="0"/>
                <w:color w:val="000000"/>
                <w:sz w:val="20"/>
                <w:szCs w:val="20"/>
                <w:lang w:eastAsia="en-AU"/>
              </w:rPr>
              <w:t>Visual impairment</w:t>
            </w:r>
          </w:p>
        </w:tc>
        <w:tc>
          <w:tcPr>
            <w:tcW w:w="1308" w:type="dxa"/>
            <w:noWrap/>
            <w:hideMark/>
          </w:tcPr>
          <w:p w14:paraId="3BFD4F8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FE16B9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2.3%</w:t>
            </w:r>
          </w:p>
        </w:tc>
        <w:tc>
          <w:tcPr>
            <w:tcW w:w="1745" w:type="dxa"/>
            <w:noWrap/>
            <w:hideMark/>
          </w:tcPr>
          <w:p w14:paraId="05E9C03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2.4%</w:t>
            </w:r>
          </w:p>
        </w:tc>
      </w:tr>
      <w:tr w:rsidR="008000E1" w:rsidRPr="005260F1" w14:paraId="3E1F8B21"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F5B1DED"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Resides - </w:t>
            </w:r>
            <w:r w:rsidRPr="005260F1">
              <w:rPr>
                <w:rFonts w:asciiTheme="minorHAnsi" w:eastAsia="Times New Roman" w:hAnsiTheme="minorHAnsi" w:cstheme="minorHAnsi"/>
                <w:b w:val="0"/>
                <w:bCs w:val="0"/>
                <w:color w:val="000000"/>
                <w:sz w:val="20"/>
                <w:szCs w:val="20"/>
                <w:lang w:eastAsia="en-AU"/>
              </w:rPr>
              <w:t>NSW</w:t>
            </w:r>
          </w:p>
        </w:tc>
        <w:tc>
          <w:tcPr>
            <w:tcW w:w="1308" w:type="dxa"/>
            <w:noWrap/>
            <w:hideMark/>
          </w:tcPr>
          <w:p w14:paraId="15980B81"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4FE17D4"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38.8%</w:t>
            </w:r>
          </w:p>
        </w:tc>
        <w:tc>
          <w:tcPr>
            <w:tcW w:w="1745" w:type="dxa"/>
            <w:noWrap/>
            <w:hideMark/>
          </w:tcPr>
          <w:p w14:paraId="22E4C9D4"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5.0%</w:t>
            </w:r>
          </w:p>
        </w:tc>
      </w:tr>
      <w:tr w:rsidR="008000E1" w:rsidRPr="005260F1" w14:paraId="43033BA0"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5B2944E8"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Resides -</w:t>
            </w:r>
            <w:r w:rsidRPr="005260F1">
              <w:rPr>
                <w:rFonts w:asciiTheme="minorHAnsi" w:eastAsia="Times New Roman" w:hAnsiTheme="minorHAnsi" w:cstheme="minorHAnsi"/>
                <w:b w:val="0"/>
                <w:bCs w:val="0"/>
                <w:color w:val="000000"/>
                <w:sz w:val="20"/>
                <w:szCs w:val="20"/>
                <w:lang w:eastAsia="en-AU"/>
              </w:rPr>
              <w:t>NT</w:t>
            </w:r>
          </w:p>
        </w:tc>
        <w:tc>
          <w:tcPr>
            <w:tcW w:w="1308" w:type="dxa"/>
            <w:noWrap/>
            <w:hideMark/>
          </w:tcPr>
          <w:p w14:paraId="594562E7"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55F023F7"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3.5%</w:t>
            </w:r>
          </w:p>
        </w:tc>
        <w:tc>
          <w:tcPr>
            <w:tcW w:w="1745" w:type="dxa"/>
            <w:noWrap/>
            <w:hideMark/>
          </w:tcPr>
          <w:p w14:paraId="78A091B8"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9.6%</w:t>
            </w:r>
          </w:p>
        </w:tc>
      </w:tr>
      <w:tr w:rsidR="008000E1" w:rsidRPr="005260F1" w14:paraId="0B8D584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6E1345A9"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Resides -</w:t>
            </w:r>
            <w:r w:rsidRPr="005260F1">
              <w:rPr>
                <w:rFonts w:asciiTheme="minorHAnsi" w:eastAsia="Times New Roman" w:hAnsiTheme="minorHAnsi" w:cstheme="minorHAnsi"/>
                <w:b w:val="0"/>
                <w:bCs w:val="0"/>
                <w:color w:val="000000"/>
                <w:sz w:val="20"/>
                <w:szCs w:val="20"/>
                <w:lang w:eastAsia="en-AU"/>
              </w:rPr>
              <w:t>QLD</w:t>
            </w:r>
          </w:p>
        </w:tc>
        <w:tc>
          <w:tcPr>
            <w:tcW w:w="1308" w:type="dxa"/>
            <w:noWrap/>
            <w:hideMark/>
          </w:tcPr>
          <w:p w14:paraId="74644ABE"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46946005"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19.9%</w:t>
            </w:r>
          </w:p>
        </w:tc>
        <w:tc>
          <w:tcPr>
            <w:tcW w:w="1745" w:type="dxa"/>
            <w:noWrap/>
            <w:hideMark/>
          </w:tcPr>
          <w:p w14:paraId="4534898A"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5.0%</w:t>
            </w:r>
          </w:p>
        </w:tc>
      </w:tr>
      <w:tr w:rsidR="008000E1" w:rsidRPr="005260F1" w14:paraId="12428A67"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880CA9A"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Resides -</w:t>
            </w:r>
            <w:r w:rsidRPr="005260F1">
              <w:rPr>
                <w:rFonts w:asciiTheme="minorHAnsi" w:eastAsia="Times New Roman" w:hAnsiTheme="minorHAnsi" w:cstheme="minorHAnsi"/>
                <w:b w:val="0"/>
                <w:bCs w:val="0"/>
                <w:color w:val="000000"/>
                <w:sz w:val="20"/>
                <w:szCs w:val="20"/>
                <w:lang w:eastAsia="en-AU"/>
              </w:rPr>
              <w:t>SA</w:t>
            </w:r>
          </w:p>
        </w:tc>
        <w:tc>
          <w:tcPr>
            <w:tcW w:w="1308" w:type="dxa"/>
            <w:noWrap/>
            <w:hideMark/>
          </w:tcPr>
          <w:p w14:paraId="0FE946DF"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3509316"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10.7%</w:t>
            </w:r>
          </w:p>
        </w:tc>
        <w:tc>
          <w:tcPr>
            <w:tcW w:w="1745" w:type="dxa"/>
            <w:noWrap/>
            <w:hideMark/>
          </w:tcPr>
          <w:p w14:paraId="45275DB4"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3.8%</w:t>
            </w:r>
          </w:p>
        </w:tc>
      </w:tr>
      <w:tr w:rsidR="008000E1" w:rsidRPr="005260F1" w14:paraId="7EABFE2C"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1DC44AE4"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Resides -</w:t>
            </w:r>
            <w:r w:rsidRPr="005260F1">
              <w:rPr>
                <w:rFonts w:asciiTheme="minorHAnsi" w:eastAsia="Times New Roman" w:hAnsiTheme="minorHAnsi" w:cstheme="minorHAnsi"/>
                <w:b w:val="0"/>
                <w:bCs w:val="0"/>
                <w:color w:val="000000"/>
                <w:sz w:val="20"/>
                <w:szCs w:val="20"/>
                <w:lang w:eastAsia="en-AU"/>
              </w:rPr>
              <w:t>TAS</w:t>
            </w:r>
          </w:p>
        </w:tc>
        <w:tc>
          <w:tcPr>
            <w:tcW w:w="1308" w:type="dxa"/>
            <w:noWrap/>
            <w:hideMark/>
          </w:tcPr>
          <w:p w14:paraId="0E79CC85"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1A7CCED"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2.3%</w:t>
            </w:r>
          </w:p>
        </w:tc>
        <w:tc>
          <w:tcPr>
            <w:tcW w:w="1745" w:type="dxa"/>
            <w:noWrap/>
            <w:hideMark/>
          </w:tcPr>
          <w:p w14:paraId="4D6D8C4B"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0.0%</w:t>
            </w:r>
          </w:p>
        </w:tc>
      </w:tr>
      <w:tr w:rsidR="008000E1" w:rsidRPr="005260F1" w14:paraId="19BB7702"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2742D187"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Resides -</w:t>
            </w:r>
            <w:r w:rsidRPr="005260F1">
              <w:rPr>
                <w:rFonts w:asciiTheme="minorHAnsi" w:eastAsia="Times New Roman" w:hAnsiTheme="minorHAnsi" w:cstheme="minorHAnsi"/>
                <w:b w:val="0"/>
                <w:bCs w:val="0"/>
                <w:color w:val="000000"/>
                <w:sz w:val="20"/>
                <w:szCs w:val="20"/>
                <w:lang w:eastAsia="en-AU"/>
              </w:rPr>
              <w:t>VIC</w:t>
            </w:r>
          </w:p>
        </w:tc>
        <w:tc>
          <w:tcPr>
            <w:tcW w:w="1308" w:type="dxa"/>
            <w:noWrap/>
            <w:hideMark/>
          </w:tcPr>
          <w:p w14:paraId="496CDF1D"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0B848C7"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18.0%</w:t>
            </w:r>
          </w:p>
        </w:tc>
        <w:tc>
          <w:tcPr>
            <w:tcW w:w="1745" w:type="dxa"/>
            <w:noWrap/>
            <w:hideMark/>
          </w:tcPr>
          <w:p w14:paraId="68CCF40D"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75.4%</w:t>
            </w:r>
          </w:p>
        </w:tc>
      </w:tr>
      <w:tr w:rsidR="008000E1" w:rsidRPr="005260F1" w14:paraId="3AC76446"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7D14ADD"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Resides -</w:t>
            </w:r>
            <w:r w:rsidRPr="005260F1">
              <w:rPr>
                <w:rFonts w:asciiTheme="minorHAnsi" w:eastAsia="Times New Roman" w:hAnsiTheme="minorHAnsi" w:cstheme="minorHAnsi"/>
                <w:b w:val="0"/>
                <w:bCs w:val="0"/>
                <w:color w:val="000000"/>
                <w:sz w:val="20"/>
                <w:szCs w:val="20"/>
                <w:lang w:eastAsia="en-AU"/>
              </w:rPr>
              <w:t>WA</w:t>
            </w:r>
          </w:p>
        </w:tc>
        <w:tc>
          <w:tcPr>
            <w:tcW w:w="1308" w:type="dxa"/>
            <w:noWrap/>
            <w:hideMark/>
          </w:tcPr>
          <w:p w14:paraId="4331D089"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6919DFD9"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6.7%</w:t>
            </w:r>
          </w:p>
        </w:tc>
        <w:tc>
          <w:tcPr>
            <w:tcW w:w="1745" w:type="dxa"/>
            <w:noWrap/>
            <w:hideMark/>
          </w:tcPr>
          <w:p w14:paraId="20AD7DFF"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1.1%</w:t>
            </w:r>
          </w:p>
        </w:tc>
      </w:tr>
      <w:tr w:rsidR="008000E1" w:rsidRPr="005260F1" w14:paraId="471D0C6D"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E5E9398"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Resides -MMM </w:t>
            </w:r>
            <w:r w:rsidRPr="005260F1">
              <w:rPr>
                <w:rFonts w:asciiTheme="minorHAnsi" w:eastAsia="Times New Roman" w:hAnsiTheme="minorHAnsi" w:cstheme="minorHAnsi"/>
                <w:b w:val="0"/>
                <w:bCs w:val="0"/>
                <w:color w:val="000000"/>
                <w:sz w:val="20"/>
                <w:szCs w:val="20"/>
                <w:lang w:eastAsia="en-AU"/>
              </w:rPr>
              <w:t>3</w:t>
            </w:r>
          </w:p>
        </w:tc>
        <w:tc>
          <w:tcPr>
            <w:tcW w:w="1308" w:type="dxa"/>
            <w:noWrap/>
            <w:hideMark/>
          </w:tcPr>
          <w:p w14:paraId="5D50F09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052B419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22.7%</w:t>
            </w:r>
          </w:p>
        </w:tc>
        <w:tc>
          <w:tcPr>
            <w:tcW w:w="1745" w:type="dxa"/>
            <w:noWrap/>
            <w:hideMark/>
          </w:tcPr>
          <w:p w14:paraId="67807BDF"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22.4%</w:t>
            </w:r>
          </w:p>
        </w:tc>
      </w:tr>
      <w:tr w:rsidR="008000E1" w:rsidRPr="005260F1" w14:paraId="516F8723"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0729973"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Resides -MMM </w:t>
            </w:r>
            <w:r w:rsidRPr="005260F1">
              <w:rPr>
                <w:rFonts w:asciiTheme="minorHAnsi" w:eastAsia="Times New Roman" w:hAnsiTheme="minorHAnsi" w:cstheme="minorHAnsi"/>
                <w:b w:val="0"/>
                <w:bCs w:val="0"/>
                <w:color w:val="000000"/>
                <w:sz w:val="20"/>
                <w:szCs w:val="20"/>
                <w:lang w:eastAsia="en-AU"/>
              </w:rPr>
              <w:t>4</w:t>
            </w:r>
          </w:p>
        </w:tc>
        <w:tc>
          <w:tcPr>
            <w:tcW w:w="1308" w:type="dxa"/>
            <w:noWrap/>
            <w:hideMark/>
          </w:tcPr>
          <w:p w14:paraId="0775A12E"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46B5115E"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36.2%</w:t>
            </w:r>
          </w:p>
        </w:tc>
        <w:tc>
          <w:tcPr>
            <w:tcW w:w="1745" w:type="dxa"/>
            <w:noWrap/>
            <w:hideMark/>
          </w:tcPr>
          <w:p w14:paraId="2B680AB5"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36.2%</w:t>
            </w:r>
          </w:p>
        </w:tc>
      </w:tr>
      <w:tr w:rsidR="008000E1" w:rsidRPr="005260F1" w14:paraId="5C35476A"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EA02B32"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Resides -MMM </w:t>
            </w:r>
            <w:r w:rsidRPr="005260F1">
              <w:rPr>
                <w:rFonts w:asciiTheme="minorHAnsi" w:eastAsia="Times New Roman" w:hAnsiTheme="minorHAnsi" w:cstheme="minorHAnsi"/>
                <w:b w:val="0"/>
                <w:bCs w:val="0"/>
                <w:color w:val="000000"/>
                <w:sz w:val="20"/>
                <w:szCs w:val="20"/>
                <w:lang w:eastAsia="en-AU"/>
              </w:rPr>
              <w:t>5</w:t>
            </w:r>
          </w:p>
        </w:tc>
        <w:tc>
          <w:tcPr>
            <w:tcW w:w="1308" w:type="dxa"/>
            <w:noWrap/>
            <w:hideMark/>
          </w:tcPr>
          <w:p w14:paraId="21A60312"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78D07E3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26.0%</w:t>
            </w:r>
          </w:p>
        </w:tc>
        <w:tc>
          <w:tcPr>
            <w:tcW w:w="1745" w:type="dxa"/>
            <w:noWrap/>
            <w:hideMark/>
          </w:tcPr>
          <w:p w14:paraId="7186D20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25.7%</w:t>
            </w:r>
          </w:p>
        </w:tc>
      </w:tr>
      <w:tr w:rsidR="008000E1" w:rsidRPr="005260F1" w14:paraId="0B794EFC"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3018FBE"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Resides -MMM </w:t>
            </w:r>
            <w:r w:rsidRPr="005260F1">
              <w:rPr>
                <w:rFonts w:asciiTheme="minorHAnsi" w:eastAsia="Times New Roman" w:hAnsiTheme="minorHAnsi" w:cstheme="minorHAnsi"/>
                <w:b w:val="0"/>
                <w:bCs w:val="0"/>
                <w:color w:val="000000"/>
                <w:sz w:val="20"/>
                <w:szCs w:val="20"/>
                <w:lang w:eastAsia="en-AU"/>
              </w:rPr>
              <w:t>6</w:t>
            </w:r>
          </w:p>
        </w:tc>
        <w:tc>
          <w:tcPr>
            <w:tcW w:w="1308" w:type="dxa"/>
            <w:noWrap/>
            <w:hideMark/>
          </w:tcPr>
          <w:p w14:paraId="6DF4248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4A29DA8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6.9%</w:t>
            </w:r>
          </w:p>
        </w:tc>
        <w:tc>
          <w:tcPr>
            <w:tcW w:w="1745" w:type="dxa"/>
            <w:noWrap/>
            <w:hideMark/>
          </w:tcPr>
          <w:p w14:paraId="42B0960D"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7.0%</w:t>
            </w:r>
          </w:p>
        </w:tc>
      </w:tr>
      <w:tr w:rsidR="008000E1" w:rsidRPr="005260F1" w14:paraId="7CD927CB"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47D7E05B"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Resides -MMM </w:t>
            </w:r>
            <w:r w:rsidRPr="005260F1">
              <w:rPr>
                <w:rFonts w:asciiTheme="minorHAnsi" w:eastAsia="Times New Roman" w:hAnsiTheme="minorHAnsi" w:cstheme="minorHAnsi"/>
                <w:b w:val="0"/>
                <w:bCs w:val="0"/>
                <w:color w:val="000000"/>
                <w:sz w:val="20"/>
                <w:szCs w:val="20"/>
                <w:lang w:eastAsia="en-AU"/>
              </w:rPr>
              <w:t>7</w:t>
            </w:r>
          </w:p>
        </w:tc>
        <w:tc>
          <w:tcPr>
            <w:tcW w:w="1308" w:type="dxa"/>
            <w:noWrap/>
            <w:hideMark/>
          </w:tcPr>
          <w:p w14:paraId="3FC6CF7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4912AC60"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8.2%</w:t>
            </w:r>
          </w:p>
        </w:tc>
        <w:tc>
          <w:tcPr>
            <w:tcW w:w="1745" w:type="dxa"/>
            <w:noWrap/>
            <w:hideMark/>
          </w:tcPr>
          <w:p w14:paraId="6C6BC107"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8.7%</w:t>
            </w:r>
          </w:p>
        </w:tc>
      </w:tr>
      <w:tr w:rsidR="008000E1" w:rsidRPr="005260F1" w14:paraId="7B6C3AD4"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1D8997F"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lastRenderedPageBreak/>
              <w:t xml:space="preserve">NDIS Entry - </w:t>
            </w:r>
            <w:r w:rsidRPr="005260F1">
              <w:rPr>
                <w:rFonts w:asciiTheme="minorHAnsi" w:eastAsia="Times New Roman" w:hAnsiTheme="minorHAnsi" w:cstheme="minorHAnsi"/>
                <w:b w:val="0"/>
                <w:bCs w:val="0"/>
                <w:color w:val="000000"/>
                <w:sz w:val="20"/>
                <w:szCs w:val="20"/>
                <w:lang w:eastAsia="en-AU"/>
              </w:rPr>
              <w:t>FY16/17</w:t>
            </w:r>
          </w:p>
        </w:tc>
        <w:tc>
          <w:tcPr>
            <w:tcW w:w="1308" w:type="dxa"/>
            <w:noWrap/>
            <w:hideMark/>
          </w:tcPr>
          <w:p w14:paraId="5D8575A0"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63FE68D1"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26.2%</w:t>
            </w:r>
          </w:p>
        </w:tc>
        <w:tc>
          <w:tcPr>
            <w:tcW w:w="1745" w:type="dxa"/>
            <w:noWrap/>
            <w:hideMark/>
          </w:tcPr>
          <w:p w14:paraId="32081722"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9.6%</w:t>
            </w:r>
          </w:p>
        </w:tc>
      </w:tr>
      <w:tr w:rsidR="008000E1" w:rsidRPr="005260F1" w14:paraId="4E7E27CA"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0219E229"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NDIS Entry - </w:t>
            </w:r>
            <w:r w:rsidRPr="005260F1">
              <w:rPr>
                <w:rFonts w:asciiTheme="minorHAnsi" w:eastAsia="Times New Roman" w:hAnsiTheme="minorHAnsi" w:cstheme="minorHAnsi"/>
                <w:b w:val="0"/>
                <w:bCs w:val="0"/>
                <w:color w:val="000000"/>
                <w:sz w:val="20"/>
                <w:szCs w:val="20"/>
                <w:lang w:eastAsia="en-AU"/>
              </w:rPr>
              <w:t>FY17/18</w:t>
            </w:r>
          </w:p>
        </w:tc>
        <w:tc>
          <w:tcPr>
            <w:tcW w:w="1308" w:type="dxa"/>
            <w:noWrap/>
            <w:hideMark/>
          </w:tcPr>
          <w:p w14:paraId="3605FE36"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1EF623C1"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48.7%</w:t>
            </w:r>
          </w:p>
        </w:tc>
        <w:tc>
          <w:tcPr>
            <w:tcW w:w="1745" w:type="dxa"/>
            <w:noWrap/>
            <w:hideMark/>
          </w:tcPr>
          <w:p w14:paraId="63C66E31"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55.3%</w:t>
            </w:r>
          </w:p>
        </w:tc>
      </w:tr>
      <w:tr w:rsidR="008000E1" w:rsidRPr="005260F1" w14:paraId="53879DA5"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58C94FFD"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NDIS Entry - </w:t>
            </w:r>
            <w:r w:rsidRPr="005260F1">
              <w:rPr>
                <w:rFonts w:asciiTheme="minorHAnsi" w:eastAsia="Times New Roman" w:hAnsiTheme="minorHAnsi" w:cstheme="minorHAnsi"/>
                <w:b w:val="0"/>
                <w:bCs w:val="0"/>
                <w:color w:val="000000"/>
                <w:sz w:val="20"/>
                <w:szCs w:val="20"/>
                <w:lang w:eastAsia="en-AU"/>
              </w:rPr>
              <w:t>FY18/19</w:t>
            </w:r>
          </w:p>
        </w:tc>
        <w:tc>
          <w:tcPr>
            <w:tcW w:w="1308" w:type="dxa"/>
            <w:noWrap/>
            <w:hideMark/>
          </w:tcPr>
          <w:p w14:paraId="3E0E946C"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5060C235"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23.5%</w:t>
            </w:r>
          </w:p>
        </w:tc>
        <w:tc>
          <w:tcPr>
            <w:tcW w:w="1745" w:type="dxa"/>
            <w:noWrap/>
            <w:hideMark/>
          </w:tcPr>
          <w:p w14:paraId="2B075654" w14:textId="77777777" w:rsidR="008000E1" w:rsidRPr="005260F1" w:rsidRDefault="008000E1">
            <w:pPr>
              <w:keepNext/>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35.1%</w:t>
            </w:r>
          </w:p>
        </w:tc>
      </w:tr>
      <w:tr w:rsidR="008000E1" w:rsidRPr="005260F1" w14:paraId="61C8EB1D"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14B7A793" w14:textId="77777777" w:rsidR="008000E1" w:rsidRPr="005260F1" w:rsidRDefault="008000E1">
            <w:pPr>
              <w:keepNext/>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NDIS Entry - </w:t>
            </w:r>
            <w:r w:rsidRPr="005260F1">
              <w:rPr>
                <w:rFonts w:asciiTheme="minorHAnsi" w:eastAsia="Times New Roman" w:hAnsiTheme="minorHAnsi" w:cstheme="minorHAnsi"/>
                <w:b w:val="0"/>
                <w:bCs w:val="0"/>
                <w:color w:val="000000"/>
                <w:sz w:val="20"/>
                <w:szCs w:val="20"/>
                <w:lang w:eastAsia="en-AU"/>
              </w:rPr>
              <w:t>FY19/20</w:t>
            </w:r>
          </w:p>
        </w:tc>
        <w:tc>
          <w:tcPr>
            <w:tcW w:w="1308" w:type="dxa"/>
            <w:noWrap/>
            <w:hideMark/>
          </w:tcPr>
          <w:p w14:paraId="64A463B4"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1191DE2A"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1.6%</w:t>
            </w:r>
          </w:p>
        </w:tc>
        <w:tc>
          <w:tcPr>
            <w:tcW w:w="1745" w:type="dxa"/>
            <w:noWrap/>
            <w:hideMark/>
          </w:tcPr>
          <w:p w14:paraId="2404A8B5" w14:textId="77777777" w:rsidR="008000E1" w:rsidRPr="005260F1" w:rsidRDefault="008000E1">
            <w:pPr>
              <w:keepNext/>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0.0%</w:t>
            </w:r>
          </w:p>
        </w:tc>
      </w:tr>
      <w:tr w:rsidR="008000E1" w:rsidRPr="00DB6B7A" w14:paraId="4560F08D"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shd w:val="clear" w:color="auto" w:fill="auto"/>
            <w:noWrap/>
            <w:hideMark/>
          </w:tcPr>
          <w:p w14:paraId="73F09CAF" w14:textId="77777777" w:rsidR="008000E1" w:rsidRPr="00BC5D85"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Transition from - </w:t>
            </w:r>
            <w:r w:rsidRPr="00BC5D85">
              <w:rPr>
                <w:rFonts w:asciiTheme="minorHAnsi" w:eastAsia="Times New Roman" w:hAnsiTheme="minorHAnsi" w:cstheme="minorHAnsi"/>
                <w:b w:val="0"/>
                <w:bCs w:val="0"/>
                <w:color w:val="000000"/>
                <w:sz w:val="20"/>
                <w:szCs w:val="20"/>
                <w:lang w:eastAsia="en-AU"/>
              </w:rPr>
              <w:t>Commonwealth</w:t>
            </w:r>
          </w:p>
        </w:tc>
        <w:tc>
          <w:tcPr>
            <w:tcW w:w="1308" w:type="dxa"/>
            <w:shd w:val="clear" w:color="auto" w:fill="auto"/>
            <w:noWrap/>
            <w:hideMark/>
          </w:tcPr>
          <w:p w14:paraId="70B7EE04" w14:textId="77777777" w:rsidR="008000E1" w:rsidRPr="00DB6B7A"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b/>
                <w:bCs/>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shd w:val="clear" w:color="auto" w:fill="auto"/>
            <w:noWrap/>
            <w:hideMark/>
          </w:tcPr>
          <w:p w14:paraId="5B3306D0" w14:textId="77777777" w:rsidR="008000E1" w:rsidRPr="00BC5D85"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BC5D85">
              <w:rPr>
                <w:rFonts w:asciiTheme="minorHAnsi" w:eastAsia="Times New Roman" w:hAnsiTheme="minorHAnsi" w:cstheme="minorHAnsi"/>
                <w:color w:val="000000"/>
                <w:sz w:val="20"/>
                <w:szCs w:val="20"/>
                <w:lang w:eastAsia="en-AU"/>
              </w:rPr>
              <w:t>8.9%</w:t>
            </w:r>
          </w:p>
        </w:tc>
        <w:tc>
          <w:tcPr>
            <w:tcW w:w="1745" w:type="dxa"/>
            <w:shd w:val="clear" w:color="auto" w:fill="auto"/>
            <w:noWrap/>
            <w:hideMark/>
          </w:tcPr>
          <w:p w14:paraId="4F99410A" w14:textId="77777777" w:rsidR="008000E1" w:rsidRPr="00BC5D85"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BC5D85">
              <w:rPr>
                <w:rFonts w:asciiTheme="minorHAnsi" w:eastAsia="Times New Roman" w:hAnsiTheme="minorHAnsi" w:cstheme="minorHAnsi"/>
                <w:color w:val="000000"/>
                <w:sz w:val="20"/>
                <w:szCs w:val="20"/>
                <w:lang w:eastAsia="en-AU"/>
              </w:rPr>
              <w:t>7.2%</w:t>
            </w:r>
          </w:p>
        </w:tc>
      </w:tr>
      <w:tr w:rsidR="008000E1" w:rsidRPr="005260F1" w14:paraId="34D0596B"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2F93BD9" w14:textId="77777777" w:rsidR="008000E1" w:rsidRPr="00BC5D85"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Transition from - </w:t>
            </w:r>
            <w:r w:rsidRPr="00BC5D85">
              <w:rPr>
                <w:rFonts w:asciiTheme="minorHAnsi" w:eastAsia="Times New Roman" w:hAnsiTheme="minorHAnsi" w:cstheme="minorHAnsi"/>
                <w:b w:val="0"/>
                <w:bCs w:val="0"/>
                <w:color w:val="000000"/>
                <w:sz w:val="20"/>
                <w:szCs w:val="20"/>
                <w:lang w:eastAsia="en-AU"/>
              </w:rPr>
              <w:t>New</w:t>
            </w:r>
          </w:p>
        </w:tc>
        <w:tc>
          <w:tcPr>
            <w:tcW w:w="1308" w:type="dxa"/>
            <w:noWrap/>
            <w:hideMark/>
          </w:tcPr>
          <w:p w14:paraId="1E79B98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3ECED3F2"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44.2%</w:t>
            </w:r>
          </w:p>
        </w:tc>
        <w:tc>
          <w:tcPr>
            <w:tcW w:w="1745" w:type="dxa"/>
            <w:noWrap/>
            <w:hideMark/>
          </w:tcPr>
          <w:p w14:paraId="1FA5C05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33.8%</w:t>
            </w:r>
          </w:p>
        </w:tc>
      </w:tr>
      <w:tr w:rsidR="008000E1" w:rsidRPr="005260F1" w14:paraId="195CC5FC"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hideMark/>
          </w:tcPr>
          <w:p w14:paraId="38031DDC" w14:textId="77777777" w:rsidR="008000E1" w:rsidRPr="00BC5D85"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 xml:space="preserve">Transition from - </w:t>
            </w:r>
            <w:r w:rsidRPr="00BC5D85">
              <w:rPr>
                <w:rFonts w:asciiTheme="minorHAnsi" w:eastAsia="Times New Roman" w:hAnsiTheme="minorHAnsi" w:cstheme="minorHAnsi"/>
                <w:b w:val="0"/>
                <w:bCs w:val="0"/>
                <w:color w:val="000000"/>
                <w:sz w:val="20"/>
                <w:szCs w:val="20"/>
                <w:lang w:eastAsia="en-AU"/>
              </w:rPr>
              <w:t>State</w:t>
            </w:r>
          </w:p>
        </w:tc>
        <w:tc>
          <w:tcPr>
            <w:tcW w:w="1308" w:type="dxa"/>
            <w:noWrap/>
            <w:hideMark/>
          </w:tcPr>
          <w:p w14:paraId="6A9D5F67"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hideMark/>
          </w:tcPr>
          <w:p w14:paraId="3261F47F"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46.9%</w:t>
            </w:r>
          </w:p>
        </w:tc>
        <w:tc>
          <w:tcPr>
            <w:tcW w:w="1745" w:type="dxa"/>
            <w:noWrap/>
            <w:hideMark/>
          </w:tcPr>
          <w:p w14:paraId="72ED6C3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5260F1">
              <w:rPr>
                <w:rFonts w:asciiTheme="minorHAnsi" w:eastAsia="Times New Roman" w:hAnsiTheme="minorHAnsi" w:cstheme="minorHAnsi"/>
                <w:color w:val="000000"/>
                <w:sz w:val="20"/>
                <w:szCs w:val="20"/>
                <w:lang w:eastAsia="en-AU"/>
              </w:rPr>
              <w:t>59.1%</w:t>
            </w:r>
          </w:p>
        </w:tc>
      </w:tr>
      <w:tr w:rsidR="008000E1" w:rsidRPr="005260F1" w14:paraId="5E21B74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172405ED"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2013</w:t>
            </w:r>
          </w:p>
        </w:tc>
        <w:tc>
          <w:tcPr>
            <w:tcW w:w="1308" w:type="dxa"/>
            <w:noWrap/>
          </w:tcPr>
          <w:p w14:paraId="5C04237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25D1B2A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0.5%</w:t>
            </w:r>
          </w:p>
        </w:tc>
        <w:tc>
          <w:tcPr>
            <w:tcW w:w="1745" w:type="dxa"/>
            <w:noWrap/>
          </w:tcPr>
          <w:p w14:paraId="78BF4E0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0.1%</w:t>
            </w:r>
          </w:p>
        </w:tc>
      </w:tr>
      <w:tr w:rsidR="008000E1" w:rsidRPr="005260F1" w14:paraId="2CD249A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4E807941"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2014</w:t>
            </w:r>
          </w:p>
        </w:tc>
        <w:tc>
          <w:tcPr>
            <w:tcW w:w="1308" w:type="dxa"/>
            <w:noWrap/>
          </w:tcPr>
          <w:p w14:paraId="31B88C6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0FEE2FF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1.3%</w:t>
            </w:r>
          </w:p>
        </w:tc>
        <w:tc>
          <w:tcPr>
            <w:tcW w:w="1745" w:type="dxa"/>
            <w:noWrap/>
          </w:tcPr>
          <w:p w14:paraId="3FB20E1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0.8%</w:t>
            </w:r>
          </w:p>
        </w:tc>
      </w:tr>
      <w:tr w:rsidR="008000E1" w:rsidRPr="005260F1" w14:paraId="31941395"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1A60CE09"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2015</w:t>
            </w:r>
          </w:p>
        </w:tc>
        <w:tc>
          <w:tcPr>
            <w:tcW w:w="1308" w:type="dxa"/>
            <w:noWrap/>
          </w:tcPr>
          <w:p w14:paraId="0ECCE97E"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66263F6B"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1.2%</w:t>
            </w:r>
          </w:p>
        </w:tc>
        <w:tc>
          <w:tcPr>
            <w:tcW w:w="1745" w:type="dxa"/>
            <w:noWrap/>
          </w:tcPr>
          <w:p w14:paraId="645BD1FF"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1.1%</w:t>
            </w:r>
          </w:p>
        </w:tc>
      </w:tr>
      <w:tr w:rsidR="008000E1" w:rsidRPr="005260F1" w14:paraId="2246505A"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18BFFCD8"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2016</w:t>
            </w:r>
          </w:p>
        </w:tc>
        <w:tc>
          <w:tcPr>
            <w:tcW w:w="1308" w:type="dxa"/>
            <w:noWrap/>
          </w:tcPr>
          <w:p w14:paraId="1853A969"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5C96EACC"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7.5%</w:t>
            </w:r>
          </w:p>
        </w:tc>
        <w:tc>
          <w:tcPr>
            <w:tcW w:w="1745" w:type="dxa"/>
            <w:noWrap/>
          </w:tcPr>
          <w:p w14:paraId="24BA832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1.5%</w:t>
            </w:r>
          </w:p>
        </w:tc>
      </w:tr>
      <w:tr w:rsidR="008000E1" w:rsidRPr="005260F1" w14:paraId="7CD30AB9"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7E8556B9"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2017</w:t>
            </w:r>
          </w:p>
        </w:tc>
        <w:tc>
          <w:tcPr>
            <w:tcW w:w="1308" w:type="dxa"/>
            <w:noWrap/>
          </w:tcPr>
          <w:p w14:paraId="5C5CE2B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7272EC9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22.2%</w:t>
            </w:r>
          </w:p>
        </w:tc>
        <w:tc>
          <w:tcPr>
            <w:tcW w:w="1745" w:type="dxa"/>
            <w:noWrap/>
          </w:tcPr>
          <w:p w14:paraId="3DEB095D"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16.9%</w:t>
            </w:r>
          </w:p>
        </w:tc>
      </w:tr>
      <w:tr w:rsidR="008000E1" w:rsidRPr="005260F1" w14:paraId="4E110866"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474F6886"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2018</w:t>
            </w:r>
          </w:p>
        </w:tc>
        <w:tc>
          <w:tcPr>
            <w:tcW w:w="1308" w:type="dxa"/>
            <w:noWrap/>
          </w:tcPr>
          <w:p w14:paraId="4C69A655"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0C1EF9ED"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26.5%</w:t>
            </w:r>
          </w:p>
        </w:tc>
        <w:tc>
          <w:tcPr>
            <w:tcW w:w="1745" w:type="dxa"/>
            <w:noWrap/>
          </w:tcPr>
          <w:p w14:paraId="1B66B3E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33.5%</w:t>
            </w:r>
          </w:p>
        </w:tc>
      </w:tr>
      <w:tr w:rsidR="008000E1" w:rsidRPr="005260F1" w14:paraId="0BF19578"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7E7C1C93"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2019</w:t>
            </w:r>
          </w:p>
        </w:tc>
        <w:tc>
          <w:tcPr>
            <w:tcW w:w="1308" w:type="dxa"/>
            <w:noWrap/>
          </w:tcPr>
          <w:p w14:paraId="7A612657"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7C08CA0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28.2%</w:t>
            </w:r>
          </w:p>
        </w:tc>
        <w:tc>
          <w:tcPr>
            <w:tcW w:w="1745" w:type="dxa"/>
            <w:noWrap/>
          </w:tcPr>
          <w:p w14:paraId="783B09BD"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32.5%</w:t>
            </w:r>
          </w:p>
        </w:tc>
      </w:tr>
      <w:tr w:rsidR="008000E1" w:rsidRPr="005260F1" w14:paraId="269A52F8"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4DFFCF2B" w14:textId="77777777" w:rsidR="008000E1" w:rsidRPr="005260F1" w:rsidRDefault="008000E1">
            <w:pPr>
              <w:spacing w:before="20" w:after="20" w:line="240" w:lineRule="auto"/>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2020</w:t>
            </w:r>
          </w:p>
        </w:tc>
        <w:tc>
          <w:tcPr>
            <w:tcW w:w="1308" w:type="dxa"/>
            <w:noWrap/>
          </w:tcPr>
          <w:p w14:paraId="69BB95C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5C6D3E5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11.8%</w:t>
            </w:r>
          </w:p>
        </w:tc>
        <w:tc>
          <w:tcPr>
            <w:tcW w:w="1745" w:type="dxa"/>
            <w:noWrap/>
          </w:tcPr>
          <w:p w14:paraId="65FC9984"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12.7%</w:t>
            </w:r>
          </w:p>
        </w:tc>
      </w:tr>
      <w:tr w:rsidR="008000E1" w:rsidRPr="005260F1" w14:paraId="798A07C2"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096DAACC" w14:textId="77777777" w:rsidR="008000E1" w:rsidRPr="005260F1" w:rsidRDefault="008000E1">
            <w:pPr>
              <w:spacing w:before="20" w:after="20" w:line="240" w:lineRule="auto"/>
              <w:jc w:val="both"/>
              <w:rPr>
                <w:rFonts w:asciiTheme="minorHAnsi" w:eastAsia="Times New Roman" w:hAnsiTheme="minorHAnsi" w:cstheme="minorHAnsi"/>
                <w:b w:val="0"/>
                <w:bCs w:val="0"/>
                <w:color w:val="000000"/>
                <w:sz w:val="20"/>
                <w:szCs w:val="20"/>
                <w:lang w:eastAsia="en-AU"/>
              </w:rPr>
            </w:pPr>
            <w:r>
              <w:rPr>
                <w:rFonts w:asciiTheme="minorHAnsi" w:eastAsia="Times New Roman" w:hAnsiTheme="minorHAnsi" w:cstheme="minorHAnsi"/>
                <w:b w:val="0"/>
                <w:bCs w:val="0"/>
                <w:color w:val="000000"/>
                <w:sz w:val="20"/>
                <w:szCs w:val="20"/>
                <w:lang w:eastAsia="en-AU"/>
              </w:rPr>
              <w:t>1</w:t>
            </w:r>
            <w:r w:rsidRPr="00BC5D85">
              <w:rPr>
                <w:rFonts w:asciiTheme="minorHAnsi" w:eastAsia="Times New Roman" w:hAnsiTheme="minorHAnsi" w:cstheme="minorHAnsi"/>
                <w:b w:val="0"/>
                <w:bCs w:val="0"/>
                <w:color w:val="000000"/>
                <w:sz w:val="20"/>
                <w:szCs w:val="20"/>
                <w:vertAlign w:val="superscript"/>
                <w:lang w:eastAsia="en-AU"/>
              </w:rPr>
              <w:t>st</w:t>
            </w:r>
            <w:r>
              <w:rPr>
                <w:rFonts w:asciiTheme="minorHAnsi" w:eastAsia="Times New Roman" w:hAnsiTheme="minorHAnsi" w:cstheme="minorHAnsi"/>
                <w:b w:val="0"/>
                <w:bCs w:val="0"/>
                <w:color w:val="000000"/>
                <w:sz w:val="20"/>
                <w:szCs w:val="20"/>
                <w:lang w:eastAsia="en-AU"/>
              </w:rPr>
              <w:t xml:space="preserve"> plan approved - </w:t>
            </w:r>
            <w:r w:rsidRPr="005260F1">
              <w:rPr>
                <w:rFonts w:asciiTheme="minorHAnsi" w:eastAsia="Times New Roman" w:hAnsiTheme="minorHAnsi" w:cstheme="minorHAnsi"/>
                <w:b w:val="0"/>
                <w:bCs w:val="0"/>
                <w:color w:val="000000"/>
                <w:sz w:val="20"/>
                <w:szCs w:val="20"/>
                <w:lang w:eastAsia="en-AU"/>
              </w:rPr>
              <w:t>2021</w:t>
            </w:r>
          </w:p>
        </w:tc>
        <w:tc>
          <w:tcPr>
            <w:tcW w:w="1308" w:type="dxa"/>
            <w:noWrap/>
          </w:tcPr>
          <w:p w14:paraId="4F3DF82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1765B1CF"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0.8%</w:t>
            </w:r>
          </w:p>
        </w:tc>
        <w:tc>
          <w:tcPr>
            <w:tcW w:w="1745" w:type="dxa"/>
            <w:noWrap/>
          </w:tcPr>
          <w:p w14:paraId="33630A2C"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0.9%</w:t>
            </w:r>
          </w:p>
        </w:tc>
      </w:tr>
      <w:tr w:rsidR="008000E1" w:rsidRPr="005260F1" w14:paraId="50257F9C"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3F588C25"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Stream - </w:t>
            </w:r>
            <w:r w:rsidRPr="005260F1">
              <w:rPr>
                <w:rFonts w:asciiTheme="minorHAnsi" w:hAnsiTheme="minorHAnsi" w:cstheme="minorHAnsi"/>
                <w:b w:val="0"/>
                <w:bCs w:val="0"/>
                <w:color w:val="000000"/>
                <w:sz w:val="20"/>
                <w:szCs w:val="20"/>
              </w:rPr>
              <w:t>Complex</w:t>
            </w:r>
          </w:p>
        </w:tc>
        <w:tc>
          <w:tcPr>
            <w:tcW w:w="1308" w:type="dxa"/>
            <w:noWrap/>
          </w:tcPr>
          <w:p w14:paraId="43054C38"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3D49E5F2"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2.5%</w:t>
            </w:r>
          </w:p>
        </w:tc>
        <w:tc>
          <w:tcPr>
            <w:tcW w:w="1745" w:type="dxa"/>
            <w:noWrap/>
          </w:tcPr>
          <w:p w14:paraId="57075A7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4.4%</w:t>
            </w:r>
          </w:p>
        </w:tc>
      </w:tr>
      <w:tr w:rsidR="008000E1" w:rsidRPr="005260F1" w14:paraId="5270A156"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499D665A"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Stream - </w:t>
            </w:r>
            <w:r w:rsidRPr="005260F1">
              <w:rPr>
                <w:rFonts w:asciiTheme="minorHAnsi" w:hAnsiTheme="minorHAnsi" w:cstheme="minorHAnsi"/>
                <w:b w:val="0"/>
                <w:bCs w:val="0"/>
                <w:color w:val="000000"/>
                <w:sz w:val="20"/>
                <w:szCs w:val="20"/>
              </w:rPr>
              <w:t>General</w:t>
            </w:r>
          </w:p>
        </w:tc>
        <w:tc>
          <w:tcPr>
            <w:tcW w:w="1308" w:type="dxa"/>
            <w:noWrap/>
          </w:tcPr>
          <w:p w14:paraId="366C6D01"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789E7ED3"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25.8%</w:t>
            </w:r>
          </w:p>
        </w:tc>
        <w:tc>
          <w:tcPr>
            <w:tcW w:w="1745" w:type="dxa"/>
            <w:noWrap/>
          </w:tcPr>
          <w:p w14:paraId="73745F15"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19.6%</w:t>
            </w:r>
          </w:p>
        </w:tc>
      </w:tr>
      <w:tr w:rsidR="008000E1" w:rsidRPr="005260F1" w14:paraId="001962ED"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45EA520F"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Stream - </w:t>
            </w:r>
            <w:r w:rsidRPr="005260F1">
              <w:rPr>
                <w:rFonts w:asciiTheme="minorHAnsi" w:hAnsiTheme="minorHAnsi" w:cstheme="minorHAnsi"/>
                <w:b w:val="0"/>
                <w:bCs w:val="0"/>
                <w:color w:val="000000"/>
                <w:sz w:val="20"/>
                <w:szCs w:val="20"/>
              </w:rPr>
              <w:t>Intensive</w:t>
            </w:r>
          </w:p>
        </w:tc>
        <w:tc>
          <w:tcPr>
            <w:tcW w:w="1308" w:type="dxa"/>
            <w:noWrap/>
          </w:tcPr>
          <w:p w14:paraId="495ADFEB"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3E4D0560"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25.8%</w:t>
            </w:r>
          </w:p>
        </w:tc>
        <w:tc>
          <w:tcPr>
            <w:tcW w:w="1745" w:type="dxa"/>
            <w:noWrap/>
          </w:tcPr>
          <w:p w14:paraId="2BD406E6"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24.2%</w:t>
            </w:r>
          </w:p>
        </w:tc>
      </w:tr>
      <w:tr w:rsidR="008000E1" w:rsidRPr="005260F1" w14:paraId="586F0929"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68F4C881"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Stream - </w:t>
            </w:r>
            <w:r w:rsidRPr="005260F1">
              <w:rPr>
                <w:rFonts w:asciiTheme="minorHAnsi" w:hAnsiTheme="minorHAnsi" w:cstheme="minorHAnsi"/>
                <w:b w:val="0"/>
                <w:bCs w:val="0"/>
                <w:color w:val="000000"/>
                <w:sz w:val="20"/>
                <w:szCs w:val="20"/>
              </w:rPr>
              <w:t>Super Intensive</w:t>
            </w:r>
          </w:p>
        </w:tc>
        <w:tc>
          <w:tcPr>
            <w:tcW w:w="1308" w:type="dxa"/>
            <w:noWrap/>
          </w:tcPr>
          <w:p w14:paraId="11BCF5BA"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192BA129"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4.4%</w:t>
            </w:r>
          </w:p>
        </w:tc>
        <w:tc>
          <w:tcPr>
            <w:tcW w:w="1745" w:type="dxa"/>
            <w:noWrap/>
          </w:tcPr>
          <w:p w14:paraId="39D26B66" w14:textId="77777777" w:rsidR="008000E1" w:rsidRPr="005260F1" w:rsidRDefault="008000E1">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5.0%</w:t>
            </w:r>
          </w:p>
        </w:tc>
      </w:tr>
      <w:tr w:rsidR="008000E1" w:rsidRPr="005260F1" w14:paraId="1EEA3BF0" w14:textId="777777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922" w:type="dxa"/>
            <w:noWrap/>
          </w:tcPr>
          <w:p w14:paraId="36BF5352" w14:textId="77777777" w:rsidR="008000E1" w:rsidRPr="005260F1" w:rsidRDefault="008000E1">
            <w:pPr>
              <w:spacing w:before="20" w:after="20" w:line="240" w:lineRule="auto"/>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 xml:space="preserve">Stream - </w:t>
            </w:r>
            <w:r w:rsidRPr="005260F1">
              <w:rPr>
                <w:rFonts w:asciiTheme="minorHAnsi" w:hAnsiTheme="minorHAnsi" w:cstheme="minorHAnsi"/>
                <w:b w:val="0"/>
                <w:bCs w:val="0"/>
                <w:color w:val="000000"/>
                <w:sz w:val="20"/>
                <w:szCs w:val="20"/>
              </w:rPr>
              <w:t>Supported</w:t>
            </w:r>
          </w:p>
        </w:tc>
        <w:tc>
          <w:tcPr>
            <w:tcW w:w="1308" w:type="dxa"/>
            <w:noWrap/>
          </w:tcPr>
          <w:p w14:paraId="64EC3A11"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sz w:val="20"/>
                <w:szCs w:val="20"/>
                <w:lang w:eastAsia="en-AU"/>
              </w:rPr>
            </w:pPr>
            <w:r w:rsidRPr="000D6299">
              <w:rPr>
                <w:rFonts w:asciiTheme="minorHAnsi" w:eastAsia="Times New Roman" w:hAnsiTheme="minorHAnsi" w:cstheme="minorHAnsi"/>
                <w:color w:val="000000"/>
                <w:sz w:val="20"/>
                <w:szCs w:val="20"/>
                <w:lang w:eastAsia="en-AU"/>
              </w:rPr>
              <w:t>-</w:t>
            </w:r>
          </w:p>
        </w:tc>
        <w:tc>
          <w:tcPr>
            <w:tcW w:w="1890" w:type="dxa"/>
            <w:noWrap/>
          </w:tcPr>
          <w:p w14:paraId="557C90BD"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41.4%</w:t>
            </w:r>
          </w:p>
        </w:tc>
        <w:tc>
          <w:tcPr>
            <w:tcW w:w="1745" w:type="dxa"/>
            <w:noWrap/>
          </w:tcPr>
          <w:p w14:paraId="26C99873" w14:textId="77777777" w:rsidR="008000E1" w:rsidRPr="005260F1" w:rsidRDefault="008000E1">
            <w:pPr>
              <w:spacing w:before="20" w:after="20" w:line="240" w:lineRule="auto"/>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szCs w:val="20"/>
              </w:rPr>
            </w:pPr>
            <w:r w:rsidRPr="005260F1">
              <w:rPr>
                <w:rFonts w:asciiTheme="minorHAnsi" w:hAnsiTheme="minorHAnsi" w:cstheme="minorHAnsi"/>
                <w:color w:val="000000"/>
                <w:sz w:val="20"/>
                <w:szCs w:val="20"/>
              </w:rPr>
              <w:t>46.8%</w:t>
            </w:r>
          </w:p>
        </w:tc>
      </w:tr>
    </w:tbl>
    <w:p w14:paraId="6D1185BB" w14:textId="77777777" w:rsidR="008000E1" w:rsidRDefault="008000E1" w:rsidP="008000E1">
      <w:pPr>
        <w:pStyle w:val="Heading6"/>
      </w:pPr>
      <w:r>
        <w:t>Step 2: Implement DiD</w:t>
      </w:r>
    </w:p>
    <w:p w14:paraId="54443FD5" w14:textId="77777777" w:rsidR="008000E1" w:rsidRDefault="008000E1" w:rsidP="008000E1">
      <w:r>
        <w:t xml:space="preserve">We aggregated/averaged day/month/year participant payments data into month/year observations for each participant. Start dates of trial activities were normalised, so that zero corresponded to the month/year of the start month. Any number less than zero (negative) corresponds to months before the trial start month and any number greater than zero (positive) represents months after the intervention started. </w:t>
      </w:r>
    </w:p>
    <w:p w14:paraId="5951B39B" w14:textId="77777777" w:rsidR="008000E1" w:rsidRDefault="008000E1" w:rsidP="008000E1">
      <w:r>
        <w:t>To this data we added participant demographics and covariates to include in the DiD regression equation to account for any minor differences that may exist between the treatment and control groups after PSM.</w:t>
      </w:r>
    </w:p>
    <w:p w14:paraId="2E642A5C" w14:textId="77777777" w:rsidR="008000E1" w:rsidRDefault="008000E1" w:rsidP="008000E1">
      <w:r>
        <w:t>DiD is usually implemented as an interaction term between time and treatment group dummy variables in a regression model. The equation below describes this interaction and the estimated coefficient of interest.</w:t>
      </w:r>
    </w:p>
    <w:p w14:paraId="53B9D839" w14:textId="77777777" w:rsidR="008000E1" w:rsidRDefault="008000E1" w:rsidP="008000E1">
      <m:oMathPara>
        <m:oMath>
          <m:r>
            <w:rPr>
              <w:rFonts w:ascii="Cambria Math" w:hAnsi="Cambria Math" w:cs="Arial"/>
              <w:sz w:val="24"/>
            </w:rPr>
            <m:t>Y=</m:t>
          </m:r>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0</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1</m:t>
              </m:r>
            </m:sub>
          </m:sSub>
          <m:r>
            <w:rPr>
              <w:rFonts w:ascii="Cambria Math" w:hAnsi="Cambria Math" w:cs="Arial"/>
              <w:sz w:val="24"/>
            </w:rPr>
            <m:t>*</m:t>
          </m:r>
          <m:d>
            <m:dPr>
              <m:begChr m:val="["/>
              <m:endChr m:val="]"/>
              <m:ctrlPr>
                <w:rPr>
                  <w:rFonts w:ascii="Cambria Math" w:hAnsi="Cambria Math" w:cs="Arial"/>
                  <w:i/>
                  <w:sz w:val="24"/>
                </w:rPr>
              </m:ctrlPr>
            </m:dPr>
            <m:e>
              <m:r>
                <w:rPr>
                  <w:rFonts w:ascii="Cambria Math" w:hAnsi="Cambria Math" w:cs="Arial"/>
                  <w:sz w:val="24"/>
                </w:rPr>
                <m:t>Time</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2</m:t>
              </m:r>
            </m:sub>
          </m:sSub>
          <m:r>
            <w:rPr>
              <w:rFonts w:ascii="Cambria Math" w:hAnsi="Cambria Math" w:cs="Arial"/>
              <w:sz w:val="24"/>
            </w:rPr>
            <m:t>*</m:t>
          </m:r>
          <m:d>
            <m:dPr>
              <m:begChr m:val="["/>
              <m:endChr m:val="]"/>
              <m:ctrlPr>
                <w:rPr>
                  <w:rFonts w:ascii="Cambria Math" w:hAnsi="Cambria Math" w:cs="Arial"/>
                  <w:i/>
                  <w:sz w:val="24"/>
                </w:rPr>
              </m:ctrlPr>
            </m:dPr>
            <m:e>
              <m:r>
                <w:rPr>
                  <w:rFonts w:ascii="Cambria Math" w:hAnsi="Cambria Math" w:cs="Arial"/>
                  <w:sz w:val="24"/>
                </w:rPr>
                <m:t>Treat</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3</m:t>
              </m:r>
            </m:sub>
          </m:sSub>
          <m:r>
            <w:rPr>
              <w:rFonts w:ascii="Cambria Math" w:hAnsi="Cambria Math" w:cs="Arial"/>
              <w:sz w:val="24"/>
            </w:rPr>
            <m:t>*</m:t>
          </m:r>
          <m:d>
            <m:dPr>
              <m:begChr m:val="["/>
              <m:endChr m:val="]"/>
              <m:ctrlPr>
                <w:rPr>
                  <w:rFonts w:ascii="Cambria Math" w:hAnsi="Cambria Math" w:cs="Arial"/>
                  <w:i/>
                  <w:sz w:val="24"/>
                </w:rPr>
              </m:ctrlPr>
            </m:dPr>
            <m:e>
              <m:r>
                <w:rPr>
                  <w:rFonts w:ascii="Cambria Math" w:hAnsi="Cambria Math" w:cs="Arial"/>
                  <w:sz w:val="24"/>
                </w:rPr>
                <m:t>Time*Treat</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β</m:t>
              </m:r>
            </m:e>
            <m:sub>
              <m:r>
                <w:rPr>
                  <w:rFonts w:ascii="Cambria Math" w:hAnsi="Cambria Math" w:cs="Arial"/>
                  <w:sz w:val="24"/>
                </w:rPr>
                <m:t>N</m:t>
              </m:r>
            </m:sub>
          </m:sSub>
          <m:r>
            <w:rPr>
              <w:rFonts w:ascii="Cambria Math" w:hAnsi="Cambria Math" w:cs="Arial"/>
              <w:sz w:val="24"/>
            </w:rPr>
            <m:t>*</m:t>
          </m:r>
          <m:d>
            <m:dPr>
              <m:begChr m:val="["/>
              <m:endChr m:val="]"/>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N</m:t>
                  </m:r>
                </m:sub>
              </m:sSub>
            </m:e>
          </m:d>
          <m:r>
            <w:rPr>
              <w:rFonts w:ascii="Cambria Math" w:hAnsi="Cambria Math" w:cs="Arial"/>
              <w:sz w:val="24"/>
            </w:rPr>
            <m:t>+ε</m:t>
          </m:r>
        </m:oMath>
      </m:oMathPara>
    </w:p>
    <w:p w14:paraId="1BA8E384" w14:textId="77777777" w:rsidR="008000E1" w:rsidRPr="00FE2E3B" w:rsidRDefault="008000E1" w:rsidP="008000E1">
      <w:pPr>
        <w:spacing w:before="160"/>
        <w:rPr>
          <w:rFonts w:cs="Arial"/>
        </w:rPr>
      </w:pPr>
      <m:oMath>
        <m:r>
          <w:rPr>
            <w:rFonts w:ascii="Cambria Math" w:hAnsi="Cambria Math" w:cs="Arial"/>
          </w:rPr>
          <w:lastRenderedPageBreak/>
          <m:t>Y</m:t>
        </m:r>
      </m:oMath>
      <w:r w:rsidRPr="00F9239A">
        <w:rPr>
          <w:rFonts w:cs="Arial"/>
        </w:rPr>
        <w:t xml:space="preserve"> is the outcome variable of interest. In our analysis the outcome of interest is “total NDIS </w:t>
      </w:r>
      <w:r>
        <w:rPr>
          <w:rFonts w:cs="Arial"/>
        </w:rPr>
        <w:t>expenditure</w:t>
      </w:r>
      <w:r w:rsidRPr="00F9239A">
        <w:rPr>
          <w:rFonts w:cs="Arial"/>
        </w:rPr>
        <w:t xml:space="preserve"> per month per participant”. </w:t>
      </w:r>
    </w:p>
    <w:p w14:paraId="392D0C81" w14:textId="77777777" w:rsidR="008000E1" w:rsidRPr="00FE2E3B" w:rsidRDefault="00000000" w:rsidP="008000E1">
      <w:pPr>
        <w:spacing w:before="160"/>
        <w:rPr>
          <w:rFonts w:cs="Arial"/>
        </w:rPr>
      </w:pPr>
      <m:oMath>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w:r w:rsidR="008000E1" w:rsidRPr="00F9239A">
        <w:rPr>
          <w:rFonts w:cs="Arial"/>
        </w:rPr>
        <w:t xml:space="preserve"> reports the model intercept coefficient or the baseline average across the sample data. That is the average total spend per participant per month in the sample. </w:t>
      </w:r>
    </w:p>
    <w:p w14:paraId="10458AA1" w14:textId="77777777" w:rsidR="008000E1" w:rsidRDefault="00000000" w:rsidP="008000E1">
      <w:pPr>
        <w:spacing w:before="160"/>
        <w:rPr>
          <w:rFonts w:cs="Arial"/>
        </w:rPr>
      </w:pPr>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oMath>
      <w:r w:rsidR="008000E1" w:rsidRPr="00F9239A">
        <w:rPr>
          <w:rFonts w:cs="Arial"/>
        </w:rPr>
        <w:t xml:space="preserve"> reports the time trend coefficient. Here “</w:t>
      </w:r>
      <m:oMath>
        <m:r>
          <w:rPr>
            <w:rFonts w:ascii="Cambria Math" w:hAnsi="Cambria Math" w:cs="Arial"/>
          </w:rPr>
          <m:t>Time</m:t>
        </m:r>
      </m:oMath>
      <w:r w:rsidR="008000E1" w:rsidRPr="00F9239A">
        <w:rPr>
          <w:rFonts w:cs="Arial"/>
        </w:rPr>
        <w:t>” is a dummy variable that is equal to one i</w:t>
      </w:r>
      <w:r w:rsidR="008000E1">
        <w:rPr>
          <w:rFonts w:cs="Arial"/>
        </w:rPr>
        <w:t>n</w:t>
      </w:r>
      <w:r w:rsidR="008000E1" w:rsidRPr="00F9239A">
        <w:rPr>
          <w:rFonts w:cs="Arial"/>
        </w:rPr>
        <w:t xml:space="preserve"> the period </w:t>
      </w:r>
      <w:r w:rsidR="008000E1">
        <w:rPr>
          <w:rFonts w:cs="Arial"/>
        </w:rPr>
        <w:t xml:space="preserve">that </w:t>
      </w:r>
      <w:r w:rsidR="008000E1" w:rsidRPr="00F9239A">
        <w:rPr>
          <w:rFonts w:cs="Arial"/>
        </w:rPr>
        <w:t>corresponds to a</w:t>
      </w:r>
      <w:r w:rsidR="008000E1">
        <w:rPr>
          <w:rFonts w:cs="Arial"/>
        </w:rPr>
        <w:t>ny</w:t>
      </w:r>
      <w:r w:rsidR="008000E1" w:rsidRPr="00F9239A">
        <w:rPr>
          <w:rFonts w:cs="Arial"/>
        </w:rPr>
        <w:t xml:space="preserve"> month after the intervention, and equal to zero if it corresponds to a</w:t>
      </w:r>
      <w:r w:rsidR="008000E1">
        <w:rPr>
          <w:rFonts w:cs="Arial"/>
        </w:rPr>
        <w:t>ny</w:t>
      </w:r>
      <w:r w:rsidR="008000E1" w:rsidRPr="00F9239A">
        <w:rPr>
          <w:rFonts w:cs="Arial"/>
        </w:rPr>
        <w:t xml:space="preserve"> month before the intervention. For our analysis we include 10 periods (months) before and 10 periods after the intervention (21 periods total including </w:t>
      </w:r>
      <m:oMath>
        <m:r>
          <w:rPr>
            <w:rFonts w:ascii="Cambria Math" w:hAnsi="Cambria Math" w:cs="Arial"/>
          </w:rPr>
          <m:t>t=0</m:t>
        </m:r>
      </m:oMath>
      <w:r w:rsidR="008000E1" w:rsidRPr="00F9239A">
        <w:rPr>
          <w:rFonts w:cs="Arial"/>
        </w:rPr>
        <w:t xml:space="preserve"> for time of intervention</w:t>
      </w:r>
      <w:r w:rsidR="008000E1">
        <w:rPr>
          <w:rFonts w:cs="Arial"/>
        </w:rPr>
        <w:t>)</w:t>
      </w:r>
      <w:r w:rsidR="008000E1" w:rsidRPr="00F9239A">
        <w:rPr>
          <w:rFonts w:cs="Arial"/>
        </w:rPr>
        <w:t>. This can be formalised as the first difference (before versus after).</w:t>
      </w:r>
    </w:p>
    <w:p w14:paraId="56E40D31" w14:textId="77777777" w:rsidR="008000E1" w:rsidRDefault="00000000" w:rsidP="008000E1">
      <w:pPr>
        <w:spacing w:before="160"/>
        <w:rPr>
          <w:rFonts w:cs="Arial"/>
        </w:rPr>
      </w:pPr>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oMath>
      <w:r w:rsidR="008000E1" w:rsidRPr="00F9239A">
        <w:rPr>
          <w:rFonts w:cs="Arial"/>
        </w:rPr>
        <w:t xml:space="preserve"> reports the group coefficient. Here “</w:t>
      </w:r>
      <m:oMath>
        <m:r>
          <w:rPr>
            <w:rFonts w:ascii="Cambria Math" w:hAnsi="Cambria Math" w:cs="Arial"/>
          </w:rPr>
          <m:t>Treat</m:t>
        </m:r>
      </m:oMath>
      <w:r w:rsidR="008000E1" w:rsidRPr="00F9239A">
        <w:rPr>
          <w:rFonts w:cs="Arial"/>
        </w:rPr>
        <w:t xml:space="preserve">” is a dummy variable equal to one if the participant was treated (part of the trial) and equal to zero if the participant was not part of the trial. This can be formalised as the second difference (treatment versus control). </w:t>
      </w:r>
    </w:p>
    <w:p w14:paraId="05DAEE51" w14:textId="79B724E7" w:rsidR="008000E1" w:rsidRPr="00000CAD" w:rsidRDefault="00000000" w:rsidP="008000E1">
      <w:pPr>
        <w:spacing w:before="160"/>
        <w:rPr>
          <w:rFonts w:cs="Arial"/>
        </w:rPr>
      </w:pPr>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w:r w:rsidR="008000E1" w:rsidRPr="00F9239A">
        <w:rPr>
          <w:rFonts w:cs="Arial"/>
        </w:rPr>
        <w:t xml:space="preserve"> reports the DiD coefficient. This is the interaction between the before versus after effect of the intervention, and the treated versus control effect of the intervention. Overall, if the parallel trends assumption is met, </w:t>
      </w:r>
      <m:oMath>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w:r w:rsidR="008000E1" w:rsidRPr="00F9239A">
        <w:rPr>
          <w:rFonts w:cs="Arial"/>
        </w:rPr>
        <w:t xml:space="preserve"> will represent the ATE (average treatment effect) of the </w:t>
      </w:r>
      <w:r w:rsidR="008000E1">
        <w:rPr>
          <w:rFonts w:cs="Arial"/>
        </w:rPr>
        <w:t>market facilitation</w:t>
      </w:r>
      <w:r w:rsidR="008000E1" w:rsidRPr="00F9239A">
        <w:rPr>
          <w:rFonts w:cs="Arial"/>
        </w:rPr>
        <w:t xml:space="preserve"> on the outcome variable of interest</w:t>
      </w:r>
      <w:r w:rsidR="008000E1" w:rsidRPr="00000CAD">
        <w:rPr>
          <w:rFonts w:cs="Arial"/>
        </w:rPr>
        <w:t>.</w:t>
      </w:r>
    </w:p>
    <w:p w14:paraId="3AF540EA" w14:textId="77777777" w:rsidR="008000E1" w:rsidRPr="00370827" w:rsidRDefault="008000E1" w:rsidP="008000E1">
      <w:pPr>
        <w:spacing w:before="160"/>
        <w:rPr>
          <w:rFonts w:cs="Arial"/>
        </w:rPr>
      </w:pPr>
      <w:r w:rsidRPr="00370827">
        <w:rPr>
          <w:rFonts w:cs="Arial"/>
        </w:rPr>
        <w:t xml:space="preserve">Also included in the DiD regression equation is </w:t>
      </w:r>
      <m:oMath>
        <m:sSub>
          <m:sSubPr>
            <m:ctrlPr>
              <w:rPr>
                <w:rFonts w:ascii="Cambria Math" w:hAnsi="Cambria Math" w:cs="Arial"/>
                <w:i/>
              </w:rPr>
            </m:ctrlPr>
          </m:sSubPr>
          <m:e>
            <m:r>
              <w:rPr>
                <w:rFonts w:ascii="Cambria Math" w:hAnsi="Cambria Math" w:cs="Arial"/>
              </w:rPr>
              <m:t>β</m:t>
            </m:r>
          </m:e>
          <m:sub>
            <m:r>
              <w:rPr>
                <w:rFonts w:ascii="Cambria Math" w:hAnsi="Cambria Math" w:cs="Arial"/>
              </w:rPr>
              <m:t>N</m:t>
            </m:r>
          </m:sub>
        </m:sSub>
      </m:oMath>
      <w:r w:rsidRPr="00370827">
        <w:rPr>
          <w:rFonts w:cs="Arial"/>
        </w:rPr>
        <w:t xml:space="preserve"> which is the covariate </w:t>
      </w:r>
      <m:oMath>
        <m:sSub>
          <m:sSubPr>
            <m:ctrlPr>
              <w:rPr>
                <w:rFonts w:ascii="Cambria Math" w:hAnsi="Cambria Math" w:cs="Arial"/>
                <w:i/>
              </w:rPr>
            </m:ctrlPr>
          </m:sSubPr>
          <m:e>
            <m:r>
              <w:rPr>
                <w:rFonts w:ascii="Cambria Math" w:hAnsi="Cambria Math" w:cs="Arial"/>
              </w:rPr>
              <m:t>X</m:t>
            </m:r>
          </m:e>
          <m:sub>
            <m:r>
              <w:rPr>
                <w:rFonts w:ascii="Cambria Math" w:hAnsi="Cambria Math" w:cs="Arial"/>
              </w:rPr>
              <m:t>N</m:t>
            </m:r>
          </m:sub>
        </m:sSub>
      </m:oMath>
      <w:r w:rsidRPr="00370827">
        <w:rPr>
          <w:rFonts w:cs="Arial"/>
        </w:rPr>
        <w:t xml:space="preserve"> coefficient. This is to control for any small differences between the participants and in turn control for differences between the treatment and control group. This covariate term include</w:t>
      </w:r>
      <w:r>
        <w:rPr>
          <w:rFonts w:cs="Arial"/>
        </w:rPr>
        <w:t>d</w:t>
      </w:r>
      <w:r w:rsidRPr="00370827">
        <w:rPr>
          <w:rFonts w:cs="Arial"/>
        </w:rPr>
        <w:t xml:space="preserve"> participant age, Australian state or territory, NDIS entry time, year of </w:t>
      </w:r>
      <w:r>
        <w:rPr>
          <w:rFonts w:cs="Arial"/>
        </w:rPr>
        <w:t xml:space="preserve">first </w:t>
      </w:r>
      <w:r w:rsidRPr="00370827">
        <w:rPr>
          <w:rFonts w:cs="Arial"/>
        </w:rPr>
        <w:t xml:space="preserve">claim, gender, MMM location, NDIS </w:t>
      </w:r>
      <w:r>
        <w:rPr>
          <w:rFonts w:cs="Arial"/>
        </w:rPr>
        <w:t xml:space="preserve">primary </w:t>
      </w:r>
      <w:r w:rsidRPr="00370827">
        <w:rPr>
          <w:rFonts w:cs="Arial"/>
        </w:rPr>
        <w:t>disability group, NDIS normalised severity score, vulnerable participant</w:t>
      </w:r>
      <w:r>
        <w:rPr>
          <w:rFonts w:cs="Arial"/>
        </w:rPr>
        <w:t xml:space="preserve"> indicator</w:t>
      </w:r>
      <w:r w:rsidRPr="00370827">
        <w:rPr>
          <w:rFonts w:cs="Arial"/>
        </w:rPr>
        <w:t xml:space="preserve">, </w:t>
      </w:r>
      <w:r>
        <w:rPr>
          <w:rFonts w:cs="Arial"/>
        </w:rPr>
        <w:t>CALD and Fist Nations indicators</w:t>
      </w:r>
      <w:r w:rsidRPr="00370827">
        <w:rPr>
          <w:rFonts w:cs="Arial"/>
        </w:rPr>
        <w:t xml:space="preserve">, and NDIS entry year/quarter. The last term of the DiD regression equation is </w:t>
      </w:r>
      <m:oMath>
        <m:r>
          <w:rPr>
            <w:rFonts w:ascii="Cambria Math" w:hAnsi="Cambria Math" w:cs="Arial"/>
          </w:rPr>
          <m:t>ε</m:t>
        </m:r>
      </m:oMath>
      <w:r w:rsidRPr="00370827">
        <w:rPr>
          <w:rFonts w:cs="Arial"/>
        </w:rPr>
        <w:t xml:space="preserve"> which is the regression error term.</w:t>
      </w:r>
    </w:p>
    <w:p w14:paraId="6DC82048" w14:textId="54185727" w:rsidR="008000E1" w:rsidRDefault="0010798B" w:rsidP="008000E1">
      <w:pPr>
        <w:spacing w:before="160"/>
        <w:rPr>
          <w:rFonts w:cs="Arial"/>
        </w:rPr>
      </w:pPr>
      <w:r>
        <w:rPr>
          <w:rFonts w:cs="Arial"/>
          <w:color w:val="2B579A"/>
          <w:shd w:val="clear" w:color="auto" w:fill="E6E6E6"/>
        </w:rPr>
        <w:fldChar w:fldCharType="begin"/>
      </w:r>
      <w:r>
        <w:rPr>
          <w:rFonts w:cs="Arial"/>
        </w:rPr>
        <w:instrText xml:space="preserve"> REF _Ref120705033 \h </w:instrText>
      </w:r>
      <w:r>
        <w:rPr>
          <w:rFonts w:cs="Arial"/>
          <w:color w:val="2B579A"/>
          <w:shd w:val="clear" w:color="auto" w:fill="E6E6E6"/>
        </w:rPr>
      </w:r>
      <w:r>
        <w:rPr>
          <w:rFonts w:cs="Arial"/>
          <w:color w:val="2B579A"/>
          <w:shd w:val="clear" w:color="auto" w:fill="E6E6E6"/>
        </w:rPr>
        <w:fldChar w:fldCharType="separate"/>
      </w:r>
      <w:r w:rsidR="00DE04FA">
        <w:t xml:space="preserve">Table </w:t>
      </w:r>
      <w:r w:rsidR="00DE04FA">
        <w:rPr>
          <w:noProof/>
        </w:rPr>
        <w:t>11</w:t>
      </w:r>
      <w:r>
        <w:rPr>
          <w:rFonts w:cs="Arial"/>
          <w:color w:val="2B579A"/>
          <w:shd w:val="clear" w:color="auto" w:fill="E6E6E6"/>
        </w:rPr>
        <w:fldChar w:fldCharType="end"/>
      </w:r>
      <w:r>
        <w:rPr>
          <w:rFonts w:cs="Arial"/>
        </w:rPr>
        <w:t xml:space="preserve"> </w:t>
      </w:r>
      <w:r w:rsidR="008000E1">
        <w:rPr>
          <w:rFonts w:cs="Arial"/>
        </w:rPr>
        <w:t xml:space="preserve">illustrates the mechanics behind the coefficient of interest </w:t>
      </w:r>
      <m:oMath>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3</m:t>
            </m:r>
          </m:sub>
        </m:sSub>
      </m:oMath>
      <w:r w:rsidR="008000E1">
        <w:rPr>
          <w:rFonts w:cs="Arial"/>
        </w:rPr>
        <w:t>.The table shows how through a regression equation, we can remove any treated participant effects (</w:t>
      </w:r>
      <m:oMath>
        <m:sSub>
          <m:sSubPr>
            <m:ctrlPr>
              <w:rPr>
                <w:rFonts w:ascii="Cambria Math" w:hAnsi="Cambria Math" w:cs="Arial"/>
                <w:i/>
              </w:rPr>
            </m:ctrlPr>
          </m:sSubPr>
          <m:e>
            <m:r>
              <w:rPr>
                <w:rFonts w:ascii="Cambria Math" w:hAnsi="Cambria Math" w:cs="Arial"/>
              </w:rPr>
              <m:t>β</m:t>
            </m:r>
          </m:e>
          <m:sub>
            <m:r>
              <w:rPr>
                <w:rFonts w:ascii="Cambria Math" w:hAnsi="Cambria Math" w:cs="Arial"/>
              </w:rPr>
              <m:t>2</m:t>
            </m:r>
          </m:sub>
        </m:sSub>
        <m:r>
          <w:rPr>
            <w:rFonts w:ascii="Cambria Math" w:hAnsi="Cambria Math" w:cs="Arial"/>
          </w:rPr>
          <m:t>)</m:t>
        </m:r>
      </m:oMath>
      <w:r w:rsidR="008000E1">
        <w:rPr>
          <w:rFonts w:cs="Arial"/>
        </w:rPr>
        <w:t xml:space="preserve"> and any time effects </w:t>
      </w:r>
      <m:oMath>
        <m:sSub>
          <m:sSubPr>
            <m:ctrlPr>
              <w:rPr>
                <w:rFonts w:ascii="Cambria Math" w:hAnsi="Cambria Math" w:cs="Arial"/>
                <w:i/>
              </w:rPr>
            </m:ctrlPr>
          </m:sSubPr>
          <m:e>
            <m:r>
              <w:rPr>
                <w:rFonts w:ascii="Cambria Math" w:hAnsi="Cambria Math" w:cs="Arial"/>
              </w:rPr>
              <m:t>(β</m:t>
            </m:r>
          </m:e>
          <m:sub>
            <m:r>
              <w:rPr>
                <w:rFonts w:ascii="Cambria Math" w:hAnsi="Cambria Math" w:cs="Arial"/>
              </w:rPr>
              <m:t>1</m:t>
            </m:r>
          </m:sub>
        </m:sSub>
        <m:r>
          <w:rPr>
            <w:rFonts w:ascii="Cambria Math" w:hAnsi="Cambria Math" w:cs="Arial"/>
          </w:rPr>
          <m:t>)</m:t>
        </m:r>
      </m:oMath>
      <w:r w:rsidR="008000E1">
        <w:rPr>
          <w:rFonts w:cs="Arial"/>
        </w:rPr>
        <w:t>. In turn the equation theorectoriaclly controls for any differences between participants, controls for any time trends in the outcome variable and estimates the causal effect of the trial intervention.</w:t>
      </w:r>
    </w:p>
    <w:p w14:paraId="318B4ABD" w14:textId="43EE093F" w:rsidR="008000E1" w:rsidRDefault="008000E1" w:rsidP="008000E1">
      <w:pPr>
        <w:pStyle w:val="Caption"/>
      </w:pPr>
      <w:bookmarkStart w:id="184" w:name="_Ref120705033"/>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11</w:t>
      </w:r>
      <w:r>
        <w:rPr>
          <w:color w:val="2B579A"/>
          <w:shd w:val="clear" w:color="auto" w:fill="E6E6E6"/>
        </w:rPr>
        <w:fldChar w:fldCharType="end"/>
      </w:r>
      <w:bookmarkEnd w:id="184"/>
      <w:r>
        <w:t>: Difference-in-difference</w:t>
      </w:r>
    </w:p>
    <w:tbl>
      <w:tblPr>
        <w:tblStyle w:val="LightShading-Accent4"/>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Description w:val="This table provides a visualisation of the difference in difference mechanics described in the preceding text. "/>
      </w:tblPr>
      <w:tblGrid>
        <w:gridCol w:w="1914"/>
        <w:gridCol w:w="2476"/>
        <w:gridCol w:w="2268"/>
        <w:gridCol w:w="2126"/>
      </w:tblGrid>
      <w:tr w:rsidR="008000E1" w:rsidRPr="00FE2E3B" w14:paraId="721F8906" w14:textId="77777777">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914" w:type="dxa"/>
          </w:tcPr>
          <w:p w14:paraId="47BF13BE" w14:textId="77777777" w:rsidR="008000E1" w:rsidRPr="00FE2E3B" w:rsidRDefault="008000E1">
            <w:pPr>
              <w:spacing w:before="20" w:after="20"/>
              <w:rPr>
                <w:rFonts w:cs="Arial"/>
                <w:sz w:val="20"/>
                <w:szCs w:val="20"/>
              </w:rPr>
            </w:pPr>
            <w:r w:rsidRPr="00FE2E3B">
              <w:rPr>
                <w:rFonts w:cs="Arial"/>
                <w:sz w:val="20"/>
                <w:szCs w:val="20"/>
              </w:rPr>
              <w:t>Time/Group</w:t>
            </w:r>
          </w:p>
        </w:tc>
        <w:tc>
          <w:tcPr>
            <w:tcW w:w="2476" w:type="dxa"/>
          </w:tcPr>
          <w:p w14:paraId="08654D1F" w14:textId="77777777" w:rsidR="008000E1" w:rsidRPr="00FE2E3B" w:rsidRDefault="008000E1">
            <w:pPr>
              <w:spacing w:before="20" w:after="2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E2E3B">
              <w:rPr>
                <w:rFonts w:cs="Arial"/>
                <w:sz w:val="20"/>
                <w:szCs w:val="20"/>
              </w:rPr>
              <w:t>Treated</w:t>
            </w:r>
          </w:p>
        </w:tc>
        <w:tc>
          <w:tcPr>
            <w:tcW w:w="2268" w:type="dxa"/>
          </w:tcPr>
          <w:p w14:paraId="314C63B9" w14:textId="77777777" w:rsidR="008000E1" w:rsidRPr="00FE2E3B" w:rsidRDefault="008000E1">
            <w:pPr>
              <w:spacing w:before="20" w:after="2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E2E3B">
              <w:rPr>
                <w:rFonts w:cs="Arial"/>
                <w:sz w:val="20"/>
                <w:szCs w:val="20"/>
              </w:rPr>
              <w:t>Control</w:t>
            </w:r>
          </w:p>
        </w:tc>
        <w:tc>
          <w:tcPr>
            <w:tcW w:w="2126" w:type="dxa"/>
          </w:tcPr>
          <w:p w14:paraId="5A9A724B" w14:textId="77777777" w:rsidR="008000E1" w:rsidRPr="00FE2E3B" w:rsidRDefault="008000E1">
            <w:pPr>
              <w:spacing w:before="20" w:after="20"/>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FE2E3B">
              <w:rPr>
                <w:rFonts w:cs="Arial"/>
                <w:sz w:val="20"/>
                <w:szCs w:val="20"/>
              </w:rPr>
              <w:t>Difference</w:t>
            </w:r>
          </w:p>
        </w:tc>
      </w:tr>
      <w:tr w:rsidR="008000E1" w:rsidRPr="00FE2E3B" w14:paraId="749E5287"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914" w:type="dxa"/>
          </w:tcPr>
          <w:p w14:paraId="3ED8ACF5" w14:textId="77777777" w:rsidR="008000E1" w:rsidRPr="00FE2E3B" w:rsidRDefault="008000E1">
            <w:pPr>
              <w:spacing w:before="20" w:after="20"/>
              <w:rPr>
                <w:rFonts w:cs="Arial"/>
                <w:sz w:val="20"/>
                <w:szCs w:val="20"/>
              </w:rPr>
            </w:pPr>
            <w:r w:rsidRPr="00FE2E3B">
              <w:rPr>
                <w:rFonts w:cs="Arial"/>
                <w:sz w:val="20"/>
                <w:szCs w:val="20"/>
              </w:rPr>
              <w:t>Before</w:t>
            </w:r>
          </w:p>
        </w:tc>
        <w:tc>
          <w:tcPr>
            <w:tcW w:w="2476" w:type="dxa"/>
          </w:tcPr>
          <w:p w14:paraId="196FFD8F" w14:textId="77777777" w:rsidR="008000E1" w:rsidRPr="00FE2E3B" w:rsidRDefault="00000000">
            <w:pPr>
              <w:spacing w:before="20" w:after="20"/>
              <w:cnfStyle w:val="000000100000" w:firstRow="0" w:lastRow="0" w:firstColumn="0" w:lastColumn="0" w:oddVBand="0" w:evenVBand="0" w:oddHBand="1" w:evenHBand="0"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2</m:t>
                    </m:r>
                  </m:sub>
                </m:sSub>
              </m:oMath>
            </m:oMathPara>
          </w:p>
        </w:tc>
        <w:tc>
          <w:tcPr>
            <w:tcW w:w="2268" w:type="dxa"/>
          </w:tcPr>
          <w:p w14:paraId="785F2685" w14:textId="77777777" w:rsidR="008000E1" w:rsidRPr="00FE2E3B" w:rsidRDefault="00000000">
            <w:pPr>
              <w:spacing w:before="20" w:after="20"/>
              <w:cnfStyle w:val="000000100000" w:firstRow="0" w:lastRow="0" w:firstColumn="0" w:lastColumn="0" w:oddVBand="0" w:evenVBand="0" w:oddHBand="1" w:evenHBand="0"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oMath>
            </m:oMathPara>
          </w:p>
        </w:tc>
        <w:tc>
          <w:tcPr>
            <w:tcW w:w="2126" w:type="dxa"/>
          </w:tcPr>
          <w:p w14:paraId="7555B8C5" w14:textId="77777777" w:rsidR="008000E1" w:rsidRPr="00FE2E3B" w:rsidRDefault="00000000">
            <w:pPr>
              <w:spacing w:before="20" w:after="20"/>
              <w:cnfStyle w:val="000000100000" w:firstRow="0" w:lastRow="0" w:firstColumn="0" w:lastColumn="0" w:oddVBand="0" w:evenVBand="0" w:oddHBand="1" w:evenHBand="0"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2</m:t>
                    </m:r>
                  </m:sub>
                </m:sSub>
              </m:oMath>
            </m:oMathPara>
          </w:p>
        </w:tc>
      </w:tr>
      <w:tr w:rsidR="008000E1" w:rsidRPr="00FE2E3B" w14:paraId="6E03E4E1" w14:textId="77777777">
        <w:trPr>
          <w:cnfStyle w:val="000000010000" w:firstRow="0" w:lastRow="0" w:firstColumn="0" w:lastColumn="0" w:oddVBand="0" w:evenVBand="0" w:oddHBand="0" w:evenHBand="1"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914" w:type="dxa"/>
          </w:tcPr>
          <w:p w14:paraId="78D0F3B5" w14:textId="77777777" w:rsidR="008000E1" w:rsidRPr="00FE2E3B" w:rsidRDefault="008000E1">
            <w:pPr>
              <w:spacing w:before="20" w:after="20"/>
              <w:rPr>
                <w:rFonts w:cs="Arial"/>
                <w:sz w:val="20"/>
                <w:szCs w:val="20"/>
              </w:rPr>
            </w:pPr>
            <w:r w:rsidRPr="00FE2E3B">
              <w:rPr>
                <w:rFonts w:cs="Arial"/>
                <w:sz w:val="20"/>
                <w:szCs w:val="20"/>
              </w:rPr>
              <w:t>After</w:t>
            </w:r>
          </w:p>
        </w:tc>
        <w:tc>
          <w:tcPr>
            <w:tcW w:w="2476" w:type="dxa"/>
          </w:tcPr>
          <w:p w14:paraId="032271E6" w14:textId="77777777" w:rsidR="008000E1" w:rsidRPr="00FE2E3B" w:rsidRDefault="00000000">
            <w:pPr>
              <w:spacing w:before="20" w:after="20"/>
              <w:cnfStyle w:val="000000010000" w:firstRow="0" w:lastRow="0" w:firstColumn="0" w:lastColumn="0" w:oddVBand="0" w:evenVBand="0" w:oddHBand="0" w:evenHBand="1"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3</m:t>
                    </m:r>
                  </m:sub>
                </m:sSub>
              </m:oMath>
            </m:oMathPara>
          </w:p>
        </w:tc>
        <w:tc>
          <w:tcPr>
            <w:tcW w:w="2268" w:type="dxa"/>
          </w:tcPr>
          <w:p w14:paraId="5B7843DE" w14:textId="77777777" w:rsidR="008000E1" w:rsidRPr="00FE2E3B" w:rsidRDefault="00000000">
            <w:pPr>
              <w:spacing w:before="20" w:after="20"/>
              <w:cnfStyle w:val="000000010000" w:firstRow="0" w:lastRow="0" w:firstColumn="0" w:lastColumn="0" w:oddVBand="0" w:evenVBand="0" w:oddHBand="0" w:evenHBand="1"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1</m:t>
                    </m:r>
                  </m:sub>
                </m:sSub>
              </m:oMath>
            </m:oMathPara>
          </w:p>
        </w:tc>
        <w:tc>
          <w:tcPr>
            <w:tcW w:w="2126" w:type="dxa"/>
          </w:tcPr>
          <w:p w14:paraId="2FD08826" w14:textId="77777777" w:rsidR="008000E1" w:rsidRPr="00FE2E3B" w:rsidRDefault="00000000">
            <w:pPr>
              <w:spacing w:before="20" w:after="20"/>
              <w:cnfStyle w:val="000000010000" w:firstRow="0" w:lastRow="0" w:firstColumn="0" w:lastColumn="0" w:oddVBand="0" w:evenVBand="0" w:oddHBand="0" w:evenHBand="1"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3</m:t>
                    </m:r>
                  </m:sub>
                </m:sSub>
              </m:oMath>
            </m:oMathPara>
          </w:p>
        </w:tc>
      </w:tr>
      <w:tr w:rsidR="008000E1" w:rsidRPr="00FE2E3B" w14:paraId="69B28464" w14:textId="7777777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914" w:type="dxa"/>
          </w:tcPr>
          <w:p w14:paraId="26708C18" w14:textId="77777777" w:rsidR="008000E1" w:rsidRPr="00FE2E3B" w:rsidRDefault="008000E1">
            <w:pPr>
              <w:spacing w:before="20" w:after="20"/>
              <w:rPr>
                <w:rFonts w:cs="Arial"/>
                <w:sz w:val="20"/>
                <w:szCs w:val="20"/>
              </w:rPr>
            </w:pPr>
            <w:r w:rsidRPr="00FE2E3B">
              <w:rPr>
                <w:rFonts w:cs="Arial"/>
                <w:sz w:val="20"/>
                <w:szCs w:val="20"/>
              </w:rPr>
              <w:t>Difference</w:t>
            </w:r>
          </w:p>
        </w:tc>
        <w:tc>
          <w:tcPr>
            <w:tcW w:w="2476" w:type="dxa"/>
          </w:tcPr>
          <w:p w14:paraId="46BB2E0A" w14:textId="77777777" w:rsidR="008000E1" w:rsidRPr="00FE2E3B" w:rsidRDefault="00000000">
            <w:pPr>
              <w:spacing w:before="20" w:after="20"/>
              <w:cnfStyle w:val="000000100000" w:firstRow="0" w:lastRow="0" w:firstColumn="0" w:lastColumn="0" w:oddVBand="0" w:evenVBand="0" w:oddHBand="1" w:evenHBand="0"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3</m:t>
                    </m:r>
                  </m:sub>
                </m:sSub>
              </m:oMath>
            </m:oMathPara>
          </w:p>
        </w:tc>
        <w:tc>
          <w:tcPr>
            <w:tcW w:w="2268" w:type="dxa"/>
          </w:tcPr>
          <w:p w14:paraId="15E20DC0" w14:textId="77777777" w:rsidR="008000E1" w:rsidRPr="00FE2E3B" w:rsidRDefault="00000000">
            <w:pPr>
              <w:spacing w:before="20" w:after="20"/>
              <w:cnfStyle w:val="000000100000" w:firstRow="0" w:lastRow="0" w:firstColumn="0" w:lastColumn="0" w:oddVBand="0" w:evenVBand="0" w:oddHBand="1" w:evenHBand="0" w:firstRowFirstColumn="0" w:firstRowLastColumn="0" w:lastRowFirstColumn="0" w:lastRowLastColumn="0"/>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1</m:t>
                    </m:r>
                  </m:sub>
                </m:sSub>
              </m:oMath>
            </m:oMathPara>
          </w:p>
        </w:tc>
        <w:tc>
          <w:tcPr>
            <w:tcW w:w="2126" w:type="dxa"/>
          </w:tcPr>
          <w:p w14:paraId="1C36499B" w14:textId="77777777" w:rsidR="008000E1" w:rsidRPr="00F05AAB" w:rsidRDefault="00000000">
            <w:pPr>
              <w:spacing w:before="20" w:after="20"/>
              <w:cnfStyle w:val="000000100000" w:firstRow="0" w:lastRow="0" w:firstColumn="0" w:lastColumn="0" w:oddVBand="0" w:evenVBand="0" w:oddHBand="1" w:evenHBand="0" w:firstRowFirstColumn="0" w:firstRowLastColumn="0" w:lastRowFirstColumn="0" w:lastRowLastColumn="0"/>
              <w:rPr>
                <w:rFonts w:cs="Arial"/>
                <w:bCs/>
                <w:sz w:val="20"/>
                <w:szCs w:val="20"/>
              </w:rPr>
            </w:pPr>
            <m:oMathPara>
              <m:oMath>
                <m:sSub>
                  <m:sSubPr>
                    <m:ctrlPr>
                      <w:rPr>
                        <w:rFonts w:ascii="Cambria Math" w:hAnsi="Cambria Math" w:cs="Arial"/>
                        <w:bCs/>
                        <w:i/>
                        <w:sz w:val="20"/>
                        <w:szCs w:val="20"/>
                      </w:rPr>
                    </m:ctrlPr>
                  </m:sSubPr>
                  <m:e>
                    <m:r>
                      <w:rPr>
                        <w:rFonts w:ascii="Cambria Math" w:hAnsi="Cambria Math" w:cs="Arial"/>
                        <w:sz w:val="20"/>
                        <w:szCs w:val="20"/>
                      </w:rPr>
                      <m:t>β</m:t>
                    </m:r>
                  </m:e>
                  <m:sub>
                    <m:r>
                      <w:rPr>
                        <w:rFonts w:ascii="Cambria Math" w:hAnsi="Cambria Math" w:cs="Arial"/>
                        <w:sz w:val="20"/>
                        <w:szCs w:val="20"/>
                      </w:rPr>
                      <m:t>3</m:t>
                    </m:r>
                  </m:sub>
                </m:sSub>
              </m:oMath>
            </m:oMathPara>
          </w:p>
        </w:tc>
      </w:tr>
    </w:tbl>
    <w:p w14:paraId="008DDC4E" w14:textId="77777777" w:rsidR="008000E1" w:rsidRDefault="008000E1" w:rsidP="008000E1">
      <w:r>
        <w:t xml:space="preserve">We undertook analyses </w:t>
      </w:r>
      <w:r w:rsidRPr="00FC38A8">
        <w:t>at several different levels but all follow</w:t>
      </w:r>
      <w:r>
        <w:t>ed</w:t>
      </w:r>
      <w:r w:rsidRPr="00FC38A8">
        <w:t xml:space="preserve"> the DiD equation structure above. The levels we conduct</w:t>
      </w:r>
      <w:r>
        <w:t>ed were</w:t>
      </w:r>
      <w:r w:rsidRPr="00FC38A8">
        <w:t xml:space="preserve"> the overall </w:t>
      </w:r>
      <w:r>
        <w:t>intervention</w:t>
      </w:r>
      <w:r w:rsidRPr="00FC38A8">
        <w:t xml:space="preserve"> level, the LGA level, the support category level, the specific months before and months after the trial level and </w:t>
      </w:r>
      <w:r>
        <w:t>just for</w:t>
      </w:r>
      <w:r w:rsidRPr="00FC38A8">
        <w:t xml:space="preserve"> priority participant</w:t>
      </w:r>
      <w:r>
        <w:t>s specifically targeted by some trials</w:t>
      </w:r>
      <w:r w:rsidRPr="00FC38A8">
        <w:t>.</w:t>
      </w:r>
    </w:p>
    <w:p w14:paraId="5D4945FF" w14:textId="77777777" w:rsidR="008000E1" w:rsidRDefault="008000E1" w:rsidP="00A01FA6">
      <w:pPr>
        <w:pStyle w:val="Appendix3"/>
      </w:pPr>
      <w:bookmarkStart w:id="185" w:name="_Ref120615362"/>
      <w:r w:rsidRPr="006141E7">
        <w:lastRenderedPageBreak/>
        <w:t>Analysis of market indicators</w:t>
      </w:r>
      <w:bookmarkEnd w:id="185"/>
    </w:p>
    <w:p w14:paraId="5F0F212D" w14:textId="77777777" w:rsidR="008000E1" w:rsidRDefault="008000E1" w:rsidP="008000E1">
      <w:r>
        <w:t xml:space="preserve">We used Bayesian Time Series Analysis (BTS) to estimate the effect of market facilitation on market indicators. BTS is better suited to LGA market analysis than DiD because it applies a Bayesian sampling method to estimate the distribution of variance where there is a limited number of observations such as LGAs (548 nationally). This section explains in detail the approach to BTS. </w:t>
      </w:r>
    </w:p>
    <w:p w14:paraId="6278A2F9" w14:textId="77777777" w:rsidR="008000E1" w:rsidRDefault="008000E1" w:rsidP="008000E1">
      <w:pPr>
        <w:pStyle w:val="Heading5"/>
      </w:pPr>
      <w:r>
        <w:t>Bayesian time series analysis</w:t>
      </w:r>
    </w:p>
    <w:p w14:paraId="49110C50" w14:textId="77777777" w:rsidR="008000E1" w:rsidRDefault="008000E1" w:rsidP="008000E1">
      <w:r>
        <w:t>BTS is an analytic technique designed for time series data which typically consist of successive measurements made from the same source to track change over time. An observed time series has three components: The trend (long term direction), the seasonal (systematic, calendar related movements) and the irregular (unsystematic, short-term fluctuations).</w:t>
      </w:r>
    </w:p>
    <w:p w14:paraId="2E123B72" w14:textId="77777777" w:rsidR="008000E1" w:rsidRDefault="008000E1" w:rsidP="008000E1">
      <w:r>
        <w:t>BTS takes a response time series variable and a set of control time series variables and constructs a structural time-series model to estimate a counterfactual observation (i.e., how a response variable would have changed as if a market intervention had never occurred). Time series models make it possible to (i) infer the chronological evolution of attributable impact, (ii) incorporate empirical Bayesian priors on the parameters and (iii) flexibly accommodate multiple sources of variation, including the time-varying influence of simultaneous covariates.</w:t>
      </w:r>
    </w:p>
    <w:p w14:paraId="0C7F4ADA" w14:textId="2B516DB4" w:rsidR="008000E1" w:rsidRDefault="008000E1" w:rsidP="008000E1">
      <w:r>
        <w:t xml:space="preserve">The first aspect in the BTS model is the prediction calculation where data is divided in two parts: a “pre-intervention” period and a “post-intervention” period. In pre-intervention period the BTS </w:t>
      </w:r>
      <w:r w:rsidR="0097466F">
        <w:t xml:space="preserve">was </w:t>
      </w:r>
      <w:r>
        <w:t xml:space="preserve">used to fit a model that best explains what has been observed in the data between the treated and control group. The fitted model </w:t>
      </w:r>
      <w:r w:rsidR="0097466F">
        <w:t xml:space="preserve">was </w:t>
      </w:r>
      <w:r>
        <w:t>then used to forecast what the response in the post-intervention period would look like had the intervention not taken place. The inferences are based on the differences between observed responses to the predicted responses which yields the absolute and relative treatment effect of the intervention.</w:t>
      </w:r>
    </w:p>
    <w:p w14:paraId="0A6736C9" w14:textId="77777777" w:rsidR="008000E1" w:rsidRDefault="008000E1" w:rsidP="008000E1">
      <w:r>
        <w:t>The second aspect in the BTS is the handling of the time series through a Kalman filter. A Kalman filter is a specific type of Bayesian filter. Bayesian filtering is a general probabilistic approach for estimating unknown distributions recursively over time using observations from the previous period. Kalman filtering is an algorithm that uses a series of observed variables and produces estimates of latent state variables assuming a normal, linear relationship between the two. The Kalman filter does this in two stages: Predict and update. The predict stage uses a normally distributed prior to inform the variables at time t-1. The update stage then uses this prior and Bayes rule to estimate the posterior at time t. The posterior is then used as the prior at time t and these steps are continued forward until the end of our sample period.</w:t>
      </w:r>
    </w:p>
    <w:p w14:paraId="34AD693A" w14:textId="77777777" w:rsidR="008000E1" w:rsidRDefault="008000E1" w:rsidP="008000E1">
      <w:r>
        <w:t xml:space="preserve">The third aspect is the “spike and slab” Bayesian variable selection where the most important regression predictors are simultaneously selected by performing linear regressions. Following Bayesian inference, we set the prior of our model predictors to be normally distributed and to have a large mass at zero (i.e. a positive probability of not being </w:t>
      </w:r>
      <w:r>
        <w:lastRenderedPageBreak/>
        <w:t>in the model). This is the “spike” because the distribution spikes at zero. We then need to inform the variance or “slab” of the prior normal distribution. To best avoid collapsing towards not including the predictor in the model, we set an inverse gamma distribution to inform the model variance parameter. This makes up the Bayesian prior of the regression predictors.</w:t>
      </w:r>
    </w:p>
    <w:p w14:paraId="7BAAB65A" w14:textId="77777777" w:rsidR="008000E1" w:rsidRDefault="008000E1" w:rsidP="008000E1">
      <w:r>
        <w:t>The final aspect of the BTS is the Bayesian model averaging which combines the prediction calculation (aspect 1 and 2) and the feature selection results (aspect 3). Together with a valid control group, the resulting model estimates not only correlations but also causations in the underlying data.</w:t>
      </w:r>
    </w:p>
    <w:p w14:paraId="5F228431" w14:textId="77777777" w:rsidR="008000E1" w:rsidRDefault="008000E1" w:rsidP="008000E1">
      <w:pPr>
        <w:pStyle w:val="Heading5"/>
      </w:pPr>
      <w:r>
        <w:t>Application to market indicator analysis</w:t>
      </w:r>
    </w:p>
    <w:p w14:paraId="4A364269" w14:textId="77777777" w:rsidR="008000E1" w:rsidRDefault="008000E1" w:rsidP="008000E1">
      <w:r>
        <w:t xml:space="preserve">The BTS estimates the causal effect of market facilitation in terms of the variation seen in the response variable after the intervention that cannot be explained by other means. It does so by sampling the variation between a before and after-period of a trial. </w:t>
      </w:r>
    </w:p>
    <w:p w14:paraId="1E9EA497" w14:textId="77777777" w:rsidR="008000E1" w:rsidRDefault="008000E1" w:rsidP="008000E1">
      <w:pPr>
        <w:pStyle w:val="Heading6"/>
      </w:pPr>
      <w:r>
        <w:t>Step 1: Implement PSM to identify control LGAs</w:t>
      </w:r>
    </w:p>
    <w:p w14:paraId="471D04A7" w14:textId="6DEA55AD" w:rsidR="008000E1" w:rsidRDefault="008000E1" w:rsidP="008000E1">
      <w:r>
        <w:t xml:space="preserve">BTS relies on the assumption that the control variables were not themselves affected by the intervention and that they follow similar time series components (trend, seasonal, and irregular) as the target LGAs. To best meet this criterion, we employed a matching process to find LGAs that were statistically </w:t>
      </w:r>
      <w:r w:rsidR="00AA2F6B">
        <w:t>like</w:t>
      </w:r>
      <w:r>
        <w:t xml:space="preserve"> the treated LGA. To do this we first collected individual payment summary statistics for each LGA in the 12 months prior to the intervention. This included total number of claims in an LGA, total funds claimed, average funds claimed, number of participants, and number of providers in the 12 months prior to the intervention. We then merged this set to a LGA demographic data set. </w:t>
      </w:r>
    </w:p>
    <w:p w14:paraId="3F4865AA" w14:textId="44055FD5" w:rsidR="008000E1" w:rsidRDefault="008000E1" w:rsidP="008000E1">
      <w:r>
        <w:t>The demographic data set included: the proportion of participants who identify as First Nations, proportion who identify as CALD, proportion in MMM1 to MMM7, the historical total number of participants in the LGA, the average age of participants in the LGA, the average NDIS normalised severity score in the LGA, the proportion of participants by primary disability group (autism, cerebral palsy, acquired brain injury, psychosocial disability, multiple sclerosis, intellectual disability, other neurological, other physical, developmental delay, visual impairment, down syndrome, and spinal cord injury), the proportion of “vulnerable” participants, and the proportion of “active”</w:t>
      </w:r>
      <w:r>
        <w:rPr>
          <w:rStyle w:val="FootnoteReference"/>
        </w:rPr>
        <w:footnoteReference w:id="31"/>
      </w:r>
      <w:r>
        <w:t xml:space="preserve"> participants in the LGA. </w:t>
      </w:r>
    </w:p>
    <w:p w14:paraId="57711348" w14:textId="1D3A3A6F" w:rsidR="008000E1" w:rsidRDefault="008000E1" w:rsidP="008000E1">
      <w:r>
        <w:t>Using the collection of LGA level variables above, PSM was conducted on the treated (i.e.</w:t>
      </w:r>
      <w:r w:rsidR="00C73A33">
        <w:t>,</w:t>
      </w:r>
      <w:r>
        <w:t xml:space="preserve"> trial) LGAs to match to three other LGAs in the data set. Each LGA could only be matched once and treated LGAs could not be matched to another thin market trial LGA. Finally, we iteratively rejected any LGA matches that we deemed too geographically “close” to a trial LGA that may cause our estimates to be downward biased.</w:t>
      </w:r>
    </w:p>
    <w:p w14:paraId="27FD99E8" w14:textId="34131356" w:rsidR="008000E1" w:rsidRDefault="008000E1" w:rsidP="008000E1">
      <w:r>
        <w:rPr>
          <w:color w:val="2B579A"/>
          <w:shd w:val="clear" w:color="auto" w:fill="E6E6E6"/>
        </w:rPr>
        <w:fldChar w:fldCharType="begin"/>
      </w:r>
      <w:r>
        <w:instrText xml:space="preserve"> REF _Ref116649184 \h </w:instrText>
      </w:r>
      <w:r>
        <w:rPr>
          <w:color w:val="2B579A"/>
          <w:shd w:val="clear" w:color="auto" w:fill="E6E6E6"/>
        </w:rPr>
      </w:r>
      <w:r>
        <w:rPr>
          <w:color w:val="2B579A"/>
          <w:shd w:val="clear" w:color="auto" w:fill="E6E6E6"/>
        </w:rPr>
        <w:fldChar w:fldCharType="separate"/>
      </w:r>
      <w:r w:rsidR="00DE04FA">
        <w:t xml:space="preserve">Table </w:t>
      </w:r>
      <w:r w:rsidR="00DE04FA">
        <w:rPr>
          <w:noProof/>
        </w:rPr>
        <w:t>12</w:t>
      </w:r>
      <w:r>
        <w:rPr>
          <w:color w:val="2B579A"/>
          <w:shd w:val="clear" w:color="auto" w:fill="E6E6E6"/>
        </w:rPr>
        <w:fldChar w:fldCharType="end"/>
      </w:r>
      <w:r>
        <w:t xml:space="preserve"> shows summary statistics of the matching process. It illustrates the success of the matching procedure in identifying a valid counterfactual for each LGA in the BTS analysis. </w:t>
      </w:r>
      <w:r>
        <w:lastRenderedPageBreak/>
        <w:t>While some statistical differences exist, we accounted for these variables in the BTS model itself to control for any minor differences between the treated and control group. We are also confident these differences represent the selection into the treatment group that cannot be accounted for. For example, the proportion of MMM7 locations is larger in the treated group given that thin market trials targeted mainly remote LGAs. Therefore, there are less ‘untreated’ MMM7 LGAs to match with. As such, this difference does not highlight an issue in matching but rather highlights selection into the trials.</w:t>
      </w:r>
    </w:p>
    <w:p w14:paraId="47063093" w14:textId="44B1A57F" w:rsidR="008000E1" w:rsidRDefault="008000E1" w:rsidP="008000E1">
      <w:pPr>
        <w:pStyle w:val="Caption"/>
      </w:pPr>
      <w:bookmarkStart w:id="186" w:name="_Ref116649184"/>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12</w:t>
      </w:r>
      <w:r>
        <w:rPr>
          <w:color w:val="2B579A"/>
          <w:shd w:val="clear" w:color="auto" w:fill="E6E6E6"/>
        </w:rPr>
        <w:fldChar w:fldCharType="end"/>
      </w:r>
      <w:bookmarkEnd w:id="186"/>
      <w:r>
        <w:t>: LGA matching balance statistics</w:t>
      </w:r>
    </w:p>
    <w:tbl>
      <w:tblPr>
        <w:tblStyle w:val="LightShading-Accent4"/>
        <w:tblW w:w="9016"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Description w:val="This table provides detailed balance statistics for the control and trial LGAs. "/>
      </w:tblPr>
      <w:tblGrid>
        <w:gridCol w:w="4530"/>
        <w:gridCol w:w="1277"/>
        <w:gridCol w:w="1654"/>
        <w:gridCol w:w="1555"/>
      </w:tblGrid>
      <w:tr w:rsidR="008000E1" w:rsidRPr="00C44A51" w14:paraId="2C2129E3" w14:textId="7777777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4530" w:type="dxa"/>
            <w:noWrap/>
            <w:hideMark/>
          </w:tcPr>
          <w:p w14:paraId="53824254" w14:textId="77777777" w:rsidR="008000E1" w:rsidRPr="00C44A51" w:rsidRDefault="008000E1">
            <w:pPr>
              <w:spacing w:before="20" w:after="20" w:line="240" w:lineRule="auto"/>
              <w:rPr>
                <w:rFonts w:eastAsia="Times New Roman" w:cs="Arial"/>
                <w:b w:val="0"/>
                <w:bCs w:val="0"/>
                <w:sz w:val="20"/>
                <w:szCs w:val="20"/>
                <w:lang w:eastAsia="en-AU"/>
              </w:rPr>
            </w:pPr>
            <w:r>
              <w:rPr>
                <w:rFonts w:eastAsia="Times New Roman" w:cs="Arial"/>
                <w:sz w:val="20"/>
                <w:szCs w:val="20"/>
                <w:lang w:eastAsia="en-AU"/>
              </w:rPr>
              <w:t>Matching v</w:t>
            </w:r>
            <w:r w:rsidRPr="00C44A51">
              <w:rPr>
                <w:rFonts w:eastAsia="Times New Roman" w:cs="Arial"/>
                <w:sz w:val="20"/>
                <w:szCs w:val="20"/>
                <w:lang w:eastAsia="en-AU"/>
              </w:rPr>
              <w:t>ariable</w:t>
            </w:r>
          </w:p>
        </w:tc>
        <w:tc>
          <w:tcPr>
            <w:tcW w:w="1277" w:type="dxa"/>
            <w:noWrap/>
            <w:hideMark/>
          </w:tcPr>
          <w:p w14:paraId="473782EE" w14:textId="77777777" w:rsidR="008000E1" w:rsidRPr="00C44A51" w:rsidRDefault="008000E1">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C44A51">
              <w:rPr>
                <w:rFonts w:eastAsia="Times New Roman" w:cs="Arial"/>
                <w:sz w:val="20"/>
                <w:szCs w:val="20"/>
                <w:lang w:eastAsia="en-AU"/>
              </w:rPr>
              <w:t>P Value</w:t>
            </w:r>
          </w:p>
        </w:tc>
        <w:tc>
          <w:tcPr>
            <w:tcW w:w="1654" w:type="dxa"/>
            <w:noWrap/>
            <w:hideMark/>
          </w:tcPr>
          <w:p w14:paraId="37A6CC50" w14:textId="77777777" w:rsidR="008000E1" w:rsidRPr="00C44A51" w:rsidRDefault="008000E1">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C44A51">
              <w:rPr>
                <w:rFonts w:eastAsia="Times New Roman" w:cs="Arial"/>
                <w:sz w:val="20"/>
                <w:szCs w:val="20"/>
                <w:lang w:eastAsia="en-AU"/>
              </w:rPr>
              <w:t>Mean Control LGAs</w:t>
            </w:r>
          </w:p>
        </w:tc>
        <w:tc>
          <w:tcPr>
            <w:tcW w:w="1555" w:type="dxa"/>
            <w:noWrap/>
            <w:hideMark/>
          </w:tcPr>
          <w:p w14:paraId="14F8E977" w14:textId="77777777" w:rsidR="008000E1" w:rsidRPr="00C44A51" w:rsidRDefault="008000E1">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AU"/>
              </w:rPr>
            </w:pPr>
            <w:r w:rsidRPr="00C44A51">
              <w:rPr>
                <w:rFonts w:eastAsia="Times New Roman" w:cs="Arial"/>
                <w:sz w:val="20"/>
                <w:szCs w:val="20"/>
                <w:lang w:eastAsia="en-AU"/>
              </w:rPr>
              <w:t>Mean Trial LGAs</w:t>
            </w:r>
          </w:p>
        </w:tc>
      </w:tr>
      <w:tr w:rsidR="008000E1" w:rsidRPr="00ED6013" w14:paraId="2F4ADD5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0F50B106" w14:textId="77777777" w:rsidR="008000E1" w:rsidRPr="00C44A51" w:rsidRDefault="008000E1">
            <w:pPr>
              <w:spacing w:before="20" w:after="20" w:line="240" w:lineRule="auto"/>
              <w:contextualSpacing/>
              <w:rPr>
                <w:rFonts w:eastAsia="Times New Roman" w:cs="Arial"/>
                <w:b w:val="0"/>
                <w:bCs w:val="0"/>
                <w:sz w:val="20"/>
                <w:szCs w:val="20"/>
                <w:lang w:eastAsia="en-AU"/>
              </w:rPr>
            </w:pPr>
            <w:r>
              <w:rPr>
                <w:rFonts w:eastAsia="Times New Roman" w:cs="Arial"/>
                <w:b w:val="0"/>
                <w:bCs w:val="0"/>
                <w:sz w:val="20"/>
                <w:szCs w:val="20"/>
                <w:lang w:eastAsia="en-AU"/>
              </w:rPr>
              <w:t>First Nations</w:t>
            </w:r>
          </w:p>
        </w:tc>
        <w:tc>
          <w:tcPr>
            <w:tcW w:w="1277" w:type="dxa"/>
            <w:noWrap/>
            <w:hideMark/>
          </w:tcPr>
          <w:p w14:paraId="25A3F891"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0.001</w:t>
            </w:r>
          </w:p>
        </w:tc>
        <w:tc>
          <w:tcPr>
            <w:tcW w:w="1654" w:type="dxa"/>
            <w:noWrap/>
            <w:hideMark/>
          </w:tcPr>
          <w:p w14:paraId="1E838DCC"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25%</w:t>
            </w:r>
          </w:p>
        </w:tc>
        <w:tc>
          <w:tcPr>
            <w:tcW w:w="1555" w:type="dxa"/>
            <w:noWrap/>
            <w:hideMark/>
          </w:tcPr>
          <w:p w14:paraId="37E38AA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47%</w:t>
            </w:r>
          </w:p>
        </w:tc>
      </w:tr>
      <w:tr w:rsidR="008000E1" w:rsidRPr="00ED6013" w14:paraId="2BDF1DC3"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661A470B"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CALD</w:t>
            </w:r>
          </w:p>
        </w:tc>
        <w:tc>
          <w:tcPr>
            <w:tcW w:w="1277" w:type="dxa"/>
            <w:noWrap/>
            <w:hideMark/>
          </w:tcPr>
          <w:p w14:paraId="1924552E"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0.009</w:t>
            </w:r>
          </w:p>
        </w:tc>
        <w:tc>
          <w:tcPr>
            <w:tcW w:w="1654" w:type="dxa"/>
            <w:noWrap/>
            <w:hideMark/>
          </w:tcPr>
          <w:p w14:paraId="21E47392"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4%</w:t>
            </w:r>
          </w:p>
        </w:tc>
        <w:tc>
          <w:tcPr>
            <w:tcW w:w="1555" w:type="dxa"/>
            <w:noWrap/>
            <w:hideMark/>
          </w:tcPr>
          <w:p w14:paraId="543261CF"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17%</w:t>
            </w:r>
          </w:p>
        </w:tc>
      </w:tr>
      <w:tr w:rsidR="008000E1" w:rsidRPr="00ED6013" w14:paraId="6D7C451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29859A55"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MMM 3</w:t>
            </w:r>
          </w:p>
        </w:tc>
        <w:tc>
          <w:tcPr>
            <w:tcW w:w="1277" w:type="dxa"/>
            <w:noWrap/>
            <w:hideMark/>
          </w:tcPr>
          <w:p w14:paraId="057E7637"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0.918</w:t>
            </w:r>
          </w:p>
        </w:tc>
        <w:tc>
          <w:tcPr>
            <w:tcW w:w="1654" w:type="dxa"/>
            <w:noWrap/>
            <w:hideMark/>
          </w:tcPr>
          <w:p w14:paraId="5F89CC75"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5%</w:t>
            </w:r>
          </w:p>
        </w:tc>
        <w:tc>
          <w:tcPr>
            <w:tcW w:w="1555" w:type="dxa"/>
            <w:noWrap/>
            <w:hideMark/>
          </w:tcPr>
          <w:p w14:paraId="44759259"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5%</w:t>
            </w:r>
          </w:p>
        </w:tc>
      </w:tr>
      <w:tr w:rsidR="008000E1" w:rsidRPr="00ED6013" w14:paraId="74504827"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537428C6"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MMM 4</w:t>
            </w:r>
          </w:p>
        </w:tc>
        <w:tc>
          <w:tcPr>
            <w:tcW w:w="1277" w:type="dxa"/>
            <w:noWrap/>
            <w:hideMark/>
          </w:tcPr>
          <w:p w14:paraId="2A4D1976"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0.171</w:t>
            </w:r>
          </w:p>
        </w:tc>
        <w:tc>
          <w:tcPr>
            <w:tcW w:w="1654" w:type="dxa"/>
            <w:noWrap/>
            <w:hideMark/>
          </w:tcPr>
          <w:p w14:paraId="6AD67C10"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22%</w:t>
            </w:r>
          </w:p>
        </w:tc>
        <w:tc>
          <w:tcPr>
            <w:tcW w:w="1555" w:type="dxa"/>
            <w:noWrap/>
            <w:hideMark/>
          </w:tcPr>
          <w:p w14:paraId="4162547E"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14%</w:t>
            </w:r>
          </w:p>
        </w:tc>
      </w:tr>
      <w:tr w:rsidR="008000E1" w:rsidRPr="00ED6013" w14:paraId="519DF0B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6ECECF7"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MMM 5</w:t>
            </w:r>
          </w:p>
        </w:tc>
        <w:tc>
          <w:tcPr>
            <w:tcW w:w="1277" w:type="dxa"/>
            <w:noWrap/>
            <w:hideMark/>
          </w:tcPr>
          <w:p w14:paraId="0A4B8FAF"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0.003</w:t>
            </w:r>
          </w:p>
        </w:tc>
        <w:tc>
          <w:tcPr>
            <w:tcW w:w="1654" w:type="dxa"/>
            <w:noWrap/>
            <w:hideMark/>
          </w:tcPr>
          <w:p w14:paraId="0FD3D8C9"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42%</w:t>
            </w:r>
          </w:p>
        </w:tc>
        <w:tc>
          <w:tcPr>
            <w:tcW w:w="1555" w:type="dxa"/>
            <w:noWrap/>
            <w:hideMark/>
          </w:tcPr>
          <w:p w14:paraId="4D3050F0"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20%</w:t>
            </w:r>
          </w:p>
        </w:tc>
      </w:tr>
      <w:tr w:rsidR="008000E1" w:rsidRPr="00ED6013" w14:paraId="33050BEF"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33276030"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MMM 6</w:t>
            </w:r>
          </w:p>
        </w:tc>
        <w:tc>
          <w:tcPr>
            <w:tcW w:w="1277" w:type="dxa"/>
            <w:noWrap/>
            <w:hideMark/>
          </w:tcPr>
          <w:p w14:paraId="08A1D986"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0.607</w:t>
            </w:r>
          </w:p>
        </w:tc>
        <w:tc>
          <w:tcPr>
            <w:tcW w:w="1654" w:type="dxa"/>
            <w:noWrap/>
            <w:hideMark/>
          </w:tcPr>
          <w:p w14:paraId="4422931D"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13%</w:t>
            </w:r>
          </w:p>
        </w:tc>
        <w:tc>
          <w:tcPr>
            <w:tcW w:w="1555" w:type="dxa"/>
            <w:noWrap/>
            <w:hideMark/>
          </w:tcPr>
          <w:p w14:paraId="7D72AA88"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17%</w:t>
            </w:r>
          </w:p>
        </w:tc>
      </w:tr>
      <w:tr w:rsidR="008000E1" w:rsidRPr="00ED6013" w14:paraId="57B2BD5C"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63A79249"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MMM 7</w:t>
            </w:r>
          </w:p>
        </w:tc>
        <w:tc>
          <w:tcPr>
            <w:tcW w:w="1277" w:type="dxa"/>
            <w:noWrap/>
            <w:hideMark/>
          </w:tcPr>
          <w:p w14:paraId="2EA3D8C8"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0.007</w:t>
            </w:r>
          </w:p>
        </w:tc>
        <w:tc>
          <w:tcPr>
            <w:tcW w:w="1654" w:type="dxa"/>
            <w:noWrap/>
            <w:hideMark/>
          </w:tcPr>
          <w:p w14:paraId="5EC0377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17%</w:t>
            </w:r>
          </w:p>
        </w:tc>
        <w:tc>
          <w:tcPr>
            <w:tcW w:w="1555" w:type="dxa"/>
            <w:noWrap/>
            <w:hideMark/>
          </w:tcPr>
          <w:p w14:paraId="0F1C9CA9"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45%</w:t>
            </w:r>
          </w:p>
        </w:tc>
      </w:tr>
      <w:tr w:rsidR="008000E1" w:rsidRPr="00ED6013" w14:paraId="01EC5240"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7F175493"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xml:space="preserve">Historical </w:t>
            </w:r>
            <w:r>
              <w:rPr>
                <w:rFonts w:eastAsia="Times New Roman" w:cs="Arial"/>
                <w:b w:val="0"/>
                <w:bCs w:val="0"/>
                <w:sz w:val="20"/>
                <w:szCs w:val="20"/>
                <w:lang w:eastAsia="en-AU"/>
              </w:rPr>
              <w:t>no.</w:t>
            </w:r>
            <w:r w:rsidRPr="00C44A51">
              <w:rPr>
                <w:rFonts w:eastAsia="Times New Roman" w:cs="Arial"/>
                <w:b w:val="0"/>
                <w:bCs w:val="0"/>
                <w:sz w:val="20"/>
                <w:szCs w:val="20"/>
                <w:lang w:eastAsia="en-AU"/>
              </w:rPr>
              <w:t xml:space="preserve"> of participants</w:t>
            </w:r>
          </w:p>
        </w:tc>
        <w:tc>
          <w:tcPr>
            <w:tcW w:w="1277" w:type="dxa"/>
            <w:noWrap/>
            <w:hideMark/>
          </w:tcPr>
          <w:p w14:paraId="3D1489A8"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0.809</w:t>
            </w:r>
          </w:p>
        </w:tc>
        <w:tc>
          <w:tcPr>
            <w:tcW w:w="1654" w:type="dxa"/>
            <w:noWrap/>
            <w:hideMark/>
          </w:tcPr>
          <w:p w14:paraId="57F1CE6B"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602</w:t>
            </w:r>
          </w:p>
        </w:tc>
        <w:tc>
          <w:tcPr>
            <w:tcW w:w="1555" w:type="dxa"/>
            <w:noWrap/>
            <w:hideMark/>
          </w:tcPr>
          <w:p w14:paraId="7288B749"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649</w:t>
            </w:r>
          </w:p>
        </w:tc>
      </w:tr>
      <w:tr w:rsidR="008000E1" w:rsidRPr="00ED6013" w14:paraId="125682E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621C15EC" w14:textId="77777777" w:rsidR="008000E1" w:rsidRPr="00C44A51" w:rsidRDefault="008000E1">
            <w:pPr>
              <w:spacing w:before="20" w:after="20" w:line="240" w:lineRule="auto"/>
              <w:contextualSpacing/>
              <w:rPr>
                <w:rFonts w:eastAsia="Times New Roman" w:cs="Arial"/>
                <w:b w:val="0"/>
                <w:bCs w:val="0"/>
                <w:sz w:val="20"/>
                <w:szCs w:val="20"/>
                <w:lang w:eastAsia="en-AU"/>
              </w:rPr>
            </w:pPr>
            <w:r>
              <w:rPr>
                <w:rFonts w:eastAsia="Times New Roman" w:cs="Arial"/>
                <w:b w:val="0"/>
                <w:bCs w:val="0"/>
                <w:sz w:val="20"/>
                <w:szCs w:val="20"/>
                <w:lang w:eastAsia="en-AU"/>
              </w:rPr>
              <w:t>Average participant a</w:t>
            </w:r>
            <w:r w:rsidRPr="00C44A51">
              <w:rPr>
                <w:rFonts w:eastAsia="Times New Roman" w:cs="Arial"/>
                <w:b w:val="0"/>
                <w:bCs w:val="0"/>
                <w:sz w:val="20"/>
                <w:szCs w:val="20"/>
                <w:lang w:eastAsia="en-AU"/>
              </w:rPr>
              <w:t>ge</w:t>
            </w:r>
          </w:p>
        </w:tc>
        <w:tc>
          <w:tcPr>
            <w:tcW w:w="1277" w:type="dxa"/>
            <w:noWrap/>
            <w:hideMark/>
          </w:tcPr>
          <w:p w14:paraId="6A81F32C"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0.329</w:t>
            </w:r>
          </w:p>
        </w:tc>
        <w:tc>
          <w:tcPr>
            <w:tcW w:w="1654" w:type="dxa"/>
            <w:noWrap/>
            <w:hideMark/>
          </w:tcPr>
          <w:p w14:paraId="165ADA2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33</w:t>
            </w:r>
          </w:p>
        </w:tc>
        <w:tc>
          <w:tcPr>
            <w:tcW w:w="1555" w:type="dxa"/>
            <w:noWrap/>
            <w:hideMark/>
          </w:tcPr>
          <w:p w14:paraId="36706EC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34</w:t>
            </w:r>
          </w:p>
        </w:tc>
      </w:tr>
      <w:tr w:rsidR="008000E1" w:rsidRPr="00ED6013" w14:paraId="5D2A0A7E"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1BE819F4"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Australian citizen</w:t>
            </w:r>
          </w:p>
        </w:tc>
        <w:tc>
          <w:tcPr>
            <w:tcW w:w="1277" w:type="dxa"/>
            <w:noWrap/>
            <w:hideMark/>
          </w:tcPr>
          <w:p w14:paraId="3238772A"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0.709</w:t>
            </w:r>
          </w:p>
        </w:tc>
        <w:tc>
          <w:tcPr>
            <w:tcW w:w="1654" w:type="dxa"/>
            <w:noWrap/>
            <w:hideMark/>
          </w:tcPr>
          <w:p w14:paraId="3B4051B6"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65%</w:t>
            </w:r>
          </w:p>
        </w:tc>
        <w:tc>
          <w:tcPr>
            <w:tcW w:w="1555" w:type="dxa"/>
            <w:noWrap/>
            <w:hideMark/>
          </w:tcPr>
          <w:p w14:paraId="2D8B8996"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64%</w:t>
            </w:r>
          </w:p>
        </w:tc>
      </w:tr>
      <w:tr w:rsidR="008000E1" w:rsidRPr="00ED6013" w14:paraId="559E153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30E17D29"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NDIS severity score</w:t>
            </w:r>
          </w:p>
        </w:tc>
        <w:tc>
          <w:tcPr>
            <w:tcW w:w="1277" w:type="dxa"/>
            <w:noWrap/>
            <w:hideMark/>
          </w:tcPr>
          <w:p w14:paraId="558B4B43"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0.737</w:t>
            </w:r>
          </w:p>
        </w:tc>
        <w:tc>
          <w:tcPr>
            <w:tcW w:w="1654" w:type="dxa"/>
            <w:noWrap/>
            <w:hideMark/>
          </w:tcPr>
          <w:p w14:paraId="5BD31A1C"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7.11</w:t>
            </w:r>
          </w:p>
        </w:tc>
        <w:tc>
          <w:tcPr>
            <w:tcW w:w="1555" w:type="dxa"/>
            <w:noWrap/>
            <w:hideMark/>
          </w:tcPr>
          <w:p w14:paraId="4C9D9D08"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7.17</w:t>
            </w:r>
          </w:p>
        </w:tc>
      </w:tr>
      <w:tr w:rsidR="008000E1" w:rsidRPr="00ED6013" w14:paraId="04B4867D"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2CA0F2F7"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Autism</w:t>
            </w:r>
          </w:p>
        </w:tc>
        <w:tc>
          <w:tcPr>
            <w:tcW w:w="1277" w:type="dxa"/>
            <w:noWrap/>
            <w:hideMark/>
          </w:tcPr>
          <w:p w14:paraId="3595BD9B"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0.001</w:t>
            </w:r>
          </w:p>
        </w:tc>
        <w:tc>
          <w:tcPr>
            <w:tcW w:w="1654" w:type="dxa"/>
            <w:noWrap/>
            <w:hideMark/>
          </w:tcPr>
          <w:p w14:paraId="4C97AEE9"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14%</w:t>
            </w:r>
          </w:p>
        </w:tc>
        <w:tc>
          <w:tcPr>
            <w:tcW w:w="1555" w:type="dxa"/>
            <w:noWrap/>
            <w:hideMark/>
          </w:tcPr>
          <w:p w14:paraId="721E050C"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9%</w:t>
            </w:r>
          </w:p>
        </w:tc>
      </w:tr>
      <w:tr w:rsidR="008000E1" w:rsidRPr="00ED6013" w14:paraId="6FBFEB8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1C9816E5"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Cerebral palsy</w:t>
            </w:r>
          </w:p>
        </w:tc>
        <w:tc>
          <w:tcPr>
            <w:tcW w:w="1277" w:type="dxa"/>
            <w:noWrap/>
            <w:hideMark/>
          </w:tcPr>
          <w:p w14:paraId="11B30C7C"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0.603</w:t>
            </w:r>
          </w:p>
        </w:tc>
        <w:tc>
          <w:tcPr>
            <w:tcW w:w="1654" w:type="dxa"/>
            <w:noWrap/>
            <w:hideMark/>
          </w:tcPr>
          <w:p w14:paraId="1CF2BAD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w:t>
            </w:r>
          </w:p>
        </w:tc>
        <w:tc>
          <w:tcPr>
            <w:tcW w:w="1555" w:type="dxa"/>
            <w:noWrap/>
            <w:hideMark/>
          </w:tcPr>
          <w:p w14:paraId="26F713D0"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w:t>
            </w:r>
          </w:p>
        </w:tc>
      </w:tr>
      <w:tr w:rsidR="008000E1" w:rsidRPr="00ED6013" w14:paraId="3A7AB1B5"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30BA7EA5"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Acquired brain injury</w:t>
            </w:r>
          </w:p>
        </w:tc>
        <w:tc>
          <w:tcPr>
            <w:tcW w:w="1277" w:type="dxa"/>
            <w:noWrap/>
            <w:hideMark/>
          </w:tcPr>
          <w:p w14:paraId="7D993E34"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0.111</w:t>
            </w:r>
          </w:p>
        </w:tc>
        <w:tc>
          <w:tcPr>
            <w:tcW w:w="1654" w:type="dxa"/>
            <w:noWrap/>
            <w:hideMark/>
          </w:tcPr>
          <w:p w14:paraId="7AF44EEB"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3%</w:t>
            </w:r>
          </w:p>
        </w:tc>
        <w:tc>
          <w:tcPr>
            <w:tcW w:w="1555" w:type="dxa"/>
            <w:noWrap/>
            <w:hideMark/>
          </w:tcPr>
          <w:p w14:paraId="09847B4B"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3%</w:t>
            </w:r>
          </w:p>
        </w:tc>
      </w:tr>
      <w:tr w:rsidR="008000E1" w:rsidRPr="00ED6013" w14:paraId="76CA68D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10002ED8"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Psychosocial disability</w:t>
            </w:r>
          </w:p>
        </w:tc>
        <w:tc>
          <w:tcPr>
            <w:tcW w:w="1277" w:type="dxa"/>
            <w:noWrap/>
            <w:hideMark/>
          </w:tcPr>
          <w:p w14:paraId="7211CFE2"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0.074</w:t>
            </w:r>
          </w:p>
        </w:tc>
        <w:tc>
          <w:tcPr>
            <w:tcW w:w="1654" w:type="dxa"/>
            <w:noWrap/>
            <w:hideMark/>
          </w:tcPr>
          <w:p w14:paraId="306112E1"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8%</w:t>
            </w:r>
          </w:p>
        </w:tc>
        <w:tc>
          <w:tcPr>
            <w:tcW w:w="1555" w:type="dxa"/>
            <w:noWrap/>
            <w:hideMark/>
          </w:tcPr>
          <w:p w14:paraId="171E0C4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11%</w:t>
            </w:r>
          </w:p>
        </w:tc>
      </w:tr>
      <w:tr w:rsidR="008000E1" w:rsidRPr="00ED6013" w14:paraId="16D32A78"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E241662"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Multiple sclerosis</w:t>
            </w:r>
          </w:p>
        </w:tc>
        <w:tc>
          <w:tcPr>
            <w:tcW w:w="1277" w:type="dxa"/>
            <w:noWrap/>
            <w:hideMark/>
          </w:tcPr>
          <w:p w14:paraId="597B7C33"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0.023</w:t>
            </w:r>
          </w:p>
        </w:tc>
        <w:tc>
          <w:tcPr>
            <w:tcW w:w="1654" w:type="dxa"/>
            <w:noWrap/>
            <w:hideMark/>
          </w:tcPr>
          <w:p w14:paraId="71589F1E"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w:t>
            </w:r>
          </w:p>
        </w:tc>
        <w:tc>
          <w:tcPr>
            <w:tcW w:w="1555" w:type="dxa"/>
            <w:noWrap/>
            <w:hideMark/>
          </w:tcPr>
          <w:p w14:paraId="6FDD45FF"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w:t>
            </w:r>
          </w:p>
        </w:tc>
      </w:tr>
      <w:tr w:rsidR="008000E1" w:rsidRPr="00ED6013" w14:paraId="3CE3BF1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3E11078C"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Intellectual disability</w:t>
            </w:r>
          </w:p>
        </w:tc>
        <w:tc>
          <w:tcPr>
            <w:tcW w:w="1277" w:type="dxa"/>
            <w:noWrap/>
            <w:hideMark/>
          </w:tcPr>
          <w:p w14:paraId="2E5B6A6A"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0.318</w:t>
            </w:r>
          </w:p>
        </w:tc>
        <w:tc>
          <w:tcPr>
            <w:tcW w:w="1654" w:type="dxa"/>
            <w:noWrap/>
            <w:hideMark/>
          </w:tcPr>
          <w:p w14:paraId="040E353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13%</w:t>
            </w:r>
          </w:p>
        </w:tc>
        <w:tc>
          <w:tcPr>
            <w:tcW w:w="1555" w:type="dxa"/>
            <w:noWrap/>
            <w:hideMark/>
          </w:tcPr>
          <w:p w14:paraId="301BFDC8"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12%</w:t>
            </w:r>
          </w:p>
        </w:tc>
      </w:tr>
      <w:tr w:rsidR="008000E1" w:rsidRPr="00ED6013" w14:paraId="3C605917"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0826C29B"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Other neurological</w:t>
            </w:r>
          </w:p>
        </w:tc>
        <w:tc>
          <w:tcPr>
            <w:tcW w:w="1277" w:type="dxa"/>
            <w:noWrap/>
            <w:hideMark/>
          </w:tcPr>
          <w:p w14:paraId="52046157"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0.564</w:t>
            </w:r>
          </w:p>
        </w:tc>
        <w:tc>
          <w:tcPr>
            <w:tcW w:w="1654" w:type="dxa"/>
            <w:noWrap/>
            <w:hideMark/>
          </w:tcPr>
          <w:p w14:paraId="0D1726D1"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4%</w:t>
            </w:r>
          </w:p>
        </w:tc>
        <w:tc>
          <w:tcPr>
            <w:tcW w:w="1555" w:type="dxa"/>
            <w:noWrap/>
            <w:hideMark/>
          </w:tcPr>
          <w:p w14:paraId="4C38DC18"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4%</w:t>
            </w:r>
          </w:p>
        </w:tc>
      </w:tr>
      <w:tr w:rsidR="008000E1" w:rsidRPr="00ED6013" w14:paraId="770D6F3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57468F10"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Other physical</w:t>
            </w:r>
          </w:p>
        </w:tc>
        <w:tc>
          <w:tcPr>
            <w:tcW w:w="1277" w:type="dxa"/>
            <w:noWrap/>
            <w:hideMark/>
          </w:tcPr>
          <w:p w14:paraId="48EB2C22"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0.838</w:t>
            </w:r>
          </w:p>
        </w:tc>
        <w:tc>
          <w:tcPr>
            <w:tcW w:w="1654" w:type="dxa"/>
            <w:noWrap/>
            <w:hideMark/>
          </w:tcPr>
          <w:p w14:paraId="0108ED98"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w:t>
            </w:r>
          </w:p>
        </w:tc>
        <w:tc>
          <w:tcPr>
            <w:tcW w:w="1555" w:type="dxa"/>
            <w:noWrap/>
            <w:hideMark/>
          </w:tcPr>
          <w:p w14:paraId="4E8FA082"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w:t>
            </w:r>
          </w:p>
        </w:tc>
      </w:tr>
      <w:tr w:rsidR="008000E1" w:rsidRPr="00ED6013" w14:paraId="439C76B3"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5970B466"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Developmental delay</w:t>
            </w:r>
          </w:p>
        </w:tc>
        <w:tc>
          <w:tcPr>
            <w:tcW w:w="1277" w:type="dxa"/>
            <w:noWrap/>
            <w:hideMark/>
          </w:tcPr>
          <w:p w14:paraId="53C58D09"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0.114</w:t>
            </w:r>
          </w:p>
        </w:tc>
        <w:tc>
          <w:tcPr>
            <w:tcW w:w="1654" w:type="dxa"/>
            <w:noWrap/>
            <w:hideMark/>
          </w:tcPr>
          <w:p w14:paraId="5CC08642"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7%</w:t>
            </w:r>
          </w:p>
        </w:tc>
        <w:tc>
          <w:tcPr>
            <w:tcW w:w="1555" w:type="dxa"/>
            <w:noWrap/>
            <w:hideMark/>
          </w:tcPr>
          <w:p w14:paraId="60EB72B5"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6%</w:t>
            </w:r>
          </w:p>
        </w:tc>
      </w:tr>
      <w:tr w:rsidR="008000E1" w:rsidRPr="00ED6013" w14:paraId="35774DBD"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64828EE9"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Visual Impairment</w:t>
            </w:r>
          </w:p>
        </w:tc>
        <w:tc>
          <w:tcPr>
            <w:tcW w:w="1277" w:type="dxa"/>
            <w:noWrap/>
            <w:hideMark/>
          </w:tcPr>
          <w:p w14:paraId="7FB17155"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0.432</w:t>
            </w:r>
          </w:p>
        </w:tc>
        <w:tc>
          <w:tcPr>
            <w:tcW w:w="1654" w:type="dxa"/>
            <w:noWrap/>
            <w:hideMark/>
          </w:tcPr>
          <w:p w14:paraId="5555D14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w:t>
            </w:r>
          </w:p>
        </w:tc>
        <w:tc>
          <w:tcPr>
            <w:tcW w:w="1555" w:type="dxa"/>
            <w:noWrap/>
            <w:hideMark/>
          </w:tcPr>
          <w:p w14:paraId="584A4CF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w:t>
            </w:r>
          </w:p>
        </w:tc>
      </w:tr>
      <w:tr w:rsidR="008000E1" w:rsidRPr="00ED6013" w14:paraId="5BCBD4E6"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3CEE135E"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Down syndrome</w:t>
            </w:r>
          </w:p>
        </w:tc>
        <w:tc>
          <w:tcPr>
            <w:tcW w:w="1277" w:type="dxa"/>
            <w:noWrap/>
            <w:hideMark/>
          </w:tcPr>
          <w:p w14:paraId="1469D079"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0.124</w:t>
            </w:r>
          </w:p>
        </w:tc>
        <w:tc>
          <w:tcPr>
            <w:tcW w:w="1654" w:type="dxa"/>
            <w:noWrap/>
            <w:hideMark/>
          </w:tcPr>
          <w:p w14:paraId="3A6F64D6"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w:t>
            </w:r>
          </w:p>
        </w:tc>
        <w:tc>
          <w:tcPr>
            <w:tcW w:w="1555" w:type="dxa"/>
            <w:noWrap/>
            <w:hideMark/>
          </w:tcPr>
          <w:p w14:paraId="5E7C2607"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w:t>
            </w:r>
          </w:p>
        </w:tc>
      </w:tr>
      <w:tr w:rsidR="008000E1" w:rsidRPr="00ED6013" w14:paraId="2B635921"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35B36D26"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Spinal cord injury</w:t>
            </w:r>
          </w:p>
        </w:tc>
        <w:tc>
          <w:tcPr>
            <w:tcW w:w="1277" w:type="dxa"/>
            <w:noWrap/>
            <w:hideMark/>
          </w:tcPr>
          <w:p w14:paraId="3F6F0C5E"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0.578</w:t>
            </w:r>
          </w:p>
        </w:tc>
        <w:tc>
          <w:tcPr>
            <w:tcW w:w="1654" w:type="dxa"/>
            <w:noWrap/>
            <w:hideMark/>
          </w:tcPr>
          <w:p w14:paraId="223A4984"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w:t>
            </w:r>
          </w:p>
        </w:tc>
        <w:tc>
          <w:tcPr>
            <w:tcW w:w="1555" w:type="dxa"/>
            <w:noWrap/>
            <w:hideMark/>
          </w:tcPr>
          <w:p w14:paraId="31231EDA"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1%</w:t>
            </w:r>
          </w:p>
        </w:tc>
      </w:tr>
      <w:tr w:rsidR="008000E1" w:rsidRPr="00ED6013" w14:paraId="7CA631B2"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1D5F08DA"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Vulnerable participant indicator</w:t>
            </w:r>
          </w:p>
        </w:tc>
        <w:tc>
          <w:tcPr>
            <w:tcW w:w="1277" w:type="dxa"/>
            <w:noWrap/>
            <w:hideMark/>
          </w:tcPr>
          <w:p w14:paraId="61E36012"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0.091</w:t>
            </w:r>
          </w:p>
        </w:tc>
        <w:tc>
          <w:tcPr>
            <w:tcW w:w="1654" w:type="dxa"/>
            <w:noWrap/>
            <w:hideMark/>
          </w:tcPr>
          <w:p w14:paraId="6AE97A50"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4%</w:t>
            </w:r>
          </w:p>
        </w:tc>
        <w:tc>
          <w:tcPr>
            <w:tcW w:w="1555" w:type="dxa"/>
            <w:noWrap/>
            <w:hideMark/>
          </w:tcPr>
          <w:p w14:paraId="1A063EDC"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3%</w:t>
            </w:r>
          </w:p>
        </w:tc>
      </w:tr>
      <w:tr w:rsidR="008000E1" w:rsidRPr="00ED6013" w14:paraId="710A043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0ECD6736" w14:textId="77777777" w:rsidR="008000E1" w:rsidRPr="00C44A51" w:rsidRDefault="008000E1">
            <w:pPr>
              <w:spacing w:before="20" w:after="20" w:line="240" w:lineRule="auto"/>
              <w:contextualSpacing/>
              <w:rPr>
                <w:rFonts w:eastAsia="Times New Roman" w:cs="Arial"/>
                <w:b w:val="0"/>
                <w:bCs w:val="0"/>
                <w:sz w:val="20"/>
                <w:szCs w:val="20"/>
                <w:lang w:eastAsia="en-AU"/>
              </w:rPr>
            </w:pPr>
            <w:r w:rsidRPr="00C44A51">
              <w:rPr>
                <w:rFonts w:eastAsia="Times New Roman" w:cs="Arial"/>
                <w:b w:val="0"/>
                <w:bCs w:val="0"/>
                <w:sz w:val="20"/>
                <w:szCs w:val="20"/>
                <w:lang w:eastAsia="en-AU"/>
              </w:rPr>
              <w:t>% participant</w:t>
            </w:r>
            <w:r>
              <w:rPr>
                <w:rFonts w:eastAsia="Times New Roman" w:cs="Arial"/>
                <w:b w:val="0"/>
                <w:bCs w:val="0"/>
                <w:sz w:val="20"/>
                <w:szCs w:val="20"/>
                <w:lang w:eastAsia="en-AU"/>
              </w:rPr>
              <w:t>s who made a claim</w:t>
            </w:r>
          </w:p>
        </w:tc>
        <w:tc>
          <w:tcPr>
            <w:tcW w:w="1277" w:type="dxa"/>
            <w:noWrap/>
            <w:hideMark/>
          </w:tcPr>
          <w:p w14:paraId="78FD4BA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0.29</w:t>
            </w:r>
          </w:p>
        </w:tc>
        <w:tc>
          <w:tcPr>
            <w:tcW w:w="1654" w:type="dxa"/>
            <w:noWrap/>
            <w:hideMark/>
          </w:tcPr>
          <w:p w14:paraId="284CE326"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51%</w:t>
            </w:r>
          </w:p>
        </w:tc>
        <w:tc>
          <w:tcPr>
            <w:tcW w:w="1555" w:type="dxa"/>
            <w:noWrap/>
            <w:hideMark/>
          </w:tcPr>
          <w:p w14:paraId="28B2DE61"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49%</w:t>
            </w:r>
          </w:p>
        </w:tc>
      </w:tr>
      <w:tr w:rsidR="008000E1" w:rsidRPr="00ED6013" w14:paraId="433E5FE1"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28503E58"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LGA t</w:t>
            </w:r>
            <w:r w:rsidRPr="00C44A51">
              <w:rPr>
                <w:rFonts w:eastAsia="Times New Roman" w:cs="Arial"/>
                <w:b w:val="0"/>
                <w:bCs w:val="0"/>
                <w:color w:val="000000"/>
                <w:sz w:val="20"/>
                <w:szCs w:val="20"/>
                <w:lang w:eastAsia="en-AU"/>
              </w:rPr>
              <w:t>otal spend</w:t>
            </w:r>
            <w:r>
              <w:rPr>
                <w:rFonts w:eastAsia="Times New Roman" w:cs="Arial"/>
                <w:b w:val="0"/>
                <w:bCs w:val="0"/>
                <w:color w:val="000000"/>
                <w:sz w:val="20"/>
                <w:szCs w:val="20"/>
                <w:lang w:eastAsia="en-AU"/>
              </w:rPr>
              <w:t xml:space="preserve"> – 12 months prior</w:t>
            </w:r>
          </w:p>
        </w:tc>
        <w:tc>
          <w:tcPr>
            <w:tcW w:w="1277" w:type="dxa"/>
            <w:noWrap/>
            <w:hideMark/>
          </w:tcPr>
          <w:p w14:paraId="29748EC3"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0.862</w:t>
            </w:r>
          </w:p>
        </w:tc>
        <w:tc>
          <w:tcPr>
            <w:tcW w:w="1654" w:type="dxa"/>
            <w:noWrap/>
            <w:hideMark/>
          </w:tcPr>
          <w:p w14:paraId="77958BAE"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$10,597,926</w:t>
            </w:r>
          </w:p>
        </w:tc>
        <w:tc>
          <w:tcPr>
            <w:tcW w:w="1555" w:type="dxa"/>
            <w:noWrap/>
            <w:hideMark/>
          </w:tcPr>
          <w:p w14:paraId="3F1C7EEF"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$11,289,558</w:t>
            </w:r>
          </w:p>
        </w:tc>
      </w:tr>
      <w:tr w:rsidR="008000E1" w:rsidRPr="00ED6013" w14:paraId="5CF88F58"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AF11866"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LGA no.</w:t>
            </w:r>
            <w:r w:rsidRPr="00C44A51">
              <w:rPr>
                <w:rFonts w:eastAsia="Times New Roman" w:cs="Arial"/>
                <w:b w:val="0"/>
                <w:bCs w:val="0"/>
                <w:color w:val="000000"/>
                <w:sz w:val="20"/>
                <w:szCs w:val="20"/>
                <w:lang w:eastAsia="en-AU"/>
              </w:rPr>
              <w:t xml:space="preserve"> of participants</w:t>
            </w:r>
            <w:r>
              <w:rPr>
                <w:rFonts w:eastAsia="Times New Roman" w:cs="Arial"/>
                <w:b w:val="0"/>
                <w:bCs w:val="0"/>
                <w:color w:val="000000"/>
                <w:sz w:val="20"/>
                <w:szCs w:val="20"/>
                <w:lang w:eastAsia="en-AU"/>
              </w:rPr>
              <w:t xml:space="preserve"> – 12 months prior</w:t>
            </w:r>
          </w:p>
        </w:tc>
        <w:tc>
          <w:tcPr>
            <w:tcW w:w="1277" w:type="dxa"/>
            <w:noWrap/>
            <w:hideMark/>
          </w:tcPr>
          <w:p w14:paraId="1E41DCD8"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0.787</w:t>
            </w:r>
          </w:p>
        </w:tc>
        <w:tc>
          <w:tcPr>
            <w:tcW w:w="1654" w:type="dxa"/>
            <w:noWrap/>
            <w:hideMark/>
          </w:tcPr>
          <w:p w14:paraId="5FC21180"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258</w:t>
            </w:r>
          </w:p>
        </w:tc>
        <w:tc>
          <w:tcPr>
            <w:tcW w:w="1555" w:type="dxa"/>
            <w:noWrap/>
            <w:hideMark/>
          </w:tcPr>
          <w:p w14:paraId="33263CD5"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282</w:t>
            </w:r>
          </w:p>
        </w:tc>
      </w:tr>
      <w:tr w:rsidR="008000E1" w:rsidRPr="00ED6013" w14:paraId="5432FD30"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6A00640"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 xml:space="preserve">LGA no. </w:t>
            </w:r>
            <w:r w:rsidRPr="00C44A51">
              <w:rPr>
                <w:rFonts w:eastAsia="Times New Roman" w:cs="Arial"/>
                <w:b w:val="0"/>
                <w:bCs w:val="0"/>
                <w:color w:val="000000"/>
                <w:sz w:val="20"/>
                <w:szCs w:val="20"/>
                <w:lang w:eastAsia="en-AU"/>
              </w:rPr>
              <w:t>of providers</w:t>
            </w:r>
            <w:r>
              <w:rPr>
                <w:rFonts w:eastAsia="Times New Roman" w:cs="Arial"/>
                <w:b w:val="0"/>
                <w:bCs w:val="0"/>
                <w:color w:val="000000"/>
                <w:sz w:val="20"/>
                <w:szCs w:val="20"/>
                <w:lang w:eastAsia="en-AU"/>
              </w:rPr>
              <w:t xml:space="preserve"> – 12 months prior</w:t>
            </w:r>
          </w:p>
        </w:tc>
        <w:tc>
          <w:tcPr>
            <w:tcW w:w="1277" w:type="dxa"/>
            <w:noWrap/>
            <w:hideMark/>
          </w:tcPr>
          <w:p w14:paraId="041C9294"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0.686</w:t>
            </w:r>
          </w:p>
        </w:tc>
        <w:tc>
          <w:tcPr>
            <w:tcW w:w="1654" w:type="dxa"/>
            <w:noWrap/>
            <w:hideMark/>
          </w:tcPr>
          <w:p w14:paraId="572FFCA0"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Pr>
                <w:rFonts w:cs="Arial"/>
                <w:sz w:val="20"/>
                <w:szCs w:val="20"/>
              </w:rPr>
              <w:t>79</w:t>
            </w:r>
          </w:p>
        </w:tc>
        <w:tc>
          <w:tcPr>
            <w:tcW w:w="1555" w:type="dxa"/>
            <w:noWrap/>
            <w:hideMark/>
          </w:tcPr>
          <w:p w14:paraId="66FB5D31"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Pr>
                <w:rFonts w:cs="Arial"/>
                <w:sz w:val="20"/>
                <w:szCs w:val="20"/>
              </w:rPr>
              <w:t>72</w:t>
            </w:r>
          </w:p>
        </w:tc>
      </w:tr>
      <w:tr w:rsidR="008000E1" w:rsidRPr="00ED6013" w14:paraId="5DB1116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327F2DA"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lastRenderedPageBreak/>
              <w:t>Participant a</w:t>
            </w:r>
            <w:r w:rsidRPr="00C44A51">
              <w:rPr>
                <w:rFonts w:eastAsia="Times New Roman" w:cs="Arial"/>
                <w:b w:val="0"/>
                <w:bCs w:val="0"/>
                <w:color w:val="000000"/>
                <w:sz w:val="20"/>
                <w:szCs w:val="20"/>
                <w:lang w:eastAsia="en-AU"/>
              </w:rPr>
              <w:t>ve. spend per claim</w:t>
            </w:r>
            <w:r>
              <w:rPr>
                <w:rFonts w:eastAsia="Times New Roman" w:cs="Arial"/>
                <w:b w:val="0"/>
                <w:bCs w:val="0"/>
                <w:color w:val="000000"/>
                <w:sz w:val="20"/>
                <w:szCs w:val="20"/>
                <w:lang w:eastAsia="en-AU"/>
              </w:rPr>
              <w:t xml:space="preserve"> – 12 months prior</w:t>
            </w:r>
          </w:p>
        </w:tc>
        <w:tc>
          <w:tcPr>
            <w:tcW w:w="1277" w:type="dxa"/>
            <w:noWrap/>
            <w:hideMark/>
          </w:tcPr>
          <w:p w14:paraId="6E9C7BE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0.508</w:t>
            </w:r>
          </w:p>
        </w:tc>
        <w:tc>
          <w:tcPr>
            <w:tcW w:w="1654" w:type="dxa"/>
            <w:noWrap/>
            <w:hideMark/>
          </w:tcPr>
          <w:p w14:paraId="044AE7B4"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$757</w:t>
            </w:r>
          </w:p>
        </w:tc>
        <w:tc>
          <w:tcPr>
            <w:tcW w:w="1555" w:type="dxa"/>
            <w:noWrap/>
            <w:hideMark/>
          </w:tcPr>
          <w:p w14:paraId="48A78549"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$852</w:t>
            </w:r>
          </w:p>
        </w:tc>
      </w:tr>
      <w:tr w:rsidR="008000E1" w:rsidRPr="00ED6013" w14:paraId="01D116A0"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6CF51B4B"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Participant a</w:t>
            </w:r>
            <w:r w:rsidRPr="00C44A51">
              <w:rPr>
                <w:rFonts w:eastAsia="Times New Roman" w:cs="Arial"/>
                <w:b w:val="0"/>
                <w:bCs w:val="0"/>
                <w:color w:val="000000"/>
                <w:sz w:val="20"/>
                <w:szCs w:val="20"/>
                <w:lang w:eastAsia="en-AU"/>
              </w:rPr>
              <w:t xml:space="preserve">ve. </w:t>
            </w:r>
            <w:r>
              <w:rPr>
                <w:rFonts w:eastAsia="Times New Roman" w:cs="Arial"/>
                <w:b w:val="0"/>
                <w:bCs w:val="0"/>
                <w:color w:val="000000"/>
                <w:sz w:val="20"/>
                <w:szCs w:val="20"/>
                <w:lang w:eastAsia="en-AU"/>
              </w:rPr>
              <w:t xml:space="preserve">no. </w:t>
            </w:r>
            <w:r w:rsidRPr="00C44A51">
              <w:rPr>
                <w:rFonts w:eastAsia="Times New Roman" w:cs="Arial"/>
                <w:b w:val="0"/>
                <w:bCs w:val="0"/>
                <w:color w:val="000000"/>
                <w:sz w:val="20"/>
                <w:szCs w:val="20"/>
                <w:lang w:eastAsia="en-AU"/>
              </w:rPr>
              <w:t>of plans</w:t>
            </w:r>
            <w:r>
              <w:rPr>
                <w:rFonts w:eastAsia="Times New Roman" w:cs="Arial"/>
                <w:b w:val="0"/>
                <w:bCs w:val="0"/>
                <w:color w:val="000000"/>
                <w:sz w:val="20"/>
                <w:szCs w:val="20"/>
                <w:lang w:eastAsia="en-AU"/>
              </w:rPr>
              <w:t xml:space="preserve"> – 12 months prior</w:t>
            </w:r>
          </w:p>
        </w:tc>
        <w:tc>
          <w:tcPr>
            <w:tcW w:w="1277" w:type="dxa"/>
            <w:noWrap/>
            <w:hideMark/>
          </w:tcPr>
          <w:p w14:paraId="1224F0A7"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0.828</w:t>
            </w:r>
          </w:p>
        </w:tc>
        <w:tc>
          <w:tcPr>
            <w:tcW w:w="1654" w:type="dxa"/>
            <w:noWrap/>
            <w:hideMark/>
          </w:tcPr>
          <w:p w14:paraId="2E30F96E"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3</w:t>
            </w:r>
          </w:p>
        </w:tc>
        <w:tc>
          <w:tcPr>
            <w:tcW w:w="1555" w:type="dxa"/>
            <w:noWrap/>
            <w:hideMark/>
          </w:tcPr>
          <w:p w14:paraId="27DDC4BC"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3</w:t>
            </w:r>
          </w:p>
        </w:tc>
      </w:tr>
      <w:tr w:rsidR="008000E1" w:rsidRPr="00ED6013" w14:paraId="4AA39630"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D5D9FB0"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Participant a</w:t>
            </w:r>
            <w:r w:rsidRPr="00C44A51">
              <w:rPr>
                <w:rFonts w:eastAsia="Times New Roman" w:cs="Arial"/>
                <w:b w:val="0"/>
                <w:bCs w:val="0"/>
                <w:color w:val="000000"/>
                <w:sz w:val="20"/>
                <w:szCs w:val="20"/>
                <w:lang w:eastAsia="en-AU"/>
              </w:rPr>
              <w:t>ve.</w:t>
            </w:r>
            <w:r>
              <w:rPr>
                <w:rFonts w:eastAsia="Times New Roman" w:cs="Arial"/>
                <w:b w:val="0"/>
                <w:bCs w:val="0"/>
                <w:color w:val="000000"/>
                <w:sz w:val="20"/>
                <w:szCs w:val="20"/>
                <w:lang w:eastAsia="en-AU"/>
              </w:rPr>
              <w:t xml:space="preserve"> no.</w:t>
            </w:r>
            <w:r w:rsidRPr="00C44A51">
              <w:rPr>
                <w:rFonts w:eastAsia="Times New Roman" w:cs="Arial"/>
                <w:b w:val="0"/>
                <w:bCs w:val="0"/>
                <w:color w:val="000000"/>
                <w:sz w:val="20"/>
                <w:szCs w:val="20"/>
                <w:lang w:eastAsia="en-AU"/>
              </w:rPr>
              <w:t xml:space="preserve"> of providers</w:t>
            </w:r>
            <w:r>
              <w:rPr>
                <w:rFonts w:eastAsia="Times New Roman" w:cs="Arial"/>
                <w:b w:val="0"/>
                <w:bCs w:val="0"/>
                <w:color w:val="000000"/>
                <w:sz w:val="20"/>
                <w:szCs w:val="20"/>
                <w:lang w:eastAsia="en-AU"/>
              </w:rPr>
              <w:t xml:space="preserve"> – 12 months prior</w:t>
            </w:r>
          </w:p>
        </w:tc>
        <w:tc>
          <w:tcPr>
            <w:tcW w:w="1277" w:type="dxa"/>
            <w:noWrap/>
            <w:hideMark/>
          </w:tcPr>
          <w:p w14:paraId="1BC3F92F"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0.779</w:t>
            </w:r>
          </w:p>
        </w:tc>
        <w:tc>
          <w:tcPr>
            <w:tcW w:w="1654" w:type="dxa"/>
            <w:noWrap/>
            <w:hideMark/>
          </w:tcPr>
          <w:p w14:paraId="483B4D2D"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w:t>
            </w:r>
          </w:p>
        </w:tc>
        <w:tc>
          <w:tcPr>
            <w:tcW w:w="1555" w:type="dxa"/>
            <w:noWrap/>
            <w:hideMark/>
          </w:tcPr>
          <w:p w14:paraId="260C8DA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2</w:t>
            </w:r>
          </w:p>
        </w:tc>
      </w:tr>
      <w:tr w:rsidR="008000E1" w:rsidRPr="00ED6013" w14:paraId="2FDCBAE3"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00C58AB4"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Provider a</w:t>
            </w:r>
            <w:r w:rsidRPr="00C44A51">
              <w:rPr>
                <w:rFonts w:eastAsia="Times New Roman" w:cs="Arial"/>
                <w:b w:val="0"/>
                <w:bCs w:val="0"/>
                <w:color w:val="000000"/>
                <w:sz w:val="20"/>
                <w:szCs w:val="20"/>
                <w:lang w:eastAsia="en-AU"/>
              </w:rPr>
              <w:t>ve. claim</w:t>
            </w:r>
            <w:r>
              <w:rPr>
                <w:rFonts w:eastAsia="Times New Roman" w:cs="Arial"/>
                <w:b w:val="0"/>
                <w:bCs w:val="0"/>
                <w:color w:val="000000"/>
                <w:sz w:val="20"/>
                <w:szCs w:val="20"/>
                <w:lang w:eastAsia="en-AU"/>
              </w:rPr>
              <w:t xml:space="preserve"> amount – 12 months prior</w:t>
            </w:r>
          </w:p>
        </w:tc>
        <w:tc>
          <w:tcPr>
            <w:tcW w:w="1277" w:type="dxa"/>
            <w:noWrap/>
            <w:hideMark/>
          </w:tcPr>
          <w:p w14:paraId="3566D802"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0.697</w:t>
            </w:r>
          </w:p>
        </w:tc>
        <w:tc>
          <w:tcPr>
            <w:tcW w:w="1654" w:type="dxa"/>
            <w:noWrap/>
            <w:hideMark/>
          </w:tcPr>
          <w:p w14:paraId="45799C8B"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$1,545</w:t>
            </w:r>
          </w:p>
        </w:tc>
        <w:tc>
          <w:tcPr>
            <w:tcW w:w="1555" w:type="dxa"/>
            <w:noWrap/>
            <w:hideMark/>
          </w:tcPr>
          <w:p w14:paraId="6577614D"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$1,428</w:t>
            </w:r>
          </w:p>
        </w:tc>
      </w:tr>
      <w:tr w:rsidR="008000E1" w:rsidRPr="00ED6013" w14:paraId="3B188902"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hideMark/>
          </w:tcPr>
          <w:p w14:paraId="41FA703B" w14:textId="77777777" w:rsidR="008000E1" w:rsidRPr="00C44A51"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Provider a</w:t>
            </w:r>
            <w:r w:rsidRPr="00C44A51">
              <w:rPr>
                <w:rFonts w:eastAsia="Times New Roman" w:cs="Arial"/>
                <w:b w:val="0"/>
                <w:bCs w:val="0"/>
                <w:color w:val="000000"/>
                <w:sz w:val="20"/>
                <w:szCs w:val="20"/>
                <w:lang w:eastAsia="en-AU"/>
              </w:rPr>
              <w:t xml:space="preserve">ve. </w:t>
            </w:r>
            <w:r>
              <w:rPr>
                <w:rFonts w:eastAsia="Times New Roman" w:cs="Arial"/>
                <w:b w:val="0"/>
                <w:bCs w:val="0"/>
                <w:color w:val="000000"/>
                <w:sz w:val="20"/>
                <w:szCs w:val="20"/>
                <w:lang w:eastAsia="en-AU"/>
              </w:rPr>
              <w:t>no.</w:t>
            </w:r>
            <w:r w:rsidRPr="00C44A51">
              <w:rPr>
                <w:rFonts w:eastAsia="Times New Roman" w:cs="Arial"/>
                <w:b w:val="0"/>
                <w:bCs w:val="0"/>
                <w:color w:val="000000"/>
                <w:sz w:val="20"/>
                <w:szCs w:val="20"/>
                <w:lang w:eastAsia="en-AU"/>
              </w:rPr>
              <w:t xml:space="preserve"> of plans</w:t>
            </w:r>
            <w:r>
              <w:rPr>
                <w:rFonts w:eastAsia="Times New Roman" w:cs="Arial"/>
                <w:b w:val="0"/>
                <w:bCs w:val="0"/>
                <w:color w:val="000000"/>
                <w:sz w:val="20"/>
                <w:szCs w:val="20"/>
                <w:lang w:eastAsia="en-AU"/>
              </w:rPr>
              <w:t xml:space="preserve"> – 12 months prior</w:t>
            </w:r>
          </w:p>
        </w:tc>
        <w:tc>
          <w:tcPr>
            <w:tcW w:w="1277" w:type="dxa"/>
            <w:noWrap/>
            <w:hideMark/>
          </w:tcPr>
          <w:p w14:paraId="3FB05223"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0.669</w:t>
            </w:r>
          </w:p>
        </w:tc>
        <w:tc>
          <w:tcPr>
            <w:tcW w:w="1654" w:type="dxa"/>
            <w:noWrap/>
            <w:hideMark/>
          </w:tcPr>
          <w:p w14:paraId="6A4BE639"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w:t>
            </w:r>
          </w:p>
        </w:tc>
        <w:tc>
          <w:tcPr>
            <w:tcW w:w="1555" w:type="dxa"/>
            <w:noWrap/>
            <w:hideMark/>
          </w:tcPr>
          <w:p w14:paraId="7CCC0CEB" w14:textId="77777777" w:rsidR="008000E1" w:rsidRPr="003F2EC0"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F2EC0">
              <w:rPr>
                <w:rFonts w:cs="Arial"/>
                <w:sz w:val="20"/>
                <w:szCs w:val="20"/>
              </w:rPr>
              <w:t>7</w:t>
            </w:r>
          </w:p>
        </w:tc>
      </w:tr>
      <w:tr w:rsidR="008000E1" w:rsidRPr="00ED6013" w14:paraId="6D555D06" w14:textId="7777777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30" w:type="dxa"/>
            <w:noWrap/>
            <w:vAlign w:val="bottom"/>
          </w:tcPr>
          <w:p w14:paraId="374CF276" w14:textId="77777777" w:rsidR="008000E1" w:rsidRPr="00907882" w:rsidRDefault="008000E1">
            <w:pPr>
              <w:spacing w:before="20" w:after="20" w:line="240" w:lineRule="auto"/>
              <w:contextualSpacing/>
              <w:rPr>
                <w:rFonts w:eastAsia="Times New Roman" w:cs="Arial"/>
                <w:b w:val="0"/>
                <w:bCs w:val="0"/>
                <w:color w:val="000000"/>
                <w:sz w:val="20"/>
                <w:szCs w:val="20"/>
                <w:lang w:eastAsia="en-AU"/>
              </w:rPr>
            </w:pPr>
            <w:r>
              <w:rPr>
                <w:rFonts w:eastAsia="Times New Roman" w:cs="Arial"/>
                <w:b w:val="0"/>
                <w:bCs w:val="0"/>
                <w:color w:val="000000"/>
                <w:sz w:val="20"/>
                <w:szCs w:val="20"/>
                <w:lang w:eastAsia="en-AU"/>
              </w:rPr>
              <w:t>Provider a</w:t>
            </w:r>
            <w:r w:rsidRPr="00907882">
              <w:rPr>
                <w:rFonts w:eastAsia="Times New Roman" w:cs="Arial"/>
                <w:b w:val="0"/>
                <w:bCs w:val="0"/>
                <w:color w:val="000000"/>
                <w:sz w:val="20"/>
                <w:szCs w:val="20"/>
                <w:lang w:eastAsia="en-AU"/>
              </w:rPr>
              <w:t xml:space="preserve">ve. </w:t>
            </w:r>
            <w:r>
              <w:rPr>
                <w:rFonts w:eastAsia="Times New Roman" w:cs="Arial"/>
                <w:b w:val="0"/>
                <w:bCs w:val="0"/>
                <w:color w:val="000000"/>
                <w:sz w:val="20"/>
                <w:szCs w:val="20"/>
                <w:lang w:eastAsia="en-AU"/>
              </w:rPr>
              <w:t>no.</w:t>
            </w:r>
            <w:r w:rsidRPr="00907882">
              <w:rPr>
                <w:rFonts w:eastAsia="Times New Roman" w:cs="Arial"/>
                <w:b w:val="0"/>
                <w:bCs w:val="0"/>
                <w:color w:val="000000"/>
                <w:sz w:val="20"/>
                <w:szCs w:val="20"/>
                <w:lang w:eastAsia="en-AU"/>
              </w:rPr>
              <w:t xml:space="preserve"> of participants</w:t>
            </w:r>
            <w:r>
              <w:rPr>
                <w:rFonts w:eastAsia="Times New Roman" w:cs="Arial"/>
                <w:b w:val="0"/>
                <w:bCs w:val="0"/>
                <w:color w:val="000000"/>
                <w:sz w:val="20"/>
                <w:szCs w:val="20"/>
                <w:lang w:eastAsia="en-AU"/>
              </w:rPr>
              <w:t xml:space="preserve"> – 12 months prior</w:t>
            </w:r>
          </w:p>
        </w:tc>
        <w:tc>
          <w:tcPr>
            <w:tcW w:w="1277" w:type="dxa"/>
            <w:noWrap/>
          </w:tcPr>
          <w:p w14:paraId="1DFE5F74"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0.451</w:t>
            </w:r>
          </w:p>
        </w:tc>
        <w:tc>
          <w:tcPr>
            <w:tcW w:w="1654" w:type="dxa"/>
            <w:noWrap/>
          </w:tcPr>
          <w:p w14:paraId="42A09CAA"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5</w:t>
            </w:r>
          </w:p>
        </w:tc>
        <w:tc>
          <w:tcPr>
            <w:tcW w:w="1555" w:type="dxa"/>
            <w:noWrap/>
          </w:tcPr>
          <w:p w14:paraId="26A6F017" w14:textId="77777777" w:rsidR="008000E1" w:rsidRPr="003F2EC0"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3F2EC0">
              <w:rPr>
                <w:rFonts w:cs="Arial"/>
                <w:sz w:val="20"/>
                <w:szCs w:val="20"/>
              </w:rPr>
              <w:t>5</w:t>
            </w:r>
          </w:p>
        </w:tc>
      </w:tr>
    </w:tbl>
    <w:p w14:paraId="7EDE91A2" w14:textId="7D846A7C" w:rsidR="008000E1" w:rsidRDefault="008000E1" w:rsidP="008000E1">
      <w:r>
        <w:rPr>
          <w:color w:val="2B579A"/>
          <w:shd w:val="clear" w:color="auto" w:fill="E6E6E6"/>
        </w:rPr>
        <w:fldChar w:fldCharType="begin"/>
      </w:r>
      <w:r>
        <w:instrText xml:space="preserve"> REF _Ref116649667 \h </w:instrText>
      </w:r>
      <w:r>
        <w:rPr>
          <w:color w:val="2B579A"/>
          <w:shd w:val="clear" w:color="auto" w:fill="E6E6E6"/>
        </w:rPr>
      </w:r>
      <w:r>
        <w:rPr>
          <w:color w:val="2B579A"/>
          <w:shd w:val="clear" w:color="auto" w:fill="E6E6E6"/>
        </w:rPr>
        <w:fldChar w:fldCharType="separate"/>
      </w:r>
      <w:r w:rsidR="00DE04FA">
        <w:t xml:space="preserve">Table </w:t>
      </w:r>
      <w:r w:rsidR="00DE04FA">
        <w:rPr>
          <w:noProof/>
        </w:rPr>
        <w:t>13</w:t>
      </w:r>
      <w:r>
        <w:rPr>
          <w:color w:val="2B579A"/>
          <w:shd w:val="clear" w:color="auto" w:fill="E6E6E6"/>
        </w:rPr>
        <w:fldChar w:fldCharType="end"/>
      </w:r>
      <w:r>
        <w:t xml:space="preserve"> shows the LGAs matched to the target LGAs. </w:t>
      </w:r>
    </w:p>
    <w:p w14:paraId="3B85E7C4" w14:textId="6BC2C0F0" w:rsidR="008000E1" w:rsidRDefault="008000E1" w:rsidP="008000E1">
      <w:pPr>
        <w:pStyle w:val="Caption"/>
      </w:pPr>
      <w:bookmarkStart w:id="187" w:name="_Ref116649667"/>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13</w:t>
      </w:r>
      <w:r>
        <w:rPr>
          <w:color w:val="2B579A"/>
          <w:shd w:val="clear" w:color="auto" w:fill="E6E6E6"/>
        </w:rPr>
        <w:fldChar w:fldCharType="end"/>
      </w:r>
      <w:bookmarkEnd w:id="187"/>
      <w:r>
        <w:t>: LGAs matched to trial LGAs</w:t>
      </w:r>
    </w:p>
    <w:tbl>
      <w:tblPr>
        <w:tblStyle w:val="LightShading-Accent4"/>
        <w:tblW w:w="889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CellMar>
          <w:top w:w="28" w:type="dxa"/>
          <w:bottom w:w="28" w:type="dxa"/>
        </w:tblCellMar>
        <w:tblLook w:val="04A0" w:firstRow="1" w:lastRow="0" w:firstColumn="1" w:lastColumn="0" w:noHBand="0" w:noVBand="1"/>
        <w:tblDescription w:val="Table 13 provides the list of trial LGAs and the list of matched LGAs (last 3 columns). LGAs are arranged alphabetically. "/>
      </w:tblPr>
      <w:tblGrid>
        <w:gridCol w:w="2223"/>
        <w:gridCol w:w="2224"/>
        <w:gridCol w:w="2223"/>
        <w:gridCol w:w="2224"/>
      </w:tblGrid>
      <w:tr w:rsidR="008000E1" w:rsidRPr="00812D34" w14:paraId="6C3B28AD" w14:textId="77777777">
        <w:trPr>
          <w:cnfStyle w:val="100000000000" w:firstRow="1" w:lastRow="0" w:firstColumn="0" w:lastColumn="0" w:oddVBand="0" w:evenVBand="0" w:oddHBand="0" w:evenHBand="0" w:firstRowFirstColumn="0" w:firstRowLastColumn="0" w:lastRowFirstColumn="0" w:lastRowLastColumn="0"/>
          <w:trHeight w:val="283"/>
          <w:tblHeader/>
        </w:trPr>
        <w:tc>
          <w:tcPr>
            <w:cnfStyle w:val="001000000000" w:firstRow="0" w:lastRow="0" w:firstColumn="1" w:lastColumn="0" w:oddVBand="0" w:evenVBand="0" w:oddHBand="0" w:evenHBand="0" w:firstRowFirstColumn="0" w:firstRowLastColumn="0" w:lastRowFirstColumn="0" w:lastRowLastColumn="0"/>
            <w:tcW w:w="2223" w:type="dxa"/>
            <w:noWrap/>
            <w:hideMark/>
          </w:tcPr>
          <w:p w14:paraId="1B19240B" w14:textId="77777777" w:rsidR="008000E1" w:rsidRPr="00812D34" w:rsidRDefault="008000E1">
            <w:pPr>
              <w:spacing w:before="20" w:after="20" w:line="240" w:lineRule="auto"/>
              <w:contextualSpacing/>
              <w:rPr>
                <w:rFonts w:eastAsia="Times New Roman" w:cs="Arial"/>
                <w:sz w:val="20"/>
                <w:szCs w:val="20"/>
                <w:lang w:eastAsia="en-AU"/>
              </w:rPr>
            </w:pPr>
            <w:r w:rsidRPr="00812D34">
              <w:rPr>
                <w:rFonts w:eastAsia="Times New Roman" w:cs="Arial"/>
                <w:sz w:val="20"/>
                <w:szCs w:val="20"/>
                <w:lang w:eastAsia="en-AU"/>
              </w:rPr>
              <w:t>Trial LGA</w:t>
            </w:r>
          </w:p>
        </w:tc>
        <w:tc>
          <w:tcPr>
            <w:tcW w:w="2224" w:type="dxa"/>
            <w:noWrap/>
            <w:hideMark/>
          </w:tcPr>
          <w:p w14:paraId="2E888BAB" w14:textId="77777777" w:rsidR="008000E1" w:rsidRPr="00812D34" w:rsidRDefault="008000E1">
            <w:pPr>
              <w:spacing w:before="20" w:after="20" w:line="240" w:lineRule="auto"/>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812D34">
              <w:rPr>
                <w:rFonts w:eastAsia="Times New Roman" w:cs="Arial"/>
                <w:sz w:val="20"/>
                <w:szCs w:val="20"/>
                <w:lang w:eastAsia="en-AU"/>
              </w:rPr>
              <w:t>LGA Match 1</w:t>
            </w:r>
          </w:p>
        </w:tc>
        <w:tc>
          <w:tcPr>
            <w:tcW w:w="2223" w:type="dxa"/>
          </w:tcPr>
          <w:p w14:paraId="4762F883" w14:textId="77777777" w:rsidR="008000E1" w:rsidRPr="00812D34" w:rsidRDefault="008000E1">
            <w:pPr>
              <w:spacing w:before="20" w:after="20" w:line="240" w:lineRule="auto"/>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812D34">
              <w:rPr>
                <w:rFonts w:eastAsia="Times New Roman" w:cs="Arial"/>
                <w:sz w:val="20"/>
                <w:szCs w:val="20"/>
                <w:lang w:eastAsia="en-AU"/>
              </w:rPr>
              <w:t>LGA Match 2</w:t>
            </w:r>
          </w:p>
        </w:tc>
        <w:tc>
          <w:tcPr>
            <w:tcW w:w="2224" w:type="dxa"/>
          </w:tcPr>
          <w:p w14:paraId="3AE487D1" w14:textId="77777777" w:rsidR="008000E1" w:rsidRPr="00812D34" w:rsidRDefault="008000E1">
            <w:pPr>
              <w:spacing w:before="20" w:after="20" w:line="240" w:lineRule="auto"/>
              <w:contextualSpacing/>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AU"/>
              </w:rPr>
            </w:pPr>
            <w:r w:rsidRPr="00812D34">
              <w:rPr>
                <w:rFonts w:eastAsia="Times New Roman" w:cs="Arial"/>
                <w:sz w:val="20"/>
                <w:szCs w:val="20"/>
                <w:lang w:eastAsia="en-AU"/>
              </w:rPr>
              <w:t>LGA Match 3</w:t>
            </w:r>
          </w:p>
        </w:tc>
      </w:tr>
      <w:tr w:rsidR="008000E1" w:rsidRPr="00F5616E" w14:paraId="651D1673"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34946730" w14:textId="77777777" w:rsidR="008000E1" w:rsidRPr="00F5616E" w:rsidRDefault="008000E1">
            <w:pPr>
              <w:spacing w:before="20" w:after="20" w:line="240" w:lineRule="auto"/>
              <w:contextualSpacing/>
              <w:rPr>
                <w:rFonts w:cs="Arial"/>
                <w:sz w:val="20"/>
                <w:szCs w:val="20"/>
              </w:rPr>
            </w:pPr>
            <w:r w:rsidRPr="00F5616E">
              <w:rPr>
                <w:rFonts w:cs="Arial"/>
                <w:sz w:val="20"/>
                <w:szCs w:val="20"/>
              </w:rPr>
              <w:t>Alice Springs</w:t>
            </w:r>
          </w:p>
        </w:tc>
        <w:tc>
          <w:tcPr>
            <w:tcW w:w="2224" w:type="dxa"/>
            <w:noWrap/>
            <w:hideMark/>
          </w:tcPr>
          <w:p w14:paraId="3C477D78"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Albany</w:t>
            </w:r>
          </w:p>
        </w:tc>
        <w:tc>
          <w:tcPr>
            <w:tcW w:w="2223" w:type="dxa"/>
            <w:noWrap/>
            <w:hideMark/>
          </w:tcPr>
          <w:p w14:paraId="1DA5470D"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Gunnedah</w:t>
            </w:r>
          </w:p>
        </w:tc>
        <w:tc>
          <w:tcPr>
            <w:tcW w:w="2224" w:type="dxa"/>
            <w:noWrap/>
            <w:hideMark/>
          </w:tcPr>
          <w:p w14:paraId="68A38B1F"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F5616E">
              <w:rPr>
                <w:rFonts w:cs="Arial"/>
                <w:sz w:val="20"/>
                <w:szCs w:val="20"/>
              </w:rPr>
              <w:t>Pormpuraaw</w:t>
            </w:r>
            <w:proofErr w:type="spellEnd"/>
          </w:p>
        </w:tc>
      </w:tr>
      <w:tr w:rsidR="008000E1" w:rsidRPr="00F5616E" w14:paraId="7D4D3BAA"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27F33317" w14:textId="77777777" w:rsidR="008000E1" w:rsidRPr="00F5616E" w:rsidRDefault="008000E1">
            <w:pPr>
              <w:spacing w:before="20" w:after="20" w:line="240" w:lineRule="auto"/>
              <w:contextualSpacing/>
              <w:rPr>
                <w:rFonts w:cs="Arial"/>
                <w:sz w:val="20"/>
                <w:szCs w:val="20"/>
              </w:rPr>
            </w:pPr>
            <w:r w:rsidRPr="00F5616E">
              <w:rPr>
                <w:rFonts w:cs="Arial"/>
                <w:sz w:val="20"/>
                <w:szCs w:val="20"/>
              </w:rPr>
              <w:t>Ararat</w:t>
            </w:r>
          </w:p>
        </w:tc>
        <w:tc>
          <w:tcPr>
            <w:tcW w:w="2224" w:type="dxa"/>
            <w:noWrap/>
            <w:hideMark/>
          </w:tcPr>
          <w:p w14:paraId="37FBAFC1"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Balonne</w:t>
            </w:r>
          </w:p>
        </w:tc>
        <w:tc>
          <w:tcPr>
            <w:tcW w:w="2223" w:type="dxa"/>
            <w:noWrap/>
            <w:hideMark/>
          </w:tcPr>
          <w:p w14:paraId="4D925402"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Gympie</w:t>
            </w:r>
          </w:p>
        </w:tc>
        <w:tc>
          <w:tcPr>
            <w:tcW w:w="2224" w:type="dxa"/>
            <w:noWrap/>
            <w:hideMark/>
          </w:tcPr>
          <w:p w14:paraId="01ADA2DA"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Port Augusta</w:t>
            </w:r>
          </w:p>
        </w:tc>
      </w:tr>
      <w:tr w:rsidR="008000E1" w:rsidRPr="00F5616E" w14:paraId="0C2AAEF4"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16F6EAFD" w14:textId="77777777" w:rsidR="008000E1" w:rsidRPr="00F5616E" w:rsidRDefault="008000E1">
            <w:pPr>
              <w:spacing w:before="20" w:after="20" w:line="240" w:lineRule="auto"/>
              <w:contextualSpacing/>
              <w:rPr>
                <w:rFonts w:cs="Arial"/>
                <w:sz w:val="20"/>
                <w:szCs w:val="20"/>
              </w:rPr>
            </w:pPr>
            <w:r w:rsidRPr="00F5616E">
              <w:rPr>
                <w:rFonts w:cs="Arial"/>
                <w:sz w:val="20"/>
                <w:szCs w:val="20"/>
              </w:rPr>
              <w:t>Aurukun</w:t>
            </w:r>
          </w:p>
        </w:tc>
        <w:tc>
          <w:tcPr>
            <w:tcW w:w="2224" w:type="dxa"/>
            <w:noWrap/>
            <w:hideMark/>
          </w:tcPr>
          <w:p w14:paraId="19A1AAA1"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Balranald</w:t>
            </w:r>
          </w:p>
        </w:tc>
        <w:tc>
          <w:tcPr>
            <w:tcW w:w="2223" w:type="dxa"/>
            <w:noWrap/>
            <w:hideMark/>
          </w:tcPr>
          <w:p w14:paraId="6A1B973C"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Hilltops</w:t>
            </w:r>
          </w:p>
        </w:tc>
        <w:tc>
          <w:tcPr>
            <w:tcW w:w="2224" w:type="dxa"/>
            <w:noWrap/>
            <w:hideMark/>
          </w:tcPr>
          <w:p w14:paraId="3F85D434"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Port Lincoln</w:t>
            </w:r>
          </w:p>
        </w:tc>
      </w:tr>
      <w:tr w:rsidR="008000E1" w:rsidRPr="00F5616E" w14:paraId="18052F5D"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C8674DF" w14:textId="77777777" w:rsidR="008000E1" w:rsidRPr="00F5616E" w:rsidRDefault="008000E1">
            <w:pPr>
              <w:spacing w:before="20" w:after="20" w:line="240" w:lineRule="auto"/>
              <w:contextualSpacing/>
              <w:rPr>
                <w:rFonts w:cs="Arial"/>
                <w:sz w:val="20"/>
                <w:szCs w:val="20"/>
              </w:rPr>
            </w:pPr>
            <w:r w:rsidRPr="00F5616E">
              <w:rPr>
                <w:rFonts w:cs="Arial"/>
                <w:sz w:val="20"/>
                <w:szCs w:val="20"/>
              </w:rPr>
              <w:t>Barkly</w:t>
            </w:r>
          </w:p>
        </w:tc>
        <w:tc>
          <w:tcPr>
            <w:tcW w:w="2224" w:type="dxa"/>
            <w:noWrap/>
            <w:hideMark/>
          </w:tcPr>
          <w:p w14:paraId="2D3E6BA0"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Banana</w:t>
            </w:r>
          </w:p>
        </w:tc>
        <w:tc>
          <w:tcPr>
            <w:tcW w:w="2223" w:type="dxa"/>
            <w:noWrap/>
            <w:hideMark/>
          </w:tcPr>
          <w:p w14:paraId="4EB3A015"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Hinchinbrook</w:t>
            </w:r>
          </w:p>
        </w:tc>
        <w:tc>
          <w:tcPr>
            <w:tcW w:w="2224" w:type="dxa"/>
            <w:noWrap/>
            <w:hideMark/>
          </w:tcPr>
          <w:p w14:paraId="5C111FFE"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Port Pirie City</w:t>
            </w:r>
          </w:p>
        </w:tc>
      </w:tr>
      <w:tr w:rsidR="008000E1" w:rsidRPr="00F5616E" w14:paraId="69F9DC0B"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19F6BF54" w14:textId="77777777" w:rsidR="008000E1" w:rsidRPr="00F5616E" w:rsidRDefault="008000E1">
            <w:pPr>
              <w:spacing w:before="20" w:after="20" w:line="240" w:lineRule="auto"/>
              <w:contextualSpacing/>
              <w:rPr>
                <w:rFonts w:cs="Arial"/>
                <w:sz w:val="20"/>
                <w:szCs w:val="20"/>
              </w:rPr>
            </w:pPr>
            <w:r w:rsidRPr="00F5616E">
              <w:rPr>
                <w:rFonts w:cs="Arial"/>
                <w:sz w:val="20"/>
                <w:szCs w:val="20"/>
              </w:rPr>
              <w:t>Bass Coast</w:t>
            </w:r>
          </w:p>
        </w:tc>
        <w:tc>
          <w:tcPr>
            <w:tcW w:w="2224" w:type="dxa"/>
            <w:noWrap/>
            <w:hideMark/>
          </w:tcPr>
          <w:p w14:paraId="2A16CA5D"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Bega Valley</w:t>
            </w:r>
          </w:p>
        </w:tc>
        <w:tc>
          <w:tcPr>
            <w:tcW w:w="2223" w:type="dxa"/>
            <w:noWrap/>
            <w:hideMark/>
          </w:tcPr>
          <w:p w14:paraId="475E2B40"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Hindmarsh</w:t>
            </w:r>
          </w:p>
        </w:tc>
        <w:tc>
          <w:tcPr>
            <w:tcW w:w="2224" w:type="dxa"/>
            <w:noWrap/>
            <w:hideMark/>
          </w:tcPr>
          <w:p w14:paraId="02AE0B73"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Quairading</w:t>
            </w:r>
          </w:p>
        </w:tc>
      </w:tr>
      <w:tr w:rsidR="008000E1" w:rsidRPr="00F5616E" w14:paraId="3155EF3E"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317B84B7" w14:textId="77777777" w:rsidR="008000E1" w:rsidRPr="00F5616E" w:rsidRDefault="008000E1">
            <w:pPr>
              <w:spacing w:before="20" w:after="20" w:line="240" w:lineRule="auto"/>
              <w:contextualSpacing/>
              <w:rPr>
                <w:rFonts w:cs="Arial"/>
                <w:sz w:val="20"/>
                <w:szCs w:val="20"/>
              </w:rPr>
            </w:pPr>
            <w:r w:rsidRPr="00F5616E">
              <w:rPr>
                <w:rFonts w:cs="Arial"/>
                <w:sz w:val="20"/>
                <w:szCs w:val="20"/>
              </w:rPr>
              <w:t xml:space="preserve">Baw </w:t>
            </w:r>
            <w:proofErr w:type="spellStart"/>
            <w:r w:rsidRPr="00F5616E">
              <w:rPr>
                <w:rFonts w:cs="Arial"/>
                <w:sz w:val="20"/>
                <w:szCs w:val="20"/>
              </w:rPr>
              <w:t>Baw</w:t>
            </w:r>
            <w:proofErr w:type="spellEnd"/>
          </w:p>
        </w:tc>
        <w:tc>
          <w:tcPr>
            <w:tcW w:w="2224" w:type="dxa"/>
            <w:noWrap/>
            <w:hideMark/>
          </w:tcPr>
          <w:p w14:paraId="6A9F2E7B"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Benalla</w:t>
            </w:r>
          </w:p>
        </w:tc>
        <w:tc>
          <w:tcPr>
            <w:tcW w:w="2223" w:type="dxa"/>
            <w:noWrap/>
            <w:hideMark/>
          </w:tcPr>
          <w:p w14:paraId="77C701E4"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Hope Vale</w:t>
            </w:r>
          </w:p>
        </w:tc>
        <w:tc>
          <w:tcPr>
            <w:tcW w:w="2224" w:type="dxa"/>
            <w:noWrap/>
            <w:hideMark/>
          </w:tcPr>
          <w:p w14:paraId="28A08689"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Robe</w:t>
            </w:r>
          </w:p>
        </w:tc>
      </w:tr>
      <w:tr w:rsidR="008000E1" w:rsidRPr="00F5616E" w14:paraId="48F610D8"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48C7DD36" w14:textId="77777777" w:rsidR="008000E1" w:rsidRPr="00F5616E" w:rsidRDefault="008000E1">
            <w:pPr>
              <w:spacing w:before="20" w:after="20" w:line="240" w:lineRule="auto"/>
              <w:contextualSpacing/>
              <w:rPr>
                <w:rFonts w:cs="Arial"/>
                <w:sz w:val="20"/>
                <w:szCs w:val="20"/>
              </w:rPr>
            </w:pPr>
            <w:r w:rsidRPr="00F5616E">
              <w:rPr>
                <w:rFonts w:cs="Arial"/>
                <w:sz w:val="20"/>
                <w:szCs w:val="20"/>
              </w:rPr>
              <w:t>Berri and Barmera</w:t>
            </w:r>
          </w:p>
        </w:tc>
        <w:tc>
          <w:tcPr>
            <w:tcW w:w="2224" w:type="dxa"/>
            <w:noWrap/>
            <w:hideMark/>
          </w:tcPr>
          <w:p w14:paraId="367E4998"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Berrigan</w:t>
            </w:r>
          </w:p>
        </w:tc>
        <w:tc>
          <w:tcPr>
            <w:tcW w:w="2223" w:type="dxa"/>
            <w:noWrap/>
            <w:hideMark/>
          </w:tcPr>
          <w:p w14:paraId="25DA120E"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Kempsey</w:t>
            </w:r>
          </w:p>
        </w:tc>
        <w:tc>
          <w:tcPr>
            <w:tcW w:w="2224" w:type="dxa"/>
            <w:noWrap/>
            <w:hideMark/>
          </w:tcPr>
          <w:p w14:paraId="39F361A7"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Roper Gulf</w:t>
            </w:r>
          </w:p>
        </w:tc>
      </w:tr>
      <w:tr w:rsidR="008000E1" w:rsidRPr="00F5616E" w14:paraId="6BBA932A"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22F10BC2" w14:textId="77777777" w:rsidR="008000E1" w:rsidRPr="00F5616E" w:rsidRDefault="008000E1">
            <w:pPr>
              <w:spacing w:before="20" w:after="20" w:line="240" w:lineRule="auto"/>
              <w:contextualSpacing/>
              <w:rPr>
                <w:rFonts w:cs="Arial"/>
                <w:sz w:val="20"/>
                <w:szCs w:val="20"/>
              </w:rPr>
            </w:pPr>
            <w:r w:rsidRPr="00F5616E">
              <w:rPr>
                <w:rFonts w:cs="Arial"/>
                <w:sz w:val="20"/>
                <w:szCs w:val="20"/>
              </w:rPr>
              <w:t>Bland</w:t>
            </w:r>
          </w:p>
        </w:tc>
        <w:tc>
          <w:tcPr>
            <w:tcW w:w="2224" w:type="dxa"/>
            <w:noWrap/>
            <w:hideMark/>
          </w:tcPr>
          <w:p w14:paraId="145CCA6D"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Bogan</w:t>
            </w:r>
          </w:p>
        </w:tc>
        <w:tc>
          <w:tcPr>
            <w:tcW w:w="2223" w:type="dxa"/>
            <w:noWrap/>
            <w:hideMark/>
          </w:tcPr>
          <w:p w14:paraId="46CE6CDF"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Kowanyama</w:t>
            </w:r>
          </w:p>
        </w:tc>
        <w:tc>
          <w:tcPr>
            <w:tcW w:w="2224" w:type="dxa"/>
            <w:noWrap/>
            <w:hideMark/>
          </w:tcPr>
          <w:p w14:paraId="78338678"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Shoalhaven</w:t>
            </w:r>
          </w:p>
        </w:tc>
      </w:tr>
      <w:tr w:rsidR="008000E1" w:rsidRPr="00F5616E" w14:paraId="72159A94"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6FACAFE9" w14:textId="77777777" w:rsidR="008000E1" w:rsidRPr="00F5616E" w:rsidRDefault="008000E1">
            <w:pPr>
              <w:spacing w:before="20" w:after="20" w:line="240" w:lineRule="auto"/>
              <w:contextualSpacing/>
              <w:rPr>
                <w:rFonts w:cs="Arial"/>
                <w:sz w:val="20"/>
                <w:szCs w:val="20"/>
              </w:rPr>
            </w:pPr>
            <w:r w:rsidRPr="00F5616E">
              <w:rPr>
                <w:rFonts w:cs="Arial"/>
                <w:sz w:val="20"/>
                <w:szCs w:val="20"/>
              </w:rPr>
              <w:t>Bourke</w:t>
            </w:r>
          </w:p>
        </w:tc>
        <w:tc>
          <w:tcPr>
            <w:tcW w:w="2224" w:type="dxa"/>
            <w:noWrap/>
            <w:hideMark/>
          </w:tcPr>
          <w:p w14:paraId="4EE56F03"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Boulia</w:t>
            </w:r>
          </w:p>
        </w:tc>
        <w:tc>
          <w:tcPr>
            <w:tcW w:w="2223" w:type="dxa"/>
            <w:noWrap/>
            <w:hideMark/>
          </w:tcPr>
          <w:p w14:paraId="52E0992F"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Lachlan</w:t>
            </w:r>
          </w:p>
        </w:tc>
        <w:tc>
          <w:tcPr>
            <w:tcW w:w="2224" w:type="dxa"/>
            <w:noWrap/>
            <w:hideMark/>
          </w:tcPr>
          <w:p w14:paraId="0D618AC7"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Snowy Monaro</w:t>
            </w:r>
          </w:p>
        </w:tc>
      </w:tr>
      <w:tr w:rsidR="008000E1" w:rsidRPr="00F5616E" w14:paraId="2FCD9342"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41D81900" w14:textId="77777777" w:rsidR="008000E1" w:rsidRPr="00F5616E" w:rsidRDefault="008000E1">
            <w:pPr>
              <w:spacing w:before="20" w:after="20" w:line="240" w:lineRule="auto"/>
              <w:contextualSpacing/>
              <w:rPr>
                <w:rFonts w:cs="Arial"/>
                <w:sz w:val="20"/>
                <w:szCs w:val="20"/>
              </w:rPr>
            </w:pPr>
            <w:r w:rsidRPr="00F5616E">
              <w:rPr>
                <w:rFonts w:cs="Arial"/>
                <w:sz w:val="20"/>
                <w:szCs w:val="20"/>
              </w:rPr>
              <w:t>Brewarrina</w:t>
            </w:r>
          </w:p>
        </w:tc>
        <w:tc>
          <w:tcPr>
            <w:tcW w:w="2224" w:type="dxa"/>
            <w:noWrap/>
            <w:hideMark/>
          </w:tcPr>
          <w:p w14:paraId="1A43EAF2"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Bulloo</w:t>
            </w:r>
          </w:p>
        </w:tc>
        <w:tc>
          <w:tcPr>
            <w:tcW w:w="2223" w:type="dxa"/>
            <w:noWrap/>
            <w:hideMark/>
          </w:tcPr>
          <w:p w14:paraId="3A990681"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Leeton</w:t>
            </w:r>
          </w:p>
        </w:tc>
        <w:tc>
          <w:tcPr>
            <w:tcW w:w="2224" w:type="dxa"/>
            <w:noWrap/>
            <w:hideMark/>
          </w:tcPr>
          <w:p w14:paraId="1B9B4C5F"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Snowy Valleys</w:t>
            </w:r>
          </w:p>
        </w:tc>
      </w:tr>
      <w:tr w:rsidR="008000E1" w:rsidRPr="00F5616E" w14:paraId="3FB687EF"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7C970E09" w14:textId="77777777" w:rsidR="008000E1" w:rsidRPr="00F5616E" w:rsidRDefault="008000E1">
            <w:pPr>
              <w:spacing w:before="20" w:after="20" w:line="240" w:lineRule="auto"/>
              <w:contextualSpacing/>
              <w:rPr>
                <w:rFonts w:cs="Arial"/>
                <w:sz w:val="20"/>
                <w:szCs w:val="20"/>
              </w:rPr>
            </w:pPr>
            <w:r w:rsidRPr="00F5616E">
              <w:rPr>
                <w:rFonts w:cs="Arial"/>
                <w:sz w:val="20"/>
                <w:szCs w:val="20"/>
              </w:rPr>
              <w:t>Carpentaria</w:t>
            </w:r>
          </w:p>
        </w:tc>
        <w:tc>
          <w:tcPr>
            <w:tcW w:w="2224" w:type="dxa"/>
            <w:noWrap/>
            <w:hideMark/>
          </w:tcPr>
          <w:p w14:paraId="4A025EEA"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Burdekin</w:t>
            </w:r>
          </w:p>
        </w:tc>
        <w:tc>
          <w:tcPr>
            <w:tcW w:w="2223" w:type="dxa"/>
            <w:noWrap/>
            <w:hideMark/>
          </w:tcPr>
          <w:p w14:paraId="5800035C"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Lithgow</w:t>
            </w:r>
          </w:p>
        </w:tc>
        <w:tc>
          <w:tcPr>
            <w:tcW w:w="2224" w:type="dxa"/>
            <w:noWrap/>
            <w:hideMark/>
          </w:tcPr>
          <w:p w14:paraId="138DBDC9"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South Burnett</w:t>
            </w:r>
          </w:p>
        </w:tc>
      </w:tr>
      <w:tr w:rsidR="008000E1" w:rsidRPr="00F5616E" w14:paraId="7D9EF00B"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889B357" w14:textId="77777777" w:rsidR="008000E1" w:rsidRPr="00F5616E" w:rsidRDefault="008000E1">
            <w:pPr>
              <w:spacing w:before="20" w:after="20" w:line="240" w:lineRule="auto"/>
              <w:contextualSpacing/>
              <w:rPr>
                <w:rFonts w:cs="Arial"/>
                <w:sz w:val="20"/>
                <w:szCs w:val="20"/>
              </w:rPr>
            </w:pPr>
            <w:r w:rsidRPr="00F5616E">
              <w:rPr>
                <w:rFonts w:cs="Arial"/>
                <w:sz w:val="20"/>
                <w:szCs w:val="20"/>
              </w:rPr>
              <w:t>Central Desert</w:t>
            </w:r>
          </w:p>
        </w:tc>
        <w:tc>
          <w:tcPr>
            <w:tcW w:w="2224" w:type="dxa"/>
            <w:noWrap/>
            <w:hideMark/>
          </w:tcPr>
          <w:p w14:paraId="35B1F071"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Cassowary Coast</w:t>
            </w:r>
          </w:p>
        </w:tc>
        <w:tc>
          <w:tcPr>
            <w:tcW w:w="2223" w:type="dxa"/>
            <w:noWrap/>
            <w:hideMark/>
          </w:tcPr>
          <w:p w14:paraId="0661DEBE"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Liverpool Plains</w:t>
            </w:r>
          </w:p>
        </w:tc>
        <w:tc>
          <w:tcPr>
            <w:tcW w:w="2224" w:type="dxa"/>
            <w:noWrap/>
            <w:hideMark/>
          </w:tcPr>
          <w:p w14:paraId="73AAE1A2"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Southern Downs</w:t>
            </w:r>
          </w:p>
        </w:tc>
      </w:tr>
      <w:tr w:rsidR="008000E1" w:rsidRPr="00F5616E" w14:paraId="40B58626"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56BE149" w14:textId="77777777" w:rsidR="008000E1" w:rsidRPr="00F5616E" w:rsidRDefault="008000E1">
            <w:pPr>
              <w:spacing w:before="20" w:after="20" w:line="240" w:lineRule="auto"/>
              <w:contextualSpacing/>
              <w:rPr>
                <w:rFonts w:cs="Arial"/>
                <w:sz w:val="20"/>
                <w:szCs w:val="20"/>
              </w:rPr>
            </w:pPr>
            <w:r w:rsidRPr="00F5616E">
              <w:rPr>
                <w:rFonts w:cs="Arial"/>
                <w:sz w:val="20"/>
                <w:szCs w:val="20"/>
              </w:rPr>
              <w:t>Cloncurry</w:t>
            </w:r>
          </w:p>
        </w:tc>
        <w:tc>
          <w:tcPr>
            <w:tcW w:w="2224" w:type="dxa"/>
            <w:noWrap/>
            <w:hideMark/>
          </w:tcPr>
          <w:p w14:paraId="26AEA123"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Ceduna</w:t>
            </w:r>
          </w:p>
        </w:tc>
        <w:tc>
          <w:tcPr>
            <w:tcW w:w="2223" w:type="dxa"/>
            <w:noWrap/>
            <w:hideMark/>
          </w:tcPr>
          <w:p w14:paraId="1468799C"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Loxton Waikerie</w:t>
            </w:r>
          </w:p>
        </w:tc>
        <w:tc>
          <w:tcPr>
            <w:tcW w:w="2224" w:type="dxa"/>
            <w:noWrap/>
            <w:hideMark/>
          </w:tcPr>
          <w:p w14:paraId="070E0A80"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Swan Hill</w:t>
            </w:r>
          </w:p>
        </w:tc>
      </w:tr>
      <w:tr w:rsidR="008000E1" w:rsidRPr="00F5616E" w14:paraId="73D72F9B"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0EE83BBF" w14:textId="77777777" w:rsidR="008000E1" w:rsidRPr="00F5616E" w:rsidRDefault="008000E1">
            <w:pPr>
              <w:spacing w:before="20" w:after="20" w:line="240" w:lineRule="auto"/>
              <w:contextualSpacing/>
              <w:rPr>
                <w:rFonts w:cs="Arial"/>
                <w:sz w:val="20"/>
                <w:szCs w:val="20"/>
              </w:rPr>
            </w:pPr>
            <w:r w:rsidRPr="00F5616E">
              <w:rPr>
                <w:rFonts w:cs="Arial"/>
                <w:sz w:val="20"/>
                <w:szCs w:val="20"/>
              </w:rPr>
              <w:t>Doomadgee</w:t>
            </w:r>
          </w:p>
        </w:tc>
        <w:tc>
          <w:tcPr>
            <w:tcW w:w="2224" w:type="dxa"/>
            <w:noWrap/>
            <w:hideMark/>
          </w:tcPr>
          <w:p w14:paraId="7E48BCFD"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Central Darling</w:t>
            </w:r>
          </w:p>
        </w:tc>
        <w:tc>
          <w:tcPr>
            <w:tcW w:w="2223" w:type="dxa"/>
            <w:noWrap/>
            <w:hideMark/>
          </w:tcPr>
          <w:p w14:paraId="4787355D"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Mid-Coast</w:t>
            </w:r>
          </w:p>
        </w:tc>
        <w:tc>
          <w:tcPr>
            <w:tcW w:w="2224" w:type="dxa"/>
            <w:noWrap/>
            <w:hideMark/>
          </w:tcPr>
          <w:p w14:paraId="29170994"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Tablelands</w:t>
            </w:r>
          </w:p>
        </w:tc>
      </w:tr>
      <w:tr w:rsidR="008000E1" w:rsidRPr="00F5616E" w14:paraId="34FEDFE9"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214A3A08" w14:textId="77777777" w:rsidR="008000E1" w:rsidRPr="00F5616E" w:rsidRDefault="008000E1">
            <w:pPr>
              <w:spacing w:before="20" w:after="20" w:line="240" w:lineRule="auto"/>
              <w:contextualSpacing/>
              <w:rPr>
                <w:rFonts w:cs="Arial"/>
                <w:sz w:val="20"/>
                <w:szCs w:val="20"/>
              </w:rPr>
            </w:pPr>
            <w:r w:rsidRPr="00F5616E">
              <w:rPr>
                <w:rFonts w:cs="Arial"/>
                <w:sz w:val="20"/>
                <w:szCs w:val="20"/>
              </w:rPr>
              <w:t>East Gippsland</w:t>
            </w:r>
          </w:p>
        </w:tc>
        <w:tc>
          <w:tcPr>
            <w:tcW w:w="2224" w:type="dxa"/>
            <w:noWrap/>
            <w:hideMark/>
          </w:tcPr>
          <w:p w14:paraId="37A10DF6"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Central Goldfields</w:t>
            </w:r>
          </w:p>
        </w:tc>
        <w:tc>
          <w:tcPr>
            <w:tcW w:w="2223" w:type="dxa"/>
            <w:noWrap/>
            <w:hideMark/>
          </w:tcPr>
          <w:p w14:paraId="38A17407"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Mid-Western Regional</w:t>
            </w:r>
          </w:p>
        </w:tc>
        <w:tc>
          <w:tcPr>
            <w:tcW w:w="2224" w:type="dxa"/>
            <w:noWrap/>
            <w:hideMark/>
          </w:tcPr>
          <w:p w14:paraId="24ED0C55"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Tenterfield</w:t>
            </w:r>
          </w:p>
        </w:tc>
      </w:tr>
      <w:tr w:rsidR="008000E1" w:rsidRPr="00F5616E" w14:paraId="5C6E2FD5"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30E0CEFA" w14:textId="77777777" w:rsidR="008000E1" w:rsidRPr="00F5616E" w:rsidRDefault="008000E1">
            <w:pPr>
              <w:spacing w:before="20" w:after="20" w:line="240" w:lineRule="auto"/>
              <w:contextualSpacing/>
              <w:rPr>
                <w:rFonts w:cs="Arial"/>
                <w:sz w:val="20"/>
                <w:szCs w:val="20"/>
              </w:rPr>
            </w:pPr>
            <w:r w:rsidRPr="00F5616E">
              <w:rPr>
                <w:rFonts w:cs="Arial"/>
                <w:sz w:val="20"/>
                <w:szCs w:val="20"/>
              </w:rPr>
              <w:t>Goondiwindi</w:t>
            </w:r>
          </w:p>
        </w:tc>
        <w:tc>
          <w:tcPr>
            <w:tcW w:w="2224" w:type="dxa"/>
            <w:noWrap/>
            <w:hideMark/>
          </w:tcPr>
          <w:p w14:paraId="3B7124C9"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Charters Towers</w:t>
            </w:r>
          </w:p>
        </w:tc>
        <w:tc>
          <w:tcPr>
            <w:tcW w:w="2223" w:type="dxa"/>
            <w:noWrap/>
            <w:hideMark/>
          </w:tcPr>
          <w:p w14:paraId="7E9D164C"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Moira</w:t>
            </w:r>
          </w:p>
        </w:tc>
        <w:tc>
          <w:tcPr>
            <w:tcW w:w="2224" w:type="dxa"/>
            <w:noWrap/>
            <w:hideMark/>
          </w:tcPr>
          <w:p w14:paraId="6B6D554C"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Torres</w:t>
            </w:r>
          </w:p>
        </w:tc>
      </w:tr>
      <w:tr w:rsidR="008000E1" w:rsidRPr="00F5616E" w14:paraId="56221322"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0A2DD586" w14:textId="77777777" w:rsidR="008000E1" w:rsidRPr="00F5616E" w:rsidRDefault="008000E1">
            <w:pPr>
              <w:spacing w:before="20" w:after="20" w:line="240" w:lineRule="auto"/>
              <w:contextualSpacing/>
              <w:rPr>
                <w:rFonts w:cs="Arial"/>
                <w:sz w:val="20"/>
                <w:szCs w:val="20"/>
              </w:rPr>
            </w:pPr>
            <w:r w:rsidRPr="00F5616E">
              <w:rPr>
                <w:rFonts w:cs="Arial"/>
                <w:sz w:val="20"/>
                <w:szCs w:val="20"/>
              </w:rPr>
              <w:t>Halls Creek</w:t>
            </w:r>
          </w:p>
        </w:tc>
        <w:tc>
          <w:tcPr>
            <w:tcW w:w="2224" w:type="dxa"/>
            <w:noWrap/>
            <w:hideMark/>
          </w:tcPr>
          <w:p w14:paraId="1B6532AD"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Cherbourg</w:t>
            </w:r>
          </w:p>
        </w:tc>
        <w:tc>
          <w:tcPr>
            <w:tcW w:w="2223" w:type="dxa"/>
            <w:noWrap/>
            <w:hideMark/>
          </w:tcPr>
          <w:p w14:paraId="1455C4C8"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Mount Isa</w:t>
            </w:r>
          </w:p>
        </w:tc>
        <w:tc>
          <w:tcPr>
            <w:tcW w:w="2224" w:type="dxa"/>
            <w:noWrap/>
            <w:hideMark/>
          </w:tcPr>
          <w:p w14:paraId="396AED65"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Upper Hunter Shire</w:t>
            </w:r>
          </w:p>
        </w:tc>
      </w:tr>
      <w:tr w:rsidR="008000E1" w:rsidRPr="00F5616E" w14:paraId="2EA7D0CC"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7444D837" w14:textId="77777777" w:rsidR="008000E1" w:rsidRPr="00F5616E" w:rsidRDefault="008000E1">
            <w:pPr>
              <w:spacing w:before="20" w:after="20" w:line="240" w:lineRule="auto"/>
              <w:contextualSpacing/>
              <w:rPr>
                <w:rFonts w:cs="Arial"/>
                <w:sz w:val="20"/>
                <w:szCs w:val="20"/>
              </w:rPr>
            </w:pPr>
            <w:r w:rsidRPr="00F5616E">
              <w:rPr>
                <w:rFonts w:cs="Arial"/>
                <w:sz w:val="20"/>
                <w:szCs w:val="20"/>
              </w:rPr>
              <w:t>Junee</w:t>
            </w:r>
          </w:p>
        </w:tc>
        <w:tc>
          <w:tcPr>
            <w:tcW w:w="2224" w:type="dxa"/>
            <w:noWrap/>
            <w:hideMark/>
          </w:tcPr>
          <w:p w14:paraId="1027A028"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Clare and Gilbert Valleys</w:t>
            </w:r>
          </w:p>
        </w:tc>
        <w:tc>
          <w:tcPr>
            <w:tcW w:w="2223" w:type="dxa"/>
            <w:noWrap/>
            <w:hideMark/>
          </w:tcPr>
          <w:p w14:paraId="5B37E0D7"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Mukinbudin</w:t>
            </w:r>
          </w:p>
        </w:tc>
        <w:tc>
          <w:tcPr>
            <w:tcW w:w="2224" w:type="dxa"/>
            <w:noWrap/>
            <w:hideMark/>
          </w:tcPr>
          <w:p w14:paraId="09B98ECC"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Victoria Daly</w:t>
            </w:r>
          </w:p>
        </w:tc>
      </w:tr>
      <w:tr w:rsidR="008000E1" w:rsidRPr="00F5616E" w14:paraId="5EB92E3C"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7701EDC9" w14:textId="77777777" w:rsidR="008000E1" w:rsidRPr="00F5616E" w:rsidRDefault="008000E1">
            <w:pPr>
              <w:spacing w:before="20" w:after="20" w:line="240" w:lineRule="auto"/>
              <w:contextualSpacing/>
              <w:rPr>
                <w:rFonts w:cs="Arial"/>
                <w:sz w:val="20"/>
                <w:szCs w:val="20"/>
              </w:rPr>
            </w:pPr>
            <w:r w:rsidRPr="00F5616E">
              <w:rPr>
                <w:rFonts w:cs="Arial"/>
                <w:sz w:val="20"/>
                <w:szCs w:val="20"/>
              </w:rPr>
              <w:t>Latrobe</w:t>
            </w:r>
          </w:p>
        </w:tc>
        <w:tc>
          <w:tcPr>
            <w:tcW w:w="2224" w:type="dxa"/>
            <w:noWrap/>
            <w:hideMark/>
          </w:tcPr>
          <w:p w14:paraId="200C2365"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Cobar</w:t>
            </w:r>
          </w:p>
        </w:tc>
        <w:tc>
          <w:tcPr>
            <w:tcW w:w="2223" w:type="dxa"/>
            <w:noWrap/>
            <w:hideMark/>
          </w:tcPr>
          <w:p w14:paraId="0CB69869"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Murrumbidgee</w:t>
            </w:r>
          </w:p>
        </w:tc>
        <w:tc>
          <w:tcPr>
            <w:tcW w:w="2224" w:type="dxa"/>
            <w:noWrap/>
            <w:hideMark/>
          </w:tcPr>
          <w:p w14:paraId="5401A8E5"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Walcha</w:t>
            </w:r>
          </w:p>
        </w:tc>
      </w:tr>
      <w:tr w:rsidR="008000E1" w:rsidRPr="00F5616E" w14:paraId="2FE295A9"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012F93DC" w14:textId="77777777" w:rsidR="008000E1" w:rsidRPr="00F5616E" w:rsidRDefault="008000E1">
            <w:pPr>
              <w:spacing w:before="20" w:after="20" w:line="240" w:lineRule="auto"/>
              <w:contextualSpacing/>
              <w:rPr>
                <w:rFonts w:cs="Arial"/>
                <w:sz w:val="20"/>
                <w:szCs w:val="20"/>
              </w:rPr>
            </w:pPr>
            <w:r w:rsidRPr="00F5616E">
              <w:rPr>
                <w:rFonts w:cs="Arial"/>
                <w:sz w:val="20"/>
                <w:szCs w:val="20"/>
              </w:rPr>
              <w:t>MacDonnell</w:t>
            </w:r>
          </w:p>
        </w:tc>
        <w:tc>
          <w:tcPr>
            <w:tcW w:w="2224" w:type="dxa"/>
            <w:noWrap/>
            <w:hideMark/>
          </w:tcPr>
          <w:p w14:paraId="19480D28"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Colac-Otway</w:t>
            </w:r>
          </w:p>
        </w:tc>
        <w:tc>
          <w:tcPr>
            <w:tcW w:w="2223" w:type="dxa"/>
            <w:noWrap/>
            <w:hideMark/>
          </w:tcPr>
          <w:p w14:paraId="7C2D6DC7"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Muswellbrook</w:t>
            </w:r>
          </w:p>
        </w:tc>
        <w:tc>
          <w:tcPr>
            <w:tcW w:w="2224" w:type="dxa"/>
            <w:noWrap/>
            <w:hideMark/>
          </w:tcPr>
          <w:p w14:paraId="75D9641D"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Wandering</w:t>
            </w:r>
          </w:p>
        </w:tc>
      </w:tr>
      <w:tr w:rsidR="008000E1" w:rsidRPr="00F5616E" w14:paraId="7A1F0429"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2294483E" w14:textId="77777777" w:rsidR="008000E1" w:rsidRPr="00F5616E" w:rsidRDefault="008000E1">
            <w:pPr>
              <w:spacing w:before="20" w:after="20" w:line="240" w:lineRule="auto"/>
              <w:contextualSpacing/>
              <w:rPr>
                <w:rFonts w:cs="Arial"/>
                <w:sz w:val="20"/>
                <w:szCs w:val="20"/>
              </w:rPr>
            </w:pPr>
            <w:r w:rsidRPr="00F5616E">
              <w:rPr>
                <w:rFonts w:cs="Arial"/>
                <w:sz w:val="20"/>
                <w:szCs w:val="20"/>
              </w:rPr>
              <w:t>Palm Island</w:t>
            </w:r>
          </w:p>
        </w:tc>
        <w:tc>
          <w:tcPr>
            <w:tcW w:w="2224" w:type="dxa"/>
            <w:noWrap/>
            <w:hideMark/>
          </w:tcPr>
          <w:p w14:paraId="2DA42FD1"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Coober Pedy</w:t>
            </w:r>
          </w:p>
        </w:tc>
        <w:tc>
          <w:tcPr>
            <w:tcW w:w="2223" w:type="dxa"/>
            <w:noWrap/>
            <w:hideMark/>
          </w:tcPr>
          <w:p w14:paraId="0ECB2EBC"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Napranum</w:t>
            </w:r>
          </w:p>
        </w:tc>
        <w:tc>
          <w:tcPr>
            <w:tcW w:w="2224" w:type="dxa"/>
            <w:noWrap/>
            <w:hideMark/>
          </w:tcPr>
          <w:p w14:paraId="23CC928E"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Wangaratta</w:t>
            </w:r>
          </w:p>
        </w:tc>
      </w:tr>
      <w:tr w:rsidR="008000E1" w:rsidRPr="00F5616E" w14:paraId="5678E258"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12EF8A0A" w14:textId="77777777" w:rsidR="008000E1" w:rsidRPr="00F5616E" w:rsidRDefault="008000E1">
            <w:pPr>
              <w:spacing w:before="20" w:after="20" w:line="240" w:lineRule="auto"/>
              <w:contextualSpacing/>
              <w:rPr>
                <w:rFonts w:cs="Arial"/>
                <w:sz w:val="20"/>
                <w:szCs w:val="20"/>
              </w:rPr>
            </w:pPr>
            <w:r w:rsidRPr="00F5616E">
              <w:rPr>
                <w:rFonts w:cs="Arial"/>
                <w:sz w:val="20"/>
                <w:szCs w:val="20"/>
              </w:rPr>
              <w:t>Mornington</w:t>
            </w:r>
          </w:p>
        </w:tc>
        <w:tc>
          <w:tcPr>
            <w:tcW w:w="2224" w:type="dxa"/>
            <w:noWrap/>
            <w:hideMark/>
          </w:tcPr>
          <w:p w14:paraId="0A8F5FE7"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Coomalie</w:t>
            </w:r>
          </w:p>
        </w:tc>
        <w:tc>
          <w:tcPr>
            <w:tcW w:w="2223" w:type="dxa"/>
            <w:noWrap/>
            <w:hideMark/>
          </w:tcPr>
          <w:p w14:paraId="395ED239"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Narrabri</w:t>
            </w:r>
          </w:p>
        </w:tc>
        <w:tc>
          <w:tcPr>
            <w:tcW w:w="2224" w:type="dxa"/>
            <w:noWrap/>
            <w:hideMark/>
          </w:tcPr>
          <w:p w14:paraId="05B39C1E"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Warren</w:t>
            </w:r>
          </w:p>
        </w:tc>
      </w:tr>
      <w:tr w:rsidR="008000E1" w:rsidRPr="00F5616E" w14:paraId="0D8901DB"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769033B1" w14:textId="77777777" w:rsidR="008000E1" w:rsidRPr="00F5616E" w:rsidRDefault="008000E1">
            <w:pPr>
              <w:spacing w:before="20" w:after="20" w:line="240" w:lineRule="auto"/>
              <w:contextualSpacing/>
              <w:rPr>
                <w:rFonts w:cs="Arial"/>
                <w:sz w:val="20"/>
                <w:szCs w:val="20"/>
              </w:rPr>
            </w:pPr>
            <w:r w:rsidRPr="00F5616E">
              <w:rPr>
                <w:rFonts w:cs="Arial"/>
                <w:sz w:val="20"/>
                <w:szCs w:val="20"/>
              </w:rPr>
              <w:t>South Gippsland</w:t>
            </w:r>
          </w:p>
        </w:tc>
        <w:tc>
          <w:tcPr>
            <w:tcW w:w="2224" w:type="dxa"/>
            <w:noWrap/>
            <w:hideMark/>
          </w:tcPr>
          <w:p w14:paraId="151BF275"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Coonamble</w:t>
            </w:r>
          </w:p>
        </w:tc>
        <w:tc>
          <w:tcPr>
            <w:tcW w:w="2223" w:type="dxa"/>
            <w:noWrap/>
            <w:hideMark/>
          </w:tcPr>
          <w:p w14:paraId="6C312E5F"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Narrandera</w:t>
            </w:r>
          </w:p>
        </w:tc>
        <w:tc>
          <w:tcPr>
            <w:tcW w:w="2224" w:type="dxa"/>
            <w:noWrap/>
            <w:hideMark/>
          </w:tcPr>
          <w:p w14:paraId="35CCD15F"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Warrumbungle Shire</w:t>
            </w:r>
          </w:p>
        </w:tc>
      </w:tr>
      <w:tr w:rsidR="008000E1" w:rsidRPr="00F5616E" w14:paraId="7CD8ED31"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C18E7F4" w14:textId="77777777" w:rsidR="008000E1" w:rsidRPr="00F5616E" w:rsidRDefault="008000E1">
            <w:pPr>
              <w:spacing w:before="20" w:after="20" w:line="240" w:lineRule="auto"/>
              <w:contextualSpacing/>
              <w:rPr>
                <w:rFonts w:cs="Arial"/>
                <w:sz w:val="20"/>
                <w:szCs w:val="20"/>
              </w:rPr>
            </w:pPr>
            <w:r w:rsidRPr="00F5616E">
              <w:rPr>
                <w:rFonts w:cs="Arial"/>
                <w:sz w:val="20"/>
                <w:szCs w:val="20"/>
              </w:rPr>
              <w:lastRenderedPageBreak/>
              <w:t>Tiwi Islands</w:t>
            </w:r>
          </w:p>
        </w:tc>
        <w:tc>
          <w:tcPr>
            <w:tcW w:w="2224" w:type="dxa"/>
            <w:noWrap/>
            <w:hideMark/>
          </w:tcPr>
          <w:p w14:paraId="42875ABA"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Corangamite</w:t>
            </w:r>
          </w:p>
        </w:tc>
        <w:tc>
          <w:tcPr>
            <w:tcW w:w="2223" w:type="dxa"/>
            <w:noWrap/>
            <w:hideMark/>
          </w:tcPr>
          <w:p w14:paraId="5DB0584D"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Narrogin</w:t>
            </w:r>
          </w:p>
        </w:tc>
        <w:tc>
          <w:tcPr>
            <w:tcW w:w="2224" w:type="dxa"/>
            <w:noWrap/>
            <w:hideMark/>
          </w:tcPr>
          <w:p w14:paraId="51386DCB"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Weddin</w:t>
            </w:r>
          </w:p>
        </w:tc>
      </w:tr>
      <w:tr w:rsidR="008000E1" w:rsidRPr="00F5616E" w14:paraId="3EBD74D5"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291078F2" w14:textId="77777777" w:rsidR="008000E1" w:rsidRPr="00F5616E" w:rsidRDefault="008000E1">
            <w:pPr>
              <w:spacing w:before="20" w:after="20" w:line="240" w:lineRule="auto"/>
              <w:contextualSpacing/>
              <w:rPr>
                <w:rFonts w:cs="Arial"/>
                <w:sz w:val="20"/>
                <w:szCs w:val="20"/>
              </w:rPr>
            </w:pPr>
            <w:r w:rsidRPr="00F5616E">
              <w:rPr>
                <w:rFonts w:cs="Arial"/>
                <w:sz w:val="20"/>
                <w:szCs w:val="20"/>
              </w:rPr>
              <w:t>Walgett</w:t>
            </w:r>
          </w:p>
        </w:tc>
        <w:tc>
          <w:tcPr>
            <w:tcW w:w="2224" w:type="dxa"/>
            <w:noWrap/>
            <w:hideMark/>
          </w:tcPr>
          <w:p w14:paraId="77FCB766"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Dundas</w:t>
            </w:r>
          </w:p>
        </w:tc>
        <w:tc>
          <w:tcPr>
            <w:tcW w:w="2223" w:type="dxa"/>
            <w:noWrap/>
            <w:hideMark/>
          </w:tcPr>
          <w:p w14:paraId="3514BBF1"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Narromine</w:t>
            </w:r>
          </w:p>
        </w:tc>
        <w:tc>
          <w:tcPr>
            <w:tcW w:w="2224" w:type="dxa"/>
            <w:noWrap/>
            <w:hideMark/>
          </w:tcPr>
          <w:p w14:paraId="777AD800"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Western Downs</w:t>
            </w:r>
          </w:p>
        </w:tc>
      </w:tr>
      <w:tr w:rsidR="008000E1" w:rsidRPr="00F5616E" w14:paraId="51AA5918"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0537DA89" w14:textId="77777777" w:rsidR="008000E1" w:rsidRPr="00F5616E" w:rsidRDefault="008000E1">
            <w:pPr>
              <w:spacing w:before="20" w:after="20" w:line="240" w:lineRule="auto"/>
              <w:contextualSpacing/>
              <w:rPr>
                <w:rFonts w:cs="Arial"/>
                <w:sz w:val="20"/>
                <w:szCs w:val="20"/>
              </w:rPr>
            </w:pPr>
            <w:r w:rsidRPr="00F5616E">
              <w:rPr>
                <w:rFonts w:cs="Arial"/>
                <w:sz w:val="20"/>
                <w:szCs w:val="20"/>
              </w:rPr>
              <w:t>Wellington</w:t>
            </w:r>
          </w:p>
        </w:tc>
        <w:tc>
          <w:tcPr>
            <w:tcW w:w="2224" w:type="dxa"/>
            <w:noWrap/>
            <w:hideMark/>
          </w:tcPr>
          <w:p w14:paraId="4AC7745D"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Eurobodalla</w:t>
            </w:r>
          </w:p>
        </w:tc>
        <w:tc>
          <w:tcPr>
            <w:tcW w:w="2223" w:type="dxa"/>
            <w:noWrap/>
            <w:hideMark/>
          </w:tcPr>
          <w:p w14:paraId="60C7EF45"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Ngaanyatjarraku</w:t>
            </w:r>
          </w:p>
        </w:tc>
        <w:tc>
          <w:tcPr>
            <w:tcW w:w="2224" w:type="dxa"/>
            <w:noWrap/>
            <w:hideMark/>
          </w:tcPr>
          <w:p w14:paraId="713321F3"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Westonia</w:t>
            </w:r>
          </w:p>
        </w:tc>
      </w:tr>
      <w:tr w:rsidR="008000E1" w:rsidRPr="00F5616E" w14:paraId="66A4BF35"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0F28C444" w14:textId="77777777" w:rsidR="008000E1" w:rsidRPr="00F5616E" w:rsidRDefault="008000E1">
            <w:pPr>
              <w:spacing w:before="20" w:after="20" w:line="240" w:lineRule="auto"/>
              <w:contextualSpacing/>
              <w:rPr>
                <w:rFonts w:cs="Arial"/>
                <w:sz w:val="20"/>
                <w:szCs w:val="20"/>
              </w:rPr>
            </w:pPr>
            <w:r w:rsidRPr="00F5616E">
              <w:rPr>
                <w:rFonts w:cs="Arial"/>
                <w:sz w:val="20"/>
                <w:szCs w:val="20"/>
              </w:rPr>
              <w:t>Wentworth</w:t>
            </w:r>
          </w:p>
        </w:tc>
        <w:tc>
          <w:tcPr>
            <w:tcW w:w="2224" w:type="dxa"/>
            <w:noWrap/>
            <w:hideMark/>
          </w:tcPr>
          <w:p w14:paraId="29FE1050"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Flinders (Qld)</w:t>
            </w:r>
          </w:p>
        </w:tc>
        <w:tc>
          <w:tcPr>
            <w:tcW w:w="2223" w:type="dxa"/>
            <w:noWrap/>
            <w:hideMark/>
          </w:tcPr>
          <w:p w14:paraId="12C49BF7"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North Burnett</w:t>
            </w:r>
          </w:p>
        </w:tc>
        <w:tc>
          <w:tcPr>
            <w:tcW w:w="2224" w:type="dxa"/>
            <w:noWrap/>
            <w:hideMark/>
          </w:tcPr>
          <w:p w14:paraId="1BA01079"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Wujal Wujal</w:t>
            </w:r>
          </w:p>
        </w:tc>
      </w:tr>
      <w:tr w:rsidR="008000E1" w:rsidRPr="00F5616E" w14:paraId="372288A8"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59483882" w14:textId="77777777" w:rsidR="008000E1" w:rsidRPr="00F5616E" w:rsidRDefault="008000E1">
            <w:pPr>
              <w:spacing w:before="20" w:after="20" w:line="240" w:lineRule="auto"/>
              <w:contextualSpacing/>
              <w:rPr>
                <w:rFonts w:cs="Arial"/>
                <w:sz w:val="20"/>
                <w:szCs w:val="20"/>
              </w:rPr>
            </w:pPr>
            <w:r w:rsidRPr="00F5616E">
              <w:rPr>
                <w:rFonts w:cs="Arial"/>
                <w:sz w:val="20"/>
                <w:szCs w:val="20"/>
              </w:rPr>
              <w:t>West Arnhem</w:t>
            </w:r>
          </w:p>
        </w:tc>
        <w:tc>
          <w:tcPr>
            <w:tcW w:w="2224" w:type="dxa"/>
            <w:noWrap/>
            <w:hideMark/>
          </w:tcPr>
          <w:p w14:paraId="42ACAE6A"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Gannawarra</w:t>
            </w:r>
          </w:p>
        </w:tc>
        <w:tc>
          <w:tcPr>
            <w:tcW w:w="2223" w:type="dxa"/>
            <w:noWrap/>
            <w:hideMark/>
          </w:tcPr>
          <w:p w14:paraId="75ABF484"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Northern Areas</w:t>
            </w:r>
          </w:p>
        </w:tc>
        <w:tc>
          <w:tcPr>
            <w:tcW w:w="2224" w:type="dxa"/>
            <w:noWrap/>
            <w:hideMark/>
          </w:tcPr>
          <w:p w14:paraId="60D06E40"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Wyalkatchem</w:t>
            </w:r>
          </w:p>
        </w:tc>
      </w:tr>
      <w:tr w:rsidR="008000E1" w:rsidRPr="00F5616E" w14:paraId="47815F62"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42E17517" w14:textId="77777777" w:rsidR="008000E1" w:rsidRPr="00F5616E" w:rsidRDefault="008000E1">
            <w:pPr>
              <w:spacing w:before="20" w:after="20" w:line="240" w:lineRule="auto"/>
              <w:contextualSpacing/>
              <w:rPr>
                <w:rFonts w:cs="Arial"/>
                <w:sz w:val="20"/>
                <w:szCs w:val="20"/>
              </w:rPr>
            </w:pPr>
            <w:r w:rsidRPr="00F5616E">
              <w:rPr>
                <w:rFonts w:cs="Arial"/>
                <w:sz w:val="20"/>
                <w:szCs w:val="20"/>
              </w:rPr>
              <w:t>West Daly</w:t>
            </w:r>
          </w:p>
        </w:tc>
        <w:tc>
          <w:tcPr>
            <w:tcW w:w="2224" w:type="dxa"/>
            <w:noWrap/>
            <w:hideMark/>
          </w:tcPr>
          <w:p w14:paraId="5E55C7F3"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Gilgandra</w:t>
            </w:r>
          </w:p>
        </w:tc>
        <w:tc>
          <w:tcPr>
            <w:tcW w:w="2223" w:type="dxa"/>
            <w:noWrap/>
            <w:hideMark/>
          </w:tcPr>
          <w:p w14:paraId="1BE491E4"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Northern Grampians</w:t>
            </w:r>
          </w:p>
        </w:tc>
        <w:tc>
          <w:tcPr>
            <w:tcW w:w="2224" w:type="dxa"/>
            <w:noWrap/>
            <w:hideMark/>
          </w:tcPr>
          <w:p w14:paraId="2ABD9EC9"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Yarrabah</w:t>
            </w:r>
          </w:p>
        </w:tc>
      </w:tr>
      <w:tr w:rsidR="008000E1" w:rsidRPr="00F5616E" w14:paraId="621E2B05" w14:textId="77777777">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49350EB0" w14:textId="77777777" w:rsidR="008000E1" w:rsidRPr="00F5616E" w:rsidRDefault="008000E1">
            <w:pPr>
              <w:spacing w:before="20" w:after="20" w:line="240" w:lineRule="auto"/>
              <w:contextualSpacing/>
              <w:rPr>
                <w:rFonts w:cs="Arial"/>
                <w:sz w:val="20"/>
                <w:szCs w:val="20"/>
              </w:rPr>
            </w:pPr>
            <w:r w:rsidRPr="00F5616E">
              <w:rPr>
                <w:rFonts w:cs="Arial"/>
                <w:sz w:val="20"/>
                <w:szCs w:val="20"/>
              </w:rPr>
              <w:t>Woorabinda</w:t>
            </w:r>
          </w:p>
        </w:tc>
        <w:tc>
          <w:tcPr>
            <w:tcW w:w="2224" w:type="dxa"/>
            <w:noWrap/>
            <w:hideMark/>
          </w:tcPr>
          <w:p w14:paraId="138158D9"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Glen Innes Severn</w:t>
            </w:r>
          </w:p>
        </w:tc>
        <w:tc>
          <w:tcPr>
            <w:tcW w:w="2223" w:type="dxa"/>
            <w:noWrap/>
            <w:hideMark/>
          </w:tcPr>
          <w:p w14:paraId="643A2751"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Northern Peninsula</w:t>
            </w:r>
          </w:p>
        </w:tc>
        <w:tc>
          <w:tcPr>
            <w:tcW w:w="2224" w:type="dxa"/>
            <w:noWrap/>
            <w:hideMark/>
          </w:tcPr>
          <w:p w14:paraId="260327E4" w14:textId="77777777" w:rsidR="008000E1" w:rsidRPr="00F5616E" w:rsidRDefault="008000E1">
            <w:pPr>
              <w:spacing w:before="20" w:after="20" w:line="240" w:lineRule="auto"/>
              <w:contextualSpacing/>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F5616E">
              <w:rPr>
                <w:rFonts w:cs="Arial"/>
                <w:sz w:val="20"/>
                <w:szCs w:val="20"/>
              </w:rPr>
              <w:t>Yarriambiack</w:t>
            </w:r>
          </w:p>
        </w:tc>
      </w:tr>
      <w:tr w:rsidR="008000E1" w:rsidRPr="00F5616E" w14:paraId="26C5761E"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23" w:type="dxa"/>
            <w:noWrap/>
            <w:hideMark/>
          </w:tcPr>
          <w:p w14:paraId="3A654CD0" w14:textId="77777777" w:rsidR="008000E1" w:rsidRPr="00F5616E" w:rsidRDefault="008000E1">
            <w:pPr>
              <w:spacing w:before="20" w:after="20" w:line="240" w:lineRule="auto"/>
              <w:contextualSpacing/>
              <w:rPr>
                <w:rFonts w:cs="Arial"/>
                <w:sz w:val="20"/>
                <w:szCs w:val="20"/>
              </w:rPr>
            </w:pPr>
            <w:r w:rsidRPr="00F5616E">
              <w:rPr>
                <w:rFonts w:cs="Arial"/>
                <w:sz w:val="20"/>
                <w:szCs w:val="20"/>
              </w:rPr>
              <w:t>Wyndham-East Kimberley</w:t>
            </w:r>
          </w:p>
        </w:tc>
        <w:tc>
          <w:tcPr>
            <w:tcW w:w="2224" w:type="dxa"/>
            <w:noWrap/>
            <w:hideMark/>
          </w:tcPr>
          <w:p w14:paraId="5B4093EA"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Greater Shepparton</w:t>
            </w:r>
          </w:p>
        </w:tc>
        <w:tc>
          <w:tcPr>
            <w:tcW w:w="2223" w:type="dxa"/>
            <w:noWrap/>
            <w:hideMark/>
          </w:tcPr>
          <w:p w14:paraId="5777555E"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Paroo</w:t>
            </w:r>
          </w:p>
        </w:tc>
        <w:tc>
          <w:tcPr>
            <w:tcW w:w="2224" w:type="dxa"/>
            <w:noWrap/>
            <w:hideMark/>
          </w:tcPr>
          <w:p w14:paraId="1812DD6E" w14:textId="77777777" w:rsidR="008000E1" w:rsidRPr="00F5616E" w:rsidRDefault="008000E1">
            <w:pPr>
              <w:spacing w:before="20" w:after="2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F5616E">
              <w:rPr>
                <w:rFonts w:cs="Arial"/>
                <w:sz w:val="20"/>
                <w:szCs w:val="20"/>
              </w:rPr>
              <w:t>Yorke Peninsula</w:t>
            </w:r>
          </w:p>
        </w:tc>
      </w:tr>
    </w:tbl>
    <w:p w14:paraId="0051165F" w14:textId="77777777" w:rsidR="008000E1" w:rsidRDefault="008000E1" w:rsidP="008000E1">
      <w:pPr>
        <w:pStyle w:val="Heading6"/>
      </w:pPr>
      <w:r>
        <w:t>Step 2: Implement BTS analysis</w:t>
      </w:r>
    </w:p>
    <w:p w14:paraId="41D3FA33" w14:textId="77777777" w:rsidR="008000E1" w:rsidRDefault="008000E1" w:rsidP="008000E1">
      <w:r>
        <w:t>The outcome variables in the BTS analysis were participant/provider ratio, provider Gini coefficient, participant Gini coefficient, and answers to short form outcomes questionnaire items about participant choice. The BTS data was constructed using the participant payments data. Using the initial payments by participant by day/month/year, the data was restricted to the set of treated LGAs and their matched counterparts before being collapsed and summarised into LGA level month/year observations. This allowed us to collect total payments in a month, average payments in a month, variance, the number of unique participant numbers, number of unique provider numbers, participant/provider ratios, number of unique plan numbers and plan budget details.</w:t>
      </w:r>
    </w:p>
    <w:p w14:paraId="7C325F80" w14:textId="77777777" w:rsidR="008000E1" w:rsidRDefault="008000E1" w:rsidP="008000E1">
      <w:r>
        <w:t>Using the same data, we calculated Gini coefficients for participants in an LGA, providers in an LGA and the Gini ratio. We aggregated the Gini coefficient into quarterly level data to better accommodate shifts in the market inputs (e.g., number of providers, number of participants).</w:t>
      </w:r>
    </w:p>
    <w:p w14:paraId="3386AC15" w14:textId="77777777" w:rsidR="008000E1" w:rsidRDefault="008000E1" w:rsidP="008000E1">
      <w:r>
        <w:t>We then applied our BTS model to the data. To conduct the BTS model, the data was restricted to one treated LGA and its matches at a time. The treated before and after period was then set using the maximum available observations both before and after the intervention. We did this to get the largest number of training observations, and the largest number of observations to be used for computing predictions.</w:t>
      </w:r>
    </w:p>
    <w:p w14:paraId="508481C3" w14:textId="77777777" w:rsidR="008000E1" w:rsidRDefault="008000E1" w:rsidP="008000E1">
      <w:r>
        <w:t>Before we conducted BTS we set our priors and distribution assumptions. To do this we assumed the form of the time series data. This required assumptions on two steps in the data. The first step was describing the distribution of how the outcome evolves over time. The second step described the distribution of the outcome at the starting time. That is, how the outcome variable varies over time and how the outcome variable varies within time.</w:t>
      </w:r>
    </w:p>
    <w:p w14:paraId="0672F168" w14:textId="77777777" w:rsidR="008000E1" w:rsidRDefault="008000E1" w:rsidP="008000E1">
      <w:r>
        <w:t xml:space="preserve">The first step is described through a local level state specification. The local level model assumes each outcome follows a “random walk” where the next period’s outcome is a function of this period’s outcome plus some ‘error term’ of the time series. The model assumption is that this error term on average is zero its variance follows an inverse gamma distribution. The second step is described through an initial state vector in the model’s first period. Following the Kalman filter, our initial state vector assumes a normal distribution with </w:t>
      </w:r>
      <w:r>
        <w:lastRenderedPageBreak/>
        <w:t>a mean of zero and a variance equal to one. The model then used the observed data and samples each period using Markov chain Monte Carlo sampling of 2,000 iterations. These iterations are then used to update each of the priors and calculate the posterior distributions of the outcome in each period.</w:t>
      </w:r>
    </w:p>
    <w:p w14:paraId="02A3D4EA" w14:textId="77777777" w:rsidR="008000E1" w:rsidRDefault="008000E1" w:rsidP="008000E1">
      <w:r>
        <w:t>We repeated the above process for each LGA and for each of the market indicators. The results were collected in the form of a time series. To better represent results and aid interpretation, we constructed an average treatment effect using the BTS results. This was the average of the point prediction 6 months before and 6 months after market facilitation for each LGA. The ATE standard error was calculated the same way by averaging the standard error before and after the trial. These together with the prior normal distribution inference of the resulting posterior distribution of the ATE. This produced a single ATE estimate for each LGA for each market indicator.</w:t>
      </w:r>
    </w:p>
    <w:p w14:paraId="622BB5F9" w14:textId="77777777" w:rsidR="008000E1" w:rsidRDefault="008000E1" w:rsidP="00A01FA6">
      <w:pPr>
        <w:pStyle w:val="Appendix2"/>
      </w:pPr>
      <w:r>
        <w:t>Qualitative data analysis</w:t>
      </w:r>
    </w:p>
    <w:p w14:paraId="41F10EAA" w14:textId="77777777" w:rsidR="008000E1" w:rsidRDefault="008000E1" w:rsidP="008000E1">
      <w:r>
        <w:t>The tables below provide the coding frame used to analyse stakeholder interviews and free text survey responses.</w:t>
      </w:r>
    </w:p>
    <w:p w14:paraId="57CC6E3E" w14:textId="51C7EF5D" w:rsidR="008000E1" w:rsidRDefault="008000E1" w:rsidP="008000E1">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14</w:t>
      </w:r>
      <w:r>
        <w:rPr>
          <w:color w:val="2B579A"/>
          <w:shd w:val="clear" w:color="auto" w:fill="E6E6E6"/>
        </w:rPr>
        <w:fldChar w:fldCharType="end"/>
      </w:r>
      <w:r>
        <w:t>: Code frame for KEQ2– Did market facilitation work as expected?</w:t>
      </w:r>
    </w:p>
    <w:tbl>
      <w:tblPr>
        <w:tblStyle w:val="LightShading-Accent4"/>
        <w:tblW w:w="5000" w:type="pct"/>
        <w:tblInd w:w="-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20" w:firstRow="1" w:lastRow="0" w:firstColumn="0" w:lastColumn="0" w:noHBand="0" w:noVBand="1"/>
        <w:tblDescription w:val="This table provides the code frame for market faciliation for key evaluation question 2 including the category, sub-category and a description."/>
      </w:tblPr>
      <w:tblGrid>
        <w:gridCol w:w="2683"/>
        <w:gridCol w:w="2609"/>
        <w:gridCol w:w="3724"/>
      </w:tblGrid>
      <w:tr w:rsidR="00155FE8" w:rsidRPr="002D3B2B" w14:paraId="7F473C7B" w14:textId="77777777" w:rsidTr="00024BC3">
        <w:trPr>
          <w:cnfStyle w:val="100000000000" w:firstRow="1" w:lastRow="0" w:firstColumn="0" w:lastColumn="0" w:oddVBand="0" w:evenVBand="0" w:oddHBand="0" w:evenHBand="0" w:firstRowFirstColumn="0" w:firstRowLastColumn="0" w:lastRowFirstColumn="0" w:lastRowLastColumn="0"/>
          <w:tblHeader/>
        </w:trPr>
        <w:tc>
          <w:tcPr>
            <w:tcW w:w="1488" w:type="pct"/>
          </w:tcPr>
          <w:p w14:paraId="58AE1C3C"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Category</w:t>
            </w:r>
          </w:p>
        </w:tc>
        <w:tc>
          <w:tcPr>
            <w:tcW w:w="1447" w:type="pct"/>
          </w:tcPr>
          <w:p w14:paraId="2A7E103A"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Sub-category</w:t>
            </w:r>
          </w:p>
        </w:tc>
        <w:tc>
          <w:tcPr>
            <w:tcW w:w="2065" w:type="pct"/>
          </w:tcPr>
          <w:p w14:paraId="41414029"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Description</w:t>
            </w:r>
          </w:p>
        </w:tc>
      </w:tr>
      <w:tr w:rsidR="00155FE8" w:rsidRPr="002D3B2B" w14:paraId="4265CD0F"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6AE847D9"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Impacts on participant plan builds</w:t>
            </w:r>
          </w:p>
        </w:tc>
        <w:tc>
          <w:tcPr>
            <w:tcW w:w="1447" w:type="pct"/>
          </w:tcPr>
          <w:p w14:paraId="6C1931C3"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NA</w:t>
            </w:r>
          </w:p>
        </w:tc>
        <w:tc>
          <w:tcPr>
            <w:tcW w:w="2065" w:type="pct"/>
          </w:tcPr>
          <w:p w14:paraId="1D96EF44"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Plan builds reflect market conditions</w:t>
            </w:r>
          </w:p>
        </w:tc>
      </w:tr>
      <w:tr w:rsidR="006C4FD7" w:rsidRPr="002D3B2B" w14:paraId="1E480500"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tcPr>
          <w:p w14:paraId="56788B9E"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Providing</w:t>
            </w:r>
            <w:r w:rsidRPr="002D3B2B">
              <w:rPr>
                <w:rFonts w:asciiTheme="minorHAnsi" w:hAnsiTheme="minorHAnsi" w:cstheme="minorHAnsi"/>
                <w:sz w:val="20"/>
                <w:szCs w:val="20"/>
              </w:rPr>
              <w:t xml:space="preserve"> market data to service providers</w:t>
            </w:r>
          </w:p>
        </w:tc>
        <w:tc>
          <w:tcPr>
            <w:tcW w:w="1447" w:type="pct"/>
          </w:tcPr>
          <w:p w14:paraId="69911E10"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 xml:space="preserve">Market data helpful to service providers </w:t>
            </w:r>
          </w:p>
        </w:tc>
        <w:tc>
          <w:tcPr>
            <w:tcW w:w="2065" w:type="pct"/>
          </w:tcPr>
          <w:p w14:paraId="7F3B3AB4"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Provision of market data to service providers helps providers understand market opportunities</w:t>
            </w:r>
          </w:p>
        </w:tc>
      </w:tr>
      <w:tr w:rsidR="006C4FD7" w:rsidRPr="002D3B2B" w14:paraId="10D23587"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shd w:val="clear" w:color="auto" w:fill="auto"/>
          </w:tcPr>
          <w:p w14:paraId="4BF4A359"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Providing</w:t>
            </w:r>
            <w:r w:rsidRPr="002D3B2B">
              <w:rPr>
                <w:rFonts w:asciiTheme="minorHAnsi" w:hAnsiTheme="minorHAnsi" w:cstheme="minorHAnsi"/>
                <w:sz w:val="20"/>
                <w:szCs w:val="20"/>
              </w:rPr>
              <w:t xml:space="preserve"> market data to service providers</w:t>
            </w:r>
          </w:p>
        </w:tc>
        <w:tc>
          <w:tcPr>
            <w:tcW w:w="1447" w:type="pct"/>
            <w:shd w:val="clear" w:color="auto" w:fill="auto"/>
          </w:tcPr>
          <w:p w14:paraId="032B58B7"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Market data is not useful</w:t>
            </w:r>
          </w:p>
        </w:tc>
        <w:tc>
          <w:tcPr>
            <w:tcW w:w="2065" w:type="pct"/>
            <w:shd w:val="clear" w:color="auto" w:fill="auto"/>
          </w:tcPr>
          <w:p w14:paraId="30F70D9E"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Market data is not helpful; suggestions to make it useful</w:t>
            </w:r>
          </w:p>
        </w:tc>
      </w:tr>
      <w:tr w:rsidR="008B55ED" w:rsidRPr="002D3B2B" w14:paraId="12A20BDB"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shd w:val="clear" w:color="auto" w:fill="F7EEF7"/>
          </w:tcPr>
          <w:p w14:paraId="6B5C3F54" w14:textId="77777777" w:rsidR="008000E1" w:rsidRPr="002D3B2B" w:rsidRDefault="008000E1">
            <w:pPr>
              <w:spacing w:beforeLines="60" w:before="144" w:afterLines="60" w:after="144"/>
              <w:ind w:left="0"/>
              <w:rPr>
                <w:rFonts w:asciiTheme="minorHAnsi" w:hAnsiTheme="minorHAnsi" w:cstheme="minorHAnsi"/>
                <w:sz w:val="20"/>
                <w:szCs w:val="20"/>
              </w:rPr>
            </w:pPr>
            <w:bookmarkStart w:id="188" w:name="_Hlk119333841"/>
            <w:r w:rsidRPr="002D3B2B">
              <w:rPr>
                <w:rFonts w:asciiTheme="minorHAnsi" w:hAnsiTheme="minorHAnsi" w:cstheme="minorHAnsi"/>
                <w:sz w:val="20"/>
                <w:szCs w:val="20"/>
              </w:rPr>
              <w:t xml:space="preserve">Connecting PITC and support coordinators to service providers </w:t>
            </w:r>
            <w:bookmarkEnd w:id="188"/>
          </w:p>
        </w:tc>
        <w:tc>
          <w:tcPr>
            <w:tcW w:w="1447" w:type="pct"/>
            <w:shd w:val="clear" w:color="auto" w:fill="F7EEF7"/>
          </w:tcPr>
          <w:p w14:paraId="4CF657B3"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Support coordinator/PITC increased awareness of market</w:t>
            </w:r>
          </w:p>
        </w:tc>
        <w:tc>
          <w:tcPr>
            <w:tcW w:w="2065" w:type="pct"/>
            <w:shd w:val="clear" w:color="auto" w:fill="F7EEF7"/>
          </w:tcPr>
          <w:p w14:paraId="218F544F"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Connections resulted in support coordinators/PITC increasing their understanding of market, make referrals to new service providers</w:t>
            </w:r>
          </w:p>
        </w:tc>
      </w:tr>
      <w:tr w:rsidR="00155FE8" w:rsidRPr="002D3B2B" w14:paraId="5101A7BD"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6DAD8A07"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Connecting PITC and support coordinators to service providers</w:t>
            </w:r>
          </w:p>
        </w:tc>
        <w:tc>
          <w:tcPr>
            <w:tcW w:w="1447" w:type="pct"/>
          </w:tcPr>
          <w:p w14:paraId="35951499"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Has made no difference</w:t>
            </w:r>
          </w:p>
        </w:tc>
        <w:tc>
          <w:tcPr>
            <w:tcW w:w="2065" w:type="pct"/>
          </w:tcPr>
          <w:p w14:paraId="3343F458"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Not resulted in improved connections; referrals</w:t>
            </w:r>
          </w:p>
        </w:tc>
      </w:tr>
      <w:tr w:rsidR="008B55ED" w:rsidRPr="002D3B2B" w14:paraId="601D58CE"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shd w:val="clear" w:color="auto" w:fill="F7EEF7"/>
          </w:tcPr>
          <w:p w14:paraId="478CDA59"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Connecting PITC and support coordinators to service providers</w:t>
            </w:r>
          </w:p>
        </w:tc>
        <w:tc>
          <w:tcPr>
            <w:tcW w:w="1447" w:type="pct"/>
            <w:shd w:val="clear" w:color="auto" w:fill="F7EEF7"/>
          </w:tcPr>
          <w:p w14:paraId="01A15643"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Service providers awareness of demand</w:t>
            </w:r>
          </w:p>
        </w:tc>
        <w:tc>
          <w:tcPr>
            <w:tcW w:w="2065" w:type="pct"/>
            <w:shd w:val="clear" w:color="auto" w:fill="F7EEF7"/>
          </w:tcPr>
          <w:p w14:paraId="2576F839"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Connections resulted in service providers understanding demand for supports; increased referrals</w:t>
            </w:r>
          </w:p>
        </w:tc>
      </w:tr>
    </w:tbl>
    <w:p w14:paraId="60E4C1B8" w14:textId="77777777" w:rsidR="008000E1" w:rsidRDefault="008000E1" w:rsidP="008000E1">
      <w:r>
        <w:br w:type="page"/>
      </w:r>
    </w:p>
    <w:p w14:paraId="42E8A123" w14:textId="16E23B93" w:rsidR="008000E1" w:rsidRDefault="008000E1" w:rsidP="008000E1">
      <w:pPr>
        <w:pStyle w:val="Caption"/>
      </w:pPr>
      <w:r>
        <w:lastRenderedPageBreak/>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15</w:t>
      </w:r>
      <w:r>
        <w:rPr>
          <w:color w:val="2B579A"/>
          <w:shd w:val="clear" w:color="auto" w:fill="E6E6E6"/>
        </w:rPr>
        <w:fldChar w:fldCharType="end"/>
      </w:r>
      <w:r>
        <w:t>: Code frame for KEQ2 – Did CFPs work as expected?</w:t>
      </w:r>
    </w:p>
    <w:tbl>
      <w:tblPr>
        <w:tblStyle w:val="LightShading-Accent4"/>
        <w:tblW w:w="5000" w:type="pct"/>
        <w:tblInd w:w="-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20" w:firstRow="1" w:lastRow="0" w:firstColumn="0" w:lastColumn="0" w:noHBand="0" w:noVBand="1"/>
        <w:tblDescription w:val="This table provides the code frame for CFPs for key evaluation question 2 including the category, sub-category and a description."/>
      </w:tblPr>
      <w:tblGrid>
        <w:gridCol w:w="2683"/>
        <w:gridCol w:w="2609"/>
        <w:gridCol w:w="3724"/>
      </w:tblGrid>
      <w:tr w:rsidR="00155FE8" w:rsidRPr="002D3B2B" w14:paraId="5F9F31CE" w14:textId="77777777" w:rsidTr="00024BC3">
        <w:trPr>
          <w:cnfStyle w:val="100000000000" w:firstRow="1" w:lastRow="0" w:firstColumn="0" w:lastColumn="0" w:oddVBand="0" w:evenVBand="0" w:oddHBand="0" w:evenHBand="0" w:firstRowFirstColumn="0" w:firstRowLastColumn="0" w:lastRowFirstColumn="0" w:lastRowLastColumn="0"/>
          <w:tblHeader/>
        </w:trPr>
        <w:tc>
          <w:tcPr>
            <w:tcW w:w="1488" w:type="pct"/>
          </w:tcPr>
          <w:p w14:paraId="717A87C4"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Category</w:t>
            </w:r>
          </w:p>
        </w:tc>
        <w:tc>
          <w:tcPr>
            <w:tcW w:w="1447" w:type="pct"/>
          </w:tcPr>
          <w:p w14:paraId="04B7520F"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Sub-category</w:t>
            </w:r>
          </w:p>
        </w:tc>
        <w:tc>
          <w:tcPr>
            <w:tcW w:w="2065" w:type="pct"/>
          </w:tcPr>
          <w:p w14:paraId="07D3B3A3"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Description</w:t>
            </w:r>
          </w:p>
        </w:tc>
      </w:tr>
      <w:tr w:rsidR="00155FE8" w:rsidRPr="002D3B2B" w14:paraId="1FAD8005"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79469183"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Assurance of demand</w:t>
            </w:r>
          </w:p>
        </w:tc>
        <w:tc>
          <w:tcPr>
            <w:tcW w:w="1447" w:type="pct"/>
          </w:tcPr>
          <w:p w14:paraId="23493B17"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NA</w:t>
            </w:r>
          </w:p>
        </w:tc>
        <w:tc>
          <w:tcPr>
            <w:tcW w:w="2065" w:type="pct"/>
          </w:tcPr>
          <w:p w14:paraId="4B6C956E"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CFPs were helpful in providing assurance for demand for services</w:t>
            </w:r>
          </w:p>
        </w:tc>
      </w:tr>
      <w:tr w:rsidR="006C4FD7" w:rsidRPr="002D3B2B" w14:paraId="6F264172"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tcPr>
          <w:p w14:paraId="5E14F83C"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CFP supports are viable to deliver</w:t>
            </w:r>
          </w:p>
        </w:tc>
        <w:tc>
          <w:tcPr>
            <w:tcW w:w="1447" w:type="pct"/>
          </w:tcPr>
          <w:p w14:paraId="65840D61"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NA</w:t>
            </w:r>
          </w:p>
        </w:tc>
        <w:tc>
          <w:tcPr>
            <w:tcW w:w="2065" w:type="pct"/>
          </w:tcPr>
          <w:p w14:paraId="16023E8C"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Views on enablers and barriers to support viability</w:t>
            </w:r>
          </w:p>
        </w:tc>
      </w:tr>
      <w:tr w:rsidR="00155FE8" w:rsidRPr="002D3B2B" w14:paraId="798D465F"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29A9A249"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Connections between support coordinators/service providers</w:t>
            </w:r>
          </w:p>
        </w:tc>
        <w:tc>
          <w:tcPr>
            <w:tcW w:w="1447" w:type="pct"/>
          </w:tcPr>
          <w:p w14:paraId="6BC38556"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NA</w:t>
            </w:r>
          </w:p>
        </w:tc>
        <w:tc>
          <w:tcPr>
            <w:tcW w:w="2065" w:type="pct"/>
          </w:tcPr>
          <w:p w14:paraId="46DF24A2"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Benefits of connections; ongoing referrals</w:t>
            </w:r>
          </w:p>
        </w:tc>
      </w:tr>
      <w:tr w:rsidR="006C4FD7" w:rsidRPr="002D3B2B" w14:paraId="2C42E938"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tcPr>
          <w:p w14:paraId="3BD19D74"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Support coordinator capacity building</w:t>
            </w:r>
          </w:p>
        </w:tc>
        <w:tc>
          <w:tcPr>
            <w:tcW w:w="1447" w:type="pct"/>
          </w:tcPr>
          <w:p w14:paraId="73923731" w14:textId="77777777" w:rsidR="008000E1" w:rsidRPr="002D3B2B" w:rsidRDefault="008000E1">
            <w:pPr>
              <w:spacing w:beforeLines="60" w:before="144" w:afterLines="60" w:after="144"/>
              <w:ind w:left="0"/>
              <w:rPr>
                <w:rFonts w:asciiTheme="minorHAnsi" w:hAnsiTheme="minorHAnsi" w:cstheme="minorHAnsi"/>
                <w:sz w:val="20"/>
                <w:szCs w:val="20"/>
              </w:rPr>
            </w:pPr>
            <w:r>
              <w:rPr>
                <w:rFonts w:asciiTheme="minorHAnsi" w:hAnsiTheme="minorHAnsi" w:cstheme="minorHAnsi"/>
                <w:sz w:val="20"/>
                <w:szCs w:val="20"/>
              </w:rPr>
              <w:t>NA</w:t>
            </w:r>
          </w:p>
        </w:tc>
        <w:tc>
          <w:tcPr>
            <w:tcW w:w="2065" w:type="pct"/>
          </w:tcPr>
          <w:p w14:paraId="4B5C3AA7"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Support coordinator use of CFPs in future; barriers to implementing</w:t>
            </w:r>
          </w:p>
        </w:tc>
      </w:tr>
    </w:tbl>
    <w:p w14:paraId="1DF9C6F0" w14:textId="77777777" w:rsidR="008000E1" w:rsidRDefault="008000E1" w:rsidP="008000E1"/>
    <w:p w14:paraId="1251A481" w14:textId="6AC85DD6" w:rsidR="008000E1" w:rsidRDefault="008000E1" w:rsidP="008000E1">
      <w:pPr>
        <w:pStyle w:val="Caption"/>
      </w:pPr>
      <w:r>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16</w:t>
      </w:r>
      <w:r>
        <w:rPr>
          <w:color w:val="2B579A"/>
          <w:shd w:val="clear" w:color="auto" w:fill="E6E6E6"/>
        </w:rPr>
        <w:fldChar w:fldCharType="end"/>
      </w:r>
      <w:r>
        <w:t>: Code frame for KEQ2 – Did direct commissioning work as expected?</w:t>
      </w:r>
    </w:p>
    <w:tbl>
      <w:tblPr>
        <w:tblStyle w:val="LightShading-Accent4"/>
        <w:tblW w:w="5000" w:type="pct"/>
        <w:tblInd w:w="-5"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20" w:firstRow="1" w:lastRow="0" w:firstColumn="0" w:lastColumn="0" w:noHBand="0" w:noVBand="1"/>
        <w:tblDescription w:val="This table provides the code frame for direct commissioning for key evaluation question 2 including the category, sub-category and a description."/>
      </w:tblPr>
      <w:tblGrid>
        <w:gridCol w:w="2683"/>
        <w:gridCol w:w="2609"/>
        <w:gridCol w:w="3724"/>
      </w:tblGrid>
      <w:tr w:rsidR="00155FE8" w:rsidRPr="002D3B2B" w14:paraId="5AE343C9" w14:textId="77777777" w:rsidTr="00024BC3">
        <w:trPr>
          <w:cnfStyle w:val="100000000000" w:firstRow="1" w:lastRow="0" w:firstColumn="0" w:lastColumn="0" w:oddVBand="0" w:evenVBand="0" w:oddHBand="0" w:evenHBand="0" w:firstRowFirstColumn="0" w:firstRowLastColumn="0" w:lastRowFirstColumn="0" w:lastRowLastColumn="0"/>
          <w:tblHeader/>
        </w:trPr>
        <w:tc>
          <w:tcPr>
            <w:tcW w:w="1488" w:type="pct"/>
          </w:tcPr>
          <w:p w14:paraId="6120AEFF"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Category</w:t>
            </w:r>
          </w:p>
        </w:tc>
        <w:tc>
          <w:tcPr>
            <w:tcW w:w="1447" w:type="pct"/>
          </w:tcPr>
          <w:p w14:paraId="3DE64713"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Sub-category</w:t>
            </w:r>
          </w:p>
        </w:tc>
        <w:tc>
          <w:tcPr>
            <w:tcW w:w="2065" w:type="pct"/>
          </w:tcPr>
          <w:p w14:paraId="464186F5"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Description</w:t>
            </w:r>
          </w:p>
        </w:tc>
      </w:tr>
      <w:tr w:rsidR="00155FE8" w:rsidRPr="002D3B2B" w14:paraId="7E9B0B65"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5BAC6D9B"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Service viability</w:t>
            </w:r>
          </w:p>
        </w:tc>
        <w:tc>
          <w:tcPr>
            <w:tcW w:w="1447" w:type="pct"/>
          </w:tcPr>
          <w:p w14:paraId="00F5A941"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Intentions to expand</w:t>
            </w:r>
          </w:p>
        </w:tc>
        <w:tc>
          <w:tcPr>
            <w:tcW w:w="2065" w:type="pct"/>
          </w:tcPr>
          <w:p w14:paraId="6B6AE333"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Direct commissioning provides platform for providers to grow; recruitment of staff</w:t>
            </w:r>
          </w:p>
        </w:tc>
      </w:tr>
      <w:tr w:rsidR="008B55ED" w:rsidRPr="002D3B2B" w14:paraId="0A81C23F"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shd w:val="clear" w:color="auto" w:fill="F7EEF7"/>
          </w:tcPr>
          <w:p w14:paraId="1D110E6A"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Service viability</w:t>
            </w:r>
          </w:p>
        </w:tc>
        <w:tc>
          <w:tcPr>
            <w:tcW w:w="1447" w:type="pct"/>
            <w:shd w:val="clear" w:color="auto" w:fill="F7EEF7"/>
          </w:tcPr>
          <w:p w14:paraId="3262C190"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Number of participants</w:t>
            </w:r>
          </w:p>
        </w:tc>
        <w:tc>
          <w:tcPr>
            <w:tcW w:w="2065" w:type="pct"/>
            <w:shd w:val="clear" w:color="auto" w:fill="F7EEF7"/>
          </w:tcPr>
          <w:p w14:paraId="11A88EFA"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Effort of direct commissioning considering effort to tender, recruit staff</w:t>
            </w:r>
          </w:p>
        </w:tc>
      </w:tr>
      <w:tr w:rsidR="00155FE8" w:rsidRPr="002D3B2B" w14:paraId="6476C056"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2F05B1EC"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Service viability</w:t>
            </w:r>
          </w:p>
        </w:tc>
        <w:tc>
          <w:tcPr>
            <w:tcW w:w="1447" w:type="pct"/>
          </w:tcPr>
          <w:p w14:paraId="088765B5"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Administrative burden</w:t>
            </w:r>
          </w:p>
        </w:tc>
        <w:tc>
          <w:tcPr>
            <w:tcW w:w="2065" w:type="pct"/>
          </w:tcPr>
          <w:p w14:paraId="4D55825B"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Administrative aspects of Trial burdensome; impacts on profitability</w:t>
            </w:r>
          </w:p>
        </w:tc>
      </w:tr>
      <w:tr w:rsidR="006C4FD7" w:rsidRPr="002D3B2B" w14:paraId="0BC02AF8" w14:textId="77777777" w:rsidTr="00024BC3">
        <w:trPr>
          <w:cnfStyle w:val="000000010000" w:firstRow="0" w:lastRow="0" w:firstColumn="0" w:lastColumn="0" w:oddVBand="0" w:evenVBand="0" w:oddHBand="0" w:evenHBand="1" w:firstRowFirstColumn="0" w:firstRowLastColumn="0" w:lastRowFirstColumn="0" w:lastRowLastColumn="0"/>
        </w:trPr>
        <w:tc>
          <w:tcPr>
            <w:tcW w:w="1488" w:type="pct"/>
          </w:tcPr>
          <w:p w14:paraId="3ABD96EF"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Post-trial sustainability</w:t>
            </w:r>
          </w:p>
        </w:tc>
        <w:tc>
          <w:tcPr>
            <w:tcW w:w="1447" w:type="pct"/>
          </w:tcPr>
          <w:p w14:paraId="165413B0"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Support coordinator/service provider connections</w:t>
            </w:r>
          </w:p>
        </w:tc>
        <w:tc>
          <w:tcPr>
            <w:tcW w:w="2065" w:type="pct"/>
          </w:tcPr>
          <w:p w14:paraId="3283F7A4"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 xml:space="preserve">New connections made; ongoing referrals </w:t>
            </w:r>
          </w:p>
        </w:tc>
      </w:tr>
      <w:tr w:rsidR="00155FE8" w:rsidRPr="002D3B2B" w14:paraId="34B4F59A" w14:textId="77777777" w:rsidTr="00024BC3">
        <w:trPr>
          <w:cnfStyle w:val="000000100000" w:firstRow="0" w:lastRow="0" w:firstColumn="0" w:lastColumn="0" w:oddVBand="0" w:evenVBand="0" w:oddHBand="1" w:evenHBand="0" w:firstRowFirstColumn="0" w:firstRowLastColumn="0" w:lastRowFirstColumn="0" w:lastRowLastColumn="0"/>
        </w:trPr>
        <w:tc>
          <w:tcPr>
            <w:tcW w:w="1488" w:type="pct"/>
          </w:tcPr>
          <w:p w14:paraId="663D1E25"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Post-trial sustainability</w:t>
            </w:r>
          </w:p>
        </w:tc>
        <w:tc>
          <w:tcPr>
            <w:tcW w:w="1447" w:type="pct"/>
          </w:tcPr>
          <w:p w14:paraId="51BA582B" w14:textId="77777777" w:rsidR="008000E1" w:rsidRPr="002D3B2B" w:rsidRDefault="008000E1">
            <w:pPr>
              <w:spacing w:beforeLines="60" w:before="144" w:afterLines="60" w:after="144"/>
              <w:ind w:left="0"/>
              <w:rPr>
                <w:rFonts w:asciiTheme="minorHAnsi" w:hAnsiTheme="minorHAnsi" w:cstheme="minorHAnsi"/>
                <w:sz w:val="20"/>
                <w:szCs w:val="20"/>
              </w:rPr>
            </w:pPr>
            <w:r w:rsidRPr="002D3B2B">
              <w:rPr>
                <w:rFonts w:asciiTheme="minorHAnsi" w:hAnsiTheme="minorHAnsi" w:cstheme="minorHAnsi"/>
                <w:sz w:val="20"/>
                <w:szCs w:val="20"/>
              </w:rPr>
              <w:t>Barriers to sustainability</w:t>
            </w:r>
          </w:p>
        </w:tc>
        <w:tc>
          <w:tcPr>
            <w:tcW w:w="2065" w:type="pct"/>
          </w:tcPr>
          <w:p w14:paraId="74D54495" w14:textId="77777777" w:rsidR="008000E1" w:rsidRPr="002D3B2B" w:rsidRDefault="008000E1">
            <w:pPr>
              <w:spacing w:beforeLines="60" w:before="144" w:afterLines="60" w:after="144"/>
              <w:ind w:left="-47" w:hanging="2"/>
              <w:rPr>
                <w:rFonts w:asciiTheme="minorHAnsi" w:hAnsiTheme="minorHAnsi" w:cstheme="minorHAnsi"/>
                <w:sz w:val="20"/>
                <w:szCs w:val="20"/>
              </w:rPr>
            </w:pPr>
            <w:r w:rsidRPr="002D3B2B">
              <w:rPr>
                <w:rFonts w:asciiTheme="minorHAnsi" w:hAnsiTheme="minorHAnsi" w:cstheme="minorHAnsi"/>
                <w:sz w:val="20"/>
                <w:szCs w:val="20"/>
              </w:rPr>
              <w:t>Barriers to ongoing service delivery</w:t>
            </w:r>
          </w:p>
        </w:tc>
      </w:tr>
    </w:tbl>
    <w:p w14:paraId="1D3ED6F6" w14:textId="77777777" w:rsidR="008000E1" w:rsidRDefault="008000E1" w:rsidP="008000E1"/>
    <w:p w14:paraId="0EC94FD2" w14:textId="77777777" w:rsidR="008000E1" w:rsidRDefault="008000E1" w:rsidP="008000E1">
      <w:r>
        <w:br w:type="page"/>
      </w:r>
    </w:p>
    <w:p w14:paraId="5C07E475" w14:textId="5084D075" w:rsidR="008000E1" w:rsidRDefault="008000E1" w:rsidP="008000E1">
      <w:pPr>
        <w:pStyle w:val="Caption"/>
      </w:pPr>
      <w:r>
        <w:lastRenderedPageBreak/>
        <w:t xml:space="preserve">Table </w:t>
      </w:r>
      <w:r>
        <w:rPr>
          <w:color w:val="2B579A"/>
          <w:shd w:val="clear" w:color="auto" w:fill="E6E6E6"/>
        </w:rPr>
        <w:fldChar w:fldCharType="begin"/>
      </w:r>
      <w:r>
        <w:instrText>SEQ Table \* ARABIC</w:instrText>
      </w:r>
      <w:r>
        <w:rPr>
          <w:color w:val="2B579A"/>
          <w:shd w:val="clear" w:color="auto" w:fill="E6E6E6"/>
        </w:rPr>
        <w:fldChar w:fldCharType="separate"/>
      </w:r>
      <w:r w:rsidR="00DE04FA">
        <w:rPr>
          <w:noProof/>
        </w:rPr>
        <w:t>17</w:t>
      </w:r>
      <w:r>
        <w:rPr>
          <w:color w:val="2B579A"/>
          <w:shd w:val="clear" w:color="auto" w:fill="E6E6E6"/>
        </w:rPr>
        <w:fldChar w:fldCharType="end"/>
      </w:r>
      <w:r>
        <w:t>: Code frame for KEQ3 – Why did market interventions work as intended or not?</w:t>
      </w:r>
    </w:p>
    <w:tbl>
      <w:tblPr>
        <w:tblStyle w:val="LightShading-Accent4"/>
        <w:tblW w:w="495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20" w:firstRow="1" w:lastRow="0" w:firstColumn="0" w:lastColumn="0" w:noHBand="0" w:noVBand="1"/>
        <w:tblDescription w:val="This table provides the code frame for  for key evaluation question 3 including the category, sub-category and a description."/>
      </w:tblPr>
      <w:tblGrid>
        <w:gridCol w:w="2441"/>
        <w:gridCol w:w="2800"/>
        <w:gridCol w:w="3685"/>
      </w:tblGrid>
      <w:tr w:rsidR="008000E1" w:rsidRPr="00A62480" w14:paraId="7FA1F8C1" w14:textId="77777777">
        <w:trPr>
          <w:cnfStyle w:val="100000000000" w:firstRow="1" w:lastRow="0" w:firstColumn="0" w:lastColumn="0" w:oddVBand="0" w:evenVBand="0" w:oddHBand="0" w:evenHBand="0" w:firstRowFirstColumn="0" w:firstRowLastColumn="0" w:lastRowFirstColumn="0" w:lastRowLastColumn="0"/>
          <w:tblHeader/>
        </w:trPr>
        <w:tc>
          <w:tcPr>
            <w:tcW w:w="1367" w:type="pct"/>
          </w:tcPr>
          <w:p w14:paraId="35D44D0C" w14:textId="77777777" w:rsidR="008000E1" w:rsidRPr="00A62480" w:rsidRDefault="008000E1">
            <w:pPr>
              <w:spacing w:beforeLines="60" w:before="144" w:afterLines="60" w:after="144"/>
              <w:ind w:left="0"/>
              <w:rPr>
                <w:rFonts w:asciiTheme="minorHAnsi" w:hAnsiTheme="minorHAnsi" w:cstheme="minorHAnsi"/>
                <w:sz w:val="20"/>
                <w:szCs w:val="20"/>
              </w:rPr>
            </w:pPr>
            <w:r w:rsidRPr="00A62480">
              <w:rPr>
                <w:rFonts w:asciiTheme="minorHAnsi" w:hAnsiTheme="minorHAnsi" w:cstheme="minorHAnsi"/>
                <w:sz w:val="20"/>
                <w:szCs w:val="20"/>
              </w:rPr>
              <w:t>Category</w:t>
            </w:r>
          </w:p>
        </w:tc>
        <w:tc>
          <w:tcPr>
            <w:tcW w:w="1568" w:type="pct"/>
          </w:tcPr>
          <w:p w14:paraId="2C9C9875"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Sub-category</w:t>
            </w:r>
          </w:p>
        </w:tc>
        <w:tc>
          <w:tcPr>
            <w:tcW w:w="2064" w:type="pct"/>
          </w:tcPr>
          <w:p w14:paraId="0E9184D8"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Description</w:t>
            </w:r>
          </w:p>
        </w:tc>
      </w:tr>
      <w:tr w:rsidR="008000E1" w:rsidRPr="00A62480" w14:paraId="39384A1B"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03D0FD5A" w14:textId="77777777" w:rsidR="008000E1" w:rsidRPr="00A62480" w:rsidRDefault="008000E1">
            <w:pPr>
              <w:spacing w:beforeLines="60" w:before="144" w:afterLines="60" w:after="144"/>
              <w:ind w:left="0"/>
              <w:rPr>
                <w:rFonts w:asciiTheme="minorHAnsi" w:hAnsiTheme="minorHAnsi" w:cstheme="minorHAnsi"/>
                <w:sz w:val="20"/>
                <w:szCs w:val="20"/>
              </w:rPr>
            </w:pPr>
            <w:r w:rsidRPr="00A62480">
              <w:rPr>
                <w:rFonts w:asciiTheme="minorHAnsi" w:hAnsiTheme="minorHAnsi" w:cstheme="minorHAnsi"/>
                <w:sz w:val="20"/>
                <w:szCs w:val="20"/>
              </w:rPr>
              <w:t>Factors impacting thin market locations</w:t>
            </w:r>
          </w:p>
        </w:tc>
        <w:tc>
          <w:tcPr>
            <w:tcW w:w="1568" w:type="pct"/>
          </w:tcPr>
          <w:p w14:paraId="03941547"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Access to NDIS and supports</w:t>
            </w:r>
          </w:p>
        </w:tc>
        <w:tc>
          <w:tcPr>
            <w:tcW w:w="2064" w:type="pct"/>
          </w:tcPr>
          <w:p w14:paraId="63010561"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Barriers to accessing NDIS or supports; access to assessments; individuals not tested eligibility; lack of engagement</w:t>
            </w:r>
          </w:p>
        </w:tc>
      </w:tr>
      <w:tr w:rsidR="008000E1" w:rsidRPr="00A62480" w14:paraId="7D623582"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3F7FCEEB"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shd w:val="clear" w:color="auto" w:fill="F7EEF7"/>
          </w:tcPr>
          <w:p w14:paraId="2531D06F"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Lack of service providers</w:t>
            </w:r>
          </w:p>
        </w:tc>
        <w:tc>
          <w:tcPr>
            <w:tcW w:w="2064" w:type="pct"/>
            <w:shd w:val="clear" w:color="auto" w:fill="F7EEF7"/>
          </w:tcPr>
          <w:p w14:paraId="0315FB9C"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Not enough service providers; long waitlists</w:t>
            </w:r>
          </w:p>
        </w:tc>
      </w:tr>
      <w:tr w:rsidR="008000E1" w:rsidRPr="00A62480" w14:paraId="04AFB3E4"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3BABB204"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tcPr>
          <w:p w14:paraId="44D922B0"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Lack of understanding of NDIS</w:t>
            </w:r>
          </w:p>
        </w:tc>
        <w:tc>
          <w:tcPr>
            <w:tcW w:w="2064" w:type="pct"/>
          </w:tcPr>
          <w:p w14:paraId="59148E9B"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 xml:space="preserve">Participants do not understand NDIS; how to access supports; language barriers, </w:t>
            </w:r>
            <w:proofErr w:type="spellStart"/>
            <w:r w:rsidRPr="00A62480">
              <w:rPr>
                <w:rFonts w:asciiTheme="minorHAnsi" w:hAnsiTheme="minorHAnsi" w:cstheme="minorHAnsi"/>
                <w:sz w:val="20"/>
                <w:szCs w:val="20"/>
              </w:rPr>
              <w:t>etc</w:t>
            </w:r>
            <w:proofErr w:type="spellEnd"/>
          </w:p>
        </w:tc>
      </w:tr>
      <w:tr w:rsidR="008000E1" w:rsidRPr="00A62480" w14:paraId="66A0DFB0"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6394F4AA"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shd w:val="clear" w:color="auto" w:fill="F7EEF7"/>
          </w:tcPr>
          <w:p w14:paraId="647AF87E"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Travel</w:t>
            </w:r>
          </w:p>
        </w:tc>
        <w:tc>
          <w:tcPr>
            <w:tcW w:w="2064" w:type="pct"/>
            <w:shd w:val="clear" w:color="auto" w:fill="F7EEF7"/>
          </w:tcPr>
          <w:p w14:paraId="5C9BF8B3"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High cost of travel; logistics (inc. safety); lack of affordable participant travel</w:t>
            </w:r>
          </w:p>
        </w:tc>
      </w:tr>
      <w:tr w:rsidR="008000E1" w:rsidRPr="00A62480" w14:paraId="3877880B"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44B25C06"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tcPr>
          <w:p w14:paraId="09811A0A"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Service viability</w:t>
            </w:r>
          </w:p>
        </w:tc>
        <w:tc>
          <w:tcPr>
            <w:tcW w:w="2064" w:type="pct"/>
          </w:tcPr>
          <w:p w14:paraId="38D0AC87"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Services in thin markets are not financially viable; pricing structures</w:t>
            </w:r>
          </w:p>
        </w:tc>
      </w:tr>
      <w:tr w:rsidR="008000E1" w:rsidRPr="00A62480" w14:paraId="04593FAB"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5CAACF08"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shd w:val="clear" w:color="auto" w:fill="F7EEF7"/>
          </w:tcPr>
          <w:p w14:paraId="1FD55939"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Infrastructure in communities</w:t>
            </w:r>
          </w:p>
        </w:tc>
        <w:tc>
          <w:tcPr>
            <w:tcW w:w="2064" w:type="pct"/>
            <w:shd w:val="clear" w:color="auto" w:fill="F7EEF7"/>
          </w:tcPr>
          <w:p w14:paraId="56CCA816"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Inadequate infrastructure in communities; lack of housing/accommodation</w:t>
            </w:r>
          </w:p>
        </w:tc>
      </w:tr>
      <w:tr w:rsidR="008000E1" w:rsidRPr="00A62480" w14:paraId="553E865C"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6EEC3745"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tcPr>
          <w:p w14:paraId="77113C16"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NDIS requirements</w:t>
            </w:r>
          </w:p>
        </w:tc>
        <w:tc>
          <w:tcPr>
            <w:tcW w:w="2064" w:type="pct"/>
          </w:tcPr>
          <w:p w14:paraId="6B3B1917"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 xml:space="preserve">Evidence for </w:t>
            </w:r>
            <w:proofErr w:type="spellStart"/>
            <w:r w:rsidRPr="00A62480">
              <w:rPr>
                <w:rFonts w:asciiTheme="minorHAnsi" w:hAnsiTheme="minorHAnsi" w:cstheme="minorHAnsi"/>
                <w:sz w:val="20"/>
                <w:szCs w:val="20"/>
              </w:rPr>
              <w:t>behaviour</w:t>
            </w:r>
            <w:proofErr w:type="spellEnd"/>
            <w:r w:rsidRPr="00A62480">
              <w:rPr>
                <w:rFonts w:asciiTheme="minorHAnsi" w:hAnsiTheme="minorHAnsi" w:cstheme="minorHAnsi"/>
                <w:sz w:val="20"/>
                <w:szCs w:val="20"/>
              </w:rPr>
              <w:t xml:space="preserve"> supports; registration and reporting requirements</w:t>
            </w:r>
          </w:p>
        </w:tc>
      </w:tr>
      <w:tr w:rsidR="008000E1" w:rsidRPr="00A62480" w14:paraId="1B8A5DD2"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5AB54CC4" w14:textId="77777777" w:rsidR="008000E1" w:rsidRPr="00A62480" w:rsidRDefault="008000E1">
            <w:pPr>
              <w:spacing w:beforeLines="60" w:before="144" w:afterLines="60" w:after="144"/>
              <w:ind w:left="0"/>
              <w:rPr>
                <w:rFonts w:asciiTheme="minorHAnsi" w:hAnsiTheme="minorHAnsi" w:cstheme="minorHAnsi"/>
                <w:sz w:val="20"/>
                <w:szCs w:val="20"/>
              </w:rPr>
            </w:pPr>
            <w:r w:rsidRPr="00F05C7F">
              <w:rPr>
                <w:rFonts w:asciiTheme="minorHAnsi" w:hAnsiTheme="minorHAnsi" w:cstheme="minorHAnsi"/>
                <w:sz w:val="20"/>
                <w:szCs w:val="20"/>
              </w:rPr>
              <w:t>Factors impacting thin market locations</w:t>
            </w:r>
          </w:p>
        </w:tc>
        <w:tc>
          <w:tcPr>
            <w:tcW w:w="1568" w:type="pct"/>
            <w:shd w:val="clear" w:color="auto" w:fill="F7EEF7"/>
          </w:tcPr>
          <w:p w14:paraId="784ED0C5"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Plan builds</w:t>
            </w:r>
          </w:p>
        </w:tc>
        <w:tc>
          <w:tcPr>
            <w:tcW w:w="2064" w:type="pct"/>
            <w:shd w:val="clear" w:color="auto" w:fill="F7EEF7"/>
          </w:tcPr>
          <w:p w14:paraId="02AC000B"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Plan builds do not reflect participant need</w:t>
            </w:r>
          </w:p>
        </w:tc>
      </w:tr>
      <w:tr w:rsidR="008000E1" w:rsidRPr="00A62480" w14:paraId="48C8D151"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263E0122" w14:textId="77777777" w:rsidR="008000E1" w:rsidRPr="00A62480" w:rsidRDefault="008000E1">
            <w:pPr>
              <w:spacing w:beforeLines="60" w:before="144" w:afterLines="60" w:after="144"/>
              <w:ind w:left="0"/>
              <w:rPr>
                <w:rFonts w:asciiTheme="minorHAnsi" w:hAnsiTheme="minorHAnsi" w:cstheme="minorHAnsi"/>
                <w:sz w:val="20"/>
                <w:szCs w:val="20"/>
              </w:rPr>
            </w:pPr>
            <w:r w:rsidRPr="00477FEF">
              <w:rPr>
                <w:rFonts w:asciiTheme="minorHAnsi" w:hAnsiTheme="minorHAnsi" w:cstheme="minorHAnsi"/>
                <w:sz w:val="20"/>
                <w:szCs w:val="20"/>
              </w:rPr>
              <w:t>Factors impacting thin market locations</w:t>
            </w:r>
          </w:p>
        </w:tc>
        <w:tc>
          <w:tcPr>
            <w:tcW w:w="1568" w:type="pct"/>
          </w:tcPr>
          <w:p w14:paraId="33BE368A"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Support coordinators</w:t>
            </w:r>
          </w:p>
        </w:tc>
        <w:tc>
          <w:tcPr>
            <w:tcW w:w="2064" w:type="pct"/>
          </w:tcPr>
          <w:p w14:paraId="233F2706"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Knowledge and capacity of support coordinators; hours in plans</w:t>
            </w:r>
          </w:p>
        </w:tc>
      </w:tr>
      <w:tr w:rsidR="008000E1" w:rsidRPr="00A62480" w14:paraId="5C8AA137"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5B12FCD8" w14:textId="77777777" w:rsidR="008000E1" w:rsidRPr="00A62480" w:rsidRDefault="008000E1">
            <w:pPr>
              <w:spacing w:beforeLines="60" w:before="144" w:afterLines="60" w:after="144"/>
              <w:ind w:left="0"/>
              <w:rPr>
                <w:rFonts w:asciiTheme="minorHAnsi" w:hAnsiTheme="minorHAnsi" w:cstheme="minorHAnsi"/>
                <w:sz w:val="20"/>
                <w:szCs w:val="20"/>
              </w:rPr>
            </w:pPr>
            <w:r w:rsidRPr="00477FEF">
              <w:rPr>
                <w:rFonts w:asciiTheme="minorHAnsi" w:hAnsiTheme="minorHAnsi" w:cstheme="minorHAnsi"/>
                <w:sz w:val="20"/>
                <w:szCs w:val="20"/>
              </w:rPr>
              <w:t>Factors impacting thin market locations</w:t>
            </w:r>
          </w:p>
        </w:tc>
        <w:tc>
          <w:tcPr>
            <w:tcW w:w="1568" w:type="pct"/>
            <w:shd w:val="clear" w:color="auto" w:fill="F7EEF7"/>
          </w:tcPr>
          <w:p w14:paraId="027AE44E"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Workforce</w:t>
            </w:r>
          </w:p>
        </w:tc>
        <w:tc>
          <w:tcPr>
            <w:tcW w:w="2064" w:type="pct"/>
            <w:shd w:val="clear" w:color="auto" w:fill="F7EEF7"/>
          </w:tcPr>
          <w:p w14:paraId="3F954526"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Workforce shortages; high turnover of staff; cost impacts to attract staff</w:t>
            </w:r>
          </w:p>
        </w:tc>
      </w:tr>
      <w:tr w:rsidR="008000E1" w:rsidRPr="00A62480" w14:paraId="5A7C1429" w14:textId="77777777">
        <w:trPr>
          <w:cnfStyle w:val="000000100000" w:firstRow="0" w:lastRow="0" w:firstColumn="0" w:lastColumn="0" w:oddVBand="0" w:evenVBand="0" w:oddHBand="1" w:evenHBand="0" w:firstRowFirstColumn="0" w:firstRowLastColumn="0" w:lastRowFirstColumn="0" w:lastRowLastColumn="0"/>
        </w:trPr>
        <w:tc>
          <w:tcPr>
            <w:tcW w:w="1367" w:type="pct"/>
            <w:shd w:val="clear" w:color="auto" w:fill="auto"/>
          </w:tcPr>
          <w:p w14:paraId="4D57A6BA" w14:textId="77777777" w:rsidR="008000E1" w:rsidRPr="00A62480" w:rsidRDefault="008000E1">
            <w:pPr>
              <w:spacing w:beforeLines="60" w:before="144" w:afterLines="60" w:after="144"/>
              <w:ind w:left="0"/>
              <w:rPr>
                <w:rFonts w:asciiTheme="minorHAnsi" w:hAnsiTheme="minorHAnsi" w:cstheme="minorHAnsi"/>
                <w:sz w:val="20"/>
                <w:szCs w:val="20"/>
              </w:rPr>
            </w:pPr>
            <w:r w:rsidRPr="00A62480">
              <w:rPr>
                <w:rFonts w:asciiTheme="minorHAnsi" w:hAnsiTheme="minorHAnsi" w:cstheme="minorHAnsi"/>
                <w:sz w:val="20"/>
                <w:szCs w:val="20"/>
              </w:rPr>
              <w:t>Implementation</w:t>
            </w:r>
          </w:p>
        </w:tc>
        <w:tc>
          <w:tcPr>
            <w:tcW w:w="1568" w:type="pct"/>
            <w:shd w:val="clear" w:color="auto" w:fill="auto"/>
          </w:tcPr>
          <w:p w14:paraId="36A40F0E"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Choosing intervention/focus</w:t>
            </w:r>
            <w:r>
              <w:rPr>
                <w:rFonts w:asciiTheme="minorHAnsi" w:hAnsiTheme="minorHAnsi" w:cstheme="minorHAnsi"/>
                <w:sz w:val="20"/>
                <w:szCs w:val="20"/>
              </w:rPr>
              <w:t xml:space="preserve"> of Trial</w:t>
            </w:r>
          </w:p>
        </w:tc>
        <w:tc>
          <w:tcPr>
            <w:tcW w:w="2064" w:type="pct"/>
            <w:shd w:val="clear" w:color="auto" w:fill="auto"/>
          </w:tcPr>
          <w:p w14:paraId="4EE24BA0"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How were decisions made about focus, intervention, exit for Trials made?</w:t>
            </w:r>
          </w:p>
        </w:tc>
      </w:tr>
      <w:tr w:rsidR="008000E1" w:rsidRPr="00A62480" w14:paraId="57AEA141"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auto"/>
          </w:tcPr>
          <w:p w14:paraId="651E5D55" w14:textId="77777777" w:rsidR="008000E1" w:rsidRPr="00A62480" w:rsidRDefault="008000E1">
            <w:pPr>
              <w:spacing w:beforeLines="60" w:before="144" w:afterLines="60" w:after="144"/>
              <w:ind w:left="0"/>
              <w:rPr>
                <w:rFonts w:asciiTheme="minorHAnsi" w:hAnsiTheme="minorHAnsi" w:cstheme="minorHAnsi"/>
                <w:sz w:val="20"/>
                <w:szCs w:val="20"/>
              </w:rPr>
            </w:pPr>
            <w:r w:rsidRPr="00DD723F">
              <w:rPr>
                <w:rFonts w:asciiTheme="minorHAnsi" w:hAnsiTheme="minorHAnsi" w:cstheme="minorHAnsi"/>
                <w:sz w:val="20"/>
                <w:szCs w:val="20"/>
              </w:rPr>
              <w:t>Implementation</w:t>
            </w:r>
          </w:p>
        </w:tc>
        <w:tc>
          <w:tcPr>
            <w:tcW w:w="1568" w:type="pct"/>
            <w:shd w:val="clear" w:color="auto" w:fill="auto"/>
          </w:tcPr>
          <w:p w14:paraId="58EF6A0F"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Direct commissioning</w:t>
            </w:r>
          </w:p>
        </w:tc>
        <w:tc>
          <w:tcPr>
            <w:tcW w:w="2064" w:type="pct"/>
            <w:shd w:val="clear" w:color="auto" w:fill="auto"/>
          </w:tcPr>
          <w:p w14:paraId="73C495AA"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Descriptions of implementation of direct commissioning, e.g., time taken, recruitment, reporting</w:t>
            </w:r>
          </w:p>
        </w:tc>
      </w:tr>
      <w:tr w:rsidR="008000E1" w:rsidRPr="00A62480" w14:paraId="100CC6BC" w14:textId="77777777">
        <w:trPr>
          <w:cnfStyle w:val="000000100000" w:firstRow="0" w:lastRow="0" w:firstColumn="0" w:lastColumn="0" w:oddVBand="0" w:evenVBand="0" w:oddHBand="1" w:evenHBand="0" w:firstRowFirstColumn="0" w:firstRowLastColumn="0" w:lastRowFirstColumn="0" w:lastRowLastColumn="0"/>
        </w:trPr>
        <w:tc>
          <w:tcPr>
            <w:tcW w:w="1367" w:type="pct"/>
            <w:shd w:val="clear" w:color="auto" w:fill="auto"/>
          </w:tcPr>
          <w:p w14:paraId="616D1640" w14:textId="77777777" w:rsidR="008000E1" w:rsidRPr="00A62480" w:rsidRDefault="008000E1">
            <w:pPr>
              <w:spacing w:beforeLines="60" w:before="144" w:afterLines="60" w:after="144"/>
              <w:ind w:left="0"/>
              <w:rPr>
                <w:rFonts w:asciiTheme="minorHAnsi" w:hAnsiTheme="minorHAnsi" w:cstheme="minorHAnsi"/>
                <w:sz w:val="20"/>
                <w:szCs w:val="20"/>
              </w:rPr>
            </w:pPr>
            <w:r w:rsidRPr="00DD723F">
              <w:rPr>
                <w:rFonts w:asciiTheme="minorHAnsi" w:hAnsiTheme="minorHAnsi" w:cstheme="minorHAnsi"/>
                <w:sz w:val="20"/>
                <w:szCs w:val="20"/>
              </w:rPr>
              <w:lastRenderedPageBreak/>
              <w:t>Implementation</w:t>
            </w:r>
          </w:p>
        </w:tc>
        <w:tc>
          <w:tcPr>
            <w:tcW w:w="1568" w:type="pct"/>
            <w:shd w:val="clear" w:color="auto" w:fill="auto"/>
          </w:tcPr>
          <w:p w14:paraId="30FB74B6"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CFPs</w:t>
            </w:r>
          </w:p>
        </w:tc>
        <w:tc>
          <w:tcPr>
            <w:tcW w:w="2064" w:type="pct"/>
            <w:shd w:val="clear" w:color="auto" w:fill="auto"/>
          </w:tcPr>
          <w:p w14:paraId="39B92D54"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Descriptions of CFP implementation, e.g., tendering, reporting, service delivery etc.</w:t>
            </w:r>
          </w:p>
        </w:tc>
      </w:tr>
      <w:tr w:rsidR="008000E1" w:rsidRPr="00A62480" w14:paraId="58AADD13"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auto"/>
          </w:tcPr>
          <w:p w14:paraId="5530DE42" w14:textId="77777777" w:rsidR="008000E1" w:rsidRPr="00A62480" w:rsidRDefault="008000E1">
            <w:pPr>
              <w:spacing w:beforeLines="60" w:before="144" w:afterLines="60" w:after="144"/>
              <w:ind w:left="0"/>
              <w:rPr>
                <w:rFonts w:asciiTheme="minorHAnsi" w:hAnsiTheme="minorHAnsi" w:cstheme="minorHAnsi"/>
                <w:sz w:val="20"/>
                <w:szCs w:val="20"/>
              </w:rPr>
            </w:pPr>
            <w:r w:rsidRPr="00DD723F">
              <w:rPr>
                <w:rFonts w:asciiTheme="minorHAnsi" w:hAnsiTheme="minorHAnsi" w:cstheme="minorHAnsi"/>
                <w:sz w:val="20"/>
                <w:szCs w:val="20"/>
              </w:rPr>
              <w:t>Implementation</w:t>
            </w:r>
          </w:p>
        </w:tc>
        <w:tc>
          <w:tcPr>
            <w:tcW w:w="1568" w:type="pct"/>
            <w:shd w:val="clear" w:color="auto" w:fill="auto"/>
          </w:tcPr>
          <w:p w14:paraId="4ECB5A26"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Market facilitation</w:t>
            </w:r>
          </w:p>
        </w:tc>
        <w:tc>
          <w:tcPr>
            <w:tcW w:w="2064" w:type="pct"/>
            <w:shd w:val="clear" w:color="auto" w:fill="auto"/>
          </w:tcPr>
          <w:p w14:paraId="6A4E4B47"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Description of market facilitation activities</w:t>
            </w:r>
          </w:p>
        </w:tc>
      </w:tr>
      <w:tr w:rsidR="008000E1" w:rsidRPr="00A62480" w14:paraId="00E9C3CF"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2DF00C87" w14:textId="77777777" w:rsidR="008000E1" w:rsidRPr="00A62480" w:rsidRDefault="008000E1">
            <w:pPr>
              <w:spacing w:beforeLines="60" w:before="144" w:afterLines="60" w:after="144"/>
              <w:ind w:left="0"/>
              <w:rPr>
                <w:rFonts w:asciiTheme="minorHAnsi" w:hAnsiTheme="minorHAnsi" w:cstheme="minorHAnsi"/>
                <w:sz w:val="20"/>
                <w:szCs w:val="20"/>
              </w:rPr>
            </w:pPr>
            <w:r w:rsidRPr="00A62480">
              <w:rPr>
                <w:rFonts w:asciiTheme="minorHAnsi" w:hAnsiTheme="minorHAnsi" w:cstheme="minorHAnsi"/>
                <w:sz w:val="20"/>
                <w:szCs w:val="20"/>
              </w:rPr>
              <w:t>Barriers and enablers</w:t>
            </w:r>
          </w:p>
        </w:tc>
        <w:tc>
          <w:tcPr>
            <w:tcW w:w="1568" w:type="pct"/>
          </w:tcPr>
          <w:p w14:paraId="6D1D5CB9"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Administration burden</w:t>
            </w:r>
          </w:p>
        </w:tc>
        <w:tc>
          <w:tcPr>
            <w:tcW w:w="2064" w:type="pct"/>
          </w:tcPr>
          <w:p w14:paraId="1A7B2291"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Admin burden; reporting requirements; logistics to arrange</w:t>
            </w:r>
          </w:p>
        </w:tc>
      </w:tr>
      <w:tr w:rsidR="008000E1" w:rsidRPr="00A62480" w14:paraId="3060D840"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23099958" w14:textId="77777777" w:rsidR="008000E1" w:rsidRPr="00A62480" w:rsidRDefault="008000E1">
            <w:pPr>
              <w:spacing w:beforeLines="60" w:before="144" w:afterLines="60" w:after="144"/>
              <w:ind w:left="0"/>
              <w:rPr>
                <w:rFonts w:asciiTheme="minorHAnsi" w:hAnsiTheme="minorHAnsi" w:cstheme="minorHAnsi"/>
                <w:sz w:val="20"/>
                <w:szCs w:val="20"/>
              </w:rPr>
            </w:pPr>
            <w:r w:rsidRPr="00AA3AA1">
              <w:rPr>
                <w:rFonts w:asciiTheme="minorHAnsi" w:hAnsiTheme="minorHAnsi" w:cstheme="minorHAnsi"/>
                <w:sz w:val="20"/>
                <w:szCs w:val="20"/>
              </w:rPr>
              <w:t>Barriers and enablers</w:t>
            </w:r>
          </w:p>
        </w:tc>
        <w:tc>
          <w:tcPr>
            <w:tcW w:w="1568" w:type="pct"/>
            <w:shd w:val="clear" w:color="auto" w:fill="F7EEF7"/>
          </w:tcPr>
          <w:p w14:paraId="424C80D6"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Ability to engage market</w:t>
            </w:r>
          </w:p>
        </w:tc>
        <w:tc>
          <w:tcPr>
            <w:tcW w:w="2064" w:type="pct"/>
            <w:shd w:val="clear" w:color="auto" w:fill="F7EEF7"/>
          </w:tcPr>
          <w:p w14:paraId="0BF77C1B"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Providers or support coordinators difficult to engage in market activities; provider-level barriers to engage in Trial activities</w:t>
            </w:r>
          </w:p>
        </w:tc>
      </w:tr>
      <w:tr w:rsidR="008000E1" w:rsidRPr="00A62480" w14:paraId="71762F21"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0E54CAD2" w14:textId="77777777" w:rsidR="008000E1" w:rsidRPr="00A62480" w:rsidRDefault="008000E1">
            <w:pPr>
              <w:spacing w:beforeLines="60" w:before="144" w:afterLines="60" w:after="144"/>
              <w:ind w:left="0"/>
              <w:rPr>
                <w:rFonts w:asciiTheme="minorHAnsi" w:hAnsiTheme="minorHAnsi" w:cstheme="minorHAnsi"/>
                <w:sz w:val="20"/>
                <w:szCs w:val="20"/>
              </w:rPr>
            </w:pPr>
            <w:r w:rsidRPr="00AA3AA1">
              <w:rPr>
                <w:rFonts w:asciiTheme="minorHAnsi" w:hAnsiTheme="minorHAnsi" w:cstheme="minorHAnsi"/>
                <w:sz w:val="20"/>
                <w:szCs w:val="20"/>
              </w:rPr>
              <w:t>Barriers and enablers</w:t>
            </w:r>
          </w:p>
        </w:tc>
        <w:tc>
          <w:tcPr>
            <w:tcW w:w="1568" w:type="pct"/>
          </w:tcPr>
          <w:p w14:paraId="65F59D46"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Engaging participants</w:t>
            </w:r>
          </w:p>
        </w:tc>
        <w:tc>
          <w:tcPr>
            <w:tcW w:w="2064" w:type="pct"/>
          </w:tcPr>
          <w:p w14:paraId="1A9F6F1B"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Difficulty in recruiting and/or engaging participants in Trial</w:t>
            </w:r>
          </w:p>
        </w:tc>
      </w:tr>
      <w:tr w:rsidR="008000E1" w:rsidRPr="00A62480" w14:paraId="6EDEEA40"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5DFAFA66" w14:textId="77777777" w:rsidR="008000E1" w:rsidRPr="00A62480" w:rsidRDefault="008000E1">
            <w:pPr>
              <w:spacing w:beforeLines="60" w:before="144" w:afterLines="60" w:after="144"/>
              <w:ind w:left="0"/>
              <w:rPr>
                <w:rFonts w:asciiTheme="minorHAnsi" w:hAnsiTheme="minorHAnsi" w:cstheme="minorHAnsi"/>
                <w:sz w:val="20"/>
                <w:szCs w:val="20"/>
              </w:rPr>
            </w:pPr>
            <w:r w:rsidRPr="00AA3AA1">
              <w:rPr>
                <w:rFonts w:asciiTheme="minorHAnsi" w:hAnsiTheme="minorHAnsi" w:cstheme="minorHAnsi"/>
                <w:sz w:val="20"/>
                <w:szCs w:val="20"/>
              </w:rPr>
              <w:t>Barriers and enablers</w:t>
            </w:r>
          </w:p>
        </w:tc>
        <w:tc>
          <w:tcPr>
            <w:tcW w:w="1568" w:type="pct"/>
            <w:shd w:val="clear" w:color="auto" w:fill="F7EEF7"/>
          </w:tcPr>
          <w:p w14:paraId="00650D2D"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Information</w:t>
            </w:r>
          </w:p>
        </w:tc>
        <w:tc>
          <w:tcPr>
            <w:tcW w:w="2064" w:type="pct"/>
            <w:shd w:val="clear" w:color="auto" w:fill="F7EEF7"/>
          </w:tcPr>
          <w:p w14:paraId="3FB71CF6"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Lack of information in documentation (quotes, referrals)</w:t>
            </w:r>
          </w:p>
        </w:tc>
      </w:tr>
      <w:tr w:rsidR="008000E1" w:rsidRPr="00A62480" w14:paraId="33243B88"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78CD7C27" w14:textId="77777777" w:rsidR="008000E1" w:rsidRPr="00A62480" w:rsidRDefault="008000E1">
            <w:pPr>
              <w:spacing w:beforeLines="60" w:before="144" w:afterLines="60" w:after="144"/>
              <w:ind w:left="0"/>
              <w:rPr>
                <w:rFonts w:asciiTheme="minorHAnsi" w:hAnsiTheme="minorHAnsi" w:cstheme="minorHAnsi"/>
                <w:sz w:val="20"/>
                <w:szCs w:val="20"/>
              </w:rPr>
            </w:pPr>
            <w:r w:rsidRPr="00AA3AA1">
              <w:rPr>
                <w:rFonts w:asciiTheme="minorHAnsi" w:hAnsiTheme="minorHAnsi" w:cstheme="minorHAnsi"/>
                <w:sz w:val="20"/>
                <w:szCs w:val="20"/>
              </w:rPr>
              <w:t>Barriers and enablers</w:t>
            </w:r>
          </w:p>
        </w:tc>
        <w:tc>
          <w:tcPr>
            <w:tcW w:w="1568" w:type="pct"/>
          </w:tcPr>
          <w:p w14:paraId="7E20DB60"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NDIA support</w:t>
            </w:r>
          </w:p>
        </w:tc>
        <w:tc>
          <w:tcPr>
            <w:tcW w:w="2064" w:type="pct"/>
          </w:tcPr>
          <w:p w14:paraId="4D8CF1C7"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Value</w:t>
            </w:r>
            <w:r>
              <w:rPr>
                <w:rFonts w:asciiTheme="minorHAnsi" w:hAnsiTheme="minorHAnsi" w:cstheme="minorHAnsi"/>
                <w:sz w:val="20"/>
                <w:szCs w:val="20"/>
              </w:rPr>
              <w:t xml:space="preserve"> of</w:t>
            </w:r>
            <w:r w:rsidRPr="00A62480">
              <w:rPr>
                <w:rFonts w:asciiTheme="minorHAnsi" w:hAnsiTheme="minorHAnsi" w:cstheme="minorHAnsi"/>
                <w:sz w:val="20"/>
                <w:szCs w:val="20"/>
              </w:rPr>
              <w:t xml:space="preserve"> connection with Trial Leads through Trial activities</w:t>
            </w:r>
          </w:p>
        </w:tc>
      </w:tr>
      <w:tr w:rsidR="008000E1" w:rsidRPr="00A62480" w14:paraId="2D3E8D44" w14:textId="77777777">
        <w:trPr>
          <w:cnfStyle w:val="000000010000" w:firstRow="0" w:lastRow="0" w:firstColumn="0" w:lastColumn="0" w:oddVBand="0" w:evenVBand="0" w:oddHBand="0" w:evenHBand="1" w:firstRowFirstColumn="0" w:firstRowLastColumn="0" w:lastRowFirstColumn="0" w:lastRowLastColumn="0"/>
        </w:trPr>
        <w:tc>
          <w:tcPr>
            <w:tcW w:w="1367" w:type="pct"/>
            <w:shd w:val="clear" w:color="auto" w:fill="F7EEF7"/>
          </w:tcPr>
          <w:p w14:paraId="100C9AE3" w14:textId="77777777" w:rsidR="008000E1" w:rsidRPr="00A62480" w:rsidRDefault="008000E1">
            <w:pPr>
              <w:spacing w:beforeLines="60" w:before="144" w:afterLines="60" w:after="144"/>
              <w:ind w:left="0"/>
              <w:rPr>
                <w:rFonts w:asciiTheme="minorHAnsi" w:hAnsiTheme="minorHAnsi" w:cstheme="minorHAnsi"/>
                <w:sz w:val="20"/>
                <w:szCs w:val="20"/>
              </w:rPr>
            </w:pPr>
            <w:r w:rsidRPr="00AA3AA1">
              <w:rPr>
                <w:rFonts w:asciiTheme="minorHAnsi" w:hAnsiTheme="minorHAnsi" w:cstheme="minorHAnsi"/>
                <w:sz w:val="20"/>
                <w:szCs w:val="20"/>
              </w:rPr>
              <w:t>Barriers and enablers</w:t>
            </w:r>
          </w:p>
        </w:tc>
        <w:tc>
          <w:tcPr>
            <w:tcW w:w="1568" w:type="pct"/>
            <w:shd w:val="clear" w:color="auto" w:fill="F7EEF7"/>
          </w:tcPr>
          <w:p w14:paraId="4E9EBF12"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On ground support</w:t>
            </w:r>
          </w:p>
        </w:tc>
        <w:tc>
          <w:tcPr>
            <w:tcW w:w="2064" w:type="pct"/>
            <w:shd w:val="clear" w:color="auto" w:fill="F7EEF7"/>
          </w:tcPr>
          <w:p w14:paraId="3B14EFC1"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Support on the ground for CFP assessments</w:t>
            </w:r>
          </w:p>
        </w:tc>
      </w:tr>
      <w:tr w:rsidR="008000E1" w:rsidRPr="00A62480" w14:paraId="2E761C57" w14:textId="77777777">
        <w:trPr>
          <w:cnfStyle w:val="000000100000" w:firstRow="0" w:lastRow="0" w:firstColumn="0" w:lastColumn="0" w:oddVBand="0" w:evenVBand="0" w:oddHBand="1" w:evenHBand="0" w:firstRowFirstColumn="0" w:firstRowLastColumn="0" w:lastRowFirstColumn="0" w:lastRowLastColumn="0"/>
        </w:trPr>
        <w:tc>
          <w:tcPr>
            <w:tcW w:w="1367" w:type="pct"/>
          </w:tcPr>
          <w:p w14:paraId="53BE2E7D" w14:textId="77777777" w:rsidR="008000E1" w:rsidRPr="00A62480" w:rsidRDefault="008000E1">
            <w:pPr>
              <w:spacing w:beforeLines="60" w:before="144" w:afterLines="60" w:after="144"/>
              <w:ind w:left="0"/>
              <w:rPr>
                <w:rFonts w:asciiTheme="minorHAnsi" w:hAnsiTheme="minorHAnsi" w:cstheme="minorHAnsi"/>
                <w:sz w:val="20"/>
                <w:szCs w:val="20"/>
              </w:rPr>
            </w:pPr>
            <w:r w:rsidRPr="00AA3AA1">
              <w:rPr>
                <w:rFonts w:asciiTheme="minorHAnsi" w:hAnsiTheme="minorHAnsi" w:cstheme="minorHAnsi"/>
                <w:sz w:val="20"/>
                <w:szCs w:val="20"/>
              </w:rPr>
              <w:t>Barriers and enablers</w:t>
            </w:r>
          </w:p>
        </w:tc>
        <w:tc>
          <w:tcPr>
            <w:tcW w:w="1568" w:type="pct"/>
          </w:tcPr>
          <w:p w14:paraId="420A4182" w14:textId="77777777" w:rsidR="008000E1" w:rsidRPr="00A62480" w:rsidRDefault="008000E1">
            <w:pPr>
              <w:spacing w:beforeLines="60" w:before="144" w:afterLines="60" w:after="144"/>
              <w:ind w:left="34"/>
              <w:rPr>
                <w:rFonts w:asciiTheme="minorHAnsi" w:hAnsiTheme="minorHAnsi" w:cstheme="minorHAnsi"/>
                <w:sz w:val="20"/>
                <w:szCs w:val="20"/>
              </w:rPr>
            </w:pPr>
            <w:r w:rsidRPr="00A62480">
              <w:rPr>
                <w:rFonts w:asciiTheme="minorHAnsi" w:hAnsiTheme="minorHAnsi" w:cstheme="minorHAnsi"/>
                <w:sz w:val="20"/>
                <w:szCs w:val="20"/>
              </w:rPr>
              <w:t>Support coordinators</w:t>
            </w:r>
          </w:p>
        </w:tc>
        <w:tc>
          <w:tcPr>
            <w:tcW w:w="2064" w:type="pct"/>
          </w:tcPr>
          <w:p w14:paraId="1E7FF8BD" w14:textId="77777777" w:rsidR="008000E1" w:rsidRPr="00A62480" w:rsidRDefault="008000E1">
            <w:pPr>
              <w:spacing w:beforeLines="60" w:before="144" w:afterLines="60" w:after="144"/>
              <w:ind w:left="0" w:hanging="6"/>
              <w:rPr>
                <w:rFonts w:asciiTheme="minorHAnsi" w:hAnsiTheme="minorHAnsi" w:cstheme="minorHAnsi"/>
                <w:sz w:val="20"/>
                <w:szCs w:val="20"/>
              </w:rPr>
            </w:pPr>
            <w:r w:rsidRPr="00A62480">
              <w:rPr>
                <w:rFonts w:asciiTheme="minorHAnsi" w:hAnsiTheme="minorHAnsi" w:cstheme="minorHAnsi"/>
                <w:sz w:val="20"/>
                <w:szCs w:val="20"/>
              </w:rPr>
              <w:t>Working together; liaising with service providers</w:t>
            </w:r>
          </w:p>
        </w:tc>
      </w:tr>
    </w:tbl>
    <w:p w14:paraId="0E3C1289" w14:textId="77777777" w:rsidR="00DD4337" w:rsidRPr="00DD4337" w:rsidRDefault="00DD4337" w:rsidP="008000E1"/>
    <w:sectPr w:rsidR="00DD4337" w:rsidRPr="00DD4337" w:rsidSect="00AB59C0">
      <w:footerReference w:type="default" r:id="rId50"/>
      <w:pgSz w:w="11906" w:h="16838"/>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4D17E" w14:textId="77777777" w:rsidR="00BE7409" w:rsidRDefault="00BE7409" w:rsidP="007219F1">
      <w:pPr>
        <w:spacing w:after="0" w:line="240" w:lineRule="auto"/>
      </w:pPr>
      <w:r>
        <w:separator/>
      </w:r>
    </w:p>
    <w:p w14:paraId="3BC5B87F" w14:textId="77777777" w:rsidR="00BE7409" w:rsidRDefault="00BE7409"/>
    <w:p w14:paraId="2B43C54B" w14:textId="77777777" w:rsidR="00BE7409" w:rsidRDefault="00BE7409"/>
    <w:p w14:paraId="61F489F6" w14:textId="77777777" w:rsidR="00BE7409" w:rsidRDefault="00BE7409"/>
    <w:p w14:paraId="7D5D99A6" w14:textId="77777777" w:rsidR="00BE7409" w:rsidRDefault="00BE7409"/>
    <w:p w14:paraId="0ADC7C1B" w14:textId="77777777" w:rsidR="00BE7409" w:rsidRDefault="00BE7409"/>
  </w:endnote>
  <w:endnote w:type="continuationSeparator" w:id="0">
    <w:p w14:paraId="3DE31032" w14:textId="77777777" w:rsidR="00BE7409" w:rsidRDefault="00BE7409" w:rsidP="007219F1">
      <w:pPr>
        <w:spacing w:after="0" w:line="240" w:lineRule="auto"/>
      </w:pPr>
      <w:r>
        <w:continuationSeparator/>
      </w:r>
    </w:p>
    <w:p w14:paraId="4AF112DF" w14:textId="77777777" w:rsidR="00BE7409" w:rsidRDefault="00BE7409"/>
    <w:p w14:paraId="1D6DE482" w14:textId="77777777" w:rsidR="00BE7409" w:rsidRDefault="00BE7409"/>
    <w:p w14:paraId="1BE40D7F" w14:textId="77777777" w:rsidR="00BE7409" w:rsidRDefault="00BE7409"/>
    <w:p w14:paraId="16E67271" w14:textId="77777777" w:rsidR="00BE7409" w:rsidRDefault="00BE7409"/>
    <w:p w14:paraId="21C12076" w14:textId="77777777" w:rsidR="00BE7409" w:rsidRDefault="00BE7409"/>
  </w:endnote>
  <w:endnote w:type="continuationNotice" w:id="1">
    <w:p w14:paraId="6D8A14C9" w14:textId="77777777" w:rsidR="00BE7409" w:rsidRDefault="00BE74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D505D" w14:textId="77777777" w:rsidR="00082923" w:rsidRDefault="00082923">
    <w:pPr>
      <w:pStyle w:val="Footer"/>
    </w:pPr>
  </w:p>
  <w:p w14:paraId="64E0D739" w14:textId="77777777" w:rsidR="00082923" w:rsidRDefault="00082923"/>
  <w:p w14:paraId="20ADA4F0" w14:textId="77777777" w:rsidR="00082923" w:rsidRDefault="000829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753C" w14:textId="77777777" w:rsidR="00082923" w:rsidRDefault="00082923" w:rsidP="00950F57">
    <w:pPr>
      <w:pStyle w:val="Footer"/>
      <w:spacing w:after="480"/>
      <w:rPr>
        <w:sz w:val="22"/>
        <w:szCs w:val="22"/>
      </w:rPr>
    </w:pPr>
    <w:r w:rsidRPr="00FA334F">
      <w:rPr>
        <w:b/>
        <w:bCs/>
        <w:sz w:val="22"/>
        <w:szCs w:val="22"/>
      </w:rPr>
      <w:t>ndis.gov.au</w:t>
    </w:r>
    <w:r>
      <w:rPr>
        <w:sz w:val="22"/>
        <w:szCs w:val="22"/>
      </w:rPr>
      <w:tab/>
    </w:r>
    <w:r w:rsidRPr="00FA334F">
      <w:rPr>
        <w:sz w:val="22"/>
        <w:szCs w:val="22"/>
      </w:rPr>
      <w:t>XX Month 20XX | Paper Title</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noProof/>
        <w:sz w:val="22"/>
        <w:szCs w:val="22"/>
      </w:rPr>
      <w:t>5</w:t>
    </w:r>
    <w:r w:rsidRPr="00FA334F">
      <w:rPr>
        <w:sz w:val="22"/>
        <w:szCs w:val="22"/>
      </w:rPr>
      <w:fldChar w:fldCharType="end"/>
    </w:r>
  </w:p>
  <w:p w14:paraId="5F4E9132" w14:textId="77777777" w:rsidR="00082923" w:rsidRPr="00C27827" w:rsidRDefault="00082923">
    <w:pPr>
      <w:jc w:val="center"/>
      <w:rPr>
        <w:b/>
        <w:color w:val="FF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9D" w14:textId="77777777" w:rsidR="008D4B76" w:rsidRDefault="008D4B76">
    <w:pPr>
      <w:pStyle w:val="Footer"/>
    </w:pPr>
  </w:p>
  <w:p w14:paraId="20A70E9E" w14:textId="77777777" w:rsidR="00AA6762" w:rsidRDefault="00AA6762"/>
  <w:p w14:paraId="20A70E9F" w14:textId="77777777" w:rsidR="00AA6762" w:rsidRDefault="00AA676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A1" w14:textId="5CC8CE26" w:rsidR="00AB4CC5" w:rsidRPr="00A3395C" w:rsidRDefault="00323BB7" w:rsidP="00A3395C">
    <w:pPr>
      <w:pStyle w:val="Footer"/>
      <w:spacing w:after="480"/>
      <w:rPr>
        <w:sz w:val="22"/>
        <w:szCs w:val="22"/>
      </w:rPr>
    </w:pPr>
    <w:r w:rsidRPr="00FA334F">
      <w:rPr>
        <w:b/>
        <w:bCs/>
        <w:sz w:val="22"/>
        <w:szCs w:val="22"/>
      </w:rPr>
      <w:t>ndis.gov.a</w:t>
    </w:r>
    <w:r w:rsidR="008966D7">
      <w:rPr>
        <w:b/>
        <w:bCs/>
        <w:sz w:val="22"/>
        <w:szCs w:val="22"/>
      </w:rPr>
      <w:t>u</w:t>
    </w:r>
    <w:r w:rsidR="00020C7A">
      <w:rPr>
        <w:sz w:val="22"/>
        <w:szCs w:val="22"/>
      </w:rPr>
      <w:t xml:space="preserve">             </w:t>
    </w:r>
    <w:sdt>
      <w:sdtPr>
        <w:rPr>
          <w:sz w:val="22"/>
          <w:szCs w:val="22"/>
        </w:rPr>
        <w:alias w:val="Title"/>
        <w:tag w:val=""/>
        <w:id w:val="1837803343"/>
        <w:placeholder>
          <w:docPart w:val="0A9CFCDDB8C04B72AC9EDE773C33D8A5"/>
        </w:placeholder>
        <w:dataBinding w:prefixMappings="xmlns:ns0='http://purl.org/dc/elements/1.1/' xmlns:ns1='http://schemas.openxmlformats.org/package/2006/metadata/core-properties' " w:xpath="/ns1:coreProperties[1]/ns0:title[1]" w:storeItemID="{6C3C8BC8-F283-45AE-878A-BAB7291924A1}"/>
        <w:text/>
      </w:sdtPr>
      <w:sdtContent>
        <w:r w:rsidR="0095764C">
          <w:rPr>
            <w:sz w:val="22"/>
            <w:szCs w:val="22"/>
          </w:rPr>
          <w:t>August</w:t>
        </w:r>
        <w:r w:rsidR="00492AB5" w:rsidRPr="00146CD3">
          <w:rPr>
            <w:sz w:val="22"/>
            <w:szCs w:val="22"/>
          </w:rPr>
          <w:t xml:space="preserve"> 2023   </w:t>
        </w:r>
        <w:r w:rsidR="00BA0264" w:rsidRPr="00146CD3">
          <w:rPr>
            <w:sz w:val="22"/>
            <w:szCs w:val="22"/>
          </w:rPr>
          <w:t>|</w:t>
        </w:r>
        <w:r w:rsidR="00492AB5" w:rsidRPr="00146CD3">
          <w:rPr>
            <w:sz w:val="22"/>
            <w:szCs w:val="22"/>
          </w:rPr>
          <w:t xml:space="preserve">  Thin Market Evaluation Report</w:t>
        </w:r>
      </w:sdtContent>
    </w:sdt>
    <w:r w:rsidR="0023603F">
      <w:rPr>
        <w:sz w:val="22"/>
        <w:szCs w:val="2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A4" w14:textId="5BF3FF04" w:rsidR="007219F1" w:rsidRPr="00081223" w:rsidRDefault="007219F1" w:rsidP="00AB4CC5">
    <w:pPr>
      <w:jc w:val="center"/>
      <w:rPr>
        <w:b/>
        <w:color w:val="C00000"/>
        <w:sz w:val="24"/>
      </w:rPr>
    </w:pPr>
  </w:p>
  <w:p w14:paraId="20A70EA5" w14:textId="77777777" w:rsidR="00AB4CC5" w:rsidRPr="00AB4CC5" w:rsidRDefault="00AB4CC5" w:rsidP="00AB4CC5">
    <w:pPr>
      <w:jc w:val="center"/>
      <w:rPr>
        <w:b/>
        <w:color w:val="FF0000"/>
        <w:sz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38088"/>
      <w:docPartObj>
        <w:docPartGallery w:val="Page Numbers (Bottom of Page)"/>
        <w:docPartUnique/>
      </w:docPartObj>
    </w:sdtPr>
    <w:sdtEndPr>
      <w:rPr>
        <w:noProof/>
      </w:rPr>
    </w:sdtEndPr>
    <w:sdtContent>
      <w:p w14:paraId="2012934B" w14:textId="2CDBD695" w:rsidR="0038674A" w:rsidRPr="0038674A" w:rsidRDefault="0038674A" w:rsidP="0038674A">
        <w:pPr>
          <w:pStyle w:val="Footer"/>
          <w:tabs>
            <w:tab w:val="clear" w:pos="9026"/>
          </w:tabs>
          <w:spacing w:after="480"/>
          <w:rPr>
            <w:sz w:val="22"/>
            <w:szCs w:val="22"/>
          </w:rPr>
        </w:pPr>
        <w:r w:rsidRPr="00FA334F">
          <w:rPr>
            <w:b/>
            <w:bCs/>
            <w:sz w:val="22"/>
            <w:szCs w:val="22"/>
          </w:rPr>
          <w:t>ndis.gov.au</w:t>
        </w:r>
        <w:r w:rsidR="00146CD3">
          <w:rPr>
            <w:sz w:val="22"/>
            <w:szCs w:val="22"/>
          </w:rPr>
          <w:t xml:space="preserve">    </w:t>
        </w:r>
        <w:r w:rsidR="0095764C">
          <w:rPr>
            <w:sz w:val="22"/>
            <w:szCs w:val="22"/>
          </w:rPr>
          <w:t>August</w:t>
        </w:r>
        <w:r w:rsidR="00146CD3">
          <w:rPr>
            <w:sz w:val="22"/>
            <w:szCs w:val="22"/>
          </w:rPr>
          <w:t xml:space="preserve"> </w:t>
        </w:r>
        <w:r w:rsidR="00B30ADB">
          <w:rPr>
            <w:sz w:val="22"/>
            <w:szCs w:val="22"/>
          </w:rPr>
          <w:t xml:space="preserve">2023 </w:t>
        </w:r>
        <w:r w:rsidR="00057C15">
          <w:rPr>
            <w:sz w:val="22"/>
            <w:szCs w:val="22"/>
          </w:rPr>
          <w:t xml:space="preserve"> </w:t>
        </w:r>
        <w:r w:rsidR="00057C15" w:rsidRPr="003E0921">
          <w:t xml:space="preserve">| </w:t>
        </w:r>
        <w:r>
          <w:rPr>
            <w:sz w:val="22"/>
            <w:szCs w:val="22"/>
          </w:rPr>
          <w:t>Thin Market Evaluat</w:t>
        </w:r>
        <w:r w:rsidRPr="00416007">
          <w:rPr>
            <w:sz w:val="22"/>
            <w:szCs w:val="22"/>
          </w:rPr>
          <w:t>io</w:t>
        </w:r>
        <w:r>
          <w:rPr>
            <w:sz w:val="22"/>
            <w:szCs w:val="22"/>
          </w:rPr>
          <w:t>n Final Report</w:t>
        </w:r>
        <w:r>
          <w:rPr>
            <w:sz w:val="22"/>
            <w:szCs w:val="22"/>
          </w:rPr>
          <w:tab/>
        </w:r>
        <w:sdt>
          <w:sdtPr>
            <w:rPr>
              <w:color w:val="2B579A"/>
              <w:sz w:val="22"/>
              <w:szCs w:val="22"/>
              <w:shd w:val="clear" w:color="auto" w:fill="E6E6E6"/>
            </w:rPr>
            <w:id w:val="-1091312495"/>
            <w:docPartObj>
              <w:docPartGallery w:val="Page Numbers (Bottom of Page)"/>
              <w:docPartUnique/>
            </w:docPartObj>
          </w:sdtPr>
          <w:sdtContent>
            <w:r w:rsidRPr="00584C36">
              <w:rPr>
                <w:sz w:val="22"/>
                <w:szCs w:val="22"/>
              </w:rPr>
              <w:tab/>
            </w:r>
            <w:r w:rsidRPr="00584C36">
              <w:rPr>
                <w:sz w:val="22"/>
                <w:szCs w:val="22"/>
              </w:rPr>
              <w:tab/>
            </w:r>
            <w:r w:rsidRPr="00584C36">
              <w:rPr>
                <w:sz w:val="22"/>
                <w:szCs w:val="22"/>
              </w:rPr>
              <w:tab/>
            </w:r>
          </w:sdtContent>
        </w:sdt>
        <w:r>
          <w:fldChar w:fldCharType="begin"/>
        </w:r>
        <w:r>
          <w:instrText xml:space="preserve"> PAGE   \* MERGEFORMAT </w:instrText>
        </w:r>
        <w:r>
          <w:fldChar w:fldCharType="separate"/>
        </w:r>
        <w:r>
          <w:rPr>
            <w:noProof/>
          </w:rPr>
          <w:t>2</w:t>
        </w:r>
        <w:r>
          <w:rPr>
            <w:noProof/>
          </w:rPr>
          <w:fldChar w:fldCharType="end"/>
        </w:r>
      </w:p>
    </w:sdtContent>
  </w:sdt>
  <w:p w14:paraId="32AEACC1" w14:textId="16038503" w:rsidR="00FD3674" w:rsidRPr="00081223" w:rsidRDefault="00FD3674" w:rsidP="00AB4CC5">
    <w:pPr>
      <w:jc w:val="center"/>
      <w:rPr>
        <w:b/>
        <w:color w:val="C00000"/>
        <w:sz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4C08" w14:textId="376B9B1D" w:rsidR="00FD3674" w:rsidRDefault="00FD3674" w:rsidP="00C0456A">
    <w:pPr>
      <w:pStyle w:val="Footer"/>
      <w:tabs>
        <w:tab w:val="clear" w:pos="9026"/>
      </w:tabs>
      <w:spacing w:after="480"/>
      <w:rPr>
        <w:sz w:val="22"/>
        <w:szCs w:val="22"/>
      </w:rPr>
    </w:pPr>
    <w:r w:rsidRPr="00FA334F">
      <w:rPr>
        <w:b/>
        <w:bCs/>
        <w:sz w:val="22"/>
        <w:szCs w:val="22"/>
      </w:rPr>
      <w:t>ndis.gov.au</w:t>
    </w:r>
    <w:r w:rsidR="00174AD3">
      <w:rPr>
        <w:sz w:val="22"/>
        <w:szCs w:val="22"/>
      </w:rPr>
      <w:t xml:space="preserve">   </w:t>
    </w:r>
    <w:r w:rsidR="00CC4D19">
      <w:rPr>
        <w:sz w:val="22"/>
        <w:szCs w:val="22"/>
      </w:rPr>
      <w:t>August</w:t>
    </w:r>
    <w:r w:rsidR="000A0088">
      <w:rPr>
        <w:sz w:val="22"/>
        <w:szCs w:val="22"/>
      </w:rPr>
      <w:t xml:space="preserve"> 2023  </w:t>
    </w:r>
    <w:r w:rsidR="00174AD3">
      <w:rPr>
        <w:sz w:val="22"/>
        <w:szCs w:val="22"/>
      </w:rPr>
      <w:t xml:space="preserve">|  </w:t>
    </w:r>
    <w:r>
      <w:rPr>
        <w:sz w:val="22"/>
        <w:szCs w:val="22"/>
      </w:rPr>
      <w:t>Thin Market Evaluation Final Report</w:t>
    </w:r>
    <w:r>
      <w:rPr>
        <w:sz w:val="22"/>
        <w:szCs w:val="22"/>
      </w:rPr>
      <w:tab/>
    </w:r>
    <w:sdt>
      <w:sdtPr>
        <w:rPr>
          <w:color w:val="2B579A"/>
          <w:sz w:val="22"/>
          <w:szCs w:val="22"/>
          <w:shd w:val="clear" w:color="auto" w:fill="E6E6E6"/>
        </w:rPr>
        <w:id w:val="660193893"/>
        <w:docPartObj>
          <w:docPartGallery w:val="Page Numbers (Bottom of Page)"/>
          <w:docPartUnique/>
        </w:docPartObj>
      </w:sdtPr>
      <w:sdtEndPr>
        <w:rPr>
          <w:color w:val="6B2976"/>
          <w:shd w:val="clear" w:color="auto" w:fill="FEFFFF" w:themeFill="background1"/>
        </w:rPr>
      </w:sdtEndPr>
      <w:sdtContent>
        <w:r>
          <w:rPr>
            <w:sz w:val="22"/>
            <w:szCs w:val="22"/>
          </w:rPr>
          <w:tab/>
        </w:r>
        <w:r>
          <w:rPr>
            <w:sz w:val="22"/>
            <w:szCs w:val="22"/>
          </w:rPr>
          <w:tab/>
        </w:r>
        <w:r>
          <w:rPr>
            <w:sz w:val="22"/>
            <w:szCs w:val="22"/>
          </w:rPr>
          <w:tab/>
        </w:r>
        <w:r w:rsidRPr="0007536A">
          <w:rPr>
            <w:sz w:val="22"/>
            <w:szCs w:val="22"/>
            <w:shd w:val="clear" w:color="auto" w:fill="FEFFFF" w:themeFill="background1"/>
          </w:rPr>
          <w:fldChar w:fldCharType="begin"/>
        </w:r>
        <w:r w:rsidRPr="0007536A">
          <w:rPr>
            <w:sz w:val="22"/>
            <w:szCs w:val="22"/>
            <w:shd w:val="clear" w:color="auto" w:fill="FEFFFF" w:themeFill="background1"/>
          </w:rPr>
          <w:instrText xml:space="preserve"> PAGE   \* MERGEFORMAT </w:instrText>
        </w:r>
        <w:r w:rsidRPr="0007536A">
          <w:rPr>
            <w:sz w:val="22"/>
            <w:szCs w:val="22"/>
            <w:shd w:val="clear" w:color="auto" w:fill="FEFFFF" w:themeFill="background1"/>
          </w:rPr>
          <w:fldChar w:fldCharType="separate"/>
        </w:r>
        <w:r w:rsidRPr="0007536A">
          <w:rPr>
            <w:noProof/>
            <w:sz w:val="22"/>
            <w:szCs w:val="22"/>
            <w:shd w:val="clear" w:color="auto" w:fill="FEFFFF" w:themeFill="background1"/>
          </w:rPr>
          <w:t>2</w:t>
        </w:r>
        <w:r w:rsidRPr="0007536A">
          <w:rPr>
            <w:sz w:val="22"/>
            <w:szCs w:val="22"/>
            <w:shd w:val="clear" w:color="auto" w:fill="FEFFFF" w:themeFill="background1"/>
          </w:rPr>
          <w:fldChar w:fldCharType="end"/>
        </w:r>
      </w:sdtContent>
    </w:sdt>
  </w:p>
  <w:p w14:paraId="4F7A7964" w14:textId="6CFC22FE" w:rsidR="00FD3674" w:rsidRPr="00081223" w:rsidRDefault="00FD3674" w:rsidP="00AB4CC5">
    <w:pPr>
      <w:jc w:val="center"/>
      <w:rPr>
        <w:b/>
        <w:color w:val="C00000"/>
        <w:sz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858D" w14:textId="250911B7" w:rsidR="00DC0FB3" w:rsidRDefault="00DC0FB3" w:rsidP="00DC0FB3">
    <w:pPr>
      <w:pStyle w:val="Footer"/>
      <w:tabs>
        <w:tab w:val="clear" w:pos="4513"/>
        <w:tab w:val="center" w:pos="6946"/>
      </w:tabs>
      <w:spacing w:after="480"/>
      <w:rPr>
        <w:sz w:val="22"/>
        <w:szCs w:val="22"/>
      </w:rPr>
    </w:pPr>
    <w:r w:rsidRPr="00FA334F">
      <w:rPr>
        <w:b/>
        <w:bCs/>
        <w:sz w:val="22"/>
        <w:szCs w:val="22"/>
      </w:rPr>
      <w:t>ndis.gov.au</w:t>
    </w:r>
    <w:r w:rsidR="003E3272">
      <w:rPr>
        <w:sz w:val="22"/>
        <w:szCs w:val="22"/>
      </w:rPr>
      <w:t xml:space="preserve">                                          </w:t>
    </w:r>
    <w:r w:rsidR="007B688B">
      <w:rPr>
        <w:sz w:val="22"/>
        <w:szCs w:val="22"/>
      </w:rPr>
      <w:t>August</w:t>
    </w:r>
    <w:r w:rsidR="003E3272">
      <w:rPr>
        <w:sz w:val="22"/>
        <w:szCs w:val="22"/>
      </w:rPr>
      <w:t xml:space="preserve"> 2023   |   </w:t>
    </w:r>
    <w:r>
      <w:rPr>
        <w:sz w:val="22"/>
        <w:szCs w:val="22"/>
      </w:rPr>
      <w:t>Thin Market Evaluation Final Report</w:t>
    </w:r>
    <w:r>
      <w:rPr>
        <w:sz w:val="22"/>
        <w:szCs w:val="22"/>
      </w:rPr>
      <w:tab/>
    </w:r>
    <w:sdt>
      <w:sdtPr>
        <w:rPr>
          <w:sz w:val="22"/>
          <w:szCs w:val="22"/>
        </w:rPr>
        <w:id w:val="1076552436"/>
        <w:docPartObj>
          <w:docPartGallery w:val="Page Numbers (Bottom of Page)"/>
          <w:docPartUnique/>
        </w:docPartObj>
      </w:sdtPr>
      <w:sdtContent>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sz w:val="22"/>
            <w:szCs w:val="22"/>
          </w:rPr>
          <w:t>64</w:t>
        </w:r>
        <w:r w:rsidRPr="00FA334F">
          <w:rPr>
            <w:sz w:val="22"/>
            <w:szCs w:val="22"/>
          </w:rPr>
          <w:fldChar w:fldCharType="end"/>
        </w:r>
      </w:sdtContent>
    </w:sdt>
  </w:p>
  <w:p w14:paraId="5612440F" w14:textId="5C78EBC4" w:rsidR="00302F9F" w:rsidRPr="00081223" w:rsidRDefault="00302F9F" w:rsidP="00AB4CC5">
    <w:pPr>
      <w:jc w:val="center"/>
      <w:rPr>
        <w:b/>
        <w:color w:val="C00000"/>
        <w:sz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E2C0" w14:textId="6834ED53" w:rsidR="004A3976" w:rsidRDefault="004A3976" w:rsidP="004A3976">
    <w:pPr>
      <w:pStyle w:val="Footer"/>
      <w:spacing w:after="480"/>
      <w:rPr>
        <w:sz w:val="22"/>
        <w:szCs w:val="22"/>
      </w:rPr>
    </w:pPr>
    <w:r w:rsidRPr="00FA334F">
      <w:rPr>
        <w:b/>
        <w:bCs/>
        <w:sz w:val="22"/>
        <w:szCs w:val="22"/>
      </w:rPr>
      <w:t>ndis.gov.au</w:t>
    </w:r>
    <w:r>
      <w:rPr>
        <w:sz w:val="22"/>
        <w:szCs w:val="22"/>
      </w:rPr>
      <w:tab/>
    </w:r>
    <w:r w:rsidR="007B688B">
      <w:rPr>
        <w:sz w:val="22"/>
        <w:szCs w:val="22"/>
      </w:rPr>
      <w:t>August</w:t>
    </w:r>
    <w:r w:rsidR="009A64B8">
      <w:rPr>
        <w:sz w:val="22"/>
        <w:szCs w:val="22"/>
      </w:rPr>
      <w:t xml:space="preserve"> 2023  |  </w:t>
    </w:r>
    <w:r>
      <w:rPr>
        <w:sz w:val="22"/>
        <w:szCs w:val="22"/>
      </w:rPr>
      <w:t>Thin Market Evaluation Final Report</w:t>
    </w:r>
    <w:r>
      <w:rPr>
        <w:sz w:val="22"/>
        <w:szCs w:val="22"/>
      </w:rPr>
      <w:tab/>
    </w:r>
    <w:sdt>
      <w:sdtPr>
        <w:rPr>
          <w:sz w:val="22"/>
          <w:szCs w:val="22"/>
        </w:rPr>
        <w:id w:val="-2024849305"/>
        <w:docPartObj>
          <w:docPartGallery w:val="Page Numbers (Bottom of Page)"/>
          <w:docPartUnique/>
        </w:docPartObj>
      </w:sdt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sz w:val="22"/>
            <w:szCs w:val="22"/>
          </w:rPr>
          <w:t>68</w:t>
        </w:r>
        <w:r w:rsidRPr="00FA334F">
          <w:rPr>
            <w:sz w:val="22"/>
            <w:szCs w:val="22"/>
          </w:rPr>
          <w:fldChar w:fldCharType="end"/>
        </w:r>
      </w:sdtContent>
    </w:sdt>
  </w:p>
  <w:p w14:paraId="54B5916D" w14:textId="56EB22B2" w:rsidR="00597855" w:rsidRPr="00081223" w:rsidRDefault="00597855" w:rsidP="00AB4CC5">
    <w:pPr>
      <w:jc w:val="center"/>
      <w:rPr>
        <w:b/>
        <w:color w:val="C0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B6186" w14:textId="77777777" w:rsidR="00BE7409" w:rsidRDefault="00BE7409" w:rsidP="00B614B6">
      <w:pPr>
        <w:spacing w:after="0" w:line="240" w:lineRule="auto"/>
      </w:pPr>
      <w:r>
        <w:separator/>
      </w:r>
    </w:p>
  </w:footnote>
  <w:footnote w:type="continuationSeparator" w:id="0">
    <w:p w14:paraId="0B3C156C" w14:textId="77777777" w:rsidR="00BE7409" w:rsidRDefault="00BE7409" w:rsidP="007219F1">
      <w:pPr>
        <w:spacing w:after="0" w:line="240" w:lineRule="auto"/>
      </w:pPr>
      <w:r>
        <w:continuationSeparator/>
      </w:r>
    </w:p>
    <w:p w14:paraId="1B0E8536" w14:textId="77777777" w:rsidR="00BE7409" w:rsidRDefault="00BE7409"/>
    <w:p w14:paraId="17192C35" w14:textId="77777777" w:rsidR="00BE7409" w:rsidRDefault="00BE7409"/>
    <w:p w14:paraId="3BC19A96" w14:textId="77777777" w:rsidR="00BE7409" w:rsidRDefault="00BE7409"/>
    <w:p w14:paraId="0D544237" w14:textId="77777777" w:rsidR="00BE7409" w:rsidRDefault="00BE7409"/>
    <w:p w14:paraId="747CE3A9" w14:textId="77777777" w:rsidR="00BE7409" w:rsidRDefault="00BE7409"/>
  </w:footnote>
  <w:footnote w:type="continuationNotice" w:id="1">
    <w:p w14:paraId="2E6EC842" w14:textId="77777777" w:rsidR="00BE7409" w:rsidRDefault="00BE7409">
      <w:pPr>
        <w:spacing w:after="0" w:line="240" w:lineRule="auto"/>
      </w:pPr>
    </w:p>
  </w:footnote>
  <w:footnote w:id="2">
    <w:p w14:paraId="4816543C" w14:textId="77777777" w:rsidR="00083BC2" w:rsidRPr="005B1A88" w:rsidRDefault="00083BC2" w:rsidP="00083BC2">
      <w:pPr>
        <w:pStyle w:val="FootnoteText"/>
        <w:rPr>
          <w:sz w:val="18"/>
          <w:szCs w:val="18"/>
        </w:rPr>
      </w:pPr>
      <w:r w:rsidRPr="005B1A88">
        <w:rPr>
          <w:rStyle w:val="FootnoteReference"/>
          <w:sz w:val="18"/>
          <w:szCs w:val="18"/>
        </w:rPr>
        <w:footnoteRef/>
      </w:r>
      <w:r w:rsidRPr="005B1A88">
        <w:rPr>
          <w:sz w:val="18"/>
          <w:szCs w:val="18"/>
        </w:rPr>
        <w:t xml:space="preserve"> Appendix A shows the program theory depicting how the market interventions intend to work.</w:t>
      </w:r>
    </w:p>
  </w:footnote>
  <w:footnote w:id="3">
    <w:p w14:paraId="1BAA69E0" w14:textId="77777777" w:rsidR="00083BC2" w:rsidRPr="006C7793" w:rsidRDefault="00083BC2" w:rsidP="00083BC2">
      <w:pPr>
        <w:pStyle w:val="FootnoteText"/>
        <w:rPr>
          <w:sz w:val="18"/>
          <w:szCs w:val="18"/>
        </w:rPr>
      </w:pPr>
      <w:r w:rsidRPr="006C7793">
        <w:rPr>
          <w:rStyle w:val="FootnoteReference"/>
          <w:sz w:val="18"/>
          <w:szCs w:val="18"/>
        </w:rPr>
        <w:footnoteRef/>
      </w:r>
      <w:r w:rsidRPr="006C7793">
        <w:rPr>
          <w:sz w:val="18"/>
          <w:szCs w:val="18"/>
        </w:rPr>
        <w:t xml:space="preserve"> Except for Central Dessert (NT) as the CFP had only just begun at the time of data analysis.</w:t>
      </w:r>
    </w:p>
  </w:footnote>
  <w:footnote w:id="4">
    <w:p w14:paraId="573210A5" w14:textId="77777777" w:rsidR="000C7E2D" w:rsidRDefault="000C7E2D" w:rsidP="000C7E2D">
      <w:pPr>
        <w:pStyle w:val="Footertext"/>
      </w:pPr>
      <w:r>
        <w:rPr>
          <w:rStyle w:val="FootnoteReference"/>
        </w:rPr>
        <w:footnoteRef/>
      </w:r>
      <w:r>
        <w:t xml:space="preserve"> </w:t>
      </w:r>
      <w:r w:rsidRPr="000341B9">
        <w:t>The Gini coefficient is a measure of dispersion. It is a number between 0 and 1, with 0 representing perfect equality and 1 perfect inequality. For example, if every participant made the same dollar claim to the NDIS, the Gini coefficient will be 0. In contrast, if only one participant made an NDIS claim and all others made none, the Gini coefficient will be 1</w:t>
      </w:r>
    </w:p>
  </w:footnote>
  <w:footnote w:id="5">
    <w:p w14:paraId="0A65B666" w14:textId="5F8DD8F3" w:rsidR="00374907" w:rsidRDefault="00374907">
      <w:pPr>
        <w:pStyle w:val="FootnoteText"/>
      </w:pPr>
      <w:r>
        <w:rPr>
          <w:rStyle w:val="FootnoteReference"/>
        </w:rPr>
        <w:footnoteRef/>
      </w:r>
      <w:r>
        <w:t xml:space="preserve"> </w:t>
      </w:r>
      <w:r w:rsidR="00931BC2">
        <w:t>T</w:t>
      </w:r>
      <w:r w:rsidRPr="00374907">
        <w:t>he evaluation period is 10 months prior and 10 months after the start of market facilitation activities in the target LGAs</w:t>
      </w:r>
      <w:r w:rsidR="00931BC2">
        <w:t xml:space="preserve"> </w:t>
      </w:r>
      <w:r w:rsidRPr="00374907">
        <w:t>to compare the impacts of each trial given Trials ran for different lengths of time. A 10-month cut-off also avoids confounding by CFPs which began in some LGAs around 12 months after market facilitation activities started</w:t>
      </w:r>
      <w:r>
        <w:t>.</w:t>
      </w:r>
    </w:p>
  </w:footnote>
  <w:footnote w:id="6">
    <w:p w14:paraId="5C03546D" w14:textId="3A931EAF" w:rsidR="00A22522" w:rsidRDefault="00A22522">
      <w:pPr>
        <w:pStyle w:val="FootnoteText"/>
      </w:pPr>
      <w:r>
        <w:rPr>
          <w:rStyle w:val="FootnoteReference"/>
        </w:rPr>
        <w:footnoteRef/>
      </w:r>
      <w:r>
        <w:t xml:space="preserve"> </w:t>
      </w:r>
      <w:r w:rsidRPr="00A22522">
        <w:t xml:space="preserve">The ATE is the average difference in monthly NDIS expenditure per participant in the 10-months after </w:t>
      </w:r>
      <w:r w:rsidR="00E25437">
        <w:t>t</w:t>
      </w:r>
      <w:r w:rsidRPr="00A22522">
        <w:t xml:space="preserve">rials started compared to the 10-months before in </w:t>
      </w:r>
      <w:r w:rsidR="00E25437">
        <w:t>t</w:t>
      </w:r>
      <w:r w:rsidRPr="00A22522">
        <w:t>rial LGAs, compared to similar participants elsewhere</w:t>
      </w:r>
      <w:r w:rsidR="00E25437">
        <w:t>.</w:t>
      </w:r>
    </w:p>
  </w:footnote>
  <w:footnote w:id="7">
    <w:p w14:paraId="20121922" w14:textId="77777777" w:rsidR="00B30728" w:rsidRDefault="00B30728" w:rsidP="00B30728">
      <w:pPr>
        <w:pStyle w:val="FootnoteText"/>
      </w:pPr>
      <w:r>
        <w:rPr>
          <w:rStyle w:val="FootnoteReference"/>
        </w:rPr>
        <w:footnoteRef/>
      </w:r>
      <w:r>
        <w:t xml:space="preserve"> Due the nature of Capital supports and small sample sizes we have not included analysis of Capital supports in the report.</w:t>
      </w:r>
    </w:p>
  </w:footnote>
  <w:footnote w:id="8">
    <w:p w14:paraId="715AF4AE" w14:textId="23C2F379" w:rsidR="00B30728" w:rsidRPr="00183353" w:rsidRDefault="00B30728" w:rsidP="00B30728">
      <w:pPr>
        <w:pStyle w:val="FootnoteText"/>
        <w:rPr>
          <w:sz w:val="18"/>
          <w:szCs w:val="18"/>
        </w:rPr>
      </w:pPr>
      <w:r w:rsidRPr="00183353">
        <w:rPr>
          <w:rStyle w:val="FootnoteReference"/>
          <w:sz w:val="18"/>
          <w:szCs w:val="18"/>
        </w:rPr>
        <w:footnoteRef/>
      </w:r>
      <w:r w:rsidRPr="00183353">
        <w:rPr>
          <w:sz w:val="18"/>
          <w:szCs w:val="18"/>
        </w:rPr>
        <w:t xml:space="preserve"> An active provider is a service provider who has made at least one NDIS-claim during the pre-</w:t>
      </w:r>
      <w:r w:rsidR="00434A6C">
        <w:rPr>
          <w:sz w:val="18"/>
          <w:szCs w:val="18"/>
        </w:rPr>
        <w:t>t</w:t>
      </w:r>
      <w:r w:rsidRPr="00183353">
        <w:rPr>
          <w:sz w:val="18"/>
          <w:szCs w:val="18"/>
        </w:rPr>
        <w:t>rial and/or post-</w:t>
      </w:r>
      <w:r w:rsidR="00434A6C">
        <w:rPr>
          <w:sz w:val="18"/>
          <w:szCs w:val="18"/>
        </w:rPr>
        <w:t>t</w:t>
      </w:r>
      <w:r w:rsidRPr="00183353">
        <w:rPr>
          <w:sz w:val="18"/>
          <w:szCs w:val="18"/>
        </w:rPr>
        <w:t>rial period.</w:t>
      </w:r>
    </w:p>
  </w:footnote>
  <w:footnote w:id="9">
    <w:p w14:paraId="14C14AD8" w14:textId="34998ADC" w:rsidR="00F02DE5" w:rsidRDefault="00F02DE5">
      <w:pPr>
        <w:pStyle w:val="FootnoteText"/>
      </w:pPr>
      <w:r>
        <w:rPr>
          <w:rStyle w:val="FootnoteReference"/>
        </w:rPr>
        <w:footnoteRef/>
      </w:r>
      <w:r>
        <w:t xml:space="preserve"> </w:t>
      </w:r>
      <w:r w:rsidR="00D90D55">
        <w:t>The analysis</w:t>
      </w:r>
      <w:r>
        <w:t xml:space="preserve"> compare</w:t>
      </w:r>
      <w:r w:rsidR="00D90D55">
        <w:t>d</w:t>
      </w:r>
      <w:r>
        <w:t xml:space="preserve"> the change in active providers with matched non-</w:t>
      </w:r>
      <w:r w:rsidR="00923E11">
        <w:t>t</w:t>
      </w:r>
      <w:r>
        <w:t>rial LGAs</w:t>
      </w:r>
      <w:r w:rsidR="00D90D55">
        <w:t xml:space="preserve"> using </w:t>
      </w:r>
      <w:r>
        <w:t xml:space="preserve">BTS analysis. BTS predicts what would have happened without market facilitation and compares this prediction to what did happen. </w:t>
      </w:r>
    </w:p>
  </w:footnote>
  <w:footnote w:id="10">
    <w:p w14:paraId="206D37D7" w14:textId="70EB9E39" w:rsidR="00805013" w:rsidRDefault="00805013">
      <w:pPr>
        <w:pStyle w:val="FootnoteText"/>
      </w:pPr>
      <w:r>
        <w:rPr>
          <w:rStyle w:val="FootnoteReference"/>
        </w:rPr>
        <w:footnoteRef/>
      </w:r>
      <w:r>
        <w:t xml:space="preserve"> </w:t>
      </w:r>
      <w:r w:rsidRPr="00805013">
        <w:t>In a ‘normal’ market, a Gini coefficient above 0.5 indicates a concentrated market where relatively few participants account for most expenditure or only a few providers deliver most supports</w:t>
      </w:r>
      <w:r>
        <w:t>.</w:t>
      </w:r>
    </w:p>
  </w:footnote>
  <w:footnote w:id="11">
    <w:p w14:paraId="5BB1986A" w14:textId="0AAEF113" w:rsidR="0061772E" w:rsidRDefault="0061772E">
      <w:pPr>
        <w:pStyle w:val="FootnoteText"/>
      </w:pPr>
      <w:r>
        <w:rPr>
          <w:rStyle w:val="FootnoteReference"/>
        </w:rPr>
        <w:footnoteRef/>
      </w:r>
      <w:r>
        <w:t xml:space="preserve"> </w:t>
      </w:r>
      <w:r w:rsidR="00E97FFE">
        <w:t xml:space="preserve">12 months has been used as </w:t>
      </w:r>
      <w:r w:rsidR="006C1A8D">
        <w:t xml:space="preserve">data </w:t>
      </w:r>
      <w:r w:rsidR="007561EB">
        <w:t>was</w:t>
      </w:r>
      <w:r w:rsidR="006C1A8D">
        <w:t xml:space="preserve"> aggregated on a quarterly level</w:t>
      </w:r>
      <w:r w:rsidR="001C55A3">
        <w:t>.</w:t>
      </w:r>
    </w:p>
  </w:footnote>
  <w:footnote w:id="12">
    <w:p w14:paraId="2284FED7" w14:textId="77777777" w:rsidR="008D73CD" w:rsidRDefault="008D73CD" w:rsidP="008D73CD">
      <w:pPr>
        <w:pStyle w:val="FootnoteText"/>
        <w:spacing w:before="40" w:after="40"/>
      </w:pPr>
      <w:r w:rsidRPr="009F3439">
        <w:rPr>
          <w:rStyle w:val="FootnoteReference"/>
          <w:sz w:val="18"/>
          <w:szCs w:val="18"/>
        </w:rPr>
        <w:footnoteRef/>
      </w:r>
      <w:r w:rsidRPr="009F3439">
        <w:rPr>
          <w:sz w:val="18"/>
          <w:szCs w:val="18"/>
        </w:rPr>
        <w:t xml:space="preserve"> Assessment Recommendation Therapy And/or Training (Incl. AT) - Other Therapy (15_056_0128_1_3)</w:t>
      </w:r>
    </w:p>
  </w:footnote>
  <w:footnote w:id="13">
    <w:p w14:paraId="2F69DAFE" w14:textId="2BDE0A83" w:rsidR="00CE0D2E" w:rsidRDefault="00CE0D2E" w:rsidP="00CE0D2E">
      <w:pPr>
        <w:pStyle w:val="FootnoteText"/>
      </w:pPr>
      <w:r>
        <w:rPr>
          <w:rStyle w:val="FootnoteReference"/>
        </w:rPr>
        <w:footnoteRef/>
      </w:r>
      <w:r>
        <w:t xml:space="preserve"> Data came from NDIS participant expenditure data from the NDIS Business System and contractual reporting from the service providers participating in the Trials.</w:t>
      </w:r>
      <w:r w:rsidR="00004B5D">
        <w:t xml:space="preserve"> </w:t>
      </w:r>
      <w:r>
        <w:t xml:space="preserve">The latter provided data about participant access to </w:t>
      </w:r>
      <w:r w:rsidR="00004B5D">
        <w:t xml:space="preserve">the </w:t>
      </w:r>
      <w:r>
        <w:t xml:space="preserve">commissioned supports. NDIS Business System data informed baseline use of the supports by </w:t>
      </w:r>
      <w:r w:rsidR="00004B5D">
        <w:t>t</w:t>
      </w:r>
      <w:r>
        <w:t xml:space="preserve">rial </w:t>
      </w:r>
      <w:r w:rsidR="00F17779">
        <w:t xml:space="preserve">participants </w:t>
      </w:r>
      <w:r>
        <w:t xml:space="preserve">and </w:t>
      </w:r>
      <w:r w:rsidR="00F17779">
        <w:t xml:space="preserve">data for </w:t>
      </w:r>
      <w:r>
        <w:t>comparison participants.</w:t>
      </w:r>
      <w:r w:rsidR="00F17779">
        <w:t xml:space="preserve"> </w:t>
      </w:r>
      <w:r>
        <w:t xml:space="preserve">The comparison group consisted of participants the NDIA identified for the </w:t>
      </w:r>
      <w:r w:rsidR="00F17779">
        <w:t>t</w:t>
      </w:r>
      <w:r>
        <w:t>rial but who chose not to participate.</w:t>
      </w:r>
    </w:p>
  </w:footnote>
  <w:footnote w:id="14">
    <w:p w14:paraId="4C5D0499" w14:textId="79F0AA77" w:rsidR="00AC7321" w:rsidRPr="003A19EC" w:rsidRDefault="00AC7321">
      <w:pPr>
        <w:pStyle w:val="FootnoteText"/>
        <w:rPr>
          <w:sz w:val="18"/>
          <w:szCs w:val="18"/>
        </w:rPr>
      </w:pPr>
      <w:r w:rsidRPr="003A19EC">
        <w:rPr>
          <w:rStyle w:val="FootnoteReference"/>
          <w:sz w:val="18"/>
          <w:szCs w:val="18"/>
        </w:rPr>
        <w:footnoteRef/>
      </w:r>
      <w:r w:rsidRPr="003A19EC">
        <w:rPr>
          <w:sz w:val="18"/>
          <w:szCs w:val="18"/>
        </w:rPr>
        <w:t xml:space="preserve"> </w:t>
      </w:r>
      <w:r w:rsidR="00646C33" w:rsidRPr="003A19EC">
        <w:rPr>
          <w:sz w:val="18"/>
          <w:szCs w:val="18"/>
        </w:rPr>
        <w:t>We assume that direct commissioning in the APY Lands substituted $10,5</w:t>
      </w:r>
      <w:r w:rsidR="00070DF2">
        <w:rPr>
          <w:sz w:val="18"/>
          <w:szCs w:val="18"/>
        </w:rPr>
        <w:t>5</w:t>
      </w:r>
      <w:r w:rsidR="00646C33" w:rsidRPr="003A19EC">
        <w:rPr>
          <w:sz w:val="18"/>
          <w:szCs w:val="18"/>
        </w:rPr>
        <w:t>2 of expected expenditure on Core social and community participation supports during the first 6 months of the commissioning period ($24,181 - $13,629) (i.e. the 33 participants didn’t purchase $10,5</w:t>
      </w:r>
      <w:r w:rsidR="00070DF2">
        <w:rPr>
          <w:sz w:val="18"/>
          <w:szCs w:val="18"/>
        </w:rPr>
        <w:t>5</w:t>
      </w:r>
      <w:r w:rsidR="00646C33" w:rsidRPr="003A19EC">
        <w:rPr>
          <w:sz w:val="18"/>
          <w:szCs w:val="18"/>
        </w:rPr>
        <w:t>2 of supports because we offered them direct commission</w:t>
      </w:r>
      <w:r w:rsidR="00294030" w:rsidRPr="003A19EC">
        <w:rPr>
          <w:sz w:val="18"/>
          <w:szCs w:val="18"/>
        </w:rPr>
        <w:t>ing)</w:t>
      </w:r>
      <w:r w:rsidR="00646C33" w:rsidRPr="003A19EC">
        <w:rPr>
          <w:sz w:val="18"/>
          <w:szCs w:val="18"/>
        </w:rPr>
        <w:t>.</w:t>
      </w:r>
      <w:r w:rsidR="00294030" w:rsidRPr="003A19EC">
        <w:rPr>
          <w:sz w:val="18"/>
          <w:szCs w:val="18"/>
        </w:rPr>
        <w:t xml:space="preserve"> Therefore the </w:t>
      </w:r>
      <w:r w:rsidR="00192904">
        <w:rPr>
          <w:sz w:val="18"/>
          <w:szCs w:val="18"/>
        </w:rPr>
        <w:t xml:space="preserve">possible </w:t>
      </w:r>
      <w:r w:rsidR="00294030" w:rsidRPr="003A19EC">
        <w:rPr>
          <w:sz w:val="18"/>
          <w:szCs w:val="18"/>
        </w:rPr>
        <w:t xml:space="preserve">effect of direct commissioning = </w:t>
      </w:r>
      <w:r w:rsidR="00443949" w:rsidRPr="003A19EC">
        <w:rPr>
          <w:sz w:val="18"/>
          <w:szCs w:val="18"/>
        </w:rPr>
        <w:t xml:space="preserve">$52,969 </w:t>
      </w:r>
      <w:r w:rsidR="00224C2E" w:rsidRPr="003A19EC">
        <w:rPr>
          <w:sz w:val="18"/>
          <w:szCs w:val="18"/>
        </w:rPr>
        <w:t>- $1</w:t>
      </w:r>
      <w:r w:rsidR="00D04532">
        <w:rPr>
          <w:sz w:val="18"/>
          <w:szCs w:val="18"/>
        </w:rPr>
        <w:t>0</w:t>
      </w:r>
      <w:r w:rsidR="00224C2E" w:rsidRPr="003A19EC">
        <w:rPr>
          <w:sz w:val="18"/>
          <w:szCs w:val="18"/>
        </w:rPr>
        <w:t>,</w:t>
      </w:r>
      <w:r w:rsidR="00D04532">
        <w:rPr>
          <w:sz w:val="18"/>
          <w:szCs w:val="18"/>
        </w:rPr>
        <w:t>5</w:t>
      </w:r>
      <w:r w:rsidR="00070DF2">
        <w:rPr>
          <w:sz w:val="18"/>
          <w:szCs w:val="18"/>
        </w:rPr>
        <w:t>5</w:t>
      </w:r>
      <w:r w:rsidR="00D04532">
        <w:rPr>
          <w:sz w:val="18"/>
          <w:szCs w:val="18"/>
        </w:rPr>
        <w:t>2</w:t>
      </w:r>
      <w:r w:rsidR="00224C2E" w:rsidRPr="003A19EC">
        <w:rPr>
          <w:sz w:val="18"/>
          <w:szCs w:val="18"/>
        </w:rPr>
        <w:t xml:space="preserve"> - $24,181</w:t>
      </w:r>
      <w:r w:rsidR="003A19EC" w:rsidRPr="003A19EC">
        <w:rPr>
          <w:sz w:val="18"/>
          <w:szCs w:val="18"/>
        </w:rPr>
        <w:t xml:space="preserve"> = $</w:t>
      </w:r>
      <w:r w:rsidR="00192904">
        <w:rPr>
          <w:sz w:val="18"/>
          <w:szCs w:val="18"/>
        </w:rPr>
        <w:t>18</w:t>
      </w:r>
      <w:r w:rsidR="003A19EC" w:rsidRPr="003A19EC">
        <w:rPr>
          <w:sz w:val="18"/>
          <w:szCs w:val="18"/>
        </w:rPr>
        <w:t>,</w:t>
      </w:r>
      <w:r w:rsidR="00192904">
        <w:rPr>
          <w:sz w:val="18"/>
          <w:szCs w:val="18"/>
        </w:rPr>
        <w:t>263</w:t>
      </w:r>
      <w:r w:rsidR="003A19EC" w:rsidRPr="003A19EC">
        <w:rPr>
          <w:sz w:val="18"/>
          <w:szCs w:val="18"/>
        </w:rPr>
        <w:t>.</w:t>
      </w:r>
    </w:p>
  </w:footnote>
  <w:footnote w:id="15">
    <w:p w14:paraId="224EDF6C" w14:textId="07FE3CDA" w:rsidR="00AC7321" w:rsidRDefault="00AC7321">
      <w:pPr>
        <w:pStyle w:val="FootnoteText"/>
      </w:pPr>
      <w:r w:rsidRPr="003A19EC">
        <w:rPr>
          <w:rStyle w:val="FootnoteReference"/>
          <w:sz w:val="18"/>
          <w:szCs w:val="18"/>
        </w:rPr>
        <w:footnoteRef/>
      </w:r>
      <w:r w:rsidRPr="003A19EC">
        <w:rPr>
          <w:sz w:val="18"/>
          <w:szCs w:val="18"/>
        </w:rPr>
        <w:t xml:space="preserve"> </w:t>
      </w:r>
      <w:r w:rsidR="00C20DA3">
        <w:rPr>
          <w:sz w:val="18"/>
          <w:szCs w:val="18"/>
        </w:rPr>
        <w:t xml:space="preserve">Participants can only use </w:t>
      </w:r>
      <w:r w:rsidR="00D04532">
        <w:rPr>
          <w:sz w:val="18"/>
          <w:szCs w:val="18"/>
        </w:rPr>
        <w:t>Capacity building fund</w:t>
      </w:r>
      <w:r w:rsidR="00C20DA3">
        <w:rPr>
          <w:sz w:val="18"/>
          <w:szCs w:val="18"/>
        </w:rPr>
        <w:t>ing</w:t>
      </w:r>
      <w:r w:rsidR="007F1F91">
        <w:rPr>
          <w:sz w:val="18"/>
          <w:szCs w:val="18"/>
        </w:rPr>
        <w:t xml:space="preserve"> </w:t>
      </w:r>
      <w:r w:rsidR="00D04532">
        <w:rPr>
          <w:sz w:val="18"/>
          <w:szCs w:val="18"/>
        </w:rPr>
        <w:t>to purchase supports within the support category they are allocated.</w:t>
      </w:r>
    </w:p>
  </w:footnote>
  <w:footnote w:id="16">
    <w:p w14:paraId="0874511C" w14:textId="3802FD42" w:rsidR="002E38E7" w:rsidRDefault="002E38E7">
      <w:pPr>
        <w:pStyle w:val="FootnoteText"/>
      </w:pPr>
      <w:r>
        <w:rPr>
          <w:rStyle w:val="FootnoteReference"/>
        </w:rPr>
        <w:footnoteRef/>
      </w:r>
      <w:r>
        <w:t xml:space="preserve"> This includes the $500 per participant establishment fee</w:t>
      </w:r>
      <w:r w:rsidR="00207EC4">
        <w:t xml:space="preserve"> paid to service providers.</w:t>
      </w:r>
    </w:p>
  </w:footnote>
  <w:footnote w:id="17">
    <w:p w14:paraId="40DE7A68" w14:textId="5838DC4B" w:rsidR="00585FCF" w:rsidRDefault="00585FCF">
      <w:pPr>
        <w:pStyle w:val="FootnoteText"/>
      </w:pPr>
      <w:r>
        <w:rPr>
          <w:rStyle w:val="FootnoteReference"/>
        </w:rPr>
        <w:footnoteRef/>
      </w:r>
      <w:r>
        <w:t xml:space="preserve"> </w:t>
      </w:r>
      <w:r w:rsidRPr="00585FCF">
        <w:t>Projected funds = (average expenditure per month x no. of months remaining) + funds used to 30 Sep 22</w:t>
      </w:r>
      <w:r>
        <w:t>.</w:t>
      </w:r>
    </w:p>
  </w:footnote>
  <w:footnote w:id="18">
    <w:p w14:paraId="5615252B" w14:textId="6244AE1C" w:rsidR="00585FCF" w:rsidRDefault="00585FCF">
      <w:pPr>
        <w:pStyle w:val="FootnoteText"/>
      </w:pPr>
      <w:r>
        <w:rPr>
          <w:rStyle w:val="FootnoteReference"/>
        </w:rPr>
        <w:footnoteRef/>
      </w:r>
      <w:r>
        <w:t xml:space="preserve"> </w:t>
      </w:r>
      <w:r w:rsidR="00642DEF">
        <w:t>Trial end dates: ACT 30 Nov 22; Waratah-Wynyard 31 Oct 22.</w:t>
      </w:r>
    </w:p>
  </w:footnote>
  <w:footnote w:id="19">
    <w:p w14:paraId="33AE2AEE" w14:textId="789C32CA" w:rsidR="00642DEF" w:rsidRDefault="00642DEF">
      <w:pPr>
        <w:pStyle w:val="FootnoteText"/>
      </w:pPr>
      <w:r>
        <w:rPr>
          <w:rStyle w:val="FootnoteReference"/>
        </w:rPr>
        <w:footnoteRef/>
      </w:r>
      <w:r>
        <w:t xml:space="preserve"> </w:t>
      </w:r>
      <w:r w:rsidRPr="00642DEF">
        <w:t>Includes a $500 per participant establishment fee ($15,000 total).</w:t>
      </w:r>
    </w:p>
  </w:footnote>
  <w:footnote w:id="20">
    <w:p w14:paraId="36549089" w14:textId="370B43AC" w:rsidR="002D3888" w:rsidRDefault="002D3888">
      <w:pPr>
        <w:pStyle w:val="FootnoteText"/>
      </w:pPr>
      <w:r>
        <w:rPr>
          <w:rStyle w:val="FootnoteReference"/>
        </w:rPr>
        <w:footnoteRef/>
      </w:r>
      <w:r>
        <w:t xml:space="preserve"> </w:t>
      </w:r>
      <w:r w:rsidRPr="002D3888">
        <w:t>As the trial is in its early stages and does not finish until March 2024, we have not projected funds for APY Lands.</w:t>
      </w:r>
    </w:p>
  </w:footnote>
  <w:footnote w:id="21">
    <w:p w14:paraId="5CDAFC1B" w14:textId="77777777" w:rsidR="002A2448" w:rsidRPr="0029396B" w:rsidRDefault="002A2448" w:rsidP="002A2448">
      <w:pPr>
        <w:pStyle w:val="FootnoteText"/>
        <w:spacing w:before="60" w:after="60"/>
        <w:rPr>
          <w:sz w:val="18"/>
          <w:szCs w:val="18"/>
        </w:rPr>
      </w:pPr>
      <w:r w:rsidRPr="0029396B">
        <w:rPr>
          <w:rStyle w:val="FootnoteReference"/>
          <w:sz w:val="18"/>
          <w:szCs w:val="18"/>
        </w:rPr>
        <w:footnoteRef/>
      </w:r>
      <w:r w:rsidRPr="0029396B">
        <w:rPr>
          <w:sz w:val="18"/>
          <w:szCs w:val="18"/>
        </w:rPr>
        <w:t xml:space="preserve"> Waratah-Wynyard has a MMM rating that spans three to five, which normally means service providers can claim labour costs for up to 30 minutes of travel for MMM 3 or 60 minutes for MMM 4 to 5, in addition to non-labour travel costs.</w:t>
      </w:r>
    </w:p>
  </w:footnote>
  <w:footnote w:id="22">
    <w:p w14:paraId="41D533F5" w14:textId="34CF9C4B" w:rsidR="00F7734D" w:rsidRPr="00631A78" w:rsidRDefault="00F7734D">
      <w:pPr>
        <w:pStyle w:val="FootnoteText"/>
        <w:rPr>
          <w:sz w:val="18"/>
          <w:szCs w:val="18"/>
        </w:rPr>
      </w:pPr>
      <w:r w:rsidRPr="00631A78">
        <w:rPr>
          <w:rStyle w:val="FootnoteReference"/>
          <w:sz w:val="18"/>
          <w:szCs w:val="18"/>
        </w:rPr>
        <w:footnoteRef/>
      </w:r>
      <w:r w:rsidRPr="00631A78">
        <w:rPr>
          <w:sz w:val="18"/>
          <w:szCs w:val="18"/>
        </w:rPr>
        <w:t xml:space="preserve"> Ranges from 28% to 100% across target LGAs.</w:t>
      </w:r>
    </w:p>
  </w:footnote>
  <w:footnote w:id="23">
    <w:p w14:paraId="4735471F" w14:textId="7F35E4C1" w:rsidR="00784AA3" w:rsidRPr="00516AD6" w:rsidRDefault="00784AA3" w:rsidP="00784AA3">
      <w:pPr>
        <w:pStyle w:val="FootnoteText"/>
        <w:spacing w:before="40" w:after="40"/>
        <w:rPr>
          <w:sz w:val="18"/>
          <w:szCs w:val="18"/>
        </w:rPr>
      </w:pPr>
      <w:r w:rsidRPr="00516AD6">
        <w:rPr>
          <w:rStyle w:val="FootnoteReference"/>
          <w:sz w:val="18"/>
          <w:szCs w:val="18"/>
        </w:rPr>
        <w:footnoteRef/>
      </w:r>
      <w:r>
        <w:rPr>
          <w:sz w:val="18"/>
          <w:szCs w:val="18"/>
        </w:rPr>
        <w:t>NDIS national workforce data provided by the Department of Social Services.</w:t>
      </w:r>
      <w:r w:rsidRPr="00516AD6">
        <w:rPr>
          <w:sz w:val="18"/>
          <w:szCs w:val="18"/>
        </w:rPr>
        <w:t xml:space="preserve">. </w:t>
      </w:r>
    </w:p>
  </w:footnote>
  <w:footnote w:id="24">
    <w:p w14:paraId="2BC4C167" w14:textId="03337ECB" w:rsidR="000C7A47" w:rsidRPr="00516AD6" w:rsidRDefault="000C7A47">
      <w:pPr>
        <w:pStyle w:val="FootnoteText"/>
        <w:rPr>
          <w:sz w:val="18"/>
          <w:szCs w:val="18"/>
        </w:rPr>
      </w:pPr>
      <w:r w:rsidRPr="00516AD6">
        <w:rPr>
          <w:rStyle w:val="FootnoteReference"/>
          <w:sz w:val="18"/>
          <w:szCs w:val="18"/>
        </w:rPr>
        <w:footnoteRef/>
      </w:r>
      <w:r w:rsidRPr="00516AD6">
        <w:rPr>
          <w:sz w:val="18"/>
          <w:szCs w:val="18"/>
        </w:rPr>
        <w:t xml:space="preserve"> National Disability Services (2021). State of the Disability Sector Report 2021. Available at: </w:t>
      </w:r>
      <w:hyperlink r:id="rId1" w:history="1">
        <w:r w:rsidRPr="00516AD6">
          <w:rPr>
            <w:rStyle w:val="Hyperlink"/>
            <w:sz w:val="18"/>
            <w:szCs w:val="18"/>
          </w:rPr>
          <w:t>www.nds.org.au/about/state-of-the-disability-sector-report</w:t>
        </w:r>
      </w:hyperlink>
      <w:r w:rsidRPr="00516AD6">
        <w:rPr>
          <w:sz w:val="18"/>
          <w:szCs w:val="18"/>
        </w:rPr>
        <w:t xml:space="preserve">. </w:t>
      </w:r>
    </w:p>
  </w:footnote>
  <w:footnote w:id="25">
    <w:p w14:paraId="53390FA0" w14:textId="5798B99B" w:rsidR="00587850" w:rsidRPr="00D029F5" w:rsidRDefault="00587850" w:rsidP="00587850">
      <w:pPr>
        <w:pStyle w:val="FootnoteText"/>
        <w:spacing w:before="40" w:after="40"/>
        <w:rPr>
          <w:sz w:val="18"/>
          <w:szCs w:val="18"/>
        </w:rPr>
      </w:pPr>
      <w:r w:rsidRPr="00516AD6">
        <w:rPr>
          <w:rStyle w:val="FootnoteReference"/>
          <w:sz w:val="18"/>
          <w:szCs w:val="18"/>
        </w:rPr>
        <w:footnoteRef/>
      </w:r>
      <w:r w:rsidRPr="00516AD6">
        <w:rPr>
          <w:sz w:val="18"/>
          <w:szCs w:val="18"/>
        </w:rPr>
        <w:t xml:space="preserve"> National Skills Commission (2021). Care Workforce Labour Market Study Final Report. Available at: </w:t>
      </w:r>
      <w:hyperlink r:id="rId2" w:history="1">
        <w:r w:rsidR="00375BD1" w:rsidRPr="00A7335D">
          <w:rPr>
            <w:rStyle w:val="Hyperlink"/>
            <w:sz w:val="18"/>
            <w:szCs w:val="18"/>
          </w:rPr>
          <w:t>www.nationalskillscommission.gov.au/sites/default/files/2022-10/Care%20Workforce%20Labour%20Market%20Study.pdf</w:t>
        </w:r>
      </w:hyperlink>
      <w:r w:rsidRPr="00516AD6">
        <w:rPr>
          <w:sz w:val="18"/>
          <w:szCs w:val="18"/>
        </w:rPr>
        <w:t>.</w:t>
      </w:r>
      <w:r w:rsidRPr="00D029F5">
        <w:rPr>
          <w:sz w:val="18"/>
          <w:szCs w:val="18"/>
        </w:rPr>
        <w:t xml:space="preserve"> </w:t>
      </w:r>
    </w:p>
  </w:footnote>
  <w:footnote w:id="26">
    <w:p w14:paraId="3BAB4447" w14:textId="7B0F0E60" w:rsidR="001453AF" w:rsidRDefault="001453AF">
      <w:pPr>
        <w:pStyle w:val="FootnoteText"/>
      </w:pPr>
      <w:r>
        <w:rPr>
          <w:rStyle w:val="FootnoteReference"/>
        </w:rPr>
        <w:footnoteRef/>
      </w:r>
      <w:r>
        <w:t xml:space="preserve"> </w:t>
      </w:r>
      <w:hyperlink r:id="rId3" w:history="1">
        <w:r w:rsidR="0025600F" w:rsidRPr="0025600F">
          <w:rPr>
            <w:rStyle w:val="Hyperlink"/>
          </w:rPr>
          <w:t>NDIS Review Terms of Reference</w:t>
        </w:r>
      </w:hyperlink>
    </w:p>
  </w:footnote>
  <w:footnote w:id="27">
    <w:p w14:paraId="0C0D6A17" w14:textId="77237022" w:rsidR="00806D66" w:rsidRDefault="00806D66">
      <w:pPr>
        <w:pStyle w:val="FootnoteText"/>
      </w:pPr>
      <w:r>
        <w:rPr>
          <w:rStyle w:val="FootnoteReference"/>
        </w:rPr>
        <w:footnoteRef/>
      </w:r>
      <w:r>
        <w:t xml:space="preserve"> </w:t>
      </w:r>
      <w:r w:rsidRPr="00806D66">
        <w:t>All service providers that registered to attend behaviour support forums were invited to respond to the survey, reducing the response rate compared to other Trial locations.</w:t>
      </w:r>
    </w:p>
  </w:footnote>
  <w:footnote w:id="28">
    <w:p w14:paraId="1DBD7F66" w14:textId="136FFF2A" w:rsidR="00806D66" w:rsidRDefault="00806D66">
      <w:pPr>
        <w:pStyle w:val="FootnoteText"/>
      </w:pPr>
      <w:r>
        <w:rPr>
          <w:rStyle w:val="FootnoteReference"/>
        </w:rPr>
        <w:footnoteRef/>
      </w:r>
      <w:r>
        <w:t xml:space="preserve"> </w:t>
      </w:r>
      <w:r w:rsidRPr="00806D66">
        <w:t>Note that providers invited to respond to the survey for NT Central may have also responded to questions about the NT North Trial, inflating the estimated response rate.</w:t>
      </w:r>
    </w:p>
  </w:footnote>
  <w:footnote w:id="29">
    <w:p w14:paraId="7ABDE549" w14:textId="5C121718" w:rsidR="006D76E4" w:rsidRDefault="006D76E4">
      <w:pPr>
        <w:pStyle w:val="FootnoteText"/>
      </w:pPr>
      <w:r>
        <w:rPr>
          <w:rStyle w:val="FootnoteReference"/>
        </w:rPr>
        <w:footnoteRef/>
      </w:r>
      <w:r>
        <w:t xml:space="preserve"> </w:t>
      </w:r>
      <w:r w:rsidRPr="006D76E4">
        <w:t>Note, that Trial Leads are responsible for multiple Trials, and as such the numbers in the column do not represent separate interviews.</w:t>
      </w:r>
    </w:p>
  </w:footnote>
  <w:footnote w:id="30">
    <w:p w14:paraId="66711BE7" w14:textId="6B03B2B2" w:rsidR="006D76E4" w:rsidRDefault="006D76E4">
      <w:pPr>
        <w:pStyle w:val="FootnoteText"/>
      </w:pPr>
      <w:r>
        <w:rPr>
          <w:rStyle w:val="FootnoteReference"/>
        </w:rPr>
        <w:footnoteRef/>
      </w:r>
      <w:r>
        <w:t xml:space="preserve"> </w:t>
      </w:r>
      <w:r w:rsidRPr="006D76E4">
        <w:t>The categorical variables do not have a p value</w:t>
      </w:r>
    </w:p>
  </w:footnote>
  <w:footnote w:id="31">
    <w:p w14:paraId="3FF53D1F" w14:textId="77777777" w:rsidR="008000E1" w:rsidRDefault="008000E1" w:rsidP="008000E1">
      <w:pPr>
        <w:pStyle w:val="FootnoteText"/>
      </w:pPr>
      <w:r>
        <w:rPr>
          <w:rStyle w:val="FootnoteReference"/>
        </w:rPr>
        <w:footnoteRef/>
      </w:r>
      <w:r>
        <w:t xml:space="preserve"> Active participant refers to a participant that is currently in the NDIS (i.e., they have not exited the Scheme).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028F" w14:textId="77777777" w:rsidR="00082923" w:rsidRDefault="00082923">
    <w:pPr>
      <w:pStyle w:val="Header"/>
    </w:pPr>
  </w:p>
  <w:p w14:paraId="796DEC35" w14:textId="77777777" w:rsidR="00082923" w:rsidRDefault="00082923"/>
  <w:p w14:paraId="090B994E" w14:textId="77777777" w:rsidR="00082923" w:rsidRDefault="000829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99E3" w14:textId="2360129C" w:rsidR="00082923" w:rsidRPr="000777E4" w:rsidRDefault="00082923">
    <w:pPr>
      <w:jc w:val="cent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33E1" w14:textId="1CF423AE" w:rsidR="00082923" w:rsidRPr="00C27827" w:rsidRDefault="00FC7222">
    <w:pPr>
      <w:jc w:val="center"/>
      <w:rPr>
        <w:b/>
        <w:color w:val="FF0000"/>
        <w:sz w:val="24"/>
      </w:rPr>
    </w:pPr>
    <w:r>
      <w:rPr>
        <w:noProof/>
        <w:lang w:eastAsia="en-AU"/>
      </w:rPr>
      <w:drawing>
        <wp:anchor distT="0" distB="0" distL="114300" distR="114300" simplePos="0" relativeHeight="251660288" behindDoc="1" locked="0" layoutInCell="1" allowOverlap="1" wp14:anchorId="5E53C04E" wp14:editId="093B8C5A">
          <wp:simplePos x="0" y="0"/>
          <wp:positionH relativeFrom="column">
            <wp:posOffset>-887730</wp:posOffset>
          </wp:positionH>
          <wp:positionV relativeFrom="paragraph">
            <wp:posOffset>-1414145</wp:posOffset>
          </wp:positionV>
          <wp:extent cx="8039100" cy="9839960"/>
          <wp:effectExtent l="0" t="0" r="0" b="8890"/>
          <wp:wrapNone/>
          <wp:docPr id="4" name="Picture 4" title="Cover page templ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8039100" cy="983996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99" w14:textId="77777777" w:rsidR="008D4B76" w:rsidRDefault="008D4B76">
    <w:pPr>
      <w:pStyle w:val="Header"/>
    </w:pPr>
  </w:p>
  <w:p w14:paraId="20A70E9A" w14:textId="77777777" w:rsidR="00AA6762" w:rsidRDefault="00AA6762"/>
  <w:p w14:paraId="20A70E9B" w14:textId="77777777" w:rsidR="00AA6762" w:rsidRDefault="00AA676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9C" w14:textId="13D7AA15" w:rsidR="00AA6762" w:rsidRPr="00081223" w:rsidRDefault="00AA6762" w:rsidP="00AB4CC5">
    <w:pPr>
      <w:jc w:val="center"/>
      <w:rPr>
        <w:b/>
        <w:color w:val="C00000"/>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0EA2" w14:textId="0FED481C" w:rsidR="003622D9" w:rsidRPr="00081223" w:rsidRDefault="003622D9" w:rsidP="00AB4CC5">
    <w:pPr>
      <w:jc w:val="center"/>
      <w:rPr>
        <w:b/>
        <w:color w:val="C00000"/>
        <w:sz w:val="24"/>
      </w:rPr>
    </w:pPr>
  </w:p>
  <w:p w14:paraId="20A70EA3" w14:textId="0C3E9866"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3BA3"/>
    <w:multiLevelType w:val="hybridMultilevel"/>
    <w:tmpl w:val="5D7A64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477C59"/>
    <w:multiLevelType w:val="multilevel"/>
    <w:tmpl w:val="C62888AC"/>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
      <w:pStyle w:val="ESheading3"/>
      <w:lvlText w:val="ES%3"/>
      <w:lvlJc w:val="left"/>
      <w:pPr>
        <w:ind w:left="851" w:hanging="851"/>
      </w:pPr>
      <w:rPr>
        <w:rFonts w:hint="default"/>
      </w:rPr>
    </w:lvl>
    <w:lvl w:ilvl="3">
      <w:start w:val="1"/>
      <w:numFmt w:val="none"/>
      <w:pStyle w:val="ESheading4"/>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DE30ED"/>
    <w:multiLevelType w:val="multilevel"/>
    <w:tmpl w:val="A1305BA8"/>
    <w:lvl w:ilvl="0">
      <w:start w:val="1"/>
      <w:numFmt w:val="upperLetter"/>
      <w:pStyle w:val="Appendix1"/>
      <w:lvlText w:val="Appendix %1"/>
      <w:lvlJc w:val="left"/>
      <w:pPr>
        <w:ind w:left="1134" w:hanging="1134"/>
      </w:pPr>
    </w:lvl>
    <w:lvl w:ilvl="1">
      <w:start w:val="1"/>
      <w:numFmt w:val="decimal"/>
      <w:pStyle w:val="Appendix2"/>
      <w:lvlText w:val="%1.%2"/>
      <w:lvlJc w:val="left"/>
      <w:pPr>
        <w:ind w:left="1077" w:hanging="1077"/>
      </w:pPr>
      <w:rPr>
        <w:rFonts w:hint="default"/>
      </w:rPr>
    </w:lvl>
    <w:lvl w:ilvl="2">
      <w:start w:val="1"/>
      <w:numFmt w:val="decimal"/>
      <w:pStyle w:val="Appendix3"/>
      <w:lvlText w:val="%1.%2.%3"/>
      <w:lvlJc w:val="left"/>
      <w:pPr>
        <w:ind w:left="1080" w:hanging="1080"/>
      </w:pPr>
      <w:rPr>
        <w:rFonts w:hint="default"/>
      </w:rPr>
    </w:lvl>
    <w:lvl w:ilvl="3">
      <w:start w:val="1"/>
      <w:numFmt w:val="none"/>
      <w:isLgl/>
      <w:lvlText w:val=""/>
      <w:lvlJc w:val="left"/>
      <w:pPr>
        <w:ind w:left="1440" w:hanging="1080"/>
      </w:pPr>
      <w:rPr>
        <w:rFonts w:hint="default"/>
      </w:rPr>
    </w:lvl>
    <w:lvl w:ilvl="4">
      <w:start w:val="1"/>
      <w:numFmt w:val="none"/>
      <w:lvlText w:val=""/>
      <w:lvlJc w:val="left"/>
      <w:pPr>
        <w:ind w:left="1800" w:hanging="1440"/>
      </w:pPr>
      <w:rPr>
        <w:rFonts w:hint="default"/>
      </w:rPr>
    </w:lvl>
    <w:lvl w:ilvl="5">
      <w:start w:val="1"/>
      <w:numFmt w:val="none"/>
      <w:lvlText w:val=""/>
      <w:lvlJc w:val="left"/>
      <w:pPr>
        <w:ind w:left="1800" w:hanging="1440"/>
      </w:pPr>
      <w:rPr>
        <w:rFonts w:hint="default"/>
      </w:rPr>
    </w:lvl>
    <w:lvl w:ilvl="6">
      <w:start w:val="1"/>
      <w:numFmt w:val="none"/>
      <w:lvlText w:val=""/>
      <w:lvlJc w:val="left"/>
      <w:pPr>
        <w:ind w:left="2160" w:hanging="1800"/>
      </w:pPr>
      <w:rPr>
        <w:rFonts w:hint="default"/>
      </w:rPr>
    </w:lvl>
    <w:lvl w:ilvl="7">
      <w:start w:val="1"/>
      <w:numFmt w:val="none"/>
      <w:lvlText w:val=""/>
      <w:lvlJc w:val="left"/>
      <w:pPr>
        <w:ind w:left="2520" w:hanging="2160"/>
      </w:pPr>
      <w:rPr>
        <w:rFonts w:hint="default"/>
      </w:rPr>
    </w:lvl>
    <w:lvl w:ilvl="8">
      <w:start w:val="1"/>
      <w:numFmt w:val="none"/>
      <w:lvlText w:val=""/>
      <w:lvlJc w:val="left"/>
      <w:pPr>
        <w:ind w:left="2880" w:hanging="2520"/>
      </w:pPr>
      <w:rPr>
        <w:rFonts w:hint="default"/>
      </w:rPr>
    </w:lvl>
  </w:abstractNum>
  <w:abstractNum w:abstractNumId="3" w15:restartNumberingAfterBreak="0">
    <w:nsid w:val="0FDD4EEF"/>
    <w:multiLevelType w:val="hybridMultilevel"/>
    <w:tmpl w:val="CA6C4118"/>
    <w:lvl w:ilvl="0" w:tplc="0C090001">
      <w:start w:val="1"/>
      <w:numFmt w:val="bullet"/>
      <w:lvlText w:val=""/>
      <w:lvlJc w:val="left"/>
      <w:pPr>
        <w:ind w:left="720" w:hanging="360"/>
      </w:pPr>
      <w:rPr>
        <w:rFonts w:ascii="Symbol" w:hAnsi="Symbol" w:hint="default"/>
      </w:rPr>
    </w:lvl>
    <w:lvl w:ilvl="1" w:tplc="4FC0DBAA">
      <w:numFmt w:val="bullet"/>
      <w:lvlText w:val="•"/>
      <w:lvlJc w:val="left"/>
      <w:pPr>
        <w:ind w:left="1800" w:hanging="72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587C74"/>
    <w:multiLevelType w:val="hybridMultilevel"/>
    <w:tmpl w:val="7BD06C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1D6E9F"/>
    <w:multiLevelType w:val="hybridMultilevel"/>
    <w:tmpl w:val="F9CCC4E6"/>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CC4F51"/>
    <w:multiLevelType w:val="hybridMultilevel"/>
    <w:tmpl w:val="2E1C53F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9D3E62"/>
    <w:multiLevelType w:val="hybridMultilevel"/>
    <w:tmpl w:val="CD90A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153F6E"/>
    <w:multiLevelType w:val="hybridMultilevel"/>
    <w:tmpl w:val="E68C1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EF7DFD"/>
    <w:multiLevelType w:val="hybridMultilevel"/>
    <w:tmpl w:val="54FC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6A0632"/>
    <w:multiLevelType w:val="hybridMultilevel"/>
    <w:tmpl w:val="9BCA4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756103"/>
    <w:multiLevelType w:val="hybridMultilevel"/>
    <w:tmpl w:val="D848CA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4D21379"/>
    <w:multiLevelType w:val="hybridMultilevel"/>
    <w:tmpl w:val="7BD06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3A5AB3"/>
    <w:multiLevelType w:val="hybridMultilevel"/>
    <w:tmpl w:val="ACD01F42"/>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6" w15:restartNumberingAfterBreak="0">
    <w:nsid w:val="38210B2F"/>
    <w:multiLevelType w:val="multilevel"/>
    <w:tmpl w:val="225C729E"/>
    <w:lvl w:ilvl="0">
      <w:start w:val="1"/>
      <w:numFmt w:val="decimal"/>
      <w:pStyle w:val="Heading2"/>
      <w:lvlText w:val="%1."/>
      <w:lvlJc w:val="left"/>
      <w:pPr>
        <w:ind w:left="1021" w:hanging="1021"/>
      </w:pPr>
      <w:rPr>
        <w:rFonts w:ascii="Arial" w:hAnsi="Arial" w:hint="default"/>
        <w:b/>
        <w:i w:val="0"/>
        <w:color w:val="6A2875"/>
      </w:rPr>
    </w:lvl>
    <w:lvl w:ilvl="1">
      <w:start w:val="1"/>
      <w:numFmt w:val="decimal"/>
      <w:pStyle w:val="Heading3"/>
      <w:lvlText w:val="%1.%2"/>
      <w:lvlJc w:val="left"/>
      <w:pPr>
        <w:ind w:left="1134" w:hanging="1134"/>
      </w:pPr>
      <w:rPr>
        <w:rFonts w:hint="default"/>
      </w:rPr>
    </w:lvl>
    <w:lvl w:ilvl="2">
      <w:start w:val="1"/>
      <w:numFmt w:val="decimal"/>
      <w:pStyle w:val="Heading4"/>
      <w:lvlText w:val="%1.%2.%3"/>
      <w:lvlJc w:val="left"/>
      <w:pPr>
        <w:ind w:left="1134" w:hanging="1134"/>
      </w:pPr>
      <w:rPr>
        <w:rFonts w:hint="default"/>
      </w:rPr>
    </w:lvl>
    <w:lvl w:ilvl="3">
      <w:start w:val="1"/>
      <w:numFmt w:val="none"/>
      <w:pStyle w:val="Heading5"/>
      <w:isLgl/>
      <w:lvlText w:val=""/>
      <w:lvlJc w:val="left"/>
      <w:pPr>
        <w:ind w:left="0" w:firstLine="0"/>
      </w:pPr>
      <w:rPr>
        <w:rFonts w:hint="default"/>
      </w:rPr>
    </w:lvl>
    <w:lvl w:ilvl="4">
      <w:start w:val="1"/>
      <w:numFmt w:val="none"/>
      <w:pStyle w:val="Heading6"/>
      <w:lvlText w:val=""/>
      <w:lvlJc w:val="left"/>
      <w:pPr>
        <w:ind w:left="0" w:firstLine="0"/>
      </w:pPr>
      <w:rPr>
        <w:rFonts w:hint="default"/>
      </w:rPr>
    </w:lvl>
    <w:lvl w:ilvl="5">
      <w:start w:val="1"/>
      <w:numFmt w:val="none"/>
      <w:lvlText w:val=""/>
      <w:lvlJc w:val="left"/>
      <w:pPr>
        <w:ind w:left="1021" w:hanging="1021"/>
      </w:pPr>
      <w:rPr>
        <w:rFonts w:hint="default"/>
      </w:rPr>
    </w:lvl>
    <w:lvl w:ilvl="6">
      <w:start w:val="1"/>
      <w:numFmt w:val="none"/>
      <w:lvlText w:val=""/>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17" w15:restartNumberingAfterBreak="0">
    <w:nsid w:val="3DCD27D7"/>
    <w:multiLevelType w:val="hybridMultilevel"/>
    <w:tmpl w:val="17846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FF5AB3"/>
    <w:multiLevelType w:val="hybridMultilevel"/>
    <w:tmpl w:val="8ABCE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EC205D"/>
    <w:multiLevelType w:val="hybridMultilevel"/>
    <w:tmpl w:val="7BD06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1A008A"/>
    <w:multiLevelType w:val="hybridMultilevel"/>
    <w:tmpl w:val="A9301B6E"/>
    <w:lvl w:ilvl="0" w:tplc="82846974">
      <w:numFmt w:val="bullet"/>
      <w:lvlText w:val="•"/>
      <w:lvlJc w:val="left"/>
      <w:pPr>
        <w:ind w:left="720" w:hanging="360"/>
      </w:pPr>
      <w:rPr>
        <w:rFonts w:ascii="Arial" w:eastAsiaTheme="minorEastAsia"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366E13"/>
    <w:multiLevelType w:val="hybridMultilevel"/>
    <w:tmpl w:val="27BA9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EB6664"/>
    <w:multiLevelType w:val="hybridMultilevel"/>
    <w:tmpl w:val="9B9E64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F00238"/>
    <w:multiLevelType w:val="hybridMultilevel"/>
    <w:tmpl w:val="EE76D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E2771A"/>
    <w:multiLevelType w:val="hybridMultilevel"/>
    <w:tmpl w:val="D744E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4850AC"/>
    <w:multiLevelType w:val="hybridMultilevel"/>
    <w:tmpl w:val="3970F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1F2FA8"/>
    <w:multiLevelType w:val="hybridMultilevel"/>
    <w:tmpl w:val="2B2CA2FE"/>
    <w:lvl w:ilvl="0" w:tplc="0C090001">
      <w:start w:val="1"/>
      <w:numFmt w:val="bullet"/>
      <w:lvlText w:val=""/>
      <w:lvlJc w:val="left"/>
      <w:pPr>
        <w:ind w:left="720" w:hanging="360"/>
      </w:pPr>
      <w:rPr>
        <w:rFonts w:ascii="Symbol" w:hAnsi="Symbol" w:hint="default"/>
      </w:rPr>
    </w:lvl>
    <w:lvl w:ilvl="1" w:tplc="84F63610">
      <w:numFmt w:val="bullet"/>
      <w:lvlText w:val="•"/>
      <w:lvlJc w:val="left"/>
      <w:pPr>
        <w:ind w:left="1800" w:hanging="720"/>
      </w:pPr>
      <w:rPr>
        <w:rFonts w:ascii="Arial" w:eastAsiaTheme="minorEastAsia"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C45E1C"/>
    <w:multiLevelType w:val="hybridMultilevel"/>
    <w:tmpl w:val="614879A0"/>
    <w:lvl w:ilvl="0" w:tplc="0C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5164EEA"/>
    <w:multiLevelType w:val="hybridMultilevel"/>
    <w:tmpl w:val="AA32B6A0"/>
    <w:lvl w:ilvl="0" w:tplc="98880496">
      <w:start w:val="1"/>
      <w:numFmt w:val="bullet"/>
      <w:pStyle w:val="ListParagraph"/>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BF275EE"/>
    <w:multiLevelType w:val="hybridMultilevel"/>
    <w:tmpl w:val="0846C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EB30D6"/>
    <w:multiLevelType w:val="hybridMultilevel"/>
    <w:tmpl w:val="21725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6B383E"/>
    <w:multiLevelType w:val="hybridMultilevel"/>
    <w:tmpl w:val="AF5C0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DA57E6C"/>
    <w:multiLevelType w:val="hybridMultilevel"/>
    <w:tmpl w:val="B6F2F14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3" w15:restartNumberingAfterBreak="0">
    <w:nsid w:val="7E2D63F0"/>
    <w:multiLevelType w:val="hybridMultilevel"/>
    <w:tmpl w:val="08806CBE"/>
    <w:lvl w:ilvl="0" w:tplc="3A94BA64">
      <w:start w:val="1"/>
      <w:numFmt w:val="bullet"/>
      <w:pStyle w:val="Bulletlis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378469">
    <w:abstractNumId w:val="14"/>
  </w:num>
  <w:num w:numId="2" w16cid:durableId="1498694949">
    <w:abstractNumId w:val="20"/>
  </w:num>
  <w:num w:numId="3" w16cid:durableId="15316517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8505519">
    <w:abstractNumId w:val="2"/>
  </w:num>
  <w:num w:numId="5" w16cid:durableId="1005133331">
    <w:abstractNumId w:val="28"/>
  </w:num>
  <w:num w:numId="6" w16cid:durableId="1912882647">
    <w:abstractNumId w:val="0"/>
  </w:num>
  <w:num w:numId="7" w16cid:durableId="1411848179">
    <w:abstractNumId w:val="23"/>
  </w:num>
  <w:num w:numId="8" w16cid:durableId="231015165">
    <w:abstractNumId w:val="9"/>
  </w:num>
  <w:num w:numId="9" w16cid:durableId="1089885683">
    <w:abstractNumId w:val="32"/>
  </w:num>
  <w:num w:numId="10" w16cid:durableId="938676941">
    <w:abstractNumId w:val="33"/>
  </w:num>
  <w:num w:numId="11" w16cid:durableId="1696534554">
    <w:abstractNumId w:val="26"/>
  </w:num>
  <w:num w:numId="12" w16cid:durableId="2089183391">
    <w:abstractNumId w:val="29"/>
  </w:num>
  <w:num w:numId="13" w16cid:durableId="990449814">
    <w:abstractNumId w:val="11"/>
  </w:num>
  <w:num w:numId="14" w16cid:durableId="210727126">
    <w:abstractNumId w:val="4"/>
  </w:num>
  <w:num w:numId="15" w16cid:durableId="1159930997">
    <w:abstractNumId w:val="13"/>
  </w:num>
  <w:num w:numId="16" w16cid:durableId="620693058">
    <w:abstractNumId w:val="12"/>
  </w:num>
  <w:num w:numId="17" w16cid:durableId="1038431974">
    <w:abstractNumId w:val="19"/>
  </w:num>
  <w:num w:numId="18" w16cid:durableId="658769788">
    <w:abstractNumId w:val="22"/>
  </w:num>
  <w:num w:numId="19" w16cid:durableId="1221552591">
    <w:abstractNumId w:val="1"/>
  </w:num>
  <w:num w:numId="20" w16cid:durableId="135148407">
    <w:abstractNumId w:val="6"/>
  </w:num>
  <w:num w:numId="21" w16cid:durableId="1942569581">
    <w:abstractNumId w:val="7"/>
  </w:num>
  <w:num w:numId="22" w16cid:durableId="65107348">
    <w:abstractNumId w:val="30"/>
  </w:num>
  <w:num w:numId="23" w16cid:durableId="1907446898">
    <w:abstractNumId w:val="25"/>
  </w:num>
  <w:num w:numId="24" w16cid:durableId="996030435">
    <w:abstractNumId w:val="15"/>
  </w:num>
  <w:num w:numId="25" w16cid:durableId="1505390337">
    <w:abstractNumId w:val="33"/>
  </w:num>
  <w:num w:numId="26" w16cid:durableId="1428187261">
    <w:abstractNumId w:val="21"/>
  </w:num>
  <w:num w:numId="27" w16cid:durableId="928737857">
    <w:abstractNumId w:val="27"/>
  </w:num>
  <w:num w:numId="28" w16cid:durableId="10791823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1854276">
    <w:abstractNumId w:val="3"/>
  </w:num>
  <w:num w:numId="30" w16cid:durableId="631322849">
    <w:abstractNumId w:val="24"/>
  </w:num>
  <w:num w:numId="31" w16cid:durableId="655188549">
    <w:abstractNumId w:val="17"/>
  </w:num>
  <w:num w:numId="32" w16cid:durableId="2093696058">
    <w:abstractNumId w:val="8"/>
  </w:num>
  <w:num w:numId="33" w16cid:durableId="957833547">
    <w:abstractNumId w:val="10"/>
  </w:num>
  <w:num w:numId="34" w16cid:durableId="16145079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4406753">
    <w:abstractNumId w:val="31"/>
  </w:num>
  <w:num w:numId="36" w16cid:durableId="769543182">
    <w:abstractNumId w:val="5"/>
  </w:num>
  <w:num w:numId="37" w16cid:durableId="1369375747">
    <w:abstractNumId w:val="16"/>
  </w:num>
  <w:num w:numId="38" w16cid:durableId="618339318">
    <w:abstractNumId w:val="18"/>
  </w:num>
  <w:num w:numId="39" w16cid:durableId="81075670">
    <w:abstractNumId w:val="33"/>
  </w:num>
  <w:num w:numId="40" w16cid:durableId="459422393">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06"/>
    <w:rsid w:val="00001DDD"/>
    <w:rsid w:val="00001F5B"/>
    <w:rsid w:val="000020D6"/>
    <w:rsid w:val="000020F6"/>
    <w:rsid w:val="0000248B"/>
    <w:rsid w:val="000037C7"/>
    <w:rsid w:val="00004348"/>
    <w:rsid w:val="0000439D"/>
    <w:rsid w:val="00004434"/>
    <w:rsid w:val="0000470C"/>
    <w:rsid w:val="00004928"/>
    <w:rsid w:val="00004B5D"/>
    <w:rsid w:val="00004B9A"/>
    <w:rsid w:val="00004C57"/>
    <w:rsid w:val="00005F23"/>
    <w:rsid w:val="00006149"/>
    <w:rsid w:val="00006921"/>
    <w:rsid w:val="000075B0"/>
    <w:rsid w:val="000075D8"/>
    <w:rsid w:val="00007609"/>
    <w:rsid w:val="00007BC3"/>
    <w:rsid w:val="000102B6"/>
    <w:rsid w:val="00010BAB"/>
    <w:rsid w:val="00010C0B"/>
    <w:rsid w:val="00010F5A"/>
    <w:rsid w:val="000117B1"/>
    <w:rsid w:val="000123D6"/>
    <w:rsid w:val="00012C6F"/>
    <w:rsid w:val="00012E7D"/>
    <w:rsid w:val="00013317"/>
    <w:rsid w:val="00013E99"/>
    <w:rsid w:val="00014143"/>
    <w:rsid w:val="0001418D"/>
    <w:rsid w:val="00014298"/>
    <w:rsid w:val="000147D5"/>
    <w:rsid w:val="00014A6F"/>
    <w:rsid w:val="00014CEE"/>
    <w:rsid w:val="0001515A"/>
    <w:rsid w:val="00015285"/>
    <w:rsid w:val="00015A89"/>
    <w:rsid w:val="00015B04"/>
    <w:rsid w:val="00015D48"/>
    <w:rsid w:val="00015E73"/>
    <w:rsid w:val="000170FD"/>
    <w:rsid w:val="00017E55"/>
    <w:rsid w:val="000200FE"/>
    <w:rsid w:val="000203CF"/>
    <w:rsid w:val="00020B5C"/>
    <w:rsid w:val="00020C7A"/>
    <w:rsid w:val="00020E6D"/>
    <w:rsid w:val="000214DA"/>
    <w:rsid w:val="0002204B"/>
    <w:rsid w:val="0002214A"/>
    <w:rsid w:val="0002215F"/>
    <w:rsid w:val="000226E2"/>
    <w:rsid w:val="00022C5B"/>
    <w:rsid w:val="00022E66"/>
    <w:rsid w:val="00023257"/>
    <w:rsid w:val="00023556"/>
    <w:rsid w:val="00023660"/>
    <w:rsid w:val="00023F5A"/>
    <w:rsid w:val="00024BC3"/>
    <w:rsid w:val="00024E2E"/>
    <w:rsid w:val="00024F7F"/>
    <w:rsid w:val="000250C6"/>
    <w:rsid w:val="000264D9"/>
    <w:rsid w:val="00026B0E"/>
    <w:rsid w:val="00026F0E"/>
    <w:rsid w:val="00027422"/>
    <w:rsid w:val="000274C4"/>
    <w:rsid w:val="0002779B"/>
    <w:rsid w:val="000277D6"/>
    <w:rsid w:val="00027D6D"/>
    <w:rsid w:val="0003012E"/>
    <w:rsid w:val="000305FC"/>
    <w:rsid w:val="00030BEA"/>
    <w:rsid w:val="00031493"/>
    <w:rsid w:val="00031C9B"/>
    <w:rsid w:val="00032609"/>
    <w:rsid w:val="00032B93"/>
    <w:rsid w:val="00032F35"/>
    <w:rsid w:val="0003311E"/>
    <w:rsid w:val="00033257"/>
    <w:rsid w:val="00033A54"/>
    <w:rsid w:val="00034249"/>
    <w:rsid w:val="00034447"/>
    <w:rsid w:val="000348A2"/>
    <w:rsid w:val="00034FB3"/>
    <w:rsid w:val="00035B8E"/>
    <w:rsid w:val="00035E18"/>
    <w:rsid w:val="000361CC"/>
    <w:rsid w:val="0003729F"/>
    <w:rsid w:val="00037F56"/>
    <w:rsid w:val="00041ECF"/>
    <w:rsid w:val="00042624"/>
    <w:rsid w:val="0004271D"/>
    <w:rsid w:val="00042D25"/>
    <w:rsid w:val="00042E10"/>
    <w:rsid w:val="00043A2C"/>
    <w:rsid w:val="00043F11"/>
    <w:rsid w:val="00044693"/>
    <w:rsid w:val="00044D21"/>
    <w:rsid w:val="00044D97"/>
    <w:rsid w:val="00044E9A"/>
    <w:rsid w:val="0004599D"/>
    <w:rsid w:val="00045CB9"/>
    <w:rsid w:val="000460AD"/>
    <w:rsid w:val="00046A70"/>
    <w:rsid w:val="00046B2D"/>
    <w:rsid w:val="0004715D"/>
    <w:rsid w:val="00047922"/>
    <w:rsid w:val="00047E12"/>
    <w:rsid w:val="00051718"/>
    <w:rsid w:val="00051CF9"/>
    <w:rsid w:val="0005233B"/>
    <w:rsid w:val="00052807"/>
    <w:rsid w:val="000529B2"/>
    <w:rsid w:val="00052C14"/>
    <w:rsid w:val="00052E5B"/>
    <w:rsid w:val="00053B43"/>
    <w:rsid w:val="00054133"/>
    <w:rsid w:val="00054146"/>
    <w:rsid w:val="00055822"/>
    <w:rsid w:val="00055ECC"/>
    <w:rsid w:val="000561E7"/>
    <w:rsid w:val="0005673C"/>
    <w:rsid w:val="00056A45"/>
    <w:rsid w:val="00056C93"/>
    <w:rsid w:val="00057017"/>
    <w:rsid w:val="00057AF6"/>
    <w:rsid w:val="00057B00"/>
    <w:rsid w:val="00057C15"/>
    <w:rsid w:val="0006027F"/>
    <w:rsid w:val="0006057E"/>
    <w:rsid w:val="00060BF3"/>
    <w:rsid w:val="00060D4B"/>
    <w:rsid w:val="00061249"/>
    <w:rsid w:val="00061281"/>
    <w:rsid w:val="0006222D"/>
    <w:rsid w:val="000629E6"/>
    <w:rsid w:val="00062CF9"/>
    <w:rsid w:val="00062ECB"/>
    <w:rsid w:val="000631D3"/>
    <w:rsid w:val="0006370B"/>
    <w:rsid w:val="0006395B"/>
    <w:rsid w:val="00063BB0"/>
    <w:rsid w:val="00063BB3"/>
    <w:rsid w:val="00063E6D"/>
    <w:rsid w:val="00064E16"/>
    <w:rsid w:val="00065975"/>
    <w:rsid w:val="00065D18"/>
    <w:rsid w:val="00065E5A"/>
    <w:rsid w:val="000660E0"/>
    <w:rsid w:val="00066188"/>
    <w:rsid w:val="000669BB"/>
    <w:rsid w:val="00066F33"/>
    <w:rsid w:val="0006723E"/>
    <w:rsid w:val="00067555"/>
    <w:rsid w:val="0006797F"/>
    <w:rsid w:val="00067C2C"/>
    <w:rsid w:val="00067CCD"/>
    <w:rsid w:val="000701E5"/>
    <w:rsid w:val="000704EE"/>
    <w:rsid w:val="000708E0"/>
    <w:rsid w:val="00070B38"/>
    <w:rsid w:val="00070DF2"/>
    <w:rsid w:val="000710D8"/>
    <w:rsid w:val="00071328"/>
    <w:rsid w:val="00072130"/>
    <w:rsid w:val="00072426"/>
    <w:rsid w:val="00072B81"/>
    <w:rsid w:val="00072C42"/>
    <w:rsid w:val="000732AF"/>
    <w:rsid w:val="0007339B"/>
    <w:rsid w:val="0007386D"/>
    <w:rsid w:val="00073D0D"/>
    <w:rsid w:val="00073D2E"/>
    <w:rsid w:val="00073DC2"/>
    <w:rsid w:val="0007426F"/>
    <w:rsid w:val="00074961"/>
    <w:rsid w:val="00074A2B"/>
    <w:rsid w:val="00074CEF"/>
    <w:rsid w:val="0007536A"/>
    <w:rsid w:val="00075873"/>
    <w:rsid w:val="00075B8A"/>
    <w:rsid w:val="00075EC5"/>
    <w:rsid w:val="00076EA7"/>
    <w:rsid w:val="0007790B"/>
    <w:rsid w:val="000779BA"/>
    <w:rsid w:val="00077E5C"/>
    <w:rsid w:val="00077F09"/>
    <w:rsid w:val="00080808"/>
    <w:rsid w:val="00080882"/>
    <w:rsid w:val="000809DF"/>
    <w:rsid w:val="00080A47"/>
    <w:rsid w:val="00080C12"/>
    <w:rsid w:val="0008115C"/>
    <w:rsid w:val="00081223"/>
    <w:rsid w:val="00081598"/>
    <w:rsid w:val="00081992"/>
    <w:rsid w:val="00081DC3"/>
    <w:rsid w:val="00082311"/>
    <w:rsid w:val="00082923"/>
    <w:rsid w:val="00082C48"/>
    <w:rsid w:val="00082C6B"/>
    <w:rsid w:val="00082F75"/>
    <w:rsid w:val="00083212"/>
    <w:rsid w:val="0008341D"/>
    <w:rsid w:val="00083A7A"/>
    <w:rsid w:val="00083BC2"/>
    <w:rsid w:val="000841B5"/>
    <w:rsid w:val="00084814"/>
    <w:rsid w:val="000848C1"/>
    <w:rsid w:val="00084E13"/>
    <w:rsid w:val="00085974"/>
    <w:rsid w:val="00085F48"/>
    <w:rsid w:val="00085F80"/>
    <w:rsid w:val="000864DA"/>
    <w:rsid w:val="0008672D"/>
    <w:rsid w:val="00086835"/>
    <w:rsid w:val="00086A24"/>
    <w:rsid w:val="00086A95"/>
    <w:rsid w:val="000871CE"/>
    <w:rsid w:val="000872AE"/>
    <w:rsid w:val="00087733"/>
    <w:rsid w:val="000903AF"/>
    <w:rsid w:val="00090D36"/>
    <w:rsid w:val="00091145"/>
    <w:rsid w:val="00091949"/>
    <w:rsid w:val="00091AE0"/>
    <w:rsid w:val="00092459"/>
    <w:rsid w:val="00092583"/>
    <w:rsid w:val="00092C5E"/>
    <w:rsid w:val="00092E79"/>
    <w:rsid w:val="00092FAA"/>
    <w:rsid w:val="00093056"/>
    <w:rsid w:val="0009370E"/>
    <w:rsid w:val="0009370F"/>
    <w:rsid w:val="00094D45"/>
    <w:rsid w:val="00094D58"/>
    <w:rsid w:val="00094F39"/>
    <w:rsid w:val="00095B5B"/>
    <w:rsid w:val="00096437"/>
    <w:rsid w:val="00096641"/>
    <w:rsid w:val="000966E0"/>
    <w:rsid w:val="00096FC3"/>
    <w:rsid w:val="00097A35"/>
    <w:rsid w:val="00097C79"/>
    <w:rsid w:val="00097F71"/>
    <w:rsid w:val="000A0088"/>
    <w:rsid w:val="000A177C"/>
    <w:rsid w:val="000A1BAC"/>
    <w:rsid w:val="000A2118"/>
    <w:rsid w:val="000A21FD"/>
    <w:rsid w:val="000A270F"/>
    <w:rsid w:val="000A39AD"/>
    <w:rsid w:val="000A40D5"/>
    <w:rsid w:val="000A4A70"/>
    <w:rsid w:val="000A4B92"/>
    <w:rsid w:val="000A50D0"/>
    <w:rsid w:val="000A5DA6"/>
    <w:rsid w:val="000A5E61"/>
    <w:rsid w:val="000A6901"/>
    <w:rsid w:val="000A6A93"/>
    <w:rsid w:val="000A71FB"/>
    <w:rsid w:val="000A72C2"/>
    <w:rsid w:val="000A7A29"/>
    <w:rsid w:val="000A7CF2"/>
    <w:rsid w:val="000A7E35"/>
    <w:rsid w:val="000B00C2"/>
    <w:rsid w:val="000B1AF5"/>
    <w:rsid w:val="000B26C6"/>
    <w:rsid w:val="000B28EA"/>
    <w:rsid w:val="000B2B00"/>
    <w:rsid w:val="000B2EA4"/>
    <w:rsid w:val="000B31D7"/>
    <w:rsid w:val="000B3911"/>
    <w:rsid w:val="000B3C5F"/>
    <w:rsid w:val="000B4C96"/>
    <w:rsid w:val="000B535F"/>
    <w:rsid w:val="000B59A3"/>
    <w:rsid w:val="000B5B9C"/>
    <w:rsid w:val="000B667C"/>
    <w:rsid w:val="000B724B"/>
    <w:rsid w:val="000B7467"/>
    <w:rsid w:val="000B76CC"/>
    <w:rsid w:val="000B76DB"/>
    <w:rsid w:val="000B785D"/>
    <w:rsid w:val="000B79CB"/>
    <w:rsid w:val="000B7B63"/>
    <w:rsid w:val="000B7DCF"/>
    <w:rsid w:val="000C151E"/>
    <w:rsid w:val="000C169A"/>
    <w:rsid w:val="000C17F0"/>
    <w:rsid w:val="000C2676"/>
    <w:rsid w:val="000C2E48"/>
    <w:rsid w:val="000C3A15"/>
    <w:rsid w:val="000C3B7C"/>
    <w:rsid w:val="000C416B"/>
    <w:rsid w:val="000C4622"/>
    <w:rsid w:val="000C51F3"/>
    <w:rsid w:val="000C545F"/>
    <w:rsid w:val="000C5BA6"/>
    <w:rsid w:val="000C642B"/>
    <w:rsid w:val="000C6738"/>
    <w:rsid w:val="000C6A78"/>
    <w:rsid w:val="000C6F25"/>
    <w:rsid w:val="000C7A47"/>
    <w:rsid w:val="000C7C82"/>
    <w:rsid w:val="000C7E2D"/>
    <w:rsid w:val="000C7EAB"/>
    <w:rsid w:val="000D0930"/>
    <w:rsid w:val="000D0CFD"/>
    <w:rsid w:val="000D0D5B"/>
    <w:rsid w:val="000D0F6B"/>
    <w:rsid w:val="000D1945"/>
    <w:rsid w:val="000D1E6C"/>
    <w:rsid w:val="000D2B37"/>
    <w:rsid w:val="000D2F8D"/>
    <w:rsid w:val="000D34D0"/>
    <w:rsid w:val="000D39CA"/>
    <w:rsid w:val="000D3EE5"/>
    <w:rsid w:val="000D4928"/>
    <w:rsid w:val="000D4BDF"/>
    <w:rsid w:val="000D5068"/>
    <w:rsid w:val="000D5149"/>
    <w:rsid w:val="000D55D7"/>
    <w:rsid w:val="000D5617"/>
    <w:rsid w:val="000D5AA2"/>
    <w:rsid w:val="000D5B2D"/>
    <w:rsid w:val="000D5F0A"/>
    <w:rsid w:val="000D5FC3"/>
    <w:rsid w:val="000D6A74"/>
    <w:rsid w:val="000D6B48"/>
    <w:rsid w:val="000D6D51"/>
    <w:rsid w:val="000D6DD6"/>
    <w:rsid w:val="000D79C5"/>
    <w:rsid w:val="000D7F87"/>
    <w:rsid w:val="000E0225"/>
    <w:rsid w:val="000E0978"/>
    <w:rsid w:val="000E0B28"/>
    <w:rsid w:val="000E16F3"/>
    <w:rsid w:val="000E1744"/>
    <w:rsid w:val="000E1907"/>
    <w:rsid w:val="000E1DD9"/>
    <w:rsid w:val="000E1F69"/>
    <w:rsid w:val="000E1F73"/>
    <w:rsid w:val="000E2013"/>
    <w:rsid w:val="000E2174"/>
    <w:rsid w:val="000E336A"/>
    <w:rsid w:val="000E4491"/>
    <w:rsid w:val="000E463F"/>
    <w:rsid w:val="000E4B95"/>
    <w:rsid w:val="000E4B9F"/>
    <w:rsid w:val="000E55DF"/>
    <w:rsid w:val="000E62A4"/>
    <w:rsid w:val="000E62B3"/>
    <w:rsid w:val="000E6513"/>
    <w:rsid w:val="000E6DAB"/>
    <w:rsid w:val="000E6ED5"/>
    <w:rsid w:val="000E74D8"/>
    <w:rsid w:val="000E7808"/>
    <w:rsid w:val="000E79CC"/>
    <w:rsid w:val="000E7EA5"/>
    <w:rsid w:val="000F1133"/>
    <w:rsid w:val="000F120F"/>
    <w:rsid w:val="000F1684"/>
    <w:rsid w:val="000F1C31"/>
    <w:rsid w:val="000F2144"/>
    <w:rsid w:val="000F2591"/>
    <w:rsid w:val="000F28B1"/>
    <w:rsid w:val="000F2999"/>
    <w:rsid w:val="000F2B4B"/>
    <w:rsid w:val="000F2D74"/>
    <w:rsid w:val="000F4973"/>
    <w:rsid w:val="000F49F9"/>
    <w:rsid w:val="000F4DC9"/>
    <w:rsid w:val="000F5300"/>
    <w:rsid w:val="000F6074"/>
    <w:rsid w:val="000F60D3"/>
    <w:rsid w:val="000F73A2"/>
    <w:rsid w:val="000F7415"/>
    <w:rsid w:val="000F74F9"/>
    <w:rsid w:val="000F77E3"/>
    <w:rsid w:val="000F7C4C"/>
    <w:rsid w:val="00101173"/>
    <w:rsid w:val="001011BE"/>
    <w:rsid w:val="0010197A"/>
    <w:rsid w:val="00101AA9"/>
    <w:rsid w:val="00101E52"/>
    <w:rsid w:val="001020CE"/>
    <w:rsid w:val="001022AE"/>
    <w:rsid w:val="0010249C"/>
    <w:rsid w:val="00102674"/>
    <w:rsid w:val="00102A80"/>
    <w:rsid w:val="00102BAB"/>
    <w:rsid w:val="00102D25"/>
    <w:rsid w:val="00103B27"/>
    <w:rsid w:val="00103C85"/>
    <w:rsid w:val="001041F2"/>
    <w:rsid w:val="001048E0"/>
    <w:rsid w:val="00104FC2"/>
    <w:rsid w:val="00105B7A"/>
    <w:rsid w:val="00105DCD"/>
    <w:rsid w:val="00106317"/>
    <w:rsid w:val="001074B4"/>
    <w:rsid w:val="00107886"/>
    <w:rsid w:val="001078FD"/>
    <w:rsid w:val="0010798B"/>
    <w:rsid w:val="0011018A"/>
    <w:rsid w:val="00110345"/>
    <w:rsid w:val="00110CB9"/>
    <w:rsid w:val="0011140A"/>
    <w:rsid w:val="00111D46"/>
    <w:rsid w:val="001120DC"/>
    <w:rsid w:val="0011280B"/>
    <w:rsid w:val="0011290F"/>
    <w:rsid w:val="00112D12"/>
    <w:rsid w:val="00113147"/>
    <w:rsid w:val="001142A4"/>
    <w:rsid w:val="0011479A"/>
    <w:rsid w:val="00114EA6"/>
    <w:rsid w:val="0011558E"/>
    <w:rsid w:val="001156EB"/>
    <w:rsid w:val="001158E0"/>
    <w:rsid w:val="00115DA1"/>
    <w:rsid w:val="00115EE7"/>
    <w:rsid w:val="001168AC"/>
    <w:rsid w:val="00116FCE"/>
    <w:rsid w:val="0011732C"/>
    <w:rsid w:val="001202F6"/>
    <w:rsid w:val="0012043F"/>
    <w:rsid w:val="00120633"/>
    <w:rsid w:val="00120E55"/>
    <w:rsid w:val="00120E7A"/>
    <w:rsid w:val="00121251"/>
    <w:rsid w:val="00121CA7"/>
    <w:rsid w:val="00122184"/>
    <w:rsid w:val="001227FA"/>
    <w:rsid w:val="00122893"/>
    <w:rsid w:val="001238DB"/>
    <w:rsid w:val="00123E21"/>
    <w:rsid w:val="00124214"/>
    <w:rsid w:val="00124B52"/>
    <w:rsid w:val="00124F2E"/>
    <w:rsid w:val="00125160"/>
    <w:rsid w:val="0012531C"/>
    <w:rsid w:val="00125378"/>
    <w:rsid w:val="00125656"/>
    <w:rsid w:val="00125C8B"/>
    <w:rsid w:val="00125D62"/>
    <w:rsid w:val="00126081"/>
    <w:rsid w:val="001264AD"/>
    <w:rsid w:val="00126690"/>
    <w:rsid w:val="001268A4"/>
    <w:rsid w:val="00126C28"/>
    <w:rsid w:val="00126C86"/>
    <w:rsid w:val="00126D45"/>
    <w:rsid w:val="00127EA8"/>
    <w:rsid w:val="0013035E"/>
    <w:rsid w:val="00130739"/>
    <w:rsid w:val="001309DA"/>
    <w:rsid w:val="00130E19"/>
    <w:rsid w:val="00131B99"/>
    <w:rsid w:val="00132DB7"/>
    <w:rsid w:val="00133A27"/>
    <w:rsid w:val="00133C77"/>
    <w:rsid w:val="001343A7"/>
    <w:rsid w:val="00134863"/>
    <w:rsid w:val="00135127"/>
    <w:rsid w:val="00135B09"/>
    <w:rsid w:val="00135FC6"/>
    <w:rsid w:val="001369BF"/>
    <w:rsid w:val="00136BDA"/>
    <w:rsid w:val="0013718B"/>
    <w:rsid w:val="00137259"/>
    <w:rsid w:val="00137415"/>
    <w:rsid w:val="0013789F"/>
    <w:rsid w:val="00137BAA"/>
    <w:rsid w:val="00137E19"/>
    <w:rsid w:val="00137EA2"/>
    <w:rsid w:val="001402B8"/>
    <w:rsid w:val="001402C0"/>
    <w:rsid w:val="0014030B"/>
    <w:rsid w:val="0014072C"/>
    <w:rsid w:val="001410FF"/>
    <w:rsid w:val="001412AA"/>
    <w:rsid w:val="001417D9"/>
    <w:rsid w:val="00141B66"/>
    <w:rsid w:val="00141DAD"/>
    <w:rsid w:val="0014207A"/>
    <w:rsid w:val="001424E2"/>
    <w:rsid w:val="001425FB"/>
    <w:rsid w:val="00142863"/>
    <w:rsid w:val="00142CC6"/>
    <w:rsid w:val="0014312C"/>
    <w:rsid w:val="001435D9"/>
    <w:rsid w:val="00143600"/>
    <w:rsid w:val="001443B4"/>
    <w:rsid w:val="00144913"/>
    <w:rsid w:val="00145029"/>
    <w:rsid w:val="0014524D"/>
    <w:rsid w:val="001453AF"/>
    <w:rsid w:val="001454DA"/>
    <w:rsid w:val="00146742"/>
    <w:rsid w:val="0014677E"/>
    <w:rsid w:val="00146803"/>
    <w:rsid w:val="00146CD3"/>
    <w:rsid w:val="00146E42"/>
    <w:rsid w:val="00146F54"/>
    <w:rsid w:val="001471EB"/>
    <w:rsid w:val="00147581"/>
    <w:rsid w:val="00147E5C"/>
    <w:rsid w:val="00147FA0"/>
    <w:rsid w:val="001506EB"/>
    <w:rsid w:val="00150884"/>
    <w:rsid w:val="00150AB9"/>
    <w:rsid w:val="00150CA6"/>
    <w:rsid w:val="001516E3"/>
    <w:rsid w:val="0015210E"/>
    <w:rsid w:val="001526C6"/>
    <w:rsid w:val="00152BE2"/>
    <w:rsid w:val="0015406F"/>
    <w:rsid w:val="00154074"/>
    <w:rsid w:val="001540BB"/>
    <w:rsid w:val="0015436B"/>
    <w:rsid w:val="00154771"/>
    <w:rsid w:val="0015502C"/>
    <w:rsid w:val="00155092"/>
    <w:rsid w:val="00155194"/>
    <w:rsid w:val="00155989"/>
    <w:rsid w:val="00155FE8"/>
    <w:rsid w:val="0015637E"/>
    <w:rsid w:val="001566D9"/>
    <w:rsid w:val="00156B84"/>
    <w:rsid w:val="001570F9"/>
    <w:rsid w:val="00157C14"/>
    <w:rsid w:val="00160202"/>
    <w:rsid w:val="0016055C"/>
    <w:rsid w:val="001608DA"/>
    <w:rsid w:val="00161181"/>
    <w:rsid w:val="001617C0"/>
    <w:rsid w:val="001620CE"/>
    <w:rsid w:val="00163771"/>
    <w:rsid w:val="001652DE"/>
    <w:rsid w:val="001659D8"/>
    <w:rsid w:val="001665A1"/>
    <w:rsid w:val="001677EF"/>
    <w:rsid w:val="00167B0F"/>
    <w:rsid w:val="00167EC0"/>
    <w:rsid w:val="00170027"/>
    <w:rsid w:val="00170963"/>
    <w:rsid w:val="00170B3A"/>
    <w:rsid w:val="00170EAB"/>
    <w:rsid w:val="0017144A"/>
    <w:rsid w:val="00171A34"/>
    <w:rsid w:val="0017240F"/>
    <w:rsid w:val="00172740"/>
    <w:rsid w:val="00172FE5"/>
    <w:rsid w:val="0017308A"/>
    <w:rsid w:val="001732A9"/>
    <w:rsid w:val="001733BC"/>
    <w:rsid w:val="00173E1C"/>
    <w:rsid w:val="00174275"/>
    <w:rsid w:val="001747EA"/>
    <w:rsid w:val="00174AD3"/>
    <w:rsid w:val="00174F78"/>
    <w:rsid w:val="00175473"/>
    <w:rsid w:val="0017602B"/>
    <w:rsid w:val="00176801"/>
    <w:rsid w:val="00176FBC"/>
    <w:rsid w:val="001772C5"/>
    <w:rsid w:val="001776C4"/>
    <w:rsid w:val="00177DC5"/>
    <w:rsid w:val="00180D51"/>
    <w:rsid w:val="00180DE5"/>
    <w:rsid w:val="00181199"/>
    <w:rsid w:val="00181270"/>
    <w:rsid w:val="00181531"/>
    <w:rsid w:val="00181B86"/>
    <w:rsid w:val="00181C70"/>
    <w:rsid w:val="00183223"/>
    <w:rsid w:val="0018378F"/>
    <w:rsid w:val="0018391B"/>
    <w:rsid w:val="00183B9A"/>
    <w:rsid w:val="00183D88"/>
    <w:rsid w:val="00184688"/>
    <w:rsid w:val="00184906"/>
    <w:rsid w:val="00184D0F"/>
    <w:rsid w:val="00184EE0"/>
    <w:rsid w:val="001857E9"/>
    <w:rsid w:val="001863FF"/>
    <w:rsid w:val="00186A2D"/>
    <w:rsid w:val="00187EA6"/>
    <w:rsid w:val="00190AF1"/>
    <w:rsid w:val="00190CA7"/>
    <w:rsid w:val="00190F9C"/>
    <w:rsid w:val="00191E94"/>
    <w:rsid w:val="00192904"/>
    <w:rsid w:val="00192C77"/>
    <w:rsid w:val="00192DF4"/>
    <w:rsid w:val="00192EAA"/>
    <w:rsid w:val="00193234"/>
    <w:rsid w:val="001936BC"/>
    <w:rsid w:val="001939DF"/>
    <w:rsid w:val="00196AA9"/>
    <w:rsid w:val="00196BB3"/>
    <w:rsid w:val="00196E6C"/>
    <w:rsid w:val="00197331"/>
    <w:rsid w:val="001976E2"/>
    <w:rsid w:val="001A002C"/>
    <w:rsid w:val="001A02B2"/>
    <w:rsid w:val="001A07A8"/>
    <w:rsid w:val="001A110F"/>
    <w:rsid w:val="001A1338"/>
    <w:rsid w:val="001A1595"/>
    <w:rsid w:val="001A15AB"/>
    <w:rsid w:val="001A1628"/>
    <w:rsid w:val="001A1D90"/>
    <w:rsid w:val="001A20AE"/>
    <w:rsid w:val="001A2CD9"/>
    <w:rsid w:val="001A2D7E"/>
    <w:rsid w:val="001A2E56"/>
    <w:rsid w:val="001A32DB"/>
    <w:rsid w:val="001A3533"/>
    <w:rsid w:val="001A35A1"/>
    <w:rsid w:val="001A4134"/>
    <w:rsid w:val="001A46AA"/>
    <w:rsid w:val="001A57A7"/>
    <w:rsid w:val="001A5D47"/>
    <w:rsid w:val="001A6331"/>
    <w:rsid w:val="001A6AF5"/>
    <w:rsid w:val="001A73A3"/>
    <w:rsid w:val="001A772B"/>
    <w:rsid w:val="001A7B2E"/>
    <w:rsid w:val="001B06D0"/>
    <w:rsid w:val="001B08B5"/>
    <w:rsid w:val="001B0A68"/>
    <w:rsid w:val="001B0FBB"/>
    <w:rsid w:val="001B123B"/>
    <w:rsid w:val="001B1ECF"/>
    <w:rsid w:val="001B1F0A"/>
    <w:rsid w:val="001B2772"/>
    <w:rsid w:val="001B33F5"/>
    <w:rsid w:val="001B38F0"/>
    <w:rsid w:val="001B3A2A"/>
    <w:rsid w:val="001B40E9"/>
    <w:rsid w:val="001B46C2"/>
    <w:rsid w:val="001B4E14"/>
    <w:rsid w:val="001B5A93"/>
    <w:rsid w:val="001B6002"/>
    <w:rsid w:val="001B7948"/>
    <w:rsid w:val="001B7A4D"/>
    <w:rsid w:val="001B7F22"/>
    <w:rsid w:val="001C04A1"/>
    <w:rsid w:val="001C05EA"/>
    <w:rsid w:val="001C09B9"/>
    <w:rsid w:val="001C0F48"/>
    <w:rsid w:val="001C125C"/>
    <w:rsid w:val="001C13D6"/>
    <w:rsid w:val="001C19E9"/>
    <w:rsid w:val="001C23C3"/>
    <w:rsid w:val="001C26A1"/>
    <w:rsid w:val="001C2A1C"/>
    <w:rsid w:val="001C33F9"/>
    <w:rsid w:val="001C3A37"/>
    <w:rsid w:val="001C3B44"/>
    <w:rsid w:val="001C3E97"/>
    <w:rsid w:val="001C40A5"/>
    <w:rsid w:val="001C55A3"/>
    <w:rsid w:val="001C5B3C"/>
    <w:rsid w:val="001C5EC9"/>
    <w:rsid w:val="001C61A1"/>
    <w:rsid w:val="001C6339"/>
    <w:rsid w:val="001C6799"/>
    <w:rsid w:val="001C68B5"/>
    <w:rsid w:val="001C69A2"/>
    <w:rsid w:val="001C6BEA"/>
    <w:rsid w:val="001C6D1B"/>
    <w:rsid w:val="001C73B3"/>
    <w:rsid w:val="001C7440"/>
    <w:rsid w:val="001C74D0"/>
    <w:rsid w:val="001D075E"/>
    <w:rsid w:val="001D0DAE"/>
    <w:rsid w:val="001D0FEC"/>
    <w:rsid w:val="001D16CF"/>
    <w:rsid w:val="001D2429"/>
    <w:rsid w:val="001D253A"/>
    <w:rsid w:val="001D26B7"/>
    <w:rsid w:val="001D2A36"/>
    <w:rsid w:val="001D2BCD"/>
    <w:rsid w:val="001D2DC2"/>
    <w:rsid w:val="001D321D"/>
    <w:rsid w:val="001D3F63"/>
    <w:rsid w:val="001D428A"/>
    <w:rsid w:val="001D49B2"/>
    <w:rsid w:val="001D578E"/>
    <w:rsid w:val="001D5C3E"/>
    <w:rsid w:val="001D5DBD"/>
    <w:rsid w:val="001D645A"/>
    <w:rsid w:val="001D652B"/>
    <w:rsid w:val="001D673F"/>
    <w:rsid w:val="001D6EA5"/>
    <w:rsid w:val="001D72B4"/>
    <w:rsid w:val="001D737F"/>
    <w:rsid w:val="001D76BA"/>
    <w:rsid w:val="001D7D19"/>
    <w:rsid w:val="001D7FFE"/>
    <w:rsid w:val="001E0753"/>
    <w:rsid w:val="001E097B"/>
    <w:rsid w:val="001E1A66"/>
    <w:rsid w:val="001E1C8B"/>
    <w:rsid w:val="001E1E68"/>
    <w:rsid w:val="001E1F09"/>
    <w:rsid w:val="001E2F64"/>
    <w:rsid w:val="001E33D9"/>
    <w:rsid w:val="001E34FD"/>
    <w:rsid w:val="001E43C2"/>
    <w:rsid w:val="001E46B4"/>
    <w:rsid w:val="001E4B8F"/>
    <w:rsid w:val="001E4F02"/>
    <w:rsid w:val="001E4F41"/>
    <w:rsid w:val="001E54F6"/>
    <w:rsid w:val="001E54FE"/>
    <w:rsid w:val="001E5589"/>
    <w:rsid w:val="001E5ACC"/>
    <w:rsid w:val="001E62B2"/>
    <w:rsid w:val="001E630D"/>
    <w:rsid w:val="001E6D97"/>
    <w:rsid w:val="001E7671"/>
    <w:rsid w:val="001E7CB8"/>
    <w:rsid w:val="001E7DB6"/>
    <w:rsid w:val="001F0459"/>
    <w:rsid w:val="001F098F"/>
    <w:rsid w:val="001F0AB5"/>
    <w:rsid w:val="001F1018"/>
    <w:rsid w:val="001F1136"/>
    <w:rsid w:val="001F1BB1"/>
    <w:rsid w:val="001F1D5C"/>
    <w:rsid w:val="001F2344"/>
    <w:rsid w:val="001F309D"/>
    <w:rsid w:val="001F310D"/>
    <w:rsid w:val="001F38B6"/>
    <w:rsid w:val="001F476B"/>
    <w:rsid w:val="001F4F6F"/>
    <w:rsid w:val="001F607D"/>
    <w:rsid w:val="001F64A2"/>
    <w:rsid w:val="001F6AAF"/>
    <w:rsid w:val="001F7333"/>
    <w:rsid w:val="001F73F3"/>
    <w:rsid w:val="001F78F0"/>
    <w:rsid w:val="001F7A77"/>
    <w:rsid w:val="002002E1"/>
    <w:rsid w:val="002006AA"/>
    <w:rsid w:val="002006D4"/>
    <w:rsid w:val="00200E23"/>
    <w:rsid w:val="0020176D"/>
    <w:rsid w:val="00201F31"/>
    <w:rsid w:val="0020214C"/>
    <w:rsid w:val="002024C8"/>
    <w:rsid w:val="0020275E"/>
    <w:rsid w:val="00202832"/>
    <w:rsid w:val="0020314D"/>
    <w:rsid w:val="0020328F"/>
    <w:rsid w:val="002039F1"/>
    <w:rsid w:val="002042C7"/>
    <w:rsid w:val="00204645"/>
    <w:rsid w:val="002048B1"/>
    <w:rsid w:val="00204ECE"/>
    <w:rsid w:val="002052C1"/>
    <w:rsid w:val="002052FB"/>
    <w:rsid w:val="002055AA"/>
    <w:rsid w:val="00205635"/>
    <w:rsid w:val="00206130"/>
    <w:rsid w:val="002063A5"/>
    <w:rsid w:val="00206B39"/>
    <w:rsid w:val="00206B44"/>
    <w:rsid w:val="00206E09"/>
    <w:rsid w:val="00206ED9"/>
    <w:rsid w:val="002073B5"/>
    <w:rsid w:val="00207764"/>
    <w:rsid w:val="00207A31"/>
    <w:rsid w:val="00207C5F"/>
    <w:rsid w:val="00207C68"/>
    <w:rsid w:val="00207EC4"/>
    <w:rsid w:val="002106D5"/>
    <w:rsid w:val="00210925"/>
    <w:rsid w:val="002109B8"/>
    <w:rsid w:val="00210EB4"/>
    <w:rsid w:val="0021128C"/>
    <w:rsid w:val="00211B31"/>
    <w:rsid w:val="00211C5D"/>
    <w:rsid w:val="00211DCD"/>
    <w:rsid w:val="00211F87"/>
    <w:rsid w:val="002120C5"/>
    <w:rsid w:val="0021245B"/>
    <w:rsid w:val="00212510"/>
    <w:rsid w:val="00212A88"/>
    <w:rsid w:val="00212AB3"/>
    <w:rsid w:val="002130F5"/>
    <w:rsid w:val="00213549"/>
    <w:rsid w:val="00213E7F"/>
    <w:rsid w:val="0021474E"/>
    <w:rsid w:val="00214774"/>
    <w:rsid w:val="002147A6"/>
    <w:rsid w:val="00214CBE"/>
    <w:rsid w:val="00214E0F"/>
    <w:rsid w:val="0021540A"/>
    <w:rsid w:val="00215665"/>
    <w:rsid w:val="00215F39"/>
    <w:rsid w:val="002160C6"/>
    <w:rsid w:val="002165F8"/>
    <w:rsid w:val="00216F5A"/>
    <w:rsid w:val="00217698"/>
    <w:rsid w:val="002178BB"/>
    <w:rsid w:val="0022021D"/>
    <w:rsid w:val="00220220"/>
    <w:rsid w:val="00220378"/>
    <w:rsid w:val="002203A0"/>
    <w:rsid w:val="00220963"/>
    <w:rsid w:val="0022132F"/>
    <w:rsid w:val="0022184F"/>
    <w:rsid w:val="00221D46"/>
    <w:rsid w:val="00221E5A"/>
    <w:rsid w:val="00222B54"/>
    <w:rsid w:val="00222EEB"/>
    <w:rsid w:val="00222FAC"/>
    <w:rsid w:val="00223E38"/>
    <w:rsid w:val="0022460D"/>
    <w:rsid w:val="00224C2E"/>
    <w:rsid w:val="00225138"/>
    <w:rsid w:val="002251BC"/>
    <w:rsid w:val="00225457"/>
    <w:rsid w:val="00225C1B"/>
    <w:rsid w:val="002268D1"/>
    <w:rsid w:val="00226F35"/>
    <w:rsid w:val="00226FD0"/>
    <w:rsid w:val="0022709C"/>
    <w:rsid w:val="002279D0"/>
    <w:rsid w:val="00227D8D"/>
    <w:rsid w:val="00227D91"/>
    <w:rsid w:val="0023019C"/>
    <w:rsid w:val="00230277"/>
    <w:rsid w:val="00230BE5"/>
    <w:rsid w:val="00231B30"/>
    <w:rsid w:val="00231B3A"/>
    <w:rsid w:val="00231BB2"/>
    <w:rsid w:val="00231BF9"/>
    <w:rsid w:val="00232138"/>
    <w:rsid w:val="002321EA"/>
    <w:rsid w:val="002322B7"/>
    <w:rsid w:val="002324C7"/>
    <w:rsid w:val="002329DA"/>
    <w:rsid w:val="00232B8F"/>
    <w:rsid w:val="00232C68"/>
    <w:rsid w:val="00233284"/>
    <w:rsid w:val="0023331F"/>
    <w:rsid w:val="002337AF"/>
    <w:rsid w:val="00233F58"/>
    <w:rsid w:val="002344DE"/>
    <w:rsid w:val="00234684"/>
    <w:rsid w:val="00234A25"/>
    <w:rsid w:val="00235080"/>
    <w:rsid w:val="002359FF"/>
    <w:rsid w:val="0023603F"/>
    <w:rsid w:val="0023631D"/>
    <w:rsid w:val="002365B8"/>
    <w:rsid w:val="002366D2"/>
    <w:rsid w:val="00236C87"/>
    <w:rsid w:val="00236E72"/>
    <w:rsid w:val="00236F35"/>
    <w:rsid w:val="00236FBB"/>
    <w:rsid w:val="00237258"/>
    <w:rsid w:val="002375D6"/>
    <w:rsid w:val="00237965"/>
    <w:rsid w:val="00237B49"/>
    <w:rsid w:val="00240004"/>
    <w:rsid w:val="002406B1"/>
    <w:rsid w:val="00240710"/>
    <w:rsid w:val="002413E2"/>
    <w:rsid w:val="00241783"/>
    <w:rsid w:val="002418BA"/>
    <w:rsid w:val="00241E25"/>
    <w:rsid w:val="00241E3F"/>
    <w:rsid w:val="00241F4C"/>
    <w:rsid w:val="0024238E"/>
    <w:rsid w:val="002424B1"/>
    <w:rsid w:val="002430A0"/>
    <w:rsid w:val="00243680"/>
    <w:rsid w:val="00243855"/>
    <w:rsid w:val="00244126"/>
    <w:rsid w:val="002444C0"/>
    <w:rsid w:val="00244CE3"/>
    <w:rsid w:val="00245193"/>
    <w:rsid w:val="00245340"/>
    <w:rsid w:val="00245824"/>
    <w:rsid w:val="00245B02"/>
    <w:rsid w:val="00245EF9"/>
    <w:rsid w:val="002460DA"/>
    <w:rsid w:val="00247919"/>
    <w:rsid w:val="00247999"/>
    <w:rsid w:val="00247D86"/>
    <w:rsid w:val="00250AA1"/>
    <w:rsid w:val="00250B94"/>
    <w:rsid w:val="00251C90"/>
    <w:rsid w:val="00251CEF"/>
    <w:rsid w:val="00252803"/>
    <w:rsid w:val="002535F0"/>
    <w:rsid w:val="00253B67"/>
    <w:rsid w:val="00253C8B"/>
    <w:rsid w:val="00253CE2"/>
    <w:rsid w:val="00254DE2"/>
    <w:rsid w:val="00255662"/>
    <w:rsid w:val="0025571B"/>
    <w:rsid w:val="002558A8"/>
    <w:rsid w:val="00255944"/>
    <w:rsid w:val="0025600F"/>
    <w:rsid w:val="0025694B"/>
    <w:rsid w:val="002572EC"/>
    <w:rsid w:val="0025749D"/>
    <w:rsid w:val="00257897"/>
    <w:rsid w:val="00257D6C"/>
    <w:rsid w:val="00260578"/>
    <w:rsid w:val="00260683"/>
    <w:rsid w:val="00260719"/>
    <w:rsid w:val="00260A79"/>
    <w:rsid w:val="00260D02"/>
    <w:rsid w:val="0026106B"/>
    <w:rsid w:val="002613C0"/>
    <w:rsid w:val="002618E7"/>
    <w:rsid w:val="002622DF"/>
    <w:rsid w:val="0026250E"/>
    <w:rsid w:val="00262D37"/>
    <w:rsid w:val="002639A4"/>
    <w:rsid w:val="00263D09"/>
    <w:rsid w:val="002645D5"/>
    <w:rsid w:val="002650BD"/>
    <w:rsid w:val="00265B45"/>
    <w:rsid w:val="00265C78"/>
    <w:rsid w:val="00265F71"/>
    <w:rsid w:val="00265F90"/>
    <w:rsid w:val="00266B70"/>
    <w:rsid w:val="00267587"/>
    <w:rsid w:val="0026773E"/>
    <w:rsid w:val="00267AA2"/>
    <w:rsid w:val="00270084"/>
    <w:rsid w:val="0027013D"/>
    <w:rsid w:val="00270B0E"/>
    <w:rsid w:val="0027172C"/>
    <w:rsid w:val="00272407"/>
    <w:rsid w:val="002726C9"/>
    <w:rsid w:val="0027405E"/>
    <w:rsid w:val="0027458B"/>
    <w:rsid w:val="00274726"/>
    <w:rsid w:val="002748D4"/>
    <w:rsid w:val="00274BAD"/>
    <w:rsid w:val="00275A1B"/>
    <w:rsid w:val="00275FAA"/>
    <w:rsid w:val="002760B4"/>
    <w:rsid w:val="002764C1"/>
    <w:rsid w:val="0027655E"/>
    <w:rsid w:val="00276E5C"/>
    <w:rsid w:val="002772A2"/>
    <w:rsid w:val="002778E4"/>
    <w:rsid w:val="0028011C"/>
    <w:rsid w:val="0028045C"/>
    <w:rsid w:val="00280C4C"/>
    <w:rsid w:val="00280CEC"/>
    <w:rsid w:val="00280DB3"/>
    <w:rsid w:val="0028152A"/>
    <w:rsid w:val="00281AC9"/>
    <w:rsid w:val="00281D61"/>
    <w:rsid w:val="00281EF2"/>
    <w:rsid w:val="00282192"/>
    <w:rsid w:val="00282D0A"/>
    <w:rsid w:val="00283073"/>
    <w:rsid w:val="00284119"/>
    <w:rsid w:val="002844E2"/>
    <w:rsid w:val="002844E8"/>
    <w:rsid w:val="00284539"/>
    <w:rsid w:val="0028497F"/>
    <w:rsid w:val="00284FFA"/>
    <w:rsid w:val="002854B7"/>
    <w:rsid w:val="002855BF"/>
    <w:rsid w:val="00285812"/>
    <w:rsid w:val="002858E2"/>
    <w:rsid w:val="00285C03"/>
    <w:rsid w:val="00286423"/>
    <w:rsid w:val="0028642C"/>
    <w:rsid w:val="00287003"/>
    <w:rsid w:val="0028738C"/>
    <w:rsid w:val="0028751B"/>
    <w:rsid w:val="00287C5B"/>
    <w:rsid w:val="002912A8"/>
    <w:rsid w:val="00291428"/>
    <w:rsid w:val="002914E3"/>
    <w:rsid w:val="0029169E"/>
    <w:rsid w:val="00291732"/>
    <w:rsid w:val="00291736"/>
    <w:rsid w:val="00292CAA"/>
    <w:rsid w:val="00292FE2"/>
    <w:rsid w:val="002938EE"/>
    <w:rsid w:val="00293BA5"/>
    <w:rsid w:val="00293BD5"/>
    <w:rsid w:val="00293F1E"/>
    <w:rsid w:val="00294030"/>
    <w:rsid w:val="002956D4"/>
    <w:rsid w:val="00295889"/>
    <w:rsid w:val="0029622B"/>
    <w:rsid w:val="002964E1"/>
    <w:rsid w:val="00296C3D"/>
    <w:rsid w:val="002970E3"/>
    <w:rsid w:val="002A114F"/>
    <w:rsid w:val="002A1726"/>
    <w:rsid w:val="002A1757"/>
    <w:rsid w:val="002A1A49"/>
    <w:rsid w:val="002A1BA9"/>
    <w:rsid w:val="002A1EAB"/>
    <w:rsid w:val="002A2039"/>
    <w:rsid w:val="002A2448"/>
    <w:rsid w:val="002A2BBF"/>
    <w:rsid w:val="002A2E30"/>
    <w:rsid w:val="002A2F51"/>
    <w:rsid w:val="002A2FDA"/>
    <w:rsid w:val="002A3278"/>
    <w:rsid w:val="002A335C"/>
    <w:rsid w:val="002A40D4"/>
    <w:rsid w:val="002A4151"/>
    <w:rsid w:val="002A42FC"/>
    <w:rsid w:val="002A4950"/>
    <w:rsid w:val="002A4B3D"/>
    <w:rsid w:val="002A5238"/>
    <w:rsid w:val="002A52F9"/>
    <w:rsid w:val="002A5469"/>
    <w:rsid w:val="002A5565"/>
    <w:rsid w:val="002A58D9"/>
    <w:rsid w:val="002A5F64"/>
    <w:rsid w:val="002A6158"/>
    <w:rsid w:val="002A6490"/>
    <w:rsid w:val="002A70E2"/>
    <w:rsid w:val="002A72BB"/>
    <w:rsid w:val="002A7426"/>
    <w:rsid w:val="002A7BC4"/>
    <w:rsid w:val="002B0099"/>
    <w:rsid w:val="002B039B"/>
    <w:rsid w:val="002B0C4B"/>
    <w:rsid w:val="002B120B"/>
    <w:rsid w:val="002B1A00"/>
    <w:rsid w:val="002B1D6E"/>
    <w:rsid w:val="002B1F70"/>
    <w:rsid w:val="002B284C"/>
    <w:rsid w:val="002B2CC4"/>
    <w:rsid w:val="002B353B"/>
    <w:rsid w:val="002B3742"/>
    <w:rsid w:val="002B3C4A"/>
    <w:rsid w:val="002B4081"/>
    <w:rsid w:val="002B4978"/>
    <w:rsid w:val="002B4FDC"/>
    <w:rsid w:val="002B503A"/>
    <w:rsid w:val="002B53FB"/>
    <w:rsid w:val="002B6097"/>
    <w:rsid w:val="002B635A"/>
    <w:rsid w:val="002B666F"/>
    <w:rsid w:val="002B6BA2"/>
    <w:rsid w:val="002B78B9"/>
    <w:rsid w:val="002B7B42"/>
    <w:rsid w:val="002C091A"/>
    <w:rsid w:val="002C0A8A"/>
    <w:rsid w:val="002C0FC8"/>
    <w:rsid w:val="002C2311"/>
    <w:rsid w:val="002C2561"/>
    <w:rsid w:val="002C27A8"/>
    <w:rsid w:val="002C3153"/>
    <w:rsid w:val="002C3D04"/>
    <w:rsid w:val="002C3F10"/>
    <w:rsid w:val="002C44B6"/>
    <w:rsid w:val="002C540E"/>
    <w:rsid w:val="002C540F"/>
    <w:rsid w:val="002C62C0"/>
    <w:rsid w:val="002C6596"/>
    <w:rsid w:val="002C6849"/>
    <w:rsid w:val="002C71DC"/>
    <w:rsid w:val="002C7399"/>
    <w:rsid w:val="002C7FFB"/>
    <w:rsid w:val="002D0B75"/>
    <w:rsid w:val="002D0C22"/>
    <w:rsid w:val="002D0D31"/>
    <w:rsid w:val="002D1244"/>
    <w:rsid w:val="002D157E"/>
    <w:rsid w:val="002D1FB9"/>
    <w:rsid w:val="002D2114"/>
    <w:rsid w:val="002D2A5E"/>
    <w:rsid w:val="002D2E32"/>
    <w:rsid w:val="002D2FBF"/>
    <w:rsid w:val="002D2FD7"/>
    <w:rsid w:val="002D332F"/>
    <w:rsid w:val="002D3582"/>
    <w:rsid w:val="002D3888"/>
    <w:rsid w:val="002D3B2B"/>
    <w:rsid w:val="002D3D8E"/>
    <w:rsid w:val="002D3DA9"/>
    <w:rsid w:val="002D3DBE"/>
    <w:rsid w:val="002D41DD"/>
    <w:rsid w:val="002D43D7"/>
    <w:rsid w:val="002D477E"/>
    <w:rsid w:val="002D47AA"/>
    <w:rsid w:val="002D4E0C"/>
    <w:rsid w:val="002D5039"/>
    <w:rsid w:val="002D56D9"/>
    <w:rsid w:val="002D5E55"/>
    <w:rsid w:val="002D62B6"/>
    <w:rsid w:val="002D705C"/>
    <w:rsid w:val="002D7152"/>
    <w:rsid w:val="002D79FE"/>
    <w:rsid w:val="002E0442"/>
    <w:rsid w:val="002E0FAA"/>
    <w:rsid w:val="002E11DD"/>
    <w:rsid w:val="002E2693"/>
    <w:rsid w:val="002E28FA"/>
    <w:rsid w:val="002E306D"/>
    <w:rsid w:val="002E38E7"/>
    <w:rsid w:val="002E4073"/>
    <w:rsid w:val="002E43AC"/>
    <w:rsid w:val="002E43DA"/>
    <w:rsid w:val="002E448D"/>
    <w:rsid w:val="002E5328"/>
    <w:rsid w:val="002E631F"/>
    <w:rsid w:val="002E6A36"/>
    <w:rsid w:val="002E74FE"/>
    <w:rsid w:val="002E751D"/>
    <w:rsid w:val="002E75A6"/>
    <w:rsid w:val="002E77B3"/>
    <w:rsid w:val="002F0594"/>
    <w:rsid w:val="002F0F5C"/>
    <w:rsid w:val="002F1403"/>
    <w:rsid w:val="002F1862"/>
    <w:rsid w:val="002F1BCC"/>
    <w:rsid w:val="002F242B"/>
    <w:rsid w:val="002F26FB"/>
    <w:rsid w:val="002F2CBD"/>
    <w:rsid w:val="002F3319"/>
    <w:rsid w:val="002F3482"/>
    <w:rsid w:val="002F353E"/>
    <w:rsid w:val="002F3EBE"/>
    <w:rsid w:val="002F4106"/>
    <w:rsid w:val="002F41EE"/>
    <w:rsid w:val="002F4B81"/>
    <w:rsid w:val="002F4D2E"/>
    <w:rsid w:val="002F5FA3"/>
    <w:rsid w:val="002F617C"/>
    <w:rsid w:val="002F6773"/>
    <w:rsid w:val="002F739E"/>
    <w:rsid w:val="002F7559"/>
    <w:rsid w:val="002F7935"/>
    <w:rsid w:val="002F7E0F"/>
    <w:rsid w:val="0030042C"/>
    <w:rsid w:val="00300453"/>
    <w:rsid w:val="003004E0"/>
    <w:rsid w:val="00300674"/>
    <w:rsid w:val="00300C4C"/>
    <w:rsid w:val="00301AD5"/>
    <w:rsid w:val="00301D41"/>
    <w:rsid w:val="00301E02"/>
    <w:rsid w:val="00301E7C"/>
    <w:rsid w:val="00302F9F"/>
    <w:rsid w:val="00303B86"/>
    <w:rsid w:val="0030404C"/>
    <w:rsid w:val="00304287"/>
    <w:rsid w:val="00304658"/>
    <w:rsid w:val="00304713"/>
    <w:rsid w:val="00304A65"/>
    <w:rsid w:val="00305803"/>
    <w:rsid w:val="003058A5"/>
    <w:rsid w:val="0030590C"/>
    <w:rsid w:val="00305C9F"/>
    <w:rsid w:val="003061B5"/>
    <w:rsid w:val="00306F41"/>
    <w:rsid w:val="0030762B"/>
    <w:rsid w:val="00307DF2"/>
    <w:rsid w:val="00307FAA"/>
    <w:rsid w:val="003102BF"/>
    <w:rsid w:val="0031038D"/>
    <w:rsid w:val="003104B4"/>
    <w:rsid w:val="003117F5"/>
    <w:rsid w:val="00312671"/>
    <w:rsid w:val="00312A39"/>
    <w:rsid w:val="00312AC5"/>
    <w:rsid w:val="00312F4D"/>
    <w:rsid w:val="003131EB"/>
    <w:rsid w:val="003134E6"/>
    <w:rsid w:val="00313591"/>
    <w:rsid w:val="00315045"/>
    <w:rsid w:val="00315987"/>
    <w:rsid w:val="003165BF"/>
    <w:rsid w:val="00316DD0"/>
    <w:rsid w:val="00317088"/>
    <w:rsid w:val="003178FB"/>
    <w:rsid w:val="00317AEE"/>
    <w:rsid w:val="0032017E"/>
    <w:rsid w:val="00320397"/>
    <w:rsid w:val="003206E4"/>
    <w:rsid w:val="00320F7E"/>
    <w:rsid w:val="00321112"/>
    <w:rsid w:val="003212DC"/>
    <w:rsid w:val="00321786"/>
    <w:rsid w:val="003222C9"/>
    <w:rsid w:val="00323B27"/>
    <w:rsid w:val="00323BB7"/>
    <w:rsid w:val="00323D17"/>
    <w:rsid w:val="00323F89"/>
    <w:rsid w:val="0032469B"/>
    <w:rsid w:val="00324BC3"/>
    <w:rsid w:val="00324FDE"/>
    <w:rsid w:val="003258EB"/>
    <w:rsid w:val="003259B5"/>
    <w:rsid w:val="00325AC3"/>
    <w:rsid w:val="00325F81"/>
    <w:rsid w:val="00326303"/>
    <w:rsid w:val="003265BF"/>
    <w:rsid w:val="00326819"/>
    <w:rsid w:val="00326847"/>
    <w:rsid w:val="00327072"/>
    <w:rsid w:val="0032714A"/>
    <w:rsid w:val="00327AA2"/>
    <w:rsid w:val="00327AE1"/>
    <w:rsid w:val="00327FAD"/>
    <w:rsid w:val="003306F1"/>
    <w:rsid w:val="0033071E"/>
    <w:rsid w:val="00330919"/>
    <w:rsid w:val="00330B25"/>
    <w:rsid w:val="003311B7"/>
    <w:rsid w:val="00331457"/>
    <w:rsid w:val="003319C5"/>
    <w:rsid w:val="003327B2"/>
    <w:rsid w:val="00332B70"/>
    <w:rsid w:val="00333421"/>
    <w:rsid w:val="00333A06"/>
    <w:rsid w:val="0033458B"/>
    <w:rsid w:val="00334FE1"/>
    <w:rsid w:val="003351DF"/>
    <w:rsid w:val="00335DAF"/>
    <w:rsid w:val="0033602C"/>
    <w:rsid w:val="003361F7"/>
    <w:rsid w:val="00336DCE"/>
    <w:rsid w:val="00336FA8"/>
    <w:rsid w:val="0033731C"/>
    <w:rsid w:val="00337499"/>
    <w:rsid w:val="00337C32"/>
    <w:rsid w:val="0034076E"/>
    <w:rsid w:val="0034078B"/>
    <w:rsid w:val="00340964"/>
    <w:rsid w:val="00340A42"/>
    <w:rsid w:val="00340AA4"/>
    <w:rsid w:val="00341092"/>
    <w:rsid w:val="00341351"/>
    <w:rsid w:val="00341360"/>
    <w:rsid w:val="00341788"/>
    <w:rsid w:val="00341E5D"/>
    <w:rsid w:val="00342F3C"/>
    <w:rsid w:val="00343318"/>
    <w:rsid w:val="00343E6B"/>
    <w:rsid w:val="00344CF5"/>
    <w:rsid w:val="00345238"/>
    <w:rsid w:val="00345B66"/>
    <w:rsid w:val="00345FFB"/>
    <w:rsid w:val="00346276"/>
    <w:rsid w:val="00346772"/>
    <w:rsid w:val="0034687F"/>
    <w:rsid w:val="00346DDA"/>
    <w:rsid w:val="00346E75"/>
    <w:rsid w:val="00347171"/>
    <w:rsid w:val="003479B8"/>
    <w:rsid w:val="003515A9"/>
    <w:rsid w:val="0035205C"/>
    <w:rsid w:val="00352128"/>
    <w:rsid w:val="0035237C"/>
    <w:rsid w:val="00352390"/>
    <w:rsid w:val="00352959"/>
    <w:rsid w:val="00352A1E"/>
    <w:rsid w:val="00352A2E"/>
    <w:rsid w:val="00353B1E"/>
    <w:rsid w:val="00354893"/>
    <w:rsid w:val="003549E0"/>
    <w:rsid w:val="0035585C"/>
    <w:rsid w:val="00356216"/>
    <w:rsid w:val="00356DC6"/>
    <w:rsid w:val="0035703C"/>
    <w:rsid w:val="00357306"/>
    <w:rsid w:val="003573B6"/>
    <w:rsid w:val="00357E31"/>
    <w:rsid w:val="00361C52"/>
    <w:rsid w:val="003622D9"/>
    <w:rsid w:val="003626A8"/>
    <w:rsid w:val="00362A6B"/>
    <w:rsid w:val="00362C0A"/>
    <w:rsid w:val="003634E7"/>
    <w:rsid w:val="0036356D"/>
    <w:rsid w:val="0036373F"/>
    <w:rsid w:val="003639A1"/>
    <w:rsid w:val="00363B07"/>
    <w:rsid w:val="00363D5F"/>
    <w:rsid w:val="00364342"/>
    <w:rsid w:val="00364578"/>
    <w:rsid w:val="0036482B"/>
    <w:rsid w:val="00364CFD"/>
    <w:rsid w:val="00364DAA"/>
    <w:rsid w:val="003653D2"/>
    <w:rsid w:val="003655D8"/>
    <w:rsid w:val="00366E98"/>
    <w:rsid w:val="003672E1"/>
    <w:rsid w:val="00370123"/>
    <w:rsid w:val="003709D8"/>
    <w:rsid w:val="00370CCD"/>
    <w:rsid w:val="00370F17"/>
    <w:rsid w:val="00371347"/>
    <w:rsid w:val="00371664"/>
    <w:rsid w:val="003736C2"/>
    <w:rsid w:val="003737FB"/>
    <w:rsid w:val="00373A1F"/>
    <w:rsid w:val="00373E47"/>
    <w:rsid w:val="00373E91"/>
    <w:rsid w:val="0037433E"/>
    <w:rsid w:val="00374495"/>
    <w:rsid w:val="003745F0"/>
    <w:rsid w:val="00374907"/>
    <w:rsid w:val="00374DCA"/>
    <w:rsid w:val="00375158"/>
    <w:rsid w:val="0037585B"/>
    <w:rsid w:val="00375BD1"/>
    <w:rsid w:val="00375C2E"/>
    <w:rsid w:val="00375C74"/>
    <w:rsid w:val="00377568"/>
    <w:rsid w:val="003777B1"/>
    <w:rsid w:val="003778BF"/>
    <w:rsid w:val="00377959"/>
    <w:rsid w:val="00377E26"/>
    <w:rsid w:val="00380020"/>
    <w:rsid w:val="00380427"/>
    <w:rsid w:val="00380526"/>
    <w:rsid w:val="0038067A"/>
    <w:rsid w:val="00380F8B"/>
    <w:rsid w:val="00381663"/>
    <w:rsid w:val="00381DFC"/>
    <w:rsid w:val="003825D5"/>
    <w:rsid w:val="0038266C"/>
    <w:rsid w:val="003829A8"/>
    <w:rsid w:val="00382C41"/>
    <w:rsid w:val="0038331B"/>
    <w:rsid w:val="0038338C"/>
    <w:rsid w:val="00383458"/>
    <w:rsid w:val="00383A2B"/>
    <w:rsid w:val="00383BFE"/>
    <w:rsid w:val="00383CE2"/>
    <w:rsid w:val="00384948"/>
    <w:rsid w:val="00384A46"/>
    <w:rsid w:val="00384D2D"/>
    <w:rsid w:val="003852F8"/>
    <w:rsid w:val="003854D2"/>
    <w:rsid w:val="00385595"/>
    <w:rsid w:val="003860D3"/>
    <w:rsid w:val="003865BE"/>
    <w:rsid w:val="0038674A"/>
    <w:rsid w:val="00386997"/>
    <w:rsid w:val="00386CD3"/>
    <w:rsid w:val="003872EB"/>
    <w:rsid w:val="003873CC"/>
    <w:rsid w:val="00387BFE"/>
    <w:rsid w:val="003905F7"/>
    <w:rsid w:val="0039069B"/>
    <w:rsid w:val="00390AFA"/>
    <w:rsid w:val="00390BCD"/>
    <w:rsid w:val="00391069"/>
    <w:rsid w:val="0039144E"/>
    <w:rsid w:val="00391E94"/>
    <w:rsid w:val="00391FF7"/>
    <w:rsid w:val="00392834"/>
    <w:rsid w:val="00392C3B"/>
    <w:rsid w:val="003932A5"/>
    <w:rsid w:val="00393D66"/>
    <w:rsid w:val="0039419B"/>
    <w:rsid w:val="003944B0"/>
    <w:rsid w:val="003948A1"/>
    <w:rsid w:val="00394E5D"/>
    <w:rsid w:val="00394F3C"/>
    <w:rsid w:val="0039508C"/>
    <w:rsid w:val="003950DF"/>
    <w:rsid w:val="003956E0"/>
    <w:rsid w:val="003958DB"/>
    <w:rsid w:val="00395B35"/>
    <w:rsid w:val="00396288"/>
    <w:rsid w:val="00396361"/>
    <w:rsid w:val="0039681C"/>
    <w:rsid w:val="0039748D"/>
    <w:rsid w:val="003A0171"/>
    <w:rsid w:val="003A0B7E"/>
    <w:rsid w:val="003A17C7"/>
    <w:rsid w:val="003A19EC"/>
    <w:rsid w:val="003A1BEF"/>
    <w:rsid w:val="003A214C"/>
    <w:rsid w:val="003A27DD"/>
    <w:rsid w:val="003A2E08"/>
    <w:rsid w:val="003A339C"/>
    <w:rsid w:val="003A3713"/>
    <w:rsid w:val="003A396D"/>
    <w:rsid w:val="003A3E5B"/>
    <w:rsid w:val="003A513E"/>
    <w:rsid w:val="003A5C08"/>
    <w:rsid w:val="003A60EF"/>
    <w:rsid w:val="003A620E"/>
    <w:rsid w:val="003A62E6"/>
    <w:rsid w:val="003A6F9C"/>
    <w:rsid w:val="003A73A5"/>
    <w:rsid w:val="003A78BD"/>
    <w:rsid w:val="003A7FBF"/>
    <w:rsid w:val="003B0FD9"/>
    <w:rsid w:val="003B23A2"/>
    <w:rsid w:val="003B25F7"/>
    <w:rsid w:val="003B2642"/>
    <w:rsid w:val="003B282E"/>
    <w:rsid w:val="003B2BB8"/>
    <w:rsid w:val="003B3CBE"/>
    <w:rsid w:val="003B419F"/>
    <w:rsid w:val="003B42AC"/>
    <w:rsid w:val="003B44F5"/>
    <w:rsid w:val="003B45E5"/>
    <w:rsid w:val="003B5624"/>
    <w:rsid w:val="003B5A37"/>
    <w:rsid w:val="003B6F24"/>
    <w:rsid w:val="003B7943"/>
    <w:rsid w:val="003C02CA"/>
    <w:rsid w:val="003C0452"/>
    <w:rsid w:val="003C12F6"/>
    <w:rsid w:val="003C132A"/>
    <w:rsid w:val="003C15CA"/>
    <w:rsid w:val="003C18F0"/>
    <w:rsid w:val="003C1B1B"/>
    <w:rsid w:val="003C1D5B"/>
    <w:rsid w:val="003C1DD6"/>
    <w:rsid w:val="003C1DE4"/>
    <w:rsid w:val="003C1F28"/>
    <w:rsid w:val="003C2012"/>
    <w:rsid w:val="003C258C"/>
    <w:rsid w:val="003C3521"/>
    <w:rsid w:val="003C3F2E"/>
    <w:rsid w:val="003C4B23"/>
    <w:rsid w:val="003C527B"/>
    <w:rsid w:val="003C5A23"/>
    <w:rsid w:val="003C5E1A"/>
    <w:rsid w:val="003C5F9A"/>
    <w:rsid w:val="003C5FA2"/>
    <w:rsid w:val="003C60FB"/>
    <w:rsid w:val="003C6AFD"/>
    <w:rsid w:val="003C6B9C"/>
    <w:rsid w:val="003C6DF1"/>
    <w:rsid w:val="003C6EA2"/>
    <w:rsid w:val="003C70A0"/>
    <w:rsid w:val="003C782F"/>
    <w:rsid w:val="003C7AB1"/>
    <w:rsid w:val="003C7B9C"/>
    <w:rsid w:val="003D036A"/>
    <w:rsid w:val="003D0523"/>
    <w:rsid w:val="003D053D"/>
    <w:rsid w:val="003D0706"/>
    <w:rsid w:val="003D0C2C"/>
    <w:rsid w:val="003D0DA6"/>
    <w:rsid w:val="003D0F59"/>
    <w:rsid w:val="003D0FE2"/>
    <w:rsid w:val="003D155D"/>
    <w:rsid w:val="003D29C5"/>
    <w:rsid w:val="003D2B03"/>
    <w:rsid w:val="003D2E5E"/>
    <w:rsid w:val="003D3468"/>
    <w:rsid w:val="003D34FF"/>
    <w:rsid w:val="003D353E"/>
    <w:rsid w:val="003D58E5"/>
    <w:rsid w:val="003D5F5F"/>
    <w:rsid w:val="003D6DEB"/>
    <w:rsid w:val="003D6ED2"/>
    <w:rsid w:val="003D6F2E"/>
    <w:rsid w:val="003D7402"/>
    <w:rsid w:val="003E0376"/>
    <w:rsid w:val="003E0921"/>
    <w:rsid w:val="003E0980"/>
    <w:rsid w:val="003E0DAA"/>
    <w:rsid w:val="003E0DFA"/>
    <w:rsid w:val="003E111A"/>
    <w:rsid w:val="003E1358"/>
    <w:rsid w:val="003E1638"/>
    <w:rsid w:val="003E1A0C"/>
    <w:rsid w:val="003E2245"/>
    <w:rsid w:val="003E27AA"/>
    <w:rsid w:val="003E28FD"/>
    <w:rsid w:val="003E2D6B"/>
    <w:rsid w:val="003E2E30"/>
    <w:rsid w:val="003E3272"/>
    <w:rsid w:val="003E3609"/>
    <w:rsid w:val="003E3623"/>
    <w:rsid w:val="003E4462"/>
    <w:rsid w:val="003E4600"/>
    <w:rsid w:val="003E46CC"/>
    <w:rsid w:val="003E51D6"/>
    <w:rsid w:val="003E5C67"/>
    <w:rsid w:val="003E5CA5"/>
    <w:rsid w:val="003E6523"/>
    <w:rsid w:val="003E691F"/>
    <w:rsid w:val="003E75B1"/>
    <w:rsid w:val="003E77BE"/>
    <w:rsid w:val="003F04A8"/>
    <w:rsid w:val="003F0996"/>
    <w:rsid w:val="003F0CB6"/>
    <w:rsid w:val="003F0D59"/>
    <w:rsid w:val="003F169C"/>
    <w:rsid w:val="003F2487"/>
    <w:rsid w:val="003F2B01"/>
    <w:rsid w:val="003F36C4"/>
    <w:rsid w:val="003F38A3"/>
    <w:rsid w:val="003F4033"/>
    <w:rsid w:val="003F4147"/>
    <w:rsid w:val="003F4880"/>
    <w:rsid w:val="003F5145"/>
    <w:rsid w:val="003F5425"/>
    <w:rsid w:val="003F5CCA"/>
    <w:rsid w:val="003F5EE9"/>
    <w:rsid w:val="003F6CCC"/>
    <w:rsid w:val="003F7281"/>
    <w:rsid w:val="003F7B35"/>
    <w:rsid w:val="003F7E4D"/>
    <w:rsid w:val="003F7FDB"/>
    <w:rsid w:val="004005BF"/>
    <w:rsid w:val="0040062A"/>
    <w:rsid w:val="004006A1"/>
    <w:rsid w:val="004006B8"/>
    <w:rsid w:val="00400DCC"/>
    <w:rsid w:val="0040179F"/>
    <w:rsid w:val="004019E6"/>
    <w:rsid w:val="00401A75"/>
    <w:rsid w:val="00401AD6"/>
    <w:rsid w:val="00402091"/>
    <w:rsid w:val="0040222E"/>
    <w:rsid w:val="0040236D"/>
    <w:rsid w:val="0040297A"/>
    <w:rsid w:val="00402BBF"/>
    <w:rsid w:val="00403280"/>
    <w:rsid w:val="00403BED"/>
    <w:rsid w:val="00403C6D"/>
    <w:rsid w:val="0040425C"/>
    <w:rsid w:val="00404482"/>
    <w:rsid w:val="004047D8"/>
    <w:rsid w:val="00404816"/>
    <w:rsid w:val="00404A57"/>
    <w:rsid w:val="00404F8A"/>
    <w:rsid w:val="004050F0"/>
    <w:rsid w:val="00405207"/>
    <w:rsid w:val="00405628"/>
    <w:rsid w:val="0040638E"/>
    <w:rsid w:val="00406964"/>
    <w:rsid w:val="004075B5"/>
    <w:rsid w:val="00407929"/>
    <w:rsid w:val="00407D13"/>
    <w:rsid w:val="00410184"/>
    <w:rsid w:val="004101DD"/>
    <w:rsid w:val="004101E0"/>
    <w:rsid w:val="00410355"/>
    <w:rsid w:val="00410557"/>
    <w:rsid w:val="00410610"/>
    <w:rsid w:val="0041079B"/>
    <w:rsid w:val="00410DAE"/>
    <w:rsid w:val="00411430"/>
    <w:rsid w:val="004114AB"/>
    <w:rsid w:val="0041183D"/>
    <w:rsid w:val="00411BEE"/>
    <w:rsid w:val="0041329A"/>
    <w:rsid w:val="004133F1"/>
    <w:rsid w:val="00413AF4"/>
    <w:rsid w:val="00413EE1"/>
    <w:rsid w:val="004145BA"/>
    <w:rsid w:val="004146A0"/>
    <w:rsid w:val="00414C9D"/>
    <w:rsid w:val="0041517A"/>
    <w:rsid w:val="0041518A"/>
    <w:rsid w:val="00415379"/>
    <w:rsid w:val="00416007"/>
    <w:rsid w:val="00416739"/>
    <w:rsid w:val="00416AD3"/>
    <w:rsid w:val="00416BE1"/>
    <w:rsid w:val="00416DBA"/>
    <w:rsid w:val="00417133"/>
    <w:rsid w:val="00417E4B"/>
    <w:rsid w:val="00417FBE"/>
    <w:rsid w:val="004205AE"/>
    <w:rsid w:val="004206CA"/>
    <w:rsid w:val="00420805"/>
    <w:rsid w:val="00421062"/>
    <w:rsid w:val="004211A5"/>
    <w:rsid w:val="004219C0"/>
    <w:rsid w:val="00421A2B"/>
    <w:rsid w:val="00421D07"/>
    <w:rsid w:val="00421F22"/>
    <w:rsid w:val="004220B9"/>
    <w:rsid w:val="0042277D"/>
    <w:rsid w:val="00422CA0"/>
    <w:rsid w:val="00423A17"/>
    <w:rsid w:val="004242F0"/>
    <w:rsid w:val="004245D3"/>
    <w:rsid w:val="004253E9"/>
    <w:rsid w:val="00425402"/>
    <w:rsid w:val="00425759"/>
    <w:rsid w:val="004258B4"/>
    <w:rsid w:val="00425C3D"/>
    <w:rsid w:val="00425D78"/>
    <w:rsid w:val="00426203"/>
    <w:rsid w:val="004271EB"/>
    <w:rsid w:val="004272D3"/>
    <w:rsid w:val="00427727"/>
    <w:rsid w:val="00427837"/>
    <w:rsid w:val="00427C51"/>
    <w:rsid w:val="00430118"/>
    <w:rsid w:val="0043015D"/>
    <w:rsid w:val="00430BCE"/>
    <w:rsid w:val="00430BEF"/>
    <w:rsid w:val="00430F9F"/>
    <w:rsid w:val="004312EF"/>
    <w:rsid w:val="00431340"/>
    <w:rsid w:val="00431632"/>
    <w:rsid w:val="00431DC2"/>
    <w:rsid w:val="004321E7"/>
    <w:rsid w:val="0043255E"/>
    <w:rsid w:val="00432DC7"/>
    <w:rsid w:val="00433D40"/>
    <w:rsid w:val="0043409C"/>
    <w:rsid w:val="00434596"/>
    <w:rsid w:val="00434711"/>
    <w:rsid w:val="00434A25"/>
    <w:rsid w:val="00434A6C"/>
    <w:rsid w:val="00434B28"/>
    <w:rsid w:val="00435D87"/>
    <w:rsid w:val="0043622A"/>
    <w:rsid w:val="00436392"/>
    <w:rsid w:val="00436B18"/>
    <w:rsid w:val="00436E5A"/>
    <w:rsid w:val="0043715C"/>
    <w:rsid w:val="00437673"/>
    <w:rsid w:val="00441265"/>
    <w:rsid w:val="0044196A"/>
    <w:rsid w:val="0044293C"/>
    <w:rsid w:val="004431B5"/>
    <w:rsid w:val="00443949"/>
    <w:rsid w:val="00443CF3"/>
    <w:rsid w:val="00444BBF"/>
    <w:rsid w:val="00444D1E"/>
    <w:rsid w:val="004452B1"/>
    <w:rsid w:val="004459E2"/>
    <w:rsid w:val="00445A5E"/>
    <w:rsid w:val="00446A49"/>
    <w:rsid w:val="00446D26"/>
    <w:rsid w:val="00446FB5"/>
    <w:rsid w:val="0044788F"/>
    <w:rsid w:val="00447A96"/>
    <w:rsid w:val="004500AA"/>
    <w:rsid w:val="00450BE8"/>
    <w:rsid w:val="00450C5A"/>
    <w:rsid w:val="0045103A"/>
    <w:rsid w:val="00451324"/>
    <w:rsid w:val="004517DF"/>
    <w:rsid w:val="004522E3"/>
    <w:rsid w:val="00452EBC"/>
    <w:rsid w:val="00453051"/>
    <w:rsid w:val="0045390D"/>
    <w:rsid w:val="00453F36"/>
    <w:rsid w:val="0045413C"/>
    <w:rsid w:val="00454162"/>
    <w:rsid w:val="004545AC"/>
    <w:rsid w:val="00454C06"/>
    <w:rsid w:val="00454D76"/>
    <w:rsid w:val="00454DA1"/>
    <w:rsid w:val="00455489"/>
    <w:rsid w:val="004555E7"/>
    <w:rsid w:val="004556EC"/>
    <w:rsid w:val="004558DA"/>
    <w:rsid w:val="00455F8D"/>
    <w:rsid w:val="004560E8"/>
    <w:rsid w:val="00456286"/>
    <w:rsid w:val="00456BA5"/>
    <w:rsid w:val="00456E09"/>
    <w:rsid w:val="004571BD"/>
    <w:rsid w:val="004600FA"/>
    <w:rsid w:val="004608FB"/>
    <w:rsid w:val="00460967"/>
    <w:rsid w:val="0046125E"/>
    <w:rsid w:val="00461F26"/>
    <w:rsid w:val="004621BA"/>
    <w:rsid w:val="004625CC"/>
    <w:rsid w:val="004626FD"/>
    <w:rsid w:val="00462C5B"/>
    <w:rsid w:val="00462C8F"/>
    <w:rsid w:val="0046366A"/>
    <w:rsid w:val="004638C5"/>
    <w:rsid w:val="00464113"/>
    <w:rsid w:val="004661BC"/>
    <w:rsid w:val="00466AC5"/>
    <w:rsid w:val="00466D9E"/>
    <w:rsid w:val="00466DBE"/>
    <w:rsid w:val="00467E82"/>
    <w:rsid w:val="00467E9E"/>
    <w:rsid w:val="00470781"/>
    <w:rsid w:val="004708E8"/>
    <w:rsid w:val="0047125E"/>
    <w:rsid w:val="00471864"/>
    <w:rsid w:val="00471900"/>
    <w:rsid w:val="00471D5B"/>
    <w:rsid w:val="00471DB8"/>
    <w:rsid w:val="004722E1"/>
    <w:rsid w:val="00472927"/>
    <w:rsid w:val="00472A52"/>
    <w:rsid w:val="00473DD4"/>
    <w:rsid w:val="004744E9"/>
    <w:rsid w:val="00474575"/>
    <w:rsid w:val="00474D12"/>
    <w:rsid w:val="004752B7"/>
    <w:rsid w:val="004758BA"/>
    <w:rsid w:val="004760E9"/>
    <w:rsid w:val="00476301"/>
    <w:rsid w:val="00476384"/>
    <w:rsid w:val="00476529"/>
    <w:rsid w:val="00476CE2"/>
    <w:rsid w:val="00477099"/>
    <w:rsid w:val="0048002C"/>
    <w:rsid w:val="00480149"/>
    <w:rsid w:val="0048072E"/>
    <w:rsid w:val="00480769"/>
    <w:rsid w:val="00480AB8"/>
    <w:rsid w:val="004812AC"/>
    <w:rsid w:val="00481428"/>
    <w:rsid w:val="0048167A"/>
    <w:rsid w:val="00481818"/>
    <w:rsid w:val="004823B5"/>
    <w:rsid w:val="004827B6"/>
    <w:rsid w:val="0048288E"/>
    <w:rsid w:val="00483072"/>
    <w:rsid w:val="00483703"/>
    <w:rsid w:val="00483AAD"/>
    <w:rsid w:val="00483FA1"/>
    <w:rsid w:val="00484DAF"/>
    <w:rsid w:val="00485477"/>
    <w:rsid w:val="0048553E"/>
    <w:rsid w:val="004855D9"/>
    <w:rsid w:val="0048601C"/>
    <w:rsid w:val="004861C3"/>
    <w:rsid w:val="004864F7"/>
    <w:rsid w:val="00486A2D"/>
    <w:rsid w:val="0048720F"/>
    <w:rsid w:val="004876FD"/>
    <w:rsid w:val="00487FCB"/>
    <w:rsid w:val="00490448"/>
    <w:rsid w:val="00490B64"/>
    <w:rsid w:val="00491263"/>
    <w:rsid w:val="004918CF"/>
    <w:rsid w:val="00491EE5"/>
    <w:rsid w:val="00492105"/>
    <w:rsid w:val="004921A7"/>
    <w:rsid w:val="004929B6"/>
    <w:rsid w:val="00492AB5"/>
    <w:rsid w:val="00494937"/>
    <w:rsid w:val="00494CF3"/>
    <w:rsid w:val="00494F91"/>
    <w:rsid w:val="00495B70"/>
    <w:rsid w:val="00495E09"/>
    <w:rsid w:val="004963B0"/>
    <w:rsid w:val="00496434"/>
    <w:rsid w:val="00496DA8"/>
    <w:rsid w:val="004973BE"/>
    <w:rsid w:val="004978D4"/>
    <w:rsid w:val="00497B6C"/>
    <w:rsid w:val="004A103C"/>
    <w:rsid w:val="004A20CE"/>
    <w:rsid w:val="004A2329"/>
    <w:rsid w:val="004A330E"/>
    <w:rsid w:val="004A3976"/>
    <w:rsid w:val="004A3F46"/>
    <w:rsid w:val="004A3F53"/>
    <w:rsid w:val="004A4111"/>
    <w:rsid w:val="004A44CA"/>
    <w:rsid w:val="004A44ED"/>
    <w:rsid w:val="004A4B11"/>
    <w:rsid w:val="004A51AB"/>
    <w:rsid w:val="004A58BA"/>
    <w:rsid w:val="004A5F41"/>
    <w:rsid w:val="004A6260"/>
    <w:rsid w:val="004A6D15"/>
    <w:rsid w:val="004A76F5"/>
    <w:rsid w:val="004A7A2C"/>
    <w:rsid w:val="004A7B5C"/>
    <w:rsid w:val="004A7CEC"/>
    <w:rsid w:val="004A7E60"/>
    <w:rsid w:val="004B0ACD"/>
    <w:rsid w:val="004B0B97"/>
    <w:rsid w:val="004B0F6A"/>
    <w:rsid w:val="004B14F5"/>
    <w:rsid w:val="004B1BA4"/>
    <w:rsid w:val="004B1C46"/>
    <w:rsid w:val="004B1FDE"/>
    <w:rsid w:val="004B352E"/>
    <w:rsid w:val="004B37F3"/>
    <w:rsid w:val="004B4372"/>
    <w:rsid w:val="004B45B5"/>
    <w:rsid w:val="004B490E"/>
    <w:rsid w:val="004B4B58"/>
    <w:rsid w:val="004B4C00"/>
    <w:rsid w:val="004B4C33"/>
    <w:rsid w:val="004B54CA"/>
    <w:rsid w:val="004B5782"/>
    <w:rsid w:val="004B709A"/>
    <w:rsid w:val="004B752E"/>
    <w:rsid w:val="004B7ECA"/>
    <w:rsid w:val="004C033E"/>
    <w:rsid w:val="004C087D"/>
    <w:rsid w:val="004C1629"/>
    <w:rsid w:val="004C174B"/>
    <w:rsid w:val="004C1B79"/>
    <w:rsid w:val="004C1CD6"/>
    <w:rsid w:val="004C2C3F"/>
    <w:rsid w:val="004C2D9C"/>
    <w:rsid w:val="004C2F3D"/>
    <w:rsid w:val="004C356C"/>
    <w:rsid w:val="004C382F"/>
    <w:rsid w:val="004C3BB0"/>
    <w:rsid w:val="004C3D94"/>
    <w:rsid w:val="004C4131"/>
    <w:rsid w:val="004C487B"/>
    <w:rsid w:val="004C5CB7"/>
    <w:rsid w:val="004C6A21"/>
    <w:rsid w:val="004C6B3C"/>
    <w:rsid w:val="004C6E2B"/>
    <w:rsid w:val="004C6EBF"/>
    <w:rsid w:val="004C70A2"/>
    <w:rsid w:val="004C7428"/>
    <w:rsid w:val="004C74BD"/>
    <w:rsid w:val="004C7E19"/>
    <w:rsid w:val="004D0983"/>
    <w:rsid w:val="004D1048"/>
    <w:rsid w:val="004D174C"/>
    <w:rsid w:val="004D18B4"/>
    <w:rsid w:val="004D2936"/>
    <w:rsid w:val="004D32B5"/>
    <w:rsid w:val="004D3E71"/>
    <w:rsid w:val="004D3EAA"/>
    <w:rsid w:val="004D3F3D"/>
    <w:rsid w:val="004D401B"/>
    <w:rsid w:val="004D4560"/>
    <w:rsid w:val="004D4DAD"/>
    <w:rsid w:val="004D4E20"/>
    <w:rsid w:val="004D594C"/>
    <w:rsid w:val="004D5DBF"/>
    <w:rsid w:val="004D5FD0"/>
    <w:rsid w:val="004D628B"/>
    <w:rsid w:val="004D6861"/>
    <w:rsid w:val="004D6AC8"/>
    <w:rsid w:val="004D6BC7"/>
    <w:rsid w:val="004D726F"/>
    <w:rsid w:val="004D79EF"/>
    <w:rsid w:val="004E039D"/>
    <w:rsid w:val="004E153E"/>
    <w:rsid w:val="004E1BCD"/>
    <w:rsid w:val="004E24B7"/>
    <w:rsid w:val="004E27FF"/>
    <w:rsid w:val="004E287B"/>
    <w:rsid w:val="004E2D82"/>
    <w:rsid w:val="004E3430"/>
    <w:rsid w:val="004E371E"/>
    <w:rsid w:val="004E461E"/>
    <w:rsid w:val="004E476E"/>
    <w:rsid w:val="004E4847"/>
    <w:rsid w:val="004E51D7"/>
    <w:rsid w:val="004E576D"/>
    <w:rsid w:val="004E5993"/>
    <w:rsid w:val="004E5A64"/>
    <w:rsid w:val="004E5CBF"/>
    <w:rsid w:val="004E6052"/>
    <w:rsid w:val="004E67A1"/>
    <w:rsid w:val="004E7B4A"/>
    <w:rsid w:val="004E7DEA"/>
    <w:rsid w:val="004F0229"/>
    <w:rsid w:val="004F0443"/>
    <w:rsid w:val="004F051E"/>
    <w:rsid w:val="004F1659"/>
    <w:rsid w:val="004F2922"/>
    <w:rsid w:val="004F3048"/>
    <w:rsid w:val="004F323C"/>
    <w:rsid w:val="004F3304"/>
    <w:rsid w:val="004F3CA2"/>
    <w:rsid w:val="004F4C65"/>
    <w:rsid w:val="004F4E7E"/>
    <w:rsid w:val="004F514F"/>
    <w:rsid w:val="004F53DA"/>
    <w:rsid w:val="004F5952"/>
    <w:rsid w:val="004F5D65"/>
    <w:rsid w:val="004F5EE8"/>
    <w:rsid w:val="004F6D2B"/>
    <w:rsid w:val="004F7159"/>
    <w:rsid w:val="004F744F"/>
    <w:rsid w:val="004F7643"/>
    <w:rsid w:val="004F7DB9"/>
    <w:rsid w:val="004F7E6C"/>
    <w:rsid w:val="004F7F66"/>
    <w:rsid w:val="004F7F9E"/>
    <w:rsid w:val="00500459"/>
    <w:rsid w:val="00500613"/>
    <w:rsid w:val="00500B38"/>
    <w:rsid w:val="00500DA9"/>
    <w:rsid w:val="00500F23"/>
    <w:rsid w:val="00501A45"/>
    <w:rsid w:val="00501C8D"/>
    <w:rsid w:val="0050222E"/>
    <w:rsid w:val="005023A0"/>
    <w:rsid w:val="00502773"/>
    <w:rsid w:val="005027C6"/>
    <w:rsid w:val="0050324A"/>
    <w:rsid w:val="00504623"/>
    <w:rsid w:val="00504750"/>
    <w:rsid w:val="00504A1A"/>
    <w:rsid w:val="005050A7"/>
    <w:rsid w:val="00505B2D"/>
    <w:rsid w:val="00505C8D"/>
    <w:rsid w:val="00505D94"/>
    <w:rsid w:val="00505EB0"/>
    <w:rsid w:val="00506040"/>
    <w:rsid w:val="00507098"/>
    <w:rsid w:val="005071C3"/>
    <w:rsid w:val="00507292"/>
    <w:rsid w:val="005074EB"/>
    <w:rsid w:val="0050750D"/>
    <w:rsid w:val="0050774D"/>
    <w:rsid w:val="00507A3E"/>
    <w:rsid w:val="00507BB0"/>
    <w:rsid w:val="00510108"/>
    <w:rsid w:val="00510806"/>
    <w:rsid w:val="00510D52"/>
    <w:rsid w:val="005117C6"/>
    <w:rsid w:val="00511814"/>
    <w:rsid w:val="00511A78"/>
    <w:rsid w:val="00512303"/>
    <w:rsid w:val="005136F8"/>
    <w:rsid w:val="00513949"/>
    <w:rsid w:val="00513EA1"/>
    <w:rsid w:val="00514AF0"/>
    <w:rsid w:val="00514BD2"/>
    <w:rsid w:val="005154B9"/>
    <w:rsid w:val="00515AB6"/>
    <w:rsid w:val="005165E8"/>
    <w:rsid w:val="00516AD6"/>
    <w:rsid w:val="00517605"/>
    <w:rsid w:val="00517620"/>
    <w:rsid w:val="00517DEF"/>
    <w:rsid w:val="00521783"/>
    <w:rsid w:val="00522075"/>
    <w:rsid w:val="00522277"/>
    <w:rsid w:val="00522824"/>
    <w:rsid w:val="00523306"/>
    <w:rsid w:val="005233E4"/>
    <w:rsid w:val="00523538"/>
    <w:rsid w:val="005237EC"/>
    <w:rsid w:val="00523E68"/>
    <w:rsid w:val="005240F5"/>
    <w:rsid w:val="0052419E"/>
    <w:rsid w:val="00524AFE"/>
    <w:rsid w:val="00524F72"/>
    <w:rsid w:val="005251E1"/>
    <w:rsid w:val="005251E5"/>
    <w:rsid w:val="00525484"/>
    <w:rsid w:val="00525623"/>
    <w:rsid w:val="00525980"/>
    <w:rsid w:val="00525FE9"/>
    <w:rsid w:val="005261DF"/>
    <w:rsid w:val="0052686B"/>
    <w:rsid w:val="00526B54"/>
    <w:rsid w:val="005270ED"/>
    <w:rsid w:val="005279CC"/>
    <w:rsid w:val="00527F20"/>
    <w:rsid w:val="0053091A"/>
    <w:rsid w:val="00530953"/>
    <w:rsid w:val="005309E5"/>
    <w:rsid w:val="0053141F"/>
    <w:rsid w:val="00531570"/>
    <w:rsid w:val="005315D0"/>
    <w:rsid w:val="00531A8A"/>
    <w:rsid w:val="00531DC7"/>
    <w:rsid w:val="00531E06"/>
    <w:rsid w:val="00532095"/>
    <w:rsid w:val="0053220F"/>
    <w:rsid w:val="0053239C"/>
    <w:rsid w:val="00532DB4"/>
    <w:rsid w:val="00533092"/>
    <w:rsid w:val="0053309D"/>
    <w:rsid w:val="00533180"/>
    <w:rsid w:val="00533533"/>
    <w:rsid w:val="00533D4A"/>
    <w:rsid w:val="00533F29"/>
    <w:rsid w:val="00534325"/>
    <w:rsid w:val="005345CA"/>
    <w:rsid w:val="0053492A"/>
    <w:rsid w:val="00534C2F"/>
    <w:rsid w:val="005358B3"/>
    <w:rsid w:val="00535BB5"/>
    <w:rsid w:val="00535D27"/>
    <w:rsid w:val="005363A9"/>
    <w:rsid w:val="005367D6"/>
    <w:rsid w:val="00536AFF"/>
    <w:rsid w:val="00536E07"/>
    <w:rsid w:val="00536E2A"/>
    <w:rsid w:val="00537819"/>
    <w:rsid w:val="00537BC7"/>
    <w:rsid w:val="0054001D"/>
    <w:rsid w:val="00540166"/>
    <w:rsid w:val="005402EB"/>
    <w:rsid w:val="005409F5"/>
    <w:rsid w:val="00541419"/>
    <w:rsid w:val="0054142A"/>
    <w:rsid w:val="00541841"/>
    <w:rsid w:val="0054195A"/>
    <w:rsid w:val="00541AC0"/>
    <w:rsid w:val="005424B6"/>
    <w:rsid w:val="00542B90"/>
    <w:rsid w:val="00543016"/>
    <w:rsid w:val="0054316E"/>
    <w:rsid w:val="005435BF"/>
    <w:rsid w:val="00543DA7"/>
    <w:rsid w:val="00543DEC"/>
    <w:rsid w:val="00544BCB"/>
    <w:rsid w:val="00544E60"/>
    <w:rsid w:val="00544ED9"/>
    <w:rsid w:val="005451C8"/>
    <w:rsid w:val="0054529B"/>
    <w:rsid w:val="00545A5A"/>
    <w:rsid w:val="00546282"/>
    <w:rsid w:val="00546401"/>
    <w:rsid w:val="005464A7"/>
    <w:rsid w:val="00546AA7"/>
    <w:rsid w:val="00546B65"/>
    <w:rsid w:val="00546FC2"/>
    <w:rsid w:val="005472D7"/>
    <w:rsid w:val="0054764D"/>
    <w:rsid w:val="0054788C"/>
    <w:rsid w:val="00547ABA"/>
    <w:rsid w:val="00547B37"/>
    <w:rsid w:val="00550924"/>
    <w:rsid w:val="00550B5D"/>
    <w:rsid w:val="00552B38"/>
    <w:rsid w:val="005543DD"/>
    <w:rsid w:val="00554435"/>
    <w:rsid w:val="00554843"/>
    <w:rsid w:val="0055492D"/>
    <w:rsid w:val="0055505E"/>
    <w:rsid w:val="0055538F"/>
    <w:rsid w:val="00555784"/>
    <w:rsid w:val="00555ABC"/>
    <w:rsid w:val="005565BE"/>
    <w:rsid w:val="0055663F"/>
    <w:rsid w:val="005570D8"/>
    <w:rsid w:val="00557148"/>
    <w:rsid w:val="005572F1"/>
    <w:rsid w:val="00557C20"/>
    <w:rsid w:val="00560174"/>
    <w:rsid w:val="00560DAE"/>
    <w:rsid w:val="00561004"/>
    <w:rsid w:val="00561558"/>
    <w:rsid w:val="005616EC"/>
    <w:rsid w:val="00561CDA"/>
    <w:rsid w:val="00562DD3"/>
    <w:rsid w:val="005635E8"/>
    <w:rsid w:val="0056416E"/>
    <w:rsid w:val="00564C6D"/>
    <w:rsid w:val="00564E49"/>
    <w:rsid w:val="0056510E"/>
    <w:rsid w:val="005651B7"/>
    <w:rsid w:val="00565C97"/>
    <w:rsid w:val="00565F05"/>
    <w:rsid w:val="00566036"/>
    <w:rsid w:val="005669B1"/>
    <w:rsid w:val="0056768D"/>
    <w:rsid w:val="00567D38"/>
    <w:rsid w:val="00570123"/>
    <w:rsid w:val="005701C5"/>
    <w:rsid w:val="00570D59"/>
    <w:rsid w:val="00570DA5"/>
    <w:rsid w:val="00571A2A"/>
    <w:rsid w:val="00571F50"/>
    <w:rsid w:val="00572360"/>
    <w:rsid w:val="00572A01"/>
    <w:rsid w:val="00572A99"/>
    <w:rsid w:val="0057362B"/>
    <w:rsid w:val="00574696"/>
    <w:rsid w:val="005749EA"/>
    <w:rsid w:val="00574ACB"/>
    <w:rsid w:val="00575A1F"/>
    <w:rsid w:val="00576162"/>
    <w:rsid w:val="00576376"/>
    <w:rsid w:val="00576F3D"/>
    <w:rsid w:val="005771CD"/>
    <w:rsid w:val="005805F5"/>
    <w:rsid w:val="005807F2"/>
    <w:rsid w:val="00580E3C"/>
    <w:rsid w:val="00581F0F"/>
    <w:rsid w:val="00581FD7"/>
    <w:rsid w:val="00581FF9"/>
    <w:rsid w:val="0058217A"/>
    <w:rsid w:val="005823B9"/>
    <w:rsid w:val="005829A5"/>
    <w:rsid w:val="00582B90"/>
    <w:rsid w:val="00582DBE"/>
    <w:rsid w:val="00582E88"/>
    <w:rsid w:val="00583051"/>
    <w:rsid w:val="005830B2"/>
    <w:rsid w:val="0058360F"/>
    <w:rsid w:val="00583BF8"/>
    <w:rsid w:val="00584B42"/>
    <w:rsid w:val="00584C36"/>
    <w:rsid w:val="00585C3A"/>
    <w:rsid w:val="00585CDF"/>
    <w:rsid w:val="00585FCF"/>
    <w:rsid w:val="00586423"/>
    <w:rsid w:val="005869A9"/>
    <w:rsid w:val="005869F3"/>
    <w:rsid w:val="00586B3D"/>
    <w:rsid w:val="00586BD8"/>
    <w:rsid w:val="00587537"/>
    <w:rsid w:val="00587850"/>
    <w:rsid w:val="00590177"/>
    <w:rsid w:val="00590706"/>
    <w:rsid w:val="00590FF7"/>
    <w:rsid w:val="0059122B"/>
    <w:rsid w:val="0059217C"/>
    <w:rsid w:val="00592358"/>
    <w:rsid w:val="005923E3"/>
    <w:rsid w:val="005928C9"/>
    <w:rsid w:val="00592F00"/>
    <w:rsid w:val="00593275"/>
    <w:rsid w:val="005938B3"/>
    <w:rsid w:val="005938B8"/>
    <w:rsid w:val="00593C73"/>
    <w:rsid w:val="00593E6E"/>
    <w:rsid w:val="00593FF3"/>
    <w:rsid w:val="00594430"/>
    <w:rsid w:val="005946D9"/>
    <w:rsid w:val="00594D68"/>
    <w:rsid w:val="00594ED0"/>
    <w:rsid w:val="005951D7"/>
    <w:rsid w:val="0059520E"/>
    <w:rsid w:val="0059552A"/>
    <w:rsid w:val="00595E6A"/>
    <w:rsid w:val="0059608E"/>
    <w:rsid w:val="00596440"/>
    <w:rsid w:val="005966E7"/>
    <w:rsid w:val="00597094"/>
    <w:rsid w:val="0059716D"/>
    <w:rsid w:val="005973B6"/>
    <w:rsid w:val="00597602"/>
    <w:rsid w:val="00597821"/>
    <w:rsid w:val="00597855"/>
    <w:rsid w:val="005979A7"/>
    <w:rsid w:val="005A0231"/>
    <w:rsid w:val="005A0975"/>
    <w:rsid w:val="005A0F8E"/>
    <w:rsid w:val="005A1250"/>
    <w:rsid w:val="005A1743"/>
    <w:rsid w:val="005A1754"/>
    <w:rsid w:val="005A1DBF"/>
    <w:rsid w:val="005A20CB"/>
    <w:rsid w:val="005A287A"/>
    <w:rsid w:val="005A2CCC"/>
    <w:rsid w:val="005A390D"/>
    <w:rsid w:val="005A3A8E"/>
    <w:rsid w:val="005A3E25"/>
    <w:rsid w:val="005A4134"/>
    <w:rsid w:val="005A4895"/>
    <w:rsid w:val="005A4B84"/>
    <w:rsid w:val="005A4DB0"/>
    <w:rsid w:val="005A4E4B"/>
    <w:rsid w:val="005A556E"/>
    <w:rsid w:val="005A5AE2"/>
    <w:rsid w:val="005A6312"/>
    <w:rsid w:val="005A6B68"/>
    <w:rsid w:val="005A76BF"/>
    <w:rsid w:val="005A7849"/>
    <w:rsid w:val="005B08F1"/>
    <w:rsid w:val="005B0CC4"/>
    <w:rsid w:val="005B0FC2"/>
    <w:rsid w:val="005B1B4A"/>
    <w:rsid w:val="005B2258"/>
    <w:rsid w:val="005B29FE"/>
    <w:rsid w:val="005B3305"/>
    <w:rsid w:val="005B3445"/>
    <w:rsid w:val="005B35C0"/>
    <w:rsid w:val="005B36D6"/>
    <w:rsid w:val="005B39B0"/>
    <w:rsid w:val="005B4287"/>
    <w:rsid w:val="005B47A0"/>
    <w:rsid w:val="005B5CC3"/>
    <w:rsid w:val="005B657D"/>
    <w:rsid w:val="005B671B"/>
    <w:rsid w:val="005B6CB1"/>
    <w:rsid w:val="005B6F82"/>
    <w:rsid w:val="005B7053"/>
    <w:rsid w:val="005C01B2"/>
    <w:rsid w:val="005C0D2C"/>
    <w:rsid w:val="005C0D5E"/>
    <w:rsid w:val="005C14B7"/>
    <w:rsid w:val="005C1AF9"/>
    <w:rsid w:val="005C1CB6"/>
    <w:rsid w:val="005C1E0E"/>
    <w:rsid w:val="005C22B6"/>
    <w:rsid w:val="005C2742"/>
    <w:rsid w:val="005C2CBA"/>
    <w:rsid w:val="005C2E53"/>
    <w:rsid w:val="005C33F8"/>
    <w:rsid w:val="005C3AA9"/>
    <w:rsid w:val="005C3EFE"/>
    <w:rsid w:val="005C4514"/>
    <w:rsid w:val="005C4F13"/>
    <w:rsid w:val="005C543C"/>
    <w:rsid w:val="005C55BE"/>
    <w:rsid w:val="005C59C3"/>
    <w:rsid w:val="005C5CB9"/>
    <w:rsid w:val="005C6462"/>
    <w:rsid w:val="005C6ACF"/>
    <w:rsid w:val="005C6E73"/>
    <w:rsid w:val="005C6E97"/>
    <w:rsid w:val="005C7146"/>
    <w:rsid w:val="005C727C"/>
    <w:rsid w:val="005C73C3"/>
    <w:rsid w:val="005C7B82"/>
    <w:rsid w:val="005C7DD2"/>
    <w:rsid w:val="005D00C6"/>
    <w:rsid w:val="005D02F3"/>
    <w:rsid w:val="005D03F4"/>
    <w:rsid w:val="005D0425"/>
    <w:rsid w:val="005D0A53"/>
    <w:rsid w:val="005D0AD3"/>
    <w:rsid w:val="005D0B97"/>
    <w:rsid w:val="005D1095"/>
    <w:rsid w:val="005D1207"/>
    <w:rsid w:val="005D1350"/>
    <w:rsid w:val="005D1465"/>
    <w:rsid w:val="005D243A"/>
    <w:rsid w:val="005D2C82"/>
    <w:rsid w:val="005D2C94"/>
    <w:rsid w:val="005D30A3"/>
    <w:rsid w:val="005D31EA"/>
    <w:rsid w:val="005D3AC4"/>
    <w:rsid w:val="005D44BA"/>
    <w:rsid w:val="005D4ED7"/>
    <w:rsid w:val="005D5621"/>
    <w:rsid w:val="005D56FE"/>
    <w:rsid w:val="005D5D25"/>
    <w:rsid w:val="005D6501"/>
    <w:rsid w:val="005D6547"/>
    <w:rsid w:val="005D6750"/>
    <w:rsid w:val="005D6B41"/>
    <w:rsid w:val="005D72B0"/>
    <w:rsid w:val="005D731E"/>
    <w:rsid w:val="005D74E2"/>
    <w:rsid w:val="005D76BD"/>
    <w:rsid w:val="005E003E"/>
    <w:rsid w:val="005E0D1C"/>
    <w:rsid w:val="005E0FB1"/>
    <w:rsid w:val="005E127E"/>
    <w:rsid w:val="005E1A90"/>
    <w:rsid w:val="005E1DE1"/>
    <w:rsid w:val="005E20A2"/>
    <w:rsid w:val="005E2ADA"/>
    <w:rsid w:val="005E3658"/>
    <w:rsid w:val="005E3CB4"/>
    <w:rsid w:val="005E4954"/>
    <w:rsid w:val="005E4F39"/>
    <w:rsid w:val="005E5EA8"/>
    <w:rsid w:val="005E5F40"/>
    <w:rsid w:val="005E63C2"/>
    <w:rsid w:val="005E6A25"/>
    <w:rsid w:val="005E7C43"/>
    <w:rsid w:val="005F11F2"/>
    <w:rsid w:val="005F19CD"/>
    <w:rsid w:val="005F1EDB"/>
    <w:rsid w:val="005F230B"/>
    <w:rsid w:val="005F250C"/>
    <w:rsid w:val="005F2694"/>
    <w:rsid w:val="005F2FE9"/>
    <w:rsid w:val="005F334C"/>
    <w:rsid w:val="005F3D38"/>
    <w:rsid w:val="005F3FC9"/>
    <w:rsid w:val="005F47C0"/>
    <w:rsid w:val="005F4FDF"/>
    <w:rsid w:val="005F5D4A"/>
    <w:rsid w:val="005F5F33"/>
    <w:rsid w:val="005F73FD"/>
    <w:rsid w:val="005F7B99"/>
    <w:rsid w:val="00600C26"/>
    <w:rsid w:val="00600E86"/>
    <w:rsid w:val="006014B5"/>
    <w:rsid w:val="00603AC5"/>
    <w:rsid w:val="00603C4E"/>
    <w:rsid w:val="006042E4"/>
    <w:rsid w:val="00604E31"/>
    <w:rsid w:val="006052B4"/>
    <w:rsid w:val="0060542D"/>
    <w:rsid w:val="00605580"/>
    <w:rsid w:val="006061C1"/>
    <w:rsid w:val="0060646D"/>
    <w:rsid w:val="00606550"/>
    <w:rsid w:val="00606F87"/>
    <w:rsid w:val="0060767E"/>
    <w:rsid w:val="0060795A"/>
    <w:rsid w:val="00607BCD"/>
    <w:rsid w:val="00607E05"/>
    <w:rsid w:val="00607EDD"/>
    <w:rsid w:val="006104C8"/>
    <w:rsid w:val="006108F5"/>
    <w:rsid w:val="00610BC1"/>
    <w:rsid w:val="00610F35"/>
    <w:rsid w:val="0061112E"/>
    <w:rsid w:val="00611617"/>
    <w:rsid w:val="006118A0"/>
    <w:rsid w:val="00611C8A"/>
    <w:rsid w:val="00612CA9"/>
    <w:rsid w:val="00613049"/>
    <w:rsid w:val="006139A8"/>
    <w:rsid w:val="00613ACD"/>
    <w:rsid w:val="00613C31"/>
    <w:rsid w:val="00613DE6"/>
    <w:rsid w:val="006141E7"/>
    <w:rsid w:val="0061431E"/>
    <w:rsid w:val="0061441F"/>
    <w:rsid w:val="006146C4"/>
    <w:rsid w:val="006147C9"/>
    <w:rsid w:val="0061483A"/>
    <w:rsid w:val="00614A61"/>
    <w:rsid w:val="00614AA8"/>
    <w:rsid w:val="00614C4D"/>
    <w:rsid w:val="006155F0"/>
    <w:rsid w:val="0061589C"/>
    <w:rsid w:val="00615E46"/>
    <w:rsid w:val="00616026"/>
    <w:rsid w:val="0061655D"/>
    <w:rsid w:val="0061667D"/>
    <w:rsid w:val="00616A97"/>
    <w:rsid w:val="00616D6D"/>
    <w:rsid w:val="00616F95"/>
    <w:rsid w:val="006170DB"/>
    <w:rsid w:val="006175A1"/>
    <w:rsid w:val="0061772E"/>
    <w:rsid w:val="006203AC"/>
    <w:rsid w:val="0062040A"/>
    <w:rsid w:val="00620E7C"/>
    <w:rsid w:val="00621167"/>
    <w:rsid w:val="00621168"/>
    <w:rsid w:val="00621AA1"/>
    <w:rsid w:val="00623111"/>
    <w:rsid w:val="006237F8"/>
    <w:rsid w:val="00623925"/>
    <w:rsid w:val="0062392D"/>
    <w:rsid w:val="00623969"/>
    <w:rsid w:val="006241CE"/>
    <w:rsid w:val="0062476F"/>
    <w:rsid w:val="00624779"/>
    <w:rsid w:val="00624A4A"/>
    <w:rsid w:val="00624E9F"/>
    <w:rsid w:val="006253A6"/>
    <w:rsid w:val="006253BA"/>
    <w:rsid w:val="00625627"/>
    <w:rsid w:val="00625B08"/>
    <w:rsid w:val="00625E4A"/>
    <w:rsid w:val="00626485"/>
    <w:rsid w:val="006268F0"/>
    <w:rsid w:val="006269CB"/>
    <w:rsid w:val="00626C2C"/>
    <w:rsid w:val="00630650"/>
    <w:rsid w:val="00630D7A"/>
    <w:rsid w:val="00631A78"/>
    <w:rsid w:val="00631BCB"/>
    <w:rsid w:val="00632E2A"/>
    <w:rsid w:val="0063316E"/>
    <w:rsid w:val="00633971"/>
    <w:rsid w:val="00634270"/>
    <w:rsid w:val="006355FB"/>
    <w:rsid w:val="00635D61"/>
    <w:rsid w:val="0063602D"/>
    <w:rsid w:val="00636080"/>
    <w:rsid w:val="006362F4"/>
    <w:rsid w:val="006372B5"/>
    <w:rsid w:val="00637698"/>
    <w:rsid w:val="00637B6C"/>
    <w:rsid w:val="00637BEF"/>
    <w:rsid w:val="00640B1E"/>
    <w:rsid w:val="00640BAC"/>
    <w:rsid w:val="00640C1B"/>
    <w:rsid w:val="00640FF6"/>
    <w:rsid w:val="00641238"/>
    <w:rsid w:val="00641341"/>
    <w:rsid w:val="00641587"/>
    <w:rsid w:val="00642490"/>
    <w:rsid w:val="00642870"/>
    <w:rsid w:val="00642B62"/>
    <w:rsid w:val="00642C8A"/>
    <w:rsid w:val="00642D73"/>
    <w:rsid w:val="00642DEF"/>
    <w:rsid w:val="00643017"/>
    <w:rsid w:val="006432DD"/>
    <w:rsid w:val="006434D0"/>
    <w:rsid w:val="006436AB"/>
    <w:rsid w:val="0064387A"/>
    <w:rsid w:val="0064387F"/>
    <w:rsid w:val="00643FE6"/>
    <w:rsid w:val="006441F2"/>
    <w:rsid w:val="00644260"/>
    <w:rsid w:val="00644792"/>
    <w:rsid w:val="00645EC5"/>
    <w:rsid w:val="006461B2"/>
    <w:rsid w:val="00646C33"/>
    <w:rsid w:val="006473A3"/>
    <w:rsid w:val="00651059"/>
    <w:rsid w:val="00651686"/>
    <w:rsid w:val="00652838"/>
    <w:rsid w:val="00652934"/>
    <w:rsid w:val="00652956"/>
    <w:rsid w:val="006534B1"/>
    <w:rsid w:val="00653A83"/>
    <w:rsid w:val="00653D56"/>
    <w:rsid w:val="00654049"/>
    <w:rsid w:val="00654153"/>
    <w:rsid w:val="006547B8"/>
    <w:rsid w:val="00654B73"/>
    <w:rsid w:val="0065505F"/>
    <w:rsid w:val="006550F0"/>
    <w:rsid w:val="0065516F"/>
    <w:rsid w:val="006554CC"/>
    <w:rsid w:val="0065554C"/>
    <w:rsid w:val="0065572F"/>
    <w:rsid w:val="00655C89"/>
    <w:rsid w:val="006565FE"/>
    <w:rsid w:val="00656BB0"/>
    <w:rsid w:val="00656C3D"/>
    <w:rsid w:val="00657317"/>
    <w:rsid w:val="00657BEF"/>
    <w:rsid w:val="00660435"/>
    <w:rsid w:val="0066075D"/>
    <w:rsid w:val="0066096A"/>
    <w:rsid w:val="00661089"/>
    <w:rsid w:val="0066117A"/>
    <w:rsid w:val="0066150F"/>
    <w:rsid w:val="00661615"/>
    <w:rsid w:val="006620E5"/>
    <w:rsid w:val="006626BE"/>
    <w:rsid w:val="006627F3"/>
    <w:rsid w:val="0066342F"/>
    <w:rsid w:val="0066405A"/>
    <w:rsid w:val="006641EC"/>
    <w:rsid w:val="00664365"/>
    <w:rsid w:val="006643D3"/>
    <w:rsid w:val="00664CAC"/>
    <w:rsid w:val="0066500E"/>
    <w:rsid w:val="006654A8"/>
    <w:rsid w:val="00665951"/>
    <w:rsid w:val="00665CD8"/>
    <w:rsid w:val="00666139"/>
    <w:rsid w:val="006674CB"/>
    <w:rsid w:val="00670AED"/>
    <w:rsid w:val="006714A1"/>
    <w:rsid w:val="00671500"/>
    <w:rsid w:val="006716D8"/>
    <w:rsid w:val="00671A34"/>
    <w:rsid w:val="00671CC5"/>
    <w:rsid w:val="00671FA8"/>
    <w:rsid w:val="00672381"/>
    <w:rsid w:val="0067244B"/>
    <w:rsid w:val="00672ACD"/>
    <w:rsid w:val="00672F34"/>
    <w:rsid w:val="0067348A"/>
    <w:rsid w:val="006737D4"/>
    <w:rsid w:val="00674A01"/>
    <w:rsid w:val="00674C69"/>
    <w:rsid w:val="0067546D"/>
    <w:rsid w:val="0067562D"/>
    <w:rsid w:val="00675EC2"/>
    <w:rsid w:val="006765FF"/>
    <w:rsid w:val="00676835"/>
    <w:rsid w:val="0067735A"/>
    <w:rsid w:val="0067743C"/>
    <w:rsid w:val="006804C6"/>
    <w:rsid w:val="006809B2"/>
    <w:rsid w:val="00680BE2"/>
    <w:rsid w:val="00680D64"/>
    <w:rsid w:val="006811A0"/>
    <w:rsid w:val="00681331"/>
    <w:rsid w:val="00682210"/>
    <w:rsid w:val="006824C6"/>
    <w:rsid w:val="00682654"/>
    <w:rsid w:val="00682C4F"/>
    <w:rsid w:val="0068374D"/>
    <w:rsid w:val="00683F5C"/>
    <w:rsid w:val="00684190"/>
    <w:rsid w:val="00684544"/>
    <w:rsid w:val="00684BF8"/>
    <w:rsid w:val="006852E4"/>
    <w:rsid w:val="00685645"/>
    <w:rsid w:val="0068639B"/>
    <w:rsid w:val="006863DB"/>
    <w:rsid w:val="0068648E"/>
    <w:rsid w:val="00687120"/>
    <w:rsid w:val="006871C0"/>
    <w:rsid w:val="006873CA"/>
    <w:rsid w:val="006879FC"/>
    <w:rsid w:val="0069000B"/>
    <w:rsid w:val="0069017E"/>
    <w:rsid w:val="00690C3D"/>
    <w:rsid w:val="00690F26"/>
    <w:rsid w:val="00690FC4"/>
    <w:rsid w:val="00691854"/>
    <w:rsid w:val="0069239A"/>
    <w:rsid w:val="006924C7"/>
    <w:rsid w:val="006925DD"/>
    <w:rsid w:val="006928D7"/>
    <w:rsid w:val="006928E0"/>
    <w:rsid w:val="00692AAD"/>
    <w:rsid w:val="00692BC5"/>
    <w:rsid w:val="006930C7"/>
    <w:rsid w:val="00693876"/>
    <w:rsid w:val="00694761"/>
    <w:rsid w:val="006952B6"/>
    <w:rsid w:val="00696B68"/>
    <w:rsid w:val="00697559"/>
    <w:rsid w:val="00697652"/>
    <w:rsid w:val="00697E50"/>
    <w:rsid w:val="006A0191"/>
    <w:rsid w:val="006A0824"/>
    <w:rsid w:val="006A0829"/>
    <w:rsid w:val="006A1018"/>
    <w:rsid w:val="006A1565"/>
    <w:rsid w:val="006A1654"/>
    <w:rsid w:val="006A1733"/>
    <w:rsid w:val="006A183E"/>
    <w:rsid w:val="006A187E"/>
    <w:rsid w:val="006A1F30"/>
    <w:rsid w:val="006A2517"/>
    <w:rsid w:val="006A28F7"/>
    <w:rsid w:val="006A2CB0"/>
    <w:rsid w:val="006A2E3C"/>
    <w:rsid w:val="006A30A9"/>
    <w:rsid w:val="006A3C6E"/>
    <w:rsid w:val="006A486A"/>
    <w:rsid w:val="006A4A10"/>
    <w:rsid w:val="006A4CE7"/>
    <w:rsid w:val="006A4D90"/>
    <w:rsid w:val="006A5240"/>
    <w:rsid w:val="006A5868"/>
    <w:rsid w:val="006A5F2B"/>
    <w:rsid w:val="006A6A8D"/>
    <w:rsid w:val="006A6C55"/>
    <w:rsid w:val="006A6E8D"/>
    <w:rsid w:val="006A7408"/>
    <w:rsid w:val="006A75A0"/>
    <w:rsid w:val="006A778D"/>
    <w:rsid w:val="006B0266"/>
    <w:rsid w:val="006B02BC"/>
    <w:rsid w:val="006B069B"/>
    <w:rsid w:val="006B0FD2"/>
    <w:rsid w:val="006B1458"/>
    <w:rsid w:val="006B1542"/>
    <w:rsid w:val="006B218B"/>
    <w:rsid w:val="006B26E5"/>
    <w:rsid w:val="006B2831"/>
    <w:rsid w:val="006B2BC3"/>
    <w:rsid w:val="006B3EBC"/>
    <w:rsid w:val="006B4607"/>
    <w:rsid w:val="006B46BC"/>
    <w:rsid w:val="006B48F8"/>
    <w:rsid w:val="006B490B"/>
    <w:rsid w:val="006B5530"/>
    <w:rsid w:val="006B6CF2"/>
    <w:rsid w:val="006C02CF"/>
    <w:rsid w:val="006C0621"/>
    <w:rsid w:val="006C09A5"/>
    <w:rsid w:val="006C0C30"/>
    <w:rsid w:val="006C0D3D"/>
    <w:rsid w:val="006C0EEA"/>
    <w:rsid w:val="006C12E0"/>
    <w:rsid w:val="006C1594"/>
    <w:rsid w:val="006C1840"/>
    <w:rsid w:val="006C1A7C"/>
    <w:rsid w:val="006C1A8D"/>
    <w:rsid w:val="006C1AE4"/>
    <w:rsid w:val="006C1D19"/>
    <w:rsid w:val="006C20F4"/>
    <w:rsid w:val="006C22BB"/>
    <w:rsid w:val="006C23A8"/>
    <w:rsid w:val="006C26FC"/>
    <w:rsid w:val="006C2905"/>
    <w:rsid w:val="006C2923"/>
    <w:rsid w:val="006C2EED"/>
    <w:rsid w:val="006C335A"/>
    <w:rsid w:val="006C35EC"/>
    <w:rsid w:val="006C374A"/>
    <w:rsid w:val="006C3762"/>
    <w:rsid w:val="006C3A5D"/>
    <w:rsid w:val="006C3D26"/>
    <w:rsid w:val="006C401A"/>
    <w:rsid w:val="006C4D95"/>
    <w:rsid w:val="006C4FD7"/>
    <w:rsid w:val="006C65AC"/>
    <w:rsid w:val="006C6696"/>
    <w:rsid w:val="006C783E"/>
    <w:rsid w:val="006C7AF1"/>
    <w:rsid w:val="006C7DA8"/>
    <w:rsid w:val="006C7DC1"/>
    <w:rsid w:val="006D09B8"/>
    <w:rsid w:val="006D1075"/>
    <w:rsid w:val="006D123A"/>
    <w:rsid w:val="006D14B8"/>
    <w:rsid w:val="006D180F"/>
    <w:rsid w:val="006D1CA1"/>
    <w:rsid w:val="006D393F"/>
    <w:rsid w:val="006D4103"/>
    <w:rsid w:val="006D410A"/>
    <w:rsid w:val="006D4607"/>
    <w:rsid w:val="006D550A"/>
    <w:rsid w:val="006D592A"/>
    <w:rsid w:val="006D5AF0"/>
    <w:rsid w:val="006D5EA9"/>
    <w:rsid w:val="006D6965"/>
    <w:rsid w:val="006D6982"/>
    <w:rsid w:val="006D717A"/>
    <w:rsid w:val="006D7622"/>
    <w:rsid w:val="006D76E4"/>
    <w:rsid w:val="006D7C2C"/>
    <w:rsid w:val="006D7C75"/>
    <w:rsid w:val="006D7D43"/>
    <w:rsid w:val="006D7D72"/>
    <w:rsid w:val="006D7EFE"/>
    <w:rsid w:val="006D7F85"/>
    <w:rsid w:val="006E0A15"/>
    <w:rsid w:val="006E180D"/>
    <w:rsid w:val="006E1A15"/>
    <w:rsid w:val="006E1CF7"/>
    <w:rsid w:val="006E1FA0"/>
    <w:rsid w:val="006E3307"/>
    <w:rsid w:val="006E472C"/>
    <w:rsid w:val="006E5736"/>
    <w:rsid w:val="006E5B70"/>
    <w:rsid w:val="006E5C78"/>
    <w:rsid w:val="006E5D69"/>
    <w:rsid w:val="006E754B"/>
    <w:rsid w:val="006E79E4"/>
    <w:rsid w:val="006F02FB"/>
    <w:rsid w:val="006F044B"/>
    <w:rsid w:val="006F0525"/>
    <w:rsid w:val="006F07F1"/>
    <w:rsid w:val="006F0880"/>
    <w:rsid w:val="006F15AD"/>
    <w:rsid w:val="006F17DE"/>
    <w:rsid w:val="006F1803"/>
    <w:rsid w:val="006F1847"/>
    <w:rsid w:val="006F1A7C"/>
    <w:rsid w:val="006F1DCA"/>
    <w:rsid w:val="006F2010"/>
    <w:rsid w:val="006F2437"/>
    <w:rsid w:val="006F287E"/>
    <w:rsid w:val="006F29C2"/>
    <w:rsid w:val="006F2D33"/>
    <w:rsid w:val="006F2D3E"/>
    <w:rsid w:val="006F2ECB"/>
    <w:rsid w:val="006F2ED3"/>
    <w:rsid w:val="006F3578"/>
    <w:rsid w:val="006F3583"/>
    <w:rsid w:val="006F3687"/>
    <w:rsid w:val="006F4ACB"/>
    <w:rsid w:val="006F4D1D"/>
    <w:rsid w:val="006F55C4"/>
    <w:rsid w:val="006F5B67"/>
    <w:rsid w:val="006F5B9E"/>
    <w:rsid w:val="006F5F0C"/>
    <w:rsid w:val="006F64EE"/>
    <w:rsid w:val="006F6E1E"/>
    <w:rsid w:val="006F6F39"/>
    <w:rsid w:val="006F7C30"/>
    <w:rsid w:val="006F7E87"/>
    <w:rsid w:val="006F7F76"/>
    <w:rsid w:val="006F7FA7"/>
    <w:rsid w:val="0070104B"/>
    <w:rsid w:val="0070127F"/>
    <w:rsid w:val="007015E2"/>
    <w:rsid w:val="00701B02"/>
    <w:rsid w:val="00701C3F"/>
    <w:rsid w:val="00701FD5"/>
    <w:rsid w:val="007020BD"/>
    <w:rsid w:val="00702589"/>
    <w:rsid w:val="007027B5"/>
    <w:rsid w:val="0070298D"/>
    <w:rsid w:val="007030CF"/>
    <w:rsid w:val="007031C5"/>
    <w:rsid w:val="007035F2"/>
    <w:rsid w:val="007036A5"/>
    <w:rsid w:val="007047A4"/>
    <w:rsid w:val="00704D34"/>
    <w:rsid w:val="00704F49"/>
    <w:rsid w:val="0070504D"/>
    <w:rsid w:val="007055E9"/>
    <w:rsid w:val="00705733"/>
    <w:rsid w:val="00705824"/>
    <w:rsid w:val="0070587F"/>
    <w:rsid w:val="00705D25"/>
    <w:rsid w:val="00707075"/>
    <w:rsid w:val="00707A8E"/>
    <w:rsid w:val="00707A9C"/>
    <w:rsid w:val="00710BF3"/>
    <w:rsid w:val="00711295"/>
    <w:rsid w:val="00711597"/>
    <w:rsid w:val="007121E8"/>
    <w:rsid w:val="0071240A"/>
    <w:rsid w:val="007129CA"/>
    <w:rsid w:val="00712BBC"/>
    <w:rsid w:val="00712C5D"/>
    <w:rsid w:val="00712FC2"/>
    <w:rsid w:val="00712FF9"/>
    <w:rsid w:val="00713156"/>
    <w:rsid w:val="00713661"/>
    <w:rsid w:val="00713771"/>
    <w:rsid w:val="00713A36"/>
    <w:rsid w:val="00713AE7"/>
    <w:rsid w:val="007146A3"/>
    <w:rsid w:val="007146E1"/>
    <w:rsid w:val="00714933"/>
    <w:rsid w:val="0071507A"/>
    <w:rsid w:val="007153BE"/>
    <w:rsid w:val="00715E0B"/>
    <w:rsid w:val="0071628F"/>
    <w:rsid w:val="0071637F"/>
    <w:rsid w:val="00717401"/>
    <w:rsid w:val="00717900"/>
    <w:rsid w:val="00720798"/>
    <w:rsid w:val="00720836"/>
    <w:rsid w:val="00720CE7"/>
    <w:rsid w:val="00720DCE"/>
    <w:rsid w:val="00721037"/>
    <w:rsid w:val="00721345"/>
    <w:rsid w:val="007219F1"/>
    <w:rsid w:val="00721A99"/>
    <w:rsid w:val="00721C0A"/>
    <w:rsid w:val="00721C71"/>
    <w:rsid w:val="0072208A"/>
    <w:rsid w:val="007222DD"/>
    <w:rsid w:val="00722504"/>
    <w:rsid w:val="00723152"/>
    <w:rsid w:val="00723FA6"/>
    <w:rsid w:val="00725892"/>
    <w:rsid w:val="00726529"/>
    <w:rsid w:val="007267BD"/>
    <w:rsid w:val="00726B97"/>
    <w:rsid w:val="00726C98"/>
    <w:rsid w:val="0072707C"/>
    <w:rsid w:val="0072745F"/>
    <w:rsid w:val="00727707"/>
    <w:rsid w:val="00727A55"/>
    <w:rsid w:val="00730271"/>
    <w:rsid w:val="00730734"/>
    <w:rsid w:val="00730E49"/>
    <w:rsid w:val="00730F94"/>
    <w:rsid w:val="00731761"/>
    <w:rsid w:val="00731E6F"/>
    <w:rsid w:val="007327F1"/>
    <w:rsid w:val="007330A9"/>
    <w:rsid w:val="00733DA0"/>
    <w:rsid w:val="00733DFA"/>
    <w:rsid w:val="007345B9"/>
    <w:rsid w:val="00734C27"/>
    <w:rsid w:val="0073557F"/>
    <w:rsid w:val="00735B3D"/>
    <w:rsid w:val="007363C3"/>
    <w:rsid w:val="007369F6"/>
    <w:rsid w:val="0073730B"/>
    <w:rsid w:val="007378A8"/>
    <w:rsid w:val="00737E31"/>
    <w:rsid w:val="00740207"/>
    <w:rsid w:val="00740958"/>
    <w:rsid w:val="0074201A"/>
    <w:rsid w:val="007428C0"/>
    <w:rsid w:val="00742929"/>
    <w:rsid w:val="00742AD3"/>
    <w:rsid w:val="00743DAB"/>
    <w:rsid w:val="0074459A"/>
    <w:rsid w:val="007445A1"/>
    <w:rsid w:val="00744645"/>
    <w:rsid w:val="00746448"/>
    <w:rsid w:val="0074677B"/>
    <w:rsid w:val="007470B9"/>
    <w:rsid w:val="00747188"/>
    <w:rsid w:val="0074732E"/>
    <w:rsid w:val="00747945"/>
    <w:rsid w:val="00750031"/>
    <w:rsid w:val="00750270"/>
    <w:rsid w:val="0075031F"/>
    <w:rsid w:val="0075045D"/>
    <w:rsid w:val="00751334"/>
    <w:rsid w:val="0075164F"/>
    <w:rsid w:val="0075181E"/>
    <w:rsid w:val="00751A67"/>
    <w:rsid w:val="00751E3B"/>
    <w:rsid w:val="0075265B"/>
    <w:rsid w:val="00753626"/>
    <w:rsid w:val="00753A16"/>
    <w:rsid w:val="0075456E"/>
    <w:rsid w:val="007547E4"/>
    <w:rsid w:val="007548EC"/>
    <w:rsid w:val="00754E54"/>
    <w:rsid w:val="007552C9"/>
    <w:rsid w:val="00755921"/>
    <w:rsid w:val="007561EB"/>
    <w:rsid w:val="007563F8"/>
    <w:rsid w:val="00757756"/>
    <w:rsid w:val="0075799C"/>
    <w:rsid w:val="0076034B"/>
    <w:rsid w:val="00760E02"/>
    <w:rsid w:val="00761094"/>
    <w:rsid w:val="007613CA"/>
    <w:rsid w:val="00761468"/>
    <w:rsid w:val="00761562"/>
    <w:rsid w:val="00761D12"/>
    <w:rsid w:val="00761FB0"/>
    <w:rsid w:val="007620EC"/>
    <w:rsid w:val="007621C2"/>
    <w:rsid w:val="007626CF"/>
    <w:rsid w:val="0076274B"/>
    <w:rsid w:val="007634E5"/>
    <w:rsid w:val="0076361F"/>
    <w:rsid w:val="00763A5D"/>
    <w:rsid w:val="00764460"/>
    <w:rsid w:val="0076481D"/>
    <w:rsid w:val="00765ADA"/>
    <w:rsid w:val="00765DD0"/>
    <w:rsid w:val="007663B6"/>
    <w:rsid w:val="007668D4"/>
    <w:rsid w:val="00767522"/>
    <w:rsid w:val="00767F86"/>
    <w:rsid w:val="0077033C"/>
    <w:rsid w:val="00771003"/>
    <w:rsid w:val="007714A4"/>
    <w:rsid w:val="007716AD"/>
    <w:rsid w:val="00771A11"/>
    <w:rsid w:val="007724AD"/>
    <w:rsid w:val="00772508"/>
    <w:rsid w:val="007728F9"/>
    <w:rsid w:val="00772E81"/>
    <w:rsid w:val="0077355B"/>
    <w:rsid w:val="00773DFB"/>
    <w:rsid w:val="00774747"/>
    <w:rsid w:val="00774CF6"/>
    <w:rsid w:val="007752FA"/>
    <w:rsid w:val="007758D0"/>
    <w:rsid w:val="00775FE1"/>
    <w:rsid w:val="007766A7"/>
    <w:rsid w:val="00776DC5"/>
    <w:rsid w:val="00776F7F"/>
    <w:rsid w:val="00777B47"/>
    <w:rsid w:val="0078038F"/>
    <w:rsid w:val="00780CF5"/>
    <w:rsid w:val="00781656"/>
    <w:rsid w:val="0078244E"/>
    <w:rsid w:val="007828F8"/>
    <w:rsid w:val="00782A29"/>
    <w:rsid w:val="00782A2F"/>
    <w:rsid w:val="00782A3D"/>
    <w:rsid w:val="00783255"/>
    <w:rsid w:val="00783DB0"/>
    <w:rsid w:val="00784025"/>
    <w:rsid w:val="0078405F"/>
    <w:rsid w:val="007847E8"/>
    <w:rsid w:val="00784AA3"/>
    <w:rsid w:val="00784C2F"/>
    <w:rsid w:val="007850E7"/>
    <w:rsid w:val="00785261"/>
    <w:rsid w:val="00785BBA"/>
    <w:rsid w:val="007867EE"/>
    <w:rsid w:val="00786972"/>
    <w:rsid w:val="00786C15"/>
    <w:rsid w:val="00787120"/>
    <w:rsid w:val="0078777D"/>
    <w:rsid w:val="00787CA9"/>
    <w:rsid w:val="00787F3F"/>
    <w:rsid w:val="00790A62"/>
    <w:rsid w:val="0079105F"/>
    <w:rsid w:val="007912A0"/>
    <w:rsid w:val="00791769"/>
    <w:rsid w:val="007925AB"/>
    <w:rsid w:val="00792F57"/>
    <w:rsid w:val="00794020"/>
    <w:rsid w:val="007940BF"/>
    <w:rsid w:val="00794147"/>
    <w:rsid w:val="00794A2E"/>
    <w:rsid w:val="00794CCA"/>
    <w:rsid w:val="007953EE"/>
    <w:rsid w:val="0079665E"/>
    <w:rsid w:val="00796DB8"/>
    <w:rsid w:val="00796F15"/>
    <w:rsid w:val="007970B7"/>
    <w:rsid w:val="007A002F"/>
    <w:rsid w:val="007A0526"/>
    <w:rsid w:val="007A068A"/>
    <w:rsid w:val="007A0AEC"/>
    <w:rsid w:val="007A0FED"/>
    <w:rsid w:val="007A1164"/>
    <w:rsid w:val="007A14A6"/>
    <w:rsid w:val="007A1D3C"/>
    <w:rsid w:val="007A1EA8"/>
    <w:rsid w:val="007A2849"/>
    <w:rsid w:val="007A2ACA"/>
    <w:rsid w:val="007A2B21"/>
    <w:rsid w:val="007A31D9"/>
    <w:rsid w:val="007A324E"/>
    <w:rsid w:val="007A33A0"/>
    <w:rsid w:val="007A3C20"/>
    <w:rsid w:val="007A3C59"/>
    <w:rsid w:val="007A4103"/>
    <w:rsid w:val="007A5061"/>
    <w:rsid w:val="007A5186"/>
    <w:rsid w:val="007A56CC"/>
    <w:rsid w:val="007A6556"/>
    <w:rsid w:val="007A683B"/>
    <w:rsid w:val="007A6B1D"/>
    <w:rsid w:val="007A6C18"/>
    <w:rsid w:val="007B0256"/>
    <w:rsid w:val="007B0E59"/>
    <w:rsid w:val="007B1402"/>
    <w:rsid w:val="007B1435"/>
    <w:rsid w:val="007B1680"/>
    <w:rsid w:val="007B183D"/>
    <w:rsid w:val="007B18C4"/>
    <w:rsid w:val="007B1D46"/>
    <w:rsid w:val="007B202E"/>
    <w:rsid w:val="007B2197"/>
    <w:rsid w:val="007B252A"/>
    <w:rsid w:val="007B2547"/>
    <w:rsid w:val="007B2B53"/>
    <w:rsid w:val="007B2E21"/>
    <w:rsid w:val="007B303C"/>
    <w:rsid w:val="007B30EA"/>
    <w:rsid w:val="007B3CFC"/>
    <w:rsid w:val="007B3D3F"/>
    <w:rsid w:val="007B45DF"/>
    <w:rsid w:val="007B4D14"/>
    <w:rsid w:val="007B51C9"/>
    <w:rsid w:val="007B5CD6"/>
    <w:rsid w:val="007B60CD"/>
    <w:rsid w:val="007B6169"/>
    <w:rsid w:val="007B61F4"/>
    <w:rsid w:val="007B659C"/>
    <w:rsid w:val="007B65D1"/>
    <w:rsid w:val="007B65DA"/>
    <w:rsid w:val="007B688B"/>
    <w:rsid w:val="007B6B6C"/>
    <w:rsid w:val="007B6BF9"/>
    <w:rsid w:val="007B703F"/>
    <w:rsid w:val="007B726D"/>
    <w:rsid w:val="007B74EB"/>
    <w:rsid w:val="007B792B"/>
    <w:rsid w:val="007C004D"/>
    <w:rsid w:val="007C0193"/>
    <w:rsid w:val="007C04AF"/>
    <w:rsid w:val="007C0CEA"/>
    <w:rsid w:val="007C0E71"/>
    <w:rsid w:val="007C14B4"/>
    <w:rsid w:val="007C1DB9"/>
    <w:rsid w:val="007C23AB"/>
    <w:rsid w:val="007C2EA3"/>
    <w:rsid w:val="007C58ED"/>
    <w:rsid w:val="007C5E76"/>
    <w:rsid w:val="007C68B8"/>
    <w:rsid w:val="007C7691"/>
    <w:rsid w:val="007D0370"/>
    <w:rsid w:val="007D0424"/>
    <w:rsid w:val="007D10A0"/>
    <w:rsid w:val="007D10B7"/>
    <w:rsid w:val="007D1690"/>
    <w:rsid w:val="007D1789"/>
    <w:rsid w:val="007D1F41"/>
    <w:rsid w:val="007D232D"/>
    <w:rsid w:val="007D2587"/>
    <w:rsid w:val="007D30A4"/>
    <w:rsid w:val="007D3258"/>
    <w:rsid w:val="007D34DD"/>
    <w:rsid w:val="007D379E"/>
    <w:rsid w:val="007D37D8"/>
    <w:rsid w:val="007D49A9"/>
    <w:rsid w:val="007D554E"/>
    <w:rsid w:val="007D5B80"/>
    <w:rsid w:val="007D5BE9"/>
    <w:rsid w:val="007D626F"/>
    <w:rsid w:val="007D6DCC"/>
    <w:rsid w:val="007D7038"/>
    <w:rsid w:val="007D716B"/>
    <w:rsid w:val="007D796D"/>
    <w:rsid w:val="007D7CDC"/>
    <w:rsid w:val="007D7DDF"/>
    <w:rsid w:val="007E07C7"/>
    <w:rsid w:val="007E0CE7"/>
    <w:rsid w:val="007E0E0E"/>
    <w:rsid w:val="007E104D"/>
    <w:rsid w:val="007E10B2"/>
    <w:rsid w:val="007E11A0"/>
    <w:rsid w:val="007E1212"/>
    <w:rsid w:val="007E145E"/>
    <w:rsid w:val="007E18C5"/>
    <w:rsid w:val="007E2669"/>
    <w:rsid w:val="007E2E94"/>
    <w:rsid w:val="007E3072"/>
    <w:rsid w:val="007E32DF"/>
    <w:rsid w:val="007E3762"/>
    <w:rsid w:val="007E37F5"/>
    <w:rsid w:val="007E4186"/>
    <w:rsid w:val="007E44DB"/>
    <w:rsid w:val="007E49A9"/>
    <w:rsid w:val="007E49CC"/>
    <w:rsid w:val="007E54F5"/>
    <w:rsid w:val="007E58B7"/>
    <w:rsid w:val="007E5E24"/>
    <w:rsid w:val="007E5F7E"/>
    <w:rsid w:val="007E6385"/>
    <w:rsid w:val="007E63AD"/>
    <w:rsid w:val="007F056C"/>
    <w:rsid w:val="007F1B47"/>
    <w:rsid w:val="007F1C27"/>
    <w:rsid w:val="007F1F91"/>
    <w:rsid w:val="007F2D3F"/>
    <w:rsid w:val="007F3539"/>
    <w:rsid w:val="007F4602"/>
    <w:rsid w:val="007F4B44"/>
    <w:rsid w:val="007F4FED"/>
    <w:rsid w:val="007F55D5"/>
    <w:rsid w:val="007F5B1D"/>
    <w:rsid w:val="007F5FC7"/>
    <w:rsid w:val="007F6C8C"/>
    <w:rsid w:val="007F6CEB"/>
    <w:rsid w:val="007F732A"/>
    <w:rsid w:val="007F7826"/>
    <w:rsid w:val="007F7E2B"/>
    <w:rsid w:val="008000E1"/>
    <w:rsid w:val="00801EAE"/>
    <w:rsid w:val="00801F8D"/>
    <w:rsid w:val="008024AC"/>
    <w:rsid w:val="00802ED5"/>
    <w:rsid w:val="0080322A"/>
    <w:rsid w:val="0080327C"/>
    <w:rsid w:val="00803619"/>
    <w:rsid w:val="00803818"/>
    <w:rsid w:val="00803937"/>
    <w:rsid w:val="00803F9C"/>
    <w:rsid w:val="00804056"/>
    <w:rsid w:val="00804580"/>
    <w:rsid w:val="00804EEF"/>
    <w:rsid w:val="00805013"/>
    <w:rsid w:val="00805214"/>
    <w:rsid w:val="00805601"/>
    <w:rsid w:val="00805AFE"/>
    <w:rsid w:val="008060A9"/>
    <w:rsid w:val="00806567"/>
    <w:rsid w:val="00806600"/>
    <w:rsid w:val="008067B1"/>
    <w:rsid w:val="00806D66"/>
    <w:rsid w:val="00806E58"/>
    <w:rsid w:val="00806E71"/>
    <w:rsid w:val="00807E96"/>
    <w:rsid w:val="0081023A"/>
    <w:rsid w:val="008104A1"/>
    <w:rsid w:val="008104DE"/>
    <w:rsid w:val="008113BF"/>
    <w:rsid w:val="008113DD"/>
    <w:rsid w:val="008114FF"/>
    <w:rsid w:val="008117B5"/>
    <w:rsid w:val="00811D69"/>
    <w:rsid w:val="00811FAE"/>
    <w:rsid w:val="008123D3"/>
    <w:rsid w:val="008123D7"/>
    <w:rsid w:val="0081332C"/>
    <w:rsid w:val="00813511"/>
    <w:rsid w:val="00813A38"/>
    <w:rsid w:val="00814BAD"/>
    <w:rsid w:val="0081535C"/>
    <w:rsid w:val="00815CB3"/>
    <w:rsid w:val="00816B6C"/>
    <w:rsid w:val="00816F5A"/>
    <w:rsid w:val="00817392"/>
    <w:rsid w:val="0081795A"/>
    <w:rsid w:val="008179AF"/>
    <w:rsid w:val="0082056B"/>
    <w:rsid w:val="00820A65"/>
    <w:rsid w:val="00820C0A"/>
    <w:rsid w:val="00821087"/>
    <w:rsid w:val="008214DD"/>
    <w:rsid w:val="008218C3"/>
    <w:rsid w:val="00822195"/>
    <w:rsid w:val="00822386"/>
    <w:rsid w:val="008227D7"/>
    <w:rsid w:val="00822EBD"/>
    <w:rsid w:val="008235AB"/>
    <w:rsid w:val="00823726"/>
    <w:rsid w:val="00823C68"/>
    <w:rsid w:val="00824093"/>
    <w:rsid w:val="0082434D"/>
    <w:rsid w:val="0082465B"/>
    <w:rsid w:val="00824908"/>
    <w:rsid w:val="00824C2D"/>
    <w:rsid w:val="008251F9"/>
    <w:rsid w:val="008258E3"/>
    <w:rsid w:val="00825AE2"/>
    <w:rsid w:val="00825CA5"/>
    <w:rsid w:val="00825F5C"/>
    <w:rsid w:val="00825FCD"/>
    <w:rsid w:val="008268C0"/>
    <w:rsid w:val="00827247"/>
    <w:rsid w:val="00827C81"/>
    <w:rsid w:val="00827E8B"/>
    <w:rsid w:val="00830435"/>
    <w:rsid w:val="0083065A"/>
    <w:rsid w:val="00831194"/>
    <w:rsid w:val="00832A8E"/>
    <w:rsid w:val="00832C57"/>
    <w:rsid w:val="0083320B"/>
    <w:rsid w:val="00833740"/>
    <w:rsid w:val="008339A7"/>
    <w:rsid w:val="00834066"/>
    <w:rsid w:val="00834287"/>
    <w:rsid w:val="008343F7"/>
    <w:rsid w:val="0083488C"/>
    <w:rsid w:val="00835397"/>
    <w:rsid w:val="0083547D"/>
    <w:rsid w:val="0083555A"/>
    <w:rsid w:val="008355B9"/>
    <w:rsid w:val="00835800"/>
    <w:rsid w:val="00835FB4"/>
    <w:rsid w:val="008364CB"/>
    <w:rsid w:val="00836DDA"/>
    <w:rsid w:val="008408B5"/>
    <w:rsid w:val="00840A79"/>
    <w:rsid w:val="00840DDB"/>
    <w:rsid w:val="008410CD"/>
    <w:rsid w:val="00841BCE"/>
    <w:rsid w:val="00841D39"/>
    <w:rsid w:val="00841FBC"/>
    <w:rsid w:val="008425B7"/>
    <w:rsid w:val="00842716"/>
    <w:rsid w:val="00842B5D"/>
    <w:rsid w:val="00842F0E"/>
    <w:rsid w:val="00843390"/>
    <w:rsid w:val="0084354F"/>
    <w:rsid w:val="0084426A"/>
    <w:rsid w:val="008448D4"/>
    <w:rsid w:val="00844D79"/>
    <w:rsid w:val="00844EE6"/>
    <w:rsid w:val="00845534"/>
    <w:rsid w:val="008455F8"/>
    <w:rsid w:val="00845BE0"/>
    <w:rsid w:val="0084628E"/>
    <w:rsid w:val="00846388"/>
    <w:rsid w:val="0084673A"/>
    <w:rsid w:val="00846786"/>
    <w:rsid w:val="00847067"/>
    <w:rsid w:val="008472E9"/>
    <w:rsid w:val="0085040D"/>
    <w:rsid w:val="008505BB"/>
    <w:rsid w:val="008509BC"/>
    <w:rsid w:val="00851170"/>
    <w:rsid w:val="008511C4"/>
    <w:rsid w:val="008513DA"/>
    <w:rsid w:val="0085151C"/>
    <w:rsid w:val="008517C1"/>
    <w:rsid w:val="00851930"/>
    <w:rsid w:val="00851943"/>
    <w:rsid w:val="0085333B"/>
    <w:rsid w:val="00853B25"/>
    <w:rsid w:val="00853C05"/>
    <w:rsid w:val="008546B6"/>
    <w:rsid w:val="00854B4C"/>
    <w:rsid w:val="00854B79"/>
    <w:rsid w:val="00854FCE"/>
    <w:rsid w:val="00855118"/>
    <w:rsid w:val="0085526F"/>
    <w:rsid w:val="00855999"/>
    <w:rsid w:val="00855D6F"/>
    <w:rsid w:val="00855F7E"/>
    <w:rsid w:val="00856423"/>
    <w:rsid w:val="00856435"/>
    <w:rsid w:val="0085644C"/>
    <w:rsid w:val="008569E8"/>
    <w:rsid w:val="00856BC5"/>
    <w:rsid w:val="00856E54"/>
    <w:rsid w:val="00857C03"/>
    <w:rsid w:val="00857F08"/>
    <w:rsid w:val="008600DB"/>
    <w:rsid w:val="00860471"/>
    <w:rsid w:val="0086163F"/>
    <w:rsid w:val="00861A57"/>
    <w:rsid w:val="00861D09"/>
    <w:rsid w:val="00862298"/>
    <w:rsid w:val="0086259D"/>
    <w:rsid w:val="00862778"/>
    <w:rsid w:val="00863089"/>
    <w:rsid w:val="008631BA"/>
    <w:rsid w:val="0086335F"/>
    <w:rsid w:val="00863372"/>
    <w:rsid w:val="00863567"/>
    <w:rsid w:val="00863612"/>
    <w:rsid w:val="008639BF"/>
    <w:rsid w:val="00863DE5"/>
    <w:rsid w:val="00863F82"/>
    <w:rsid w:val="00864182"/>
    <w:rsid w:val="008641B9"/>
    <w:rsid w:val="0086439F"/>
    <w:rsid w:val="008646C0"/>
    <w:rsid w:val="008647E5"/>
    <w:rsid w:val="0086503C"/>
    <w:rsid w:val="008650BD"/>
    <w:rsid w:val="008655BA"/>
    <w:rsid w:val="00865847"/>
    <w:rsid w:val="008659ED"/>
    <w:rsid w:val="00865CA2"/>
    <w:rsid w:val="008663CF"/>
    <w:rsid w:val="00867108"/>
    <w:rsid w:val="008674B0"/>
    <w:rsid w:val="0086758B"/>
    <w:rsid w:val="00867F2E"/>
    <w:rsid w:val="008705C7"/>
    <w:rsid w:val="008706D3"/>
    <w:rsid w:val="00870849"/>
    <w:rsid w:val="00870F3C"/>
    <w:rsid w:val="00872365"/>
    <w:rsid w:val="00872401"/>
    <w:rsid w:val="008745B1"/>
    <w:rsid w:val="00874681"/>
    <w:rsid w:val="00875150"/>
    <w:rsid w:val="008755F0"/>
    <w:rsid w:val="00875A70"/>
    <w:rsid w:val="00875C4F"/>
    <w:rsid w:val="008760C2"/>
    <w:rsid w:val="008772A5"/>
    <w:rsid w:val="00880646"/>
    <w:rsid w:val="00880AEB"/>
    <w:rsid w:val="00880B3E"/>
    <w:rsid w:val="00880BC7"/>
    <w:rsid w:val="00880F6F"/>
    <w:rsid w:val="00880FF7"/>
    <w:rsid w:val="00881BDE"/>
    <w:rsid w:val="00881E4E"/>
    <w:rsid w:val="00881E81"/>
    <w:rsid w:val="00882AFB"/>
    <w:rsid w:val="00882BB0"/>
    <w:rsid w:val="00882EB5"/>
    <w:rsid w:val="00883205"/>
    <w:rsid w:val="008832F5"/>
    <w:rsid w:val="008833C0"/>
    <w:rsid w:val="00883812"/>
    <w:rsid w:val="0088438C"/>
    <w:rsid w:val="008845D0"/>
    <w:rsid w:val="00884913"/>
    <w:rsid w:val="00884C1F"/>
    <w:rsid w:val="00885261"/>
    <w:rsid w:val="0088580F"/>
    <w:rsid w:val="00885862"/>
    <w:rsid w:val="0088595B"/>
    <w:rsid w:val="00885DD3"/>
    <w:rsid w:val="008861A3"/>
    <w:rsid w:val="00886975"/>
    <w:rsid w:val="00886A1B"/>
    <w:rsid w:val="00886AB5"/>
    <w:rsid w:val="00886CBE"/>
    <w:rsid w:val="00887867"/>
    <w:rsid w:val="00887A64"/>
    <w:rsid w:val="00887A70"/>
    <w:rsid w:val="00887D8E"/>
    <w:rsid w:val="0089074B"/>
    <w:rsid w:val="00891C8F"/>
    <w:rsid w:val="00891E45"/>
    <w:rsid w:val="00891EDE"/>
    <w:rsid w:val="00891F02"/>
    <w:rsid w:val="008925AF"/>
    <w:rsid w:val="00892FA9"/>
    <w:rsid w:val="00893146"/>
    <w:rsid w:val="0089323E"/>
    <w:rsid w:val="00893292"/>
    <w:rsid w:val="00893439"/>
    <w:rsid w:val="00893B8A"/>
    <w:rsid w:val="00894872"/>
    <w:rsid w:val="00894C3C"/>
    <w:rsid w:val="008952F5"/>
    <w:rsid w:val="008959A9"/>
    <w:rsid w:val="00895E8D"/>
    <w:rsid w:val="00895F83"/>
    <w:rsid w:val="0089628C"/>
    <w:rsid w:val="00896616"/>
    <w:rsid w:val="008966D7"/>
    <w:rsid w:val="00896848"/>
    <w:rsid w:val="008969A5"/>
    <w:rsid w:val="00896A54"/>
    <w:rsid w:val="00896AA4"/>
    <w:rsid w:val="008972FA"/>
    <w:rsid w:val="00897CC9"/>
    <w:rsid w:val="008A0A6B"/>
    <w:rsid w:val="008A0CC6"/>
    <w:rsid w:val="008A20FC"/>
    <w:rsid w:val="008A25D0"/>
    <w:rsid w:val="008A266E"/>
    <w:rsid w:val="008A2BE2"/>
    <w:rsid w:val="008A2ECA"/>
    <w:rsid w:val="008A3335"/>
    <w:rsid w:val="008A340F"/>
    <w:rsid w:val="008A35EB"/>
    <w:rsid w:val="008A3A80"/>
    <w:rsid w:val="008A3C72"/>
    <w:rsid w:val="008A3C99"/>
    <w:rsid w:val="008A40ED"/>
    <w:rsid w:val="008A4244"/>
    <w:rsid w:val="008A43D3"/>
    <w:rsid w:val="008A4A2D"/>
    <w:rsid w:val="008A51A8"/>
    <w:rsid w:val="008A5EB3"/>
    <w:rsid w:val="008A6673"/>
    <w:rsid w:val="008A67E8"/>
    <w:rsid w:val="008A697B"/>
    <w:rsid w:val="008A7781"/>
    <w:rsid w:val="008B02EB"/>
    <w:rsid w:val="008B06FF"/>
    <w:rsid w:val="008B098B"/>
    <w:rsid w:val="008B0A4D"/>
    <w:rsid w:val="008B0F0D"/>
    <w:rsid w:val="008B1539"/>
    <w:rsid w:val="008B1789"/>
    <w:rsid w:val="008B1BE3"/>
    <w:rsid w:val="008B2207"/>
    <w:rsid w:val="008B38AB"/>
    <w:rsid w:val="008B3A09"/>
    <w:rsid w:val="008B3A29"/>
    <w:rsid w:val="008B3C8A"/>
    <w:rsid w:val="008B4571"/>
    <w:rsid w:val="008B4BBA"/>
    <w:rsid w:val="008B4FA2"/>
    <w:rsid w:val="008B51B2"/>
    <w:rsid w:val="008B55ED"/>
    <w:rsid w:val="008B5CEC"/>
    <w:rsid w:val="008B5D62"/>
    <w:rsid w:val="008B6608"/>
    <w:rsid w:val="008B69A4"/>
    <w:rsid w:val="008B6A41"/>
    <w:rsid w:val="008B6EAB"/>
    <w:rsid w:val="008B72C3"/>
    <w:rsid w:val="008C0246"/>
    <w:rsid w:val="008C02C0"/>
    <w:rsid w:val="008C0E0B"/>
    <w:rsid w:val="008C1D59"/>
    <w:rsid w:val="008C1F24"/>
    <w:rsid w:val="008C25A2"/>
    <w:rsid w:val="008C2BE9"/>
    <w:rsid w:val="008C2D49"/>
    <w:rsid w:val="008C3FCF"/>
    <w:rsid w:val="008C41A9"/>
    <w:rsid w:val="008C4A72"/>
    <w:rsid w:val="008C5AF7"/>
    <w:rsid w:val="008C65C5"/>
    <w:rsid w:val="008C6984"/>
    <w:rsid w:val="008C700F"/>
    <w:rsid w:val="008C7249"/>
    <w:rsid w:val="008C748D"/>
    <w:rsid w:val="008C75A7"/>
    <w:rsid w:val="008C7DD9"/>
    <w:rsid w:val="008D02B1"/>
    <w:rsid w:val="008D0BA0"/>
    <w:rsid w:val="008D0D6E"/>
    <w:rsid w:val="008D139C"/>
    <w:rsid w:val="008D17F5"/>
    <w:rsid w:val="008D1C76"/>
    <w:rsid w:val="008D20DB"/>
    <w:rsid w:val="008D21B5"/>
    <w:rsid w:val="008D222A"/>
    <w:rsid w:val="008D2626"/>
    <w:rsid w:val="008D27D6"/>
    <w:rsid w:val="008D2A04"/>
    <w:rsid w:val="008D2B20"/>
    <w:rsid w:val="008D33BD"/>
    <w:rsid w:val="008D3589"/>
    <w:rsid w:val="008D4B76"/>
    <w:rsid w:val="008D4BB4"/>
    <w:rsid w:val="008D4C05"/>
    <w:rsid w:val="008D4E26"/>
    <w:rsid w:val="008D52FC"/>
    <w:rsid w:val="008D53DF"/>
    <w:rsid w:val="008D58F8"/>
    <w:rsid w:val="008D5E7B"/>
    <w:rsid w:val="008D695B"/>
    <w:rsid w:val="008D6A63"/>
    <w:rsid w:val="008D6D95"/>
    <w:rsid w:val="008D6F5B"/>
    <w:rsid w:val="008D73CD"/>
    <w:rsid w:val="008D7421"/>
    <w:rsid w:val="008D7700"/>
    <w:rsid w:val="008D7CA6"/>
    <w:rsid w:val="008E0A1E"/>
    <w:rsid w:val="008E1060"/>
    <w:rsid w:val="008E13FA"/>
    <w:rsid w:val="008E22C7"/>
    <w:rsid w:val="008E3199"/>
    <w:rsid w:val="008E340D"/>
    <w:rsid w:val="008E35D3"/>
    <w:rsid w:val="008E3952"/>
    <w:rsid w:val="008E43AF"/>
    <w:rsid w:val="008E48FA"/>
    <w:rsid w:val="008E4CD3"/>
    <w:rsid w:val="008E4E92"/>
    <w:rsid w:val="008E5AFC"/>
    <w:rsid w:val="008E6905"/>
    <w:rsid w:val="008E6B21"/>
    <w:rsid w:val="008E7415"/>
    <w:rsid w:val="008E7503"/>
    <w:rsid w:val="008E79B9"/>
    <w:rsid w:val="008F0136"/>
    <w:rsid w:val="008F0479"/>
    <w:rsid w:val="008F065A"/>
    <w:rsid w:val="008F181B"/>
    <w:rsid w:val="008F2122"/>
    <w:rsid w:val="008F21A9"/>
    <w:rsid w:val="008F254B"/>
    <w:rsid w:val="008F288A"/>
    <w:rsid w:val="008F2AD0"/>
    <w:rsid w:val="008F3B19"/>
    <w:rsid w:val="008F43F2"/>
    <w:rsid w:val="008F45DC"/>
    <w:rsid w:val="008F4B31"/>
    <w:rsid w:val="008F4FA6"/>
    <w:rsid w:val="008F5155"/>
    <w:rsid w:val="008F541E"/>
    <w:rsid w:val="008F5EFA"/>
    <w:rsid w:val="008F5F20"/>
    <w:rsid w:val="008F6213"/>
    <w:rsid w:val="008F6C6C"/>
    <w:rsid w:val="008F6C71"/>
    <w:rsid w:val="008F7D50"/>
    <w:rsid w:val="008F918F"/>
    <w:rsid w:val="009004CE"/>
    <w:rsid w:val="00900621"/>
    <w:rsid w:val="00900B77"/>
    <w:rsid w:val="0090141E"/>
    <w:rsid w:val="00901928"/>
    <w:rsid w:val="00901E1A"/>
    <w:rsid w:val="00902389"/>
    <w:rsid w:val="00902637"/>
    <w:rsid w:val="00903A3E"/>
    <w:rsid w:val="0090460B"/>
    <w:rsid w:val="00904658"/>
    <w:rsid w:val="00905022"/>
    <w:rsid w:val="009052BA"/>
    <w:rsid w:val="00905529"/>
    <w:rsid w:val="00905783"/>
    <w:rsid w:val="00905D7D"/>
    <w:rsid w:val="009077BD"/>
    <w:rsid w:val="00907F4E"/>
    <w:rsid w:val="00910986"/>
    <w:rsid w:val="00910D0E"/>
    <w:rsid w:val="0091131E"/>
    <w:rsid w:val="00911AD7"/>
    <w:rsid w:val="00911AE3"/>
    <w:rsid w:val="00911ECA"/>
    <w:rsid w:val="00912296"/>
    <w:rsid w:val="00913934"/>
    <w:rsid w:val="009145A7"/>
    <w:rsid w:val="00914EA2"/>
    <w:rsid w:val="009155E2"/>
    <w:rsid w:val="00915730"/>
    <w:rsid w:val="009158DC"/>
    <w:rsid w:val="00915A0E"/>
    <w:rsid w:val="00915B71"/>
    <w:rsid w:val="00916344"/>
    <w:rsid w:val="00917344"/>
    <w:rsid w:val="0091785E"/>
    <w:rsid w:val="00917A81"/>
    <w:rsid w:val="00917E41"/>
    <w:rsid w:val="00920230"/>
    <w:rsid w:val="00921160"/>
    <w:rsid w:val="009215DE"/>
    <w:rsid w:val="00921D84"/>
    <w:rsid w:val="00921E44"/>
    <w:rsid w:val="009225F0"/>
    <w:rsid w:val="00922B69"/>
    <w:rsid w:val="00922BD6"/>
    <w:rsid w:val="0092391E"/>
    <w:rsid w:val="00923E11"/>
    <w:rsid w:val="00923ED2"/>
    <w:rsid w:val="00923F1E"/>
    <w:rsid w:val="0092401F"/>
    <w:rsid w:val="009243B0"/>
    <w:rsid w:val="00924502"/>
    <w:rsid w:val="00924868"/>
    <w:rsid w:val="00924BEF"/>
    <w:rsid w:val="0092547E"/>
    <w:rsid w:val="009256B9"/>
    <w:rsid w:val="00925BB6"/>
    <w:rsid w:val="00926258"/>
    <w:rsid w:val="00926A48"/>
    <w:rsid w:val="0092705E"/>
    <w:rsid w:val="0092790B"/>
    <w:rsid w:val="00930025"/>
    <w:rsid w:val="00930AAE"/>
    <w:rsid w:val="00930B8B"/>
    <w:rsid w:val="009313A4"/>
    <w:rsid w:val="0093170F"/>
    <w:rsid w:val="00931766"/>
    <w:rsid w:val="00931946"/>
    <w:rsid w:val="00931BC2"/>
    <w:rsid w:val="009320AB"/>
    <w:rsid w:val="00932471"/>
    <w:rsid w:val="0093290D"/>
    <w:rsid w:val="00932BD1"/>
    <w:rsid w:val="00932C88"/>
    <w:rsid w:val="00932E1C"/>
    <w:rsid w:val="00932EAA"/>
    <w:rsid w:val="00932FC4"/>
    <w:rsid w:val="00932FC9"/>
    <w:rsid w:val="009330DB"/>
    <w:rsid w:val="009332CA"/>
    <w:rsid w:val="00933AC2"/>
    <w:rsid w:val="00933B6F"/>
    <w:rsid w:val="0093445B"/>
    <w:rsid w:val="0093489B"/>
    <w:rsid w:val="00934C20"/>
    <w:rsid w:val="00934E0A"/>
    <w:rsid w:val="00935888"/>
    <w:rsid w:val="00935F2C"/>
    <w:rsid w:val="00937143"/>
    <w:rsid w:val="0093740D"/>
    <w:rsid w:val="00937BE6"/>
    <w:rsid w:val="00940166"/>
    <w:rsid w:val="009404C4"/>
    <w:rsid w:val="009410EF"/>
    <w:rsid w:val="00941D2C"/>
    <w:rsid w:val="00942082"/>
    <w:rsid w:val="0094253C"/>
    <w:rsid w:val="00942D7D"/>
    <w:rsid w:val="00943053"/>
    <w:rsid w:val="00943B0A"/>
    <w:rsid w:val="009446F2"/>
    <w:rsid w:val="009459AF"/>
    <w:rsid w:val="00945A77"/>
    <w:rsid w:val="00946036"/>
    <w:rsid w:val="009464F1"/>
    <w:rsid w:val="009466CB"/>
    <w:rsid w:val="009471E7"/>
    <w:rsid w:val="009474F9"/>
    <w:rsid w:val="009476C2"/>
    <w:rsid w:val="009476DA"/>
    <w:rsid w:val="00950F57"/>
    <w:rsid w:val="00951036"/>
    <w:rsid w:val="00951313"/>
    <w:rsid w:val="00951AC1"/>
    <w:rsid w:val="00952372"/>
    <w:rsid w:val="00952AB3"/>
    <w:rsid w:val="00952B92"/>
    <w:rsid w:val="00952FDF"/>
    <w:rsid w:val="00952FFF"/>
    <w:rsid w:val="0095323A"/>
    <w:rsid w:val="00953D4F"/>
    <w:rsid w:val="00954115"/>
    <w:rsid w:val="009550B3"/>
    <w:rsid w:val="00955253"/>
    <w:rsid w:val="00955615"/>
    <w:rsid w:val="009556AE"/>
    <w:rsid w:val="009558B9"/>
    <w:rsid w:val="00955AAD"/>
    <w:rsid w:val="009568AB"/>
    <w:rsid w:val="009568EB"/>
    <w:rsid w:val="00956B73"/>
    <w:rsid w:val="009570B7"/>
    <w:rsid w:val="00957167"/>
    <w:rsid w:val="00957474"/>
    <w:rsid w:val="009575AF"/>
    <w:rsid w:val="0095764C"/>
    <w:rsid w:val="00960D98"/>
    <w:rsid w:val="00961147"/>
    <w:rsid w:val="00962BD0"/>
    <w:rsid w:val="009636C7"/>
    <w:rsid w:val="00963D9E"/>
    <w:rsid w:val="00964B82"/>
    <w:rsid w:val="00964CA3"/>
    <w:rsid w:val="00964D95"/>
    <w:rsid w:val="00965903"/>
    <w:rsid w:val="00965B17"/>
    <w:rsid w:val="00965DDA"/>
    <w:rsid w:val="00965F57"/>
    <w:rsid w:val="00966268"/>
    <w:rsid w:val="0096695D"/>
    <w:rsid w:val="00967540"/>
    <w:rsid w:val="009677D1"/>
    <w:rsid w:val="00967E1D"/>
    <w:rsid w:val="00967F95"/>
    <w:rsid w:val="0097005B"/>
    <w:rsid w:val="009701E6"/>
    <w:rsid w:val="009704DB"/>
    <w:rsid w:val="00970660"/>
    <w:rsid w:val="00971743"/>
    <w:rsid w:val="00971902"/>
    <w:rsid w:val="00971E3B"/>
    <w:rsid w:val="00971ED4"/>
    <w:rsid w:val="0097219B"/>
    <w:rsid w:val="00972E26"/>
    <w:rsid w:val="00973978"/>
    <w:rsid w:val="009739C9"/>
    <w:rsid w:val="0097466F"/>
    <w:rsid w:val="00975E6C"/>
    <w:rsid w:val="00976023"/>
    <w:rsid w:val="00977299"/>
    <w:rsid w:val="00977398"/>
    <w:rsid w:val="00980128"/>
    <w:rsid w:val="0098021B"/>
    <w:rsid w:val="00980D88"/>
    <w:rsid w:val="00980F74"/>
    <w:rsid w:val="00980F83"/>
    <w:rsid w:val="009810EF"/>
    <w:rsid w:val="0098166F"/>
    <w:rsid w:val="00981695"/>
    <w:rsid w:val="009818D6"/>
    <w:rsid w:val="00982302"/>
    <w:rsid w:val="00983019"/>
    <w:rsid w:val="009831B5"/>
    <w:rsid w:val="009831F4"/>
    <w:rsid w:val="00983CAA"/>
    <w:rsid w:val="00983D7C"/>
    <w:rsid w:val="009844FE"/>
    <w:rsid w:val="00985024"/>
    <w:rsid w:val="009850E6"/>
    <w:rsid w:val="00985164"/>
    <w:rsid w:val="00985498"/>
    <w:rsid w:val="00985C7A"/>
    <w:rsid w:val="00986161"/>
    <w:rsid w:val="009861EE"/>
    <w:rsid w:val="00986872"/>
    <w:rsid w:val="00986987"/>
    <w:rsid w:val="00986C54"/>
    <w:rsid w:val="00987239"/>
    <w:rsid w:val="00987911"/>
    <w:rsid w:val="00987B4A"/>
    <w:rsid w:val="00987DAF"/>
    <w:rsid w:val="009908DB"/>
    <w:rsid w:val="00991155"/>
    <w:rsid w:val="00991499"/>
    <w:rsid w:val="00991911"/>
    <w:rsid w:val="00991BEE"/>
    <w:rsid w:val="0099299B"/>
    <w:rsid w:val="00992E6D"/>
    <w:rsid w:val="00992FFA"/>
    <w:rsid w:val="0099352C"/>
    <w:rsid w:val="0099379C"/>
    <w:rsid w:val="00993D54"/>
    <w:rsid w:val="009954B3"/>
    <w:rsid w:val="009956FE"/>
    <w:rsid w:val="00995C1C"/>
    <w:rsid w:val="00995DA6"/>
    <w:rsid w:val="00996DC3"/>
    <w:rsid w:val="009974F3"/>
    <w:rsid w:val="009A119A"/>
    <w:rsid w:val="009A138C"/>
    <w:rsid w:val="009A1F5D"/>
    <w:rsid w:val="009A20A4"/>
    <w:rsid w:val="009A29BE"/>
    <w:rsid w:val="009A2D64"/>
    <w:rsid w:val="009A380E"/>
    <w:rsid w:val="009A3829"/>
    <w:rsid w:val="009A3AAA"/>
    <w:rsid w:val="009A483A"/>
    <w:rsid w:val="009A4910"/>
    <w:rsid w:val="009A551D"/>
    <w:rsid w:val="009A58CA"/>
    <w:rsid w:val="009A5D5B"/>
    <w:rsid w:val="009A64B8"/>
    <w:rsid w:val="009A64EC"/>
    <w:rsid w:val="009A655E"/>
    <w:rsid w:val="009A6B63"/>
    <w:rsid w:val="009A6BEB"/>
    <w:rsid w:val="009A7042"/>
    <w:rsid w:val="009A7074"/>
    <w:rsid w:val="009A7D88"/>
    <w:rsid w:val="009A7F3C"/>
    <w:rsid w:val="009B0C1C"/>
    <w:rsid w:val="009B1BDE"/>
    <w:rsid w:val="009B1E73"/>
    <w:rsid w:val="009B1F3F"/>
    <w:rsid w:val="009B221C"/>
    <w:rsid w:val="009B3039"/>
    <w:rsid w:val="009B32CC"/>
    <w:rsid w:val="009B35E0"/>
    <w:rsid w:val="009B3632"/>
    <w:rsid w:val="009B3691"/>
    <w:rsid w:val="009B3C52"/>
    <w:rsid w:val="009B40BD"/>
    <w:rsid w:val="009B40E5"/>
    <w:rsid w:val="009B43A9"/>
    <w:rsid w:val="009B46A9"/>
    <w:rsid w:val="009B4C05"/>
    <w:rsid w:val="009B5C22"/>
    <w:rsid w:val="009B5E39"/>
    <w:rsid w:val="009B607B"/>
    <w:rsid w:val="009B6AFF"/>
    <w:rsid w:val="009B6EA4"/>
    <w:rsid w:val="009B7075"/>
    <w:rsid w:val="009B768E"/>
    <w:rsid w:val="009B7C42"/>
    <w:rsid w:val="009C05C7"/>
    <w:rsid w:val="009C14C4"/>
    <w:rsid w:val="009C179C"/>
    <w:rsid w:val="009C1880"/>
    <w:rsid w:val="009C26EA"/>
    <w:rsid w:val="009C26EE"/>
    <w:rsid w:val="009C2E2D"/>
    <w:rsid w:val="009C3491"/>
    <w:rsid w:val="009C3777"/>
    <w:rsid w:val="009C3F71"/>
    <w:rsid w:val="009C4688"/>
    <w:rsid w:val="009C4BA0"/>
    <w:rsid w:val="009C4BEB"/>
    <w:rsid w:val="009C4D4D"/>
    <w:rsid w:val="009C4F5C"/>
    <w:rsid w:val="009C57A6"/>
    <w:rsid w:val="009C5829"/>
    <w:rsid w:val="009C59C1"/>
    <w:rsid w:val="009C5A99"/>
    <w:rsid w:val="009C665D"/>
    <w:rsid w:val="009C6943"/>
    <w:rsid w:val="009C7AFF"/>
    <w:rsid w:val="009D0DB3"/>
    <w:rsid w:val="009D0DBA"/>
    <w:rsid w:val="009D17CF"/>
    <w:rsid w:val="009D19B2"/>
    <w:rsid w:val="009D1BDB"/>
    <w:rsid w:val="009D2263"/>
    <w:rsid w:val="009D25DF"/>
    <w:rsid w:val="009D30B4"/>
    <w:rsid w:val="009D30EA"/>
    <w:rsid w:val="009D3146"/>
    <w:rsid w:val="009D3241"/>
    <w:rsid w:val="009D3B4C"/>
    <w:rsid w:val="009D407A"/>
    <w:rsid w:val="009D4147"/>
    <w:rsid w:val="009D4273"/>
    <w:rsid w:val="009D5693"/>
    <w:rsid w:val="009D5F0D"/>
    <w:rsid w:val="009D64AF"/>
    <w:rsid w:val="009D7617"/>
    <w:rsid w:val="009D76EF"/>
    <w:rsid w:val="009D78EA"/>
    <w:rsid w:val="009D7F06"/>
    <w:rsid w:val="009E0068"/>
    <w:rsid w:val="009E0109"/>
    <w:rsid w:val="009E0E6C"/>
    <w:rsid w:val="009E10AE"/>
    <w:rsid w:val="009E1EF9"/>
    <w:rsid w:val="009E3164"/>
    <w:rsid w:val="009E3666"/>
    <w:rsid w:val="009E3740"/>
    <w:rsid w:val="009E3782"/>
    <w:rsid w:val="009E3864"/>
    <w:rsid w:val="009E4B1D"/>
    <w:rsid w:val="009E4C59"/>
    <w:rsid w:val="009E4D4C"/>
    <w:rsid w:val="009E4DB5"/>
    <w:rsid w:val="009E4ECF"/>
    <w:rsid w:val="009E562A"/>
    <w:rsid w:val="009E56BA"/>
    <w:rsid w:val="009E57C4"/>
    <w:rsid w:val="009E5981"/>
    <w:rsid w:val="009E59F0"/>
    <w:rsid w:val="009E652A"/>
    <w:rsid w:val="009E6A68"/>
    <w:rsid w:val="009E7242"/>
    <w:rsid w:val="009E780B"/>
    <w:rsid w:val="009E7839"/>
    <w:rsid w:val="009E7AE9"/>
    <w:rsid w:val="009E7D52"/>
    <w:rsid w:val="009F00A6"/>
    <w:rsid w:val="009F0D4E"/>
    <w:rsid w:val="009F1228"/>
    <w:rsid w:val="009F20B8"/>
    <w:rsid w:val="009F24A4"/>
    <w:rsid w:val="009F28A5"/>
    <w:rsid w:val="009F2C3E"/>
    <w:rsid w:val="009F3088"/>
    <w:rsid w:val="009F371A"/>
    <w:rsid w:val="009F40CA"/>
    <w:rsid w:val="009F45A1"/>
    <w:rsid w:val="009F5B48"/>
    <w:rsid w:val="009F6183"/>
    <w:rsid w:val="009F6586"/>
    <w:rsid w:val="009F6669"/>
    <w:rsid w:val="009F6B1A"/>
    <w:rsid w:val="009F76C7"/>
    <w:rsid w:val="00A0075A"/>
    <w:rsid w:val="00A00C79"/>
    <w:rsid w:val="00A01A6F"/>
    <w:rsid w:val="00A01E84"/>
    <w:rsid w:val="00A01FA6"/>
    <w:rsid w:val="00A03115"/>
    <w:rsid w:val="00A0451B"/>
    <w:rsid w:val="00A05126"/>
    <w:rsid w:val="00A05551"/>
    <w:rsid w:val="00A056E6"/>
    <w:rsid w:val="00A0599A"/>
    <w:rsid w:val="00A060E4"/>
    <w:rsid w:val="00A06883"/>
    <w:rsid w:val="00A0711F"/>
    <w:rsid w:val="00A071DD"/>
    <w:rsid w:val="00A07486"/>
    <w:rsid w:val="00A076CF"/>
    <w:rsid w:val="00A07C27"/>
    <w:rsid w:val="00A10162"/>
    <w:rsid w:val="00A101CB"/>
    <w:rsid w:val="00A1079D"/>
    <w:rsid w:val="00A10A61"/>
    <w:rsid w:val="00A10C7B"/>
    <w:rsid w:val="00A10DA6"/>
    <w:rsid w:val="00A10E8B"/>
    <w:rsid w:val="00A1111B"/>
    <w:rsid w:val="00A1127D"/>
    <w:rsid w:val="00A11348"/>
    <w:rsid w:val="00A11B3E"/>
    <w:rsid w:val="00A123F7"/>
    <w:rsid w:val="00A12621"/>
    <w:rsid w:val="00A127A2"/>
    <w:rsid w:val="00A12809"/>
    <w:rsid w:val="00A1294E"/>
    <w:rsid w:val="00A129F7"/>
    <w:rsid w:val="00A12D50"/>
    <w:rsid w:val="00A131EF"/>
    <w:rsid w:val="00A13594"/>
    <w:rsid w:val="00A13641"/>
    <w:rsid w:val="00A13ACF"/>
    <w:rsid w:val="00A13D99"/>
    <w:rsid w:val="00A14010"/>
    <w:rsid w:val="00A144D1"/>
    <w:rsid w:val="00A1477A"/>
    <w:rsid w:val="00A15975"/>
    <w:rsid w:val="00A15CD7"/>
    <w:rsid w:val="00A15DF4"/>
    <w:rsid w:val="00A15FF5"/>
    <w:rsid w:val="00A16506"/>
    <w:rsid w:val="00A167A2"/>
    <w:rsid w:val="00A178D8"/>
    <w:rsid w:val="00A17C20"/>
    <w:rsid w:val="00A203A4"/>
    <w:rsid w:val="00A20B29"/>
    <w:rsid w:val="00A20D81"/>
    <w:rsid w:val="00A21351"/>
    <w:rsid w:val="00A217AB"/>
    <w:rsid w:val="00A21BE6"/>
    <w:rsid w:val="00A21DD3"/>
    <w:rsid w:val="00A222ED"/>
    <w:rsid w:val="00A22522"/>
    <w:rsid w:val="00A22BBA"/>
    <w:rsid w:val="00A234C2"/>
    <w:rsid w:val="00A2367F"/>
    <w:rsid w:val="00A23763"/>
    <w:rsid w:val="00A23BAB"/>
    <w:rsid w:val="00A247E7"/>
    <w:rsid w:val="00A24D12"/>
    <w:rsid w:val="00A25215"/>
    <w:rsid w:val="00A258BE"/>
    <w:rsid w:val="00A25A6E"/>
    <w:rsid w:val="00A263F4"/>
    <w:rsid w:val="00A26C21"/>
    <w:rsid w:val="00A26D0F"/>
    <w:rsid w:val="00A272E7"/>
    <w:rsid w:val="00A27F54"/>
    <w:rsid w:val="00A30063"/>
    <w:rsid w:val="00A300D6"/>
    <w:rsid w:val="00A30F27"/>
    <w:rsid w:val="00A31229"/>
    <w:rsid w:val="00A31335"/>
    <w:rsid w:val="00A3155C"/>
    <w:rsid w:val="00A315D6"/>
    <w:rsid w:val="00A317A8"/>
    <w:rsid w:val="00A31987"/>
    <w:rsid w:val="00A31BA5"/>
    <w:rsid w:val="00A3220C"/>
    <w:rsid w:val="00A32286"/>
    <w:rsid w:val="00A322B3"/>
    <w:rsid w:val="00A329A7"/>
    <w:rsid w:val="00A32A20"/>
    <w:rsid w:val="00A32BBF"/>
    <w:rsid w:val="00A3305D"/>
    <w:rsid w:val="00A3315F"/>
    <w:rsid w:val="00A3395C"/>
    <w:rsid w:val="00A33B56"/>
    <w:rsid w:val="00A33C91"/>
    <w:rsid w:val="00A33D1B"/>
    <w:rsid w:val="00A33E27"/>
    <w:rsid w:val="00A345E1"/>
    <w:rsid w:val="00A34815"/>
    <w:rsid w:val="00A34D59"/>
    <w:rsid w:val="00A3543F"/>
    <w:rsid w:val="00A35FD8"/>
    <w:rsid w:val="00A36C6F"/>
    <w:rsid w:val="00A36D91"/>
    <w:rsid w:val="00A36DCD"/>
    <w:rsid w:val="00A3709E"/>
    <w:rsid w:val="00A37467"/>
    <w:rsid w:val="00A374C5"/>
    <w:rsid w:val="00A37D53"/>
    <w:rsid w:val="00A40044"/>
    <w:rsid w:val="00A40083"/>
    <w:rsid w:val="00A400EA"/>
    <w:rsid w:val="00A40629"/>
    <w:rsid w:val="00A40E54"/>
    <w:rsid w:val="00A41293"/>
    <w:rsid w:val="00A416DC"/>
    <w:rsid w:val="00A42099"/>
    <w:rsid w:val="00A4219B"/>
    <w:rsid w:val="00A428EC"/>
    <w:rsid w:val="00A43300"/>
    <w:rsid w:val="00A43391"/>
    <w:rsid w:val="00A437C7"/>
    <w:rsid w:val="00A437E5"/>
    <w:rsid w:val="00A43A74"/>
    <w:rsid w:val="00A43ABE"/>
    <w:rsid w:val="00A440B4"/>
    <w:rsid w:val="00A4422E"/>
    <w:rsid w:val="00A44230"/>
    <w:rsid w:val="00A446AA"/>
    <w:rsid w:val="00A44A0A"/>
    <w:rsid w:val="00A44AD7"/>
    <w:rsid w:val="00A44DC0"/>
    <w:rsid w:val="00A44E17"/>
    <w:rsid w:val="00A4536C"/>
    <w:rsid w:val="00A456A6"/>
    <w:rsid w:val="00A45973"/>
    <w:rsid w:val="00A45D19"/>
    <w:rsid w:val="00A46681"/>
    <w:rsid w:val="00A47174"/>
    <w:rsid w:val="00A47BFA"/>
    <w:rsid w:val="00A50121"/>
    <w:rsid w:val="00A5074E"/>
    <w:rsid w:val="00A50DB0"/>
    <w:rsid w:val="00A50E23"/>
    <w:rsid w:val="00A517AF"/>
    <w:rsid w:val="00A51896"/>
    <w:rsid w:val="00A5191B"/>
    <w:rsid w:val="00A51D20"/>
    <w:rsid w:val="00A52268"/>
    <w:rsid w:val="00A53300"/>
    <w:rsid w:val="00A5340F"/>
    <w:rsid w:val="00A54698"/>
    <w:rsid w:val="00A54EF8"/>
    <w:rsid w:val="00A5577E"/>
    <w:rsid w:val="00A56875"/>
    <w:rsid w:val="00A5751D"/>
    <w:rsid w:val="00A57769"/>
    <w:rsid w:val="00A57B9D"/>
    <w:rsid w:val="00A57DA0"/>
    <w:rsid w:val="00A57E35"/>
    <w:rsid w:val="00A60C60"/>
    <w:rsid w:val="00A610F7"/>
    <w:rsid w:val="00A61E14"/>
    <w:rsid w:val="00A62480"/>
    <w:rsid w:val="00A62654"/>
    <w:rsid w:val="00A62853"/>
    <w:rsid w:val="00A6316D"/>
    <w:rsid w:val="00A63216"/>
    <w:rsid w:val="00A63C6E"/>
    <w:rsid w:val="00A63CAF"/>
    <w:rsid w:val="00A641B0"/>
    <w:rsid w:val="00A641C9"/>
    <w:rsid w:val="00A64BF2"/>
    <w:rsid w:val="00A64E34"/>
    <w:rsid w:val="00A64EC8"/>
    <w:rsid w:val="00A653D8"/>
    <w:rsid w:val="00A653D9"/>
    <w:rsid w:val="00A6586F"/>
    <w:rsid w:val="00A65EE2"/>
    <w:rsid w:val="00A65EE7"/>
    <w:rsid w:val="00A661C4"/>
    <w:rsid w:val="00A669F4"/>
    <w:rsid w:val="00A6787F"/>
    <w:rsid w:val="00A67D73"/>
    <w:rsid w:val="00A67E78"/>
    <w:rsid w:val="00A7013C"/>
    <w:rsid w:val="00A70151"/>
    <w:rsid w:val="00A703D6"/>
    <w:rsid w:val="00A70978"/>
    <w:rsid w:val="00A7107C"/>
    <w:rsid w:val="00A71DFE"/>
    <w:rsid w:val="00A72390"/>
    <w:rsid w:val="00A724B2"/>
    <w:rsid w:val="00A72819"/>
    <w:rsid w:val="00A72D73"/>
    <w:rsid w:val="00A730E2"/>
    <w:rsid w:val="00A734D5"/>
    <w:rsid w:val="00A73BC8"/>
    <w:rsid w:val="00A73E04"/>
    <w:rsid w:val="00A7418B"/>
    <w:rsid w:val="00A758E5"/>
    <w:rsid w:val="00A76502"/>
    <w:rsid w:val="00A7667F"/>
    <w:rsid w:val="00A76AC2"/>
    <w:rsid w:val="00A76E27"/>
    <w:rsid w:val="00A779A2"/>
    <w:rsid w:val="00A779DB"/>
    <w:rsid w:val="00A77D6F"/>
    <w:rsid w:val="00A77DC8"/>
    <w:rsid w:val="00A77E64"/>
    <w:rsid w:val="00A800D9"/>
    <w:rsid w:val="00A80126"/>
    <w:rsid w:val="00A806EE"/>
    <w:rsid w:val="00A81FD6"/>
    <w:rsid w:val="00A82108"/>
    <w:rsid w:val="00A838B8"/>
    <w:rsid w:val="00A83BE3"/>
    <w:rsid w:val="00A8447A"/>
    <w:rsid w:val="00A84BCF"/>
    <w:rsid w:val="00A85189"/>
    <w:rsid w:val="00A85647"/>
    <w:rsid w:val="00A85C86"/>
    <w:rsid w:val="00A85D29"/>
    <w:rsid w:val="00A86822"/>
    <w:rsid w:val="00A86CBC"/>
    <w:rsid w:val="00A86DBB"/>
    <w:rsid w:val="00A86E8E"/>
    <w:rsid w:val="00A873B8"/>
    <w:rsid w:val="00A877D3"/>
    <w:rsid w:val="00A8794B"/>
    <w:rsid w:val="00A87D2C"/>
    <w:rsid w:val="00A90748"/>
    <w:rsid w:val="00A909A4"/>
    <w:rsid w:val="00A90F35"/>
    <w:rsid w:val="00A9198C"/>
    <w:rsid w:val="00A91D57"/>
    <w:rsid w:val="00A91ED1"/>
    <w:rsid w:val="00A921B0"/>
    <w:rsid w:val="00A92B7F"/>
    <w:rsid w:val="00A92EAA"/>
    <w:rsid w:val="00A930CC"/>
    <w:rsid w:val="00A932B8"/>
    <w:rsid w:val="00A932FA"/>
    <w:rsid w:val="00A9345C"/>
    <w:rsid w:val="00A93B5C"/>
    <w:rsid w:val="00A94091"/>
    <w:rsid w:val="00A9430E"/>
    <w:rsid w:val="00A94496"/>
    <w:rsid w:val="00A944E4"/>
    <w:rsid w:val="00A949CB"/>
    <w:rsid w:val="00A94F07"/>
    <w:rsid w:val="00A95706"/>
    <w:rsid w:val="00A95A45"/>
    <w:rsid w:val="00A9686F"/>
    <w:rsid w:val="00A96986"/>
    <w:rsid w:val="00A96DA2"/>
    <w:rsid w:val="00A97016"/>
    <w:rsid w:val="00A970DA"/>
    <w:rsid w:val="00A97240"/>
    <w:rsid w:val="00A97EB7"/>
    <w:rsid w:val="00AA0437"/>
    <w:rsid w:val="00AA049B"/>
    <w:rsid w:val="00AA0947"/>
    <w:rsid w:val="00AA1259"/>
    <w:rsid w:val="00AA1955"/>
    <w:rsid w:val="00AA2F2B"/>
    <w:rsid w:val="00AA2F6B"/>
    <w:rsid w:val="00AA3258"/>
    <w:rsid w:val="00AA3733"/>
    <w:rsid w:val="00AA38ED"/>
    <w:rsid w:val="00AA3CD8"/>
    <w:rsid w:val="00AA4420"/>
    <w:rsid w:val="00AA451E"/>
    <w:rsid w:val="00AA482F"/>
    <w:rsid w:val="00AA4C91"/>
    <w:rsid w:val="00AA5256"/>
    <w:rsid w:val="00AA5A16"/>
    <w:rsid w:val="00AA5F12"/>
    <w:rsid w:val="00AA5F9F"/>
    <w:rsid w:val="00AA6572"/>
    <w:rsid w:val="00AA6762"/>
    <w:rsid w:val="00AA67D9"/>
    <w:rsid w:val="00AA6B30"/>
    <w:rsid w:val="00AA6CCB"/>
    <w:rsid w:val="00AA7069"/>
    <w:rsid w:val="00AA778A"/>
    <w:rsid w:val="00AA7B4C"/>
    <w:rsid w:val="00AB06B1"/>
    <w:rsid w:val="00AB0BDC"/>
    <w:rsid w:val="00AB14B5"/>
    <w:rsid w:val="00AB1828"/>
    <w:rsid w:val="00AB19E6"/>
    <w:rsid w:val="00AB1B0E"/>
    <w:rsid w:val="00AB1B1A"/>
    <w:rsid w:val="00AB1B65"/>
    <w:rsid w:val="00AB2681"/>
    <w:rsid w:val="00AB36A2"/>
    <w:rsid w:val="00AB3967"/>
    <w:rsid w:val="00AB3B71"/>
    <w:rsid w:val="00AB45F3"/>
    <w:rsid w:val="00AB4CC5"/>
    <w:rsid w:val="00AB4D91"/>
    <w:rsid w:val="00AB59C0"/>
    <w:rsid w:val="00AB60B6"/>
    <w:rsid w:val="00AB6279"/>
    <w:rsid w:val="00AB65B6"/>
    <w:rsid w:val="00AB6F12"/>
    <w:rsid w:val="00AB7A18"/>
    <w:rsid w:val="00AC11E8"/>
    <w:rsid w:val="00AC2298"/>
    <w:rsid w:val="00AC2880"/>
    <w:rsid w:val="00AC3291"/>
    <w:rsid w:val="00AC3543"/>
    <w:rsid w:val="00AC3872"/>
    <w:rsid w:val="00AC38C0"/>
    <w:rsid w:val="00AC3AC0"/>
    <w:rsid w:val="00AC3D28"/>
    <w:rsid w:val="00AC409E"/>
    <w:rsid w:val="00AC4FC6"/>
    <w:rsid w:val="00AC5115"/>
    <w:rsid w:val="00AC5388"/>
    <w:rsid w:val="00AC6745"/>
    <w:rsid w:val="00AC729B"/>
    <w:rsid w:val="00AC7321"/>
    <w:rsid w:val="00AC751F"/>
    <w:rsid w:val="00AC78DC"/>
    <w:rsid w:val="00AD06FA"/>
    <w:rsid w:val="00AD0887"/>
    <w:rsid w:val="00AD0AB9"/>
    <w:rsid w:val="00AD119B"/>
    <w:rsid w:val="00AD171C"/>
    <w:rsid w:val="00AD1AD6"/>
    <w:rsid w:val="00AD2945"/>
    <w:rsid w:val="00AD3095"/>
    <w:rsid w:val="00AD31A3"/>
    <w:rsid w:val="00AD35FF"/>
    <w:rsid w:val="00AD3E11"/>
    <w:rsid w:val="00AD4750"/>
    <w:rsid w:val="00AD4FAE"/>
    <w:rsid w:val="00AD553A"/>
    <w:rsid w:val="00AD558D"/>
    <w:rsid w:val="00AD62FC"/>
    <w:rsid w:val="00AD635B"/>
    <w:rsid w:val="00AD6FF0"/>
    <w:rsid w:val="00AD73A9"/>
    <w:rsid w:val="00AD75DF"/>
    <w:rsid w:val="00AD7B9A"/>
    <w:rsid w:val="00AD7C92"/>
    <w:rsid w:val="00AE0DC2"/>
    <w:rsid w:val="00AE1107"/>
    <w:rsid w:val="00AE1B3D"/>
    <w:rsid w:val="00AE1D78"/>
    <w:rsid w:val="00AE2644"/>
    <w:rsid w:val="00AE2B5E"/>
    <w:rsid w:val="00AE3146"/>
    <w:rsid w:val="00AE3F18"/>
    <w:rsid w:val="00AE4196"/>
    <w:rsid w:val="00AE480B"/>
    <w:rsid w:val="00AE49A4"/>
    <w:rsid w:val="00AE4A74"/>
    <w:rsid w:val="00AE4EB3"/>
    <w:rsid w:val="00AE61B4"/>
    <w:rsid w:val="00AE65F1"/>
    <w:rsid w:val="00AE6B17"/>
    <w:rsid w:val="00AE6EDE"/>
    <w:rsid w:val="00AE6F67"/>
    <w:rsid w:val="00AE74A1"/>
    <w:rsid w:val="00AE74B5"/>
    <w:rsid w:val="00AE7549"/>
    <w:rsid w:val="00AE7C58"/>
    <w:rsid w:val="00AF0464"/>
    <w:rsid w:val="00AF13D5"/>
    <w:rsid w:val="00AF20A1"/>
    <w:rsid w:val="00AF2831"/>
    <w:rsid w:val="00AF2EBD"/>
    <w:rsid w:val="00AF34EC"/>
    <w:rsid w:val="00AF36C3"/>
    <w:rsid w:val="00AF39BB"/>
    <w:rsid w:val="00AF3F7A"/>
    <w:rsid w:val="00AF40C9"/>
    <w:rsid w:val="00AF440F"/>
    <w:rsid w:val="00AF4660"/>
    <w:rsid w:val="00AF46EA"/>
    <w:rsid w:val="00AF4DD3"/>
    <w:rsid w:val="00AF4FDF"/>
    <w:rsid w:val="00AF502F"/>
    <w:rsid w:val="00AF53C9"/>
    <w:rsid w:val="00AF547B"/>
    <w:rsid w:val="00AF54CF"/>
    <w:rsid w:val="00AF5568"/>
    <w:rsid w:val="00AF59EF"/>
    <w:rsid w:val="00AF5C6F"/>
    <w:rsid w:val="00AF61F6"/>
    <w:rsid w:val="00AF657E"/>
    <w:rsid w:val="00AF6701"/>
    <w:rsid w:val="00AF67F1"/>
    <w:rsid w:val="00AF6BBE"/>
    <w:rsid w:val="00AF7451"/>
    <w:rsid w:val="00AF74A6"/>
    <w:rsid w:val="00AF75A1"/>
    <w:rsid w:val="00AF799D"/>
    <w:rsid w:val="00AF7BB0"/>
    <w:rsid w:val="00AF7D91"/>
    <w:rsid w:val="00AF7EF4"/>
    <w:rsid w:val="00B001CB"/>
    <w:rsid w:val="00B0052F"/>
    <w:rsid w:val="00B006DF"/>
    <w:rsid w:val="00B00D03"/>
    <w:rsid w:val="00B00F36"/>
    <w:rsid w:val="00B0149D"/>
    <w:rsid w:val="00B0166B"/>
    <w:rsid w:val="00B01C3D"/>
    <w:rsid w:val="00B021CC"/>
    <w:rsid w:val="00B022C2"/>
    <w:rsid w:val="00B02372"/>
    <w:rsid w:val="00B023A2"/>
    <w:rsid w:val="00B028E7"/>
    <w:rsid w:val="00B0297D"/>
    <w:rsid w:val="00B02E9F"/>
    <w:rsid w:val="00B0310A"/>
    <w:rsid w:val="00B03EA4"/>
    <w:rsid w:val="00B03FD0"/>
    <w:rsid w:val="00B041AD"/>
    <w:rsid w:val="00B049FC"/>
    <w:rsid w:val="00B04C63"/>
    <w:rsid w:val="00B04CB0"/>
    <w:rsid w:val="00B0529C"/>
    <w:rsid w:val="00B05C3E"/>
    <w:rsid w:val="00B05F6D"/>
    <w:rsid w:val="00B05F7C"/>
    <w:rsid w:val="00B06336"/>
    <w:rsid w:val="00B06549"/>
    <w:rsid w:val="00B065AA"/>
    <w:rsid w:val="00B066B0"/>
    <w:rsid w:val="00B06D06"/>
    <w:rsid w:val="00B078E1"/>
    <w:rsid w:val="00B07D91"/>
    <w:rsid w:val="00B106F0"/>
    <w:rsid w:val="00B10AD8"/>
    <w:rsid w:val="00B11506"/>
    <w:rsid w:val="00B11605"/>
    <w:rsid w:val="00B120ED"/>
    <w:rsid w:val="00B12296"/>
    <w:rsid w:val="00B12583"/>
    <w:rsid w:val="00B1275E"/>
    <w:rsid w:val="00B1295A"/>
    <w:rsid w:val="00B13155"/>
    <w:rsid w:val="00B13499"/>
    <w:rsid w:val="00B13919"/>
    <w:rsid w:val="00B13CF1"/>
    <w:rsid w:val="00B147EE"/>
    <w:rsid w:val="00B14F15"/>
    <w:rsid w:val="00B15369"/>
    <w:rsid w:val="00B15643"/>
    <w:rsid w:val="00B15794"/>
    <w:rsid w:val="00B15883"/>
    <w:rsid w:val="00B15987"/>
    <w:rsid w:val="00B15D50"/>
    <w:rsid w:val="00B164E3"/>
    <w:rsid w:val="00B16614"/>
    <w:rsid w:val="00B16E63"/>
    <w:rsid w:val="00B17033"/>
    <w:rsid w:val="00B170F0"/>
    <w:rsid w:val="00B1789B"/>
    <w:rsid w:val="00B178CC"/>
    <w:rsid w:val="00B17927"/>
    <w:rsid w:val="00B17DC5"/>
    <w:rsid w:val="00B17E26"/>
    <w:rsid w:val="00B201FF"/>
    <w:rsid w:val="00B2030A"/>
    <w:rsid w:val="00B206D6"/>
    <w:rsid w:val="00B20743"/>
    <w:rsid w:val="00B20F57"/>
    <w:rsid w:val="00B2113A"/>
    <w:rsid w:val="00B214F0"/>
    <w:rsid w:val="00B21759"/>
    <w:rsid w:val="00B21B3E"/>
    <w:rsid w:val="00B21F0E"/>
    <w:rsid w:val="00B22661"/>
    <w:rsid w:val="00B22892"/>
    <w:rsid w:val="00B23218"/>
    <w:rsid w:val="00B23337"/>
    <w:rsid w:val="00B23612"/>
    <w:rsid w:val="00B23855"/>
    <w:rsid w:val="00B23A95"/>
    <w:rsid w:val="00B24996"/>
    <w:rsid w:val="00B25548"/>
    <w:rsid w:val="00B257C3"/>
    <w:rsid w:val="00B25927"/>
    <w:rsid w:val="00B260FC"/>
    <w:rsid w:val="00B271CC"/>
    <w:rsid w:val="00B27389"/>
    <w:rsid w:val="00B27503"/>
    <w:rsid w:val="00B2776F"/>
    <w:rsid w:val="00B27DE5"/>
    <w:rsid w:val="00B301B0"/>
    <w:rsid w:val="00B30516"/>
    <w:rsid w:val="00B30728"/>
    <w:rsid w:val="00B30ADB"/>
    <w:rsid w:val="00B30D30"/>
    <w:rsid w:val="00B312AA"/>
    <w:rsid w:val="00B32784"/>
    <w:rsid w:val="00B32B94"/>
    <w:rsid w:val="00B33109"/>
    <w:rsid w:val="00B33351"/>
    <w:rsid w:val="00B33434"/>
    <w:rsid w:val="00B33B06"/>
    <w:rsid w:val="00B34151"/>
    <w:rsid w:val="00B3424C"/>
    <w:rsid w:val="00B3430C"/>
    <w:rsid w:val="00B34658"/>
    <w:rsid w:val="00B3557A"/>
    <w:rsid w:val="00B35955"/>
    <w:rsid w:val="00B35BF0"/>
    <w:rsid w:val="00B35D71"/>
    <w:rsid w:val="00B367DA"/>
    <w:rsid w:val="00B36B03"/>
    <w:rsid w:val="00B36FD5"/>
    <w:rsid w:val="00B4020C"/>
    <w:rsid w:val="00B406A5"/>
    <w:rsid w:val="00B40820"/>
    <w:rsid w:val="00B40886"/>
    <w:rsid w:val="00B40A16"/>
    <w:rsid w:val="00B40A51"/>
    <w:rsid w:val="00B40DE3"/>
    <w:rsid w:val="00B40FD0"/>
    <w:rsid w:val="00B422FD"/>
    <w:rsid w:val="00B424B3"/>
    <w:rsid w:val="00B424EA"/>
    <w:rsid w:val="00B426BA"/>
    <w:rsid w:val="00B428AD"/>
    <w:rsid w:val="00B4376B"/>
    <w:rsid w:val="00B440AA"/>
    <w:rsid w:val="00B440DE"/>
    <w:rsid w:val="00B44170"/>
    <w:rsid w:val="00B451F6"/>
    <w:rsid w:val="00B4538D"/>
    <w:rsid w:val="00B45EA4"/>
    <w:rsid w:val="00B45FB1"/>
    <w:rsid w:val="00B464CC"/>
    <w:rsid w:val="00B47074"/>
    <w:rsid w:val="00B4739A"/>
    <w:rsid w:val="00B473E1"/>
    <w:rsid w:val="00B47447"/>
    <w:rsid w:val="00B47C93"/>
    <w:rsid w:val="00B50310"/>
    <w:rsid w:val="00B50C35"/>
    <w:rsid w:val="00B51347"/>
    <w:rsid w:val="00B51604"/>
    <w:rsid w:val="00B51667"/>
    <w:rsid w:val="00B52128"/>
    <w:rsid w:val="00B525BC"/>
    <w:rsid w:val="00B52E1F"/>
    <w:rsid w:val="00B530B3"/>
    <w:rsid w:val="00B53381"/>
    <w:rsid w:val="00B536AF"/>
    <w:rsid w:val="00B5444A"/>
    <w:rsid w:val="00B5459D"/>
    <w:rsid w:val="00B548CF"/>
    <w:rsid w:val="00B54A86"/>
    <w:rsid w:val="00B54EEA"/>
    <w:rsid w:val="00B55ABD"/>
    <w:rsid w:val="00B55C5D"/>
    <w:rsid w:val="00B55FB4"/>
    <w:rsid w:val="00B5601B"/>
    <w:rsid w:val="00B56245"/>
    <w:rsid w:val="00B562DB"/>
    <w:rsid w:val="00B567AB"/>
    <w:rsid w:val="00B5694F"/>
    <w:rsid w:val="00B56B8D"/>
    <w:rsid w:val="00B56D11"/>
    <w:rsid w:val="00B574CA"/>
    <w:rsid w:val="00B57898"/>
    <w:rsid w:val="00B602A2"/>
    <w:rsid w:val="00B60659"/>
    <w:rsid w:val="00B6108F"/>
    <w:rsid w:val="00B614B6"/>
    <w:rsid w:val="00B61823"/>
    <w:rsid w:val="00B61B4C"/>
    <w:rsid w:val="00B61BBD"/>
    <w:rsid w:val="00B62074"/>
    <w:rsid w:val="00B62B78"/>
    <w:rsid w:val="00B62DCA"/>
    <w:rsid w:val="00B63C3C"/>
    <w:rsid w:val="00B640A5"/>
    <w:rsid w:val="00B643DD"/>
    <w:rsid w:val="00B6511F"/>
    <w:rsid w:val="00B652A9"/>
    <w:rsid w:val="00B656B8"/>
    <w:rsid w:val="00B65CA4"/>
    <w:rsid w:val="00B65E18"/>
    <w:rsid w:val="00B660FB"/>
    <w:rsid w:val="00B70059"/>
    <w:rsid w:val="00B7086D"/>
    <w:rsid w:val="00B70901"/>
    <w:rsid w:val="00B7097A"/>
    <w:rsid w:val="00B70BB8"/>
    <w:rsid w:val="00B7125D"/>
    <w:rsid w:val="00B72595"/>
    <w:rsid w:val="00B72B17"/>
    <w:rsid w:val="00B73DA2"/>
    <w:rsid w:val="00B73FDF"/>
    <w:rsid w:val="00B74F50"/>
    <w:rsid w:val="00B752CE"/>
    <w:rsid w:val="00B75A1E"/>
    <w:rsid w:val="00B760B1"/>
    <w:rsid w:val="00B76DEF"/>
    <w:rsid w:val="00B772AF"/>
    <w:rsid w:val="00B77584"/>
    <w:rsid w:val="00B77D6D"/>
    <w:rsid w:val="00B77FF3"/>
    <w:rsid w:val="00B80644"/>
    <w:rsid w:val="00B8069F"/>
    <w:rsid w:val="00B8084B"/>
    <w:rsid w:val="00B81713"/>
    <w:rsid w:val="00B82529"/>
    <w:rsid w:val="00B82E54"/>
    <w:rsid w:val="00B833FD"/>
    <w:rsid w:val="00B834B0"/>
    <w:rsid w:val="00B838A8"/>
    <w:rsid w:val="00B83F34"/>
    <w:rsid w:val="00B84808"/>
    <w:rsid w:val="00B84DF6"/>
    <w:rsid w:val="00B85481"/>
    <w:rsid w:val="00B86213"/>
    <w:rsid w:val="00B862B9"/>
    <w:rsid w:val="00B863AD"/>
    <w:rsid w:val="00B863E7"/>
    <w:rsid w:val="00B86F6B"/>
    <w:rsid w:val="00B87F93"/>
    <w:rsid w:val="00B901D2"/>
    <w:rsid w:val="00B90992"/>
    <w:rsid w:val="00B91B52"/>
    <w:rsid w:val="00B923B7"/>
    <w:rsid w:val="00B92B90"/>
    <w:rsid w:val="00B92F61"/>
    <w:rsid w:val="00B932ED"/>
    <w:rsid w:val="00B93801"/>
    <w:rsid w:val="00B93C08"/>
    <w:rsid w:val="00B94305"/>
    <w:rsid w:val="00B951AE"/>
    <w:rsid w:val="00B9655A"/>
    <w:rsid w:val="00B969A3"/>
    <w:rsid w:val="00B96CC3"/>
    <w:rsid w:val="00B96E4B"/>
    <w:rsid w:val="00B9729C"/>
    <w:rsid w:val="00B97A26"/>
    <w:rsid w:val="00B97C5B"/>
    <w:rsid w:val="00B97DDB"/>
    <w:rsid w:val="00BA00F6"/>
    <w:rsid w:val="00BA0264"/>
    <w:rsid w:val="00BA0590"/>
    <w:rsid w:val="00BA0928"/>
    <w:rsid w:val="00BA0B1C"/>
    <w:rsid w:val="00BA0BC5"/>
    <w:rsid w:val="00BA124F"/>
    <w:rsid w:val="00BA156D"/>
    <w:rsid w:val="00BA17C4"/>
    <w:rsid w:val="00BA1B1C"/>
    <w:rsid w:val="00BA1B4F"/>
    <w:rsid w:val="00BA1E83"/>
    <w:rsid w:val="00BA2625"/>
    <w:rsid w:val="00BA27A8"/>
    <w:rsid w:val="00BA2DB9"/>
    <w:rsid w:val="00BA32EB"/>
    <w:rsid w:val="00BA3505"/>
    <w:rsid w:val="00BA3573"/>
    <w:rsid w:val="00BA3736"/>
    <w:rsid w:val="00BA3FE1"/>
    <w:rsid w:val="00BA4077"/>
    <w:rsid w:val="00BA427D"/>
    <w:rsid w:val="00BA47F0"/>
    <w:rsid w:val="00BA4A9C"/>
    <w:rsid w:val="00BA4B78"/>
    <w:rsid w:val="00BA4EE9"/>
    <w:rsid w:val="00BA5079"/>
    <w:rsid w:val="00BA5267"/>
    <w:rsid w:val="00BA53C7"/>
    <w:rsid w:val="00BA5757"/>
    <w:rsid w:val="00BA5833"/>
    <w:rsid w:val="00BA5E7A"/>
    <w:rsid w:val="00BA6053"/>
    <w:rsid w:val="00BA659B"/>
    <w:rsid w:val="00BA6610"/>
    <w:rsid w:val="00BA6702"/>
    <w:rsid w:val="00BA69A9"/>
    <w:rsid w:val="00BA6F80"/>
    <w:rsid w:val="00BA77AF"/>
    <w:rsid w:val="00BA7BD0"/>
    <w:rsid w:val="00BA7E8F"/>
    <w:rsid w:val="00BA7FCE"/>
    <w:rsid w:val="00BB020A"/>
    <w:rsid w:val="00BB0378"/>
    <w:rsid w:val="00BB04A0"/>
    <w:rsid w:val="00BB056D"/>
    <w:rsid w:val="00BB0889"/>
    <w:rsid w:val="00BB0EFB"/>
    <w:rsid w:val="00BB14E4"/>
    <w:rsid w:val="00BB1951"/>
    <w:rsid w:val="00BB21E6"/>
    <w:rsid w:val="00BB2808"/>
    <w:rsid w:val="00BB2A35"/>
    <w:rsid w:val="00BB337C"/>
    <w:rsid w:val="00BB41FC"/>
    <w:rsid w:val="00BB539E"/>
    <w:rsid w:val="00BB6101"/>
    <w:rsid w:val="00BB70AE"/>
    <w:rsid w:val="00BB7CD3"/>
    <w:rsid w:val="00BB7EB2"/>
    <w:rsid w:val="00BC008E"/>
    <w:rsid w:val="00BC0506"/>
    <w:rsid w:val="00BC0A73"/>
    <w:rsid w:val="00BC0FF5"/>
    <w:rsid w:val="00BC1DDA"/>
    <w:rsid w:val="00BC201B"/>
    <w:rsid w:val="00BC21A3"/>
    <w:rsid w:val="00BC24A9"/>
    <w:rsid w:val="00BC2643"/>
    <w:rsid w:val="00BC2644"/>
    <w:rsid w:val="00BC27B2"/>
    <w:rsid w:val="00BC2A39"/>
    <w:rsid w:val="00BC3373"/>
    <w:rsid w:val="00BC348E"/>
    <w:rsid w:val="00BC3850"/>
    <w:rsid w:val="00BC3D32"/>
    <w:rsid w:val="00BC4A44"/>
    <w:rsid w:val="00BC4EAF"/>
    <w:rsid w:val="00BC5A1D"/>
    <w:rsid w:val="00BC6418"/>
    <w:rsid w:val="00BC7FB9"/>
    <w:rsid w:val="00BD1260"/>
    <w:rsid w:val="00BD131A"/>
    <w:rsid w:val="00BD134C"/>
    <w:rsid w:val="00BD139C"/>
    <w:rsid w:val="00BD16D7"/>
    <w:rsid w:val="00BD18EA"/>
    <w:rsid w:val="00BD1BC6"/>
    <w:rsid w:val="00BD1EA8"/>
    <w:rsid w:val="00BD1FC5"/>
    <w:rsid w:val="00BD2ED9"/>
    <w:rsid w:val="00BD2F73"/>
    <w:rsid w:val="00BD3529"/>
    <w:rsid w:val="00BD376D"/>
    <w:rsid w:val="00BD3D5F"/>
    <w:rsid w:val="00BD405F"/>
    <w:rsid w:val="00BD4AEC"/>
    <w:rsid w:val="00BD5A88"/>
    <w:rsid w:val="00BD5BA6"/>
    <w:rsid w:val="00BD6047"/>
    <w:rsid w:val="00BD60A1"/>
    <w:rsid w:val="00BD7232"/>
    <w:rsid w:val="00BD733B"/>
    <w:rsid w:val="00BD78EA"/>
    <w:rsid w:val="00BD7D18"/>
    <w:rsid w:val="00BE0405"/>
    <w:rsid w:val="00BE25B9"/>
    <w:rsid w:val="00BE2722"/>
    <w:rsid w:val="00BE3246"/>
    <w:rsid w:val="00BE3541"/>
    <w:rsid w:val="00BE3635"/>
    <w:rsid w:val="00BE37ED"/>
    <w:rsid w:val="00BE4018"/>
    <w:rsid w:val="00BE4643"/>
    <w:rsid w:val="00BE4BA6"/>
    <w:rsid w:val="00BE5727"/>
    <w:rsid w:val="00BE587C"/>
    <w:rsid w:val="00BE5D91"/>
    <w:rsid w:val="00BE5F72"/>
    <w:rsid w:val="00BE6123"/>
    <w:rsid w:val="00BE632A"/>
    <w:rsid w:val="00BE6359"/>
    <w:rsid w:val="00BE67C0"/>
    <w:rsid w:val="00BE6889"/>
    <w:rsid w:val="00BE698E"/>
    <w:rsid w:val="00BE6B0B"/>
    <w:rsid w:val="00BE6C7E"/>
    <w:rsid w:val="00BE6E13"/>
    <w:rsid w:val="00BE7148"/>
    <w:rsid w:val="00BE7409"/>
    <w:rsid w:val="00BE7E8E"/>
    <w:rsid w:val="00BE7FCE"/>
    <w:rsid w:val="00BF075B"/>
    <w:rsid w:val="00BF0E3E"/>
    <w:rsid w:val="00BF16A0"/>
    <w:rsid w:val="00BF1B6D"/>
    <w:rsid w:val="00BF1D50"/>
    <w:rsid w:val="00BF1ED2"/>
    <w:rsid w:val="00BF25E8"/>
    <w:rsid w:val="00BF2CE5"/>
    <w:rsid w:val="00BF326E"/>
    <w:rsid w:val="00BF36BB"/>
    <w:rsid w:val="00BF3A27"/>
    <w:rsid w:val="00BF3E45"/>
    <w:rsid w:val="00BF3F55"/>
    <w:rsid w:val="00BF458F"/>
    <w:rsid w:val="00BF601F"/>
    <w:rsid w:val="00BF6107"/>
    <w:rsid w:val="00BF614D"/>
    <w:rsid w:val="00BF62ED"/>
    <w:rsid w:val="00BF63CD"/>
    <w:rsid w:val="00BF6EE8"/>
    <w:rsid w:val="00C0120F"/>
    <w:rsid w:val="00C0149C"/>
    <w:rsid w:val="00C015E9"/>
    <w:rsid w:val="00C020F9"/>
    <w:rsid w:val="00C026C6"/>
    <w:rsid w:val="00C0280B"/>
    <w:rsid w:val="00C02FA0"/>
    <w:rsid w:val="00C02FE4"/>
    <w:rsid w:val="00C03092"/>
    <w:rsid w:val="00C036D8"/>
    <w:rsid w:val="00C0377A"/>
    <w:rsid w:val="00C03CDB"/>
    <w:rsid w:val="00C03FB1"/>
    <w:rsid w:val="00C043A1"/>
    <w:rsid w:val="00C0456A"/>
    <w:rsid w:val="00C05285"/>
    <w:rsid w:val="00C053D2"/>
    <w:rsid w:val="00C05B1C"/>
    <w:rsid w:val="00C06224"/>
    <w:rsid w:val="00C076B5"/>
    <w:rsid w:val="00C107E1"/>
    <w:rsid w:val="00C11498"/>
    <w:rsid w:val="00C116E2"/>
    <w:rsid w:val="00C11905"/>
    <w:rsid w:val="00C121AE"/>
    <w:rsid w:val="00C1226F"/>
    <w:rsid w:val="00C1296E"/>
    <w:rsid w:val="00C12AB5"/>
    <w:rsid w:val="00C13D2C"/>
    <w:rsid w:val="00C13EE3"/>
    <w:rsid w:val="00C144F3"/>
    <w:rsid w:val="00C15183"/>
    <w:rsid w:val="00C1571C"/>
    <w:rsid w:val="00C15B2C"/>
    <w:rsid w:val="00C15C6D"/>
    <w:rsid w:val="00C15E5A"/>
    <w:rsid w:val="00C16AC8"/>
    <w:rsid w:val="00C16C21"/>
    <w:rsid w:val="00C172D4"/>
    <w:rsid w:val="00C17684"/>
    <w:rsid w:val="00C17B3B"/>
    <w:rsid w:val="00C17C61"/>
    <w:rsid w:val="00C20B2F"/>
    <w:rsid w:val="00C20DA3"/>
    <w:rsid w:val="00C21E72"/>
    <w:rsid w:val="00C22504"/>
    <w:rsid w:val="00C2253B"/>
    <w:rsid w:val="00C22978"/>
    <w:rsid w:val="00C22CEC"/>
    <w:rsid w:val="00C2324E"/>
    <w:rsid w:val="00C237EF"/>
    <w:rsid w:val="00C2473B"/>
    <w:rsid w:val="00C24DD4"/>
    <w:rsid w:val="00C2524B"/>
    <w:rsid w:val="00C255A5"/>
    <w:rsid w:val="00C2571D"/>
    <w:rsid w:val="00C25737"/>
    <w:rsid w:val="00C258F1"/>
    <w:rsid w:val="00C25B70"/>
    <w:rsid w:val="00C26481"/>
    <w:rsid w:val="00C26F83"/>
    <w:rsid w:val="00C26FEB"/>
    <w:rsid w:val="00C27DDB"/>
    <w:rsid w:val="00C30650"/>
    <w:rsid w:val="00C3065F"/>
    <w:rsid w:val="00C30A76"/>
    <w:rsid w:val="00C30B83"/>
    <w:rsid w:val="00C31553"/>
    <w:rsid w:val="00C31624"/>
    <w:rsid w:val="00C318D3"/>
    <w:rsid w:val="00C31D8D"/>
    <w:rsid w:val="00C3238F"/>
    <w:rsid w:val="00C32B22"/>
    <w:rsid w:val="00C338CE"/>
    <w:rsid w:val="00C33B1A"/>
    <w:rsid w:val="00C34295"/>
    <w:rsid w:val="00C34E35"/>
    <w:rsid w:val="00C34FEB"/>
    <w:rsid w:val="00C35376"/>
    <w:rsid w:val="00C35407"/>
    <w:rsid w:val="00C3582C"/>
    <w:rsid w:val="00C35C84"/>
    <w:rsid w:val="00C37119"/>
    <w:rsid w:val="00C372F7"/>
    <w:rsid w:val="00C374F2"/>
    <w:rsid w:val="00C376E5"/>
    <w:rsid w:val="00C3794B"/>
    <w:rsid w:val="00C41899"/>
    <w:rsid w:val="00C41E0A"/>
    <w:rsid w:val="00C42189"/>
    <w:rsid w:val="00C4262E"/>
    <w:rsid w:val="00C42973"/>
    <w:rsid w:val="00C42C94"/>
    <w:rsid w:val="00C43907"/>
    <w:rsid w:val="00C43928"/>
    <w:rsid w:val="00C439E0"/>
    <w:rsid w:val="00C43E04"/>
    <w:rsid w:val="00C43E50"/>
    <w:rsid w:val="00C43E84"/>
    <w:rsid w:val="00C442CC"/>
    <w:rsid w:val="00C4443E"/>
    <w:rsid w:val="00C4462E"/>
    <w:rsid w:val="00C459E7"/>
    <w:rsid w:val="00C45A87"/>
    <w:rsid w:val="00C45C6B"/>
    <w:rsid w:val="00C45DDE"/>
    <w:rsid w:val="00C46BD9"/>
    <w:rsid w:val="00C46D78"/>
    <w:rsid w:val="00C474D4"/>
    <w:rsid w:val="00C475E6"/>
    <w:rsid w:val="00C47B6E"/>
    <w:rsid w:val="00C47BA5"/>
    <w:rsid w:val="00C47E98"/>
    <w:rsid w:val="00C47F79"/>
    <w:rsid w:val="00C50092"/>
    <w:rsid w:val="00C50A81"/>
    <w:rsid w:val="00C50D86"/>
    <w:rsid w:val="00C512EE"/>
    <w:rsid w:val="00C51374"/>
    <w:rsid w:val="00C5172B"/>
    <w:rsid w:val="00C517CA"/>
    <w:rsid w:val="00C51FA3"/>
    <w:rsid w:val="00C51FEB"/>
    <w:rsid w:val="00C52639"/>
    <w:rsid w:val="00C52B4F"/>
    <w:rsid w:val="00C52E2B"/>
    <w:rsid w:val="00C52E64"/>
    <w:rsid w:val="00C533A2"/>
    <w:rsid w:val="00C53D99"/>
    <w:rsid w:val="00C541C7"/>
    <w:rsid w:val="00C54AEE"/>
    <w:rsid w:val="00C54B33"/>
    <w:rsid w:val="00C54B6D"/>
    <w:rsid w:val="00C553C7"/>
    <w:rsid w:val="00C557CE"/>
    <w:rsid w:val="00C55E77"/>
    <w:rsid w:val="00C56675"/>
    <w:rsid w:val="00C56987"/>
    <w:rsid w:val="00C57D97"/>
    <w:rsid w:val="00C60710"/>
    <w:rsid w:val="00C60922"/>
    <w:rsid w:val="00C614A5"/>
    <w:rsid w:val="00C61D4B"/>
    <w:rsid w:val="00C62361"/>
    <w:rsid w:val="00C624CA"/>
    <w:rsid w:val="00C627FE"/>
    <w:rsid w:val="00C62937"/>
    <w:rsid w:val="00C6335E"/>
    <w:rsid w:val="00C6382A"/>
    <w:rsid w:val="00C640FC"/>
    <w:rsid w:val="00C6416D"/>
    <w:rsid w:val="00C64765"/>
    <w:rsid w:val="00C64917"/>
    <w:rsid w:val="00C64C53"/>
    <w:rsid w:val="00C6547F"/>
    <w:rsid w:val="00C65E01"/>
    <w:rsid w:val="00C65EC8"/>
    <w:rsid w:val="00C661FD"/>
    <w:rsid w:val="00C66288"/>
    <w:rsid w:val="00C66DCF"/>
    <w:rsid w:val="00C70039"/>
    <w:rsid w:val="00C7058E"/>
    <w:rsid w:val="00C70941"/>
    <w:rsid w:val="00C70C52"/>
    <w:rsid w:val="00C71369"/>
    <w:rsid w:val="00C713C9"/>
    <w:rsid w:val="00C71470"/>
    <w:rsid w:val="00C715B7"/>
    <w:rsid w:val="00C72AED"/>
    <w:rsid w:val="00C72B0A"/>
    <w:rsid w:val="00C72F13"/>
    <w:rsid w:val="00C7304F"/>
    <w:rsid w:val="00C732AE"/>
    <w:rsid w:val="00C73A33"/>
    <w:rsid w:val="00C73F58"/>
    <w:rsid w:val="00C74646"/>
    <w:rsid w:val="00C7469E"/>
    <w:rsid w:val="00C7474E"/>
    <w:rsid w:val="00C748E3"/>
    <w:rsid w:val="00C7540D"/>
    <w:rsid w:val="00C7638F"/>
    <w:rsid w:val="00C76395"/>
    <w:rsid w:val="00C7740D"/>
    <w:rsid w:val="00C777C3"/>
    <w:rsid w:val="00C77A0C"/>
    <w:rsid w:val="00C77C5E"/>
    <w:rsid w:val="00C80518"/>
    <w:rsid w:val="00C80694"/>
    <w:rsid w:val="00C80AEA"/>
    <w:rsid w:val="00C81B80"/>
    <w:rsid w:val="00C81C46"/>
    <w:rsid w:val="00C81E7B"/>
    <w:rsid w:val="00C81F22"/>
    <w:rsid w:val="00C81FC8"/>
    <w:rsid w:val="00C828D9"/>
    <w:rsid w:val="00C82AFC"/>
    <w:rsid w:val="00C830A2"/>
    <w:rsid w:val="00C83386"/>
    <w:rsid w:val="00C836A7"/>
    <w:rsid w:val="00C836D3"/>
    <w:rsid w:val="00C83AFD"/>
    <w:rsid w:val="00C83DE3"/>
    <w:rsid w:val="00C84011"/>
    <w:rsid w:val="00C84508"/>
    <w:rsid w:val="00C84BA7"/>
    <w:rsid w:val="00C85143"/>
    <w:rsid w:val="00C853DF"/>
    <w:rsid w:val="00C85478"/>
    <w:rsid w:val="00C85ACA"/>
    <w:rsid w:val="00C85CAA"/>
    <w:rsid w:val="00C8631C"/>
    <w:rsid w:val="00C87434"/>
    <w:rsid w:val="00C90188"/>
    <w:rsid w:val="00C901B1"/>
    <w:rsid w:val="00C90398"/>
    <w:rsid w:val="00C903C1"/>
    <w:rsid w:val="00C907FC"/>
    <w:rsid w:val="00C90843"/>
    <w:rsid w:val="00C90B55"/>
    <w:rsid w:val="00C90D06"/>
    <w:rsid w:val="00C91119"/>
    <w:rsid w:val="00C913F4"/>
    <w:rsid w:val="00C9188D"/>
    <w:rsid w:val="00C91E8D"/>
    <w:rsid w:val="00C91FDA"/>
    <w:rsid w:val="00C9245E"/>
    <w:rsid w:val="00C92920"/>
    <w:rsid w:val="00C930FC"/>
    <w:rsid w:val="00C937BA"/>
    <w:rsid w:val="00C93896"/>
    <w:rsid w:val="00C93A0F"/>
    <w:rsid w:val="00C9401E"/>
    <w:rsid w:val="00C9492F"/>
    <w:rsid w:val="00C9497E"/>
    <w:rsid w:val="00C94A08"/>
    <w:rsid w:val="00C94A0B"/>
    <w:rsid w:val="00C94A98"/>
    <w:rsid w:val="00C95918"/>
    <w:rsid w:val="00C9594F"/>
    <w:rsid w:val="00C961A0"/>
    <w:rsid w:val="00C96551"/>
    <w:rsid w:val="00C96F65"/>
    <w:rsid w:val="00C974E2"/>
    <w:rsid w:val="00CA064F"/>
    <w:rsid w:val="00CA08D9"/>
    <w:rsid w:val="00CA0F08"/>
    <w:rsid w:val="00CA125F"/>
    <w:rsid w:val="00CA146B"/>
    <w:rsid w:val="00CA1CF4"/>
    <w:rsid w:val="00CA1E05"/>
    <w:rsid w:val="00CA3B6D"/>
    <w:rsid w:val="00CA3BD5"/>
    <w:rsid w:val="00CA4840"/>
    <w:rsid w:val="00CA4993"/>
    <w:rsid w:val="00CA4DDD"/>
    <w:rsid w:val="00CA4DDF"/>
    <w:rsid w:val="00CA5125"/>
    <w:rsid w:val="00CA5181"/>
    <w:rsid w:val="00CA5356"/>
    <w:rsid w:val="00CA5BB2"/>
    <w:rsid w:val="00CA619D"/>
    <w:rsid w:val="00CA6A10"/>
    <w:rsid w:val="00CA7131"/>
    <w:rsid w:val="00CA75D3"/>
    <w:rsid w:val="00CA77F5"/>
    <w:rsid w:val="00CB06FA"/>
    <w:rsid w:val="00CB0981"/>
    <w:rsid w:val="00CB119E"/>
    <w:rsid w:val="00CB13D6"/>
    <w:rsid w:val="00CB1B13"/>
    <w:rsid w:val="00CB2026"/>
    <w:rsid w:val="00CB2835"/>
    <w:rsid w:val="00CB28EE"/>
    <w:rsid w:val="00CB2E44"/>
    <w:rsid w:val="00CB3503"/>
    <w:rsid w:val="00CB359F"/>
    <w:rsid w:val="00CB35A8"/>
    <w:rsid w:val="00CB3773"/>
    <w:rsid w:val="00CB3C47"/>
    <w:rsid w:val="00CB48F8"/>
    <w:rsid w:val="00CB491C"/>
    <w:rsid w:val="00CB5365"/>
    <w:rsid w:val="00CB5768"/>
    <w:rsid w:val="00CB58B0"/>
    <w:rsid w:val="00CB590E"/>
    <w:rsid w:val="00CB59BA"/>
    <w:rsid w:val="00CB648A"/>
    <w:rsid w:val="00CB64A6"/>
    <w:rsid w:val="00CB6B70"/>
    <w:rsid w:val="00CB6F28"/>
    <w:rsid w:val="00CB75BC"/>
    <w:rsid w:val="00CB7732"/>
    <w:rsid w:val="00CB7B77"/>
    <w:rsid w:val="00CC00BF"/>
    <w:rsid w:val="00CC0E5D"/>
    <w:rsid w:val="00CC0EBE"/>
    <w:rsid w:val="00CC10A4"/>
    <w:rsid w:val="00CC1413"/>
    <w:rsid w:val="00CC143C"/>
    <w:rsid w:val="00CC1750"/>
    <w:rsid w:val="00CC19AC"/>
    <w:rsid w:val="00CC1ABE"/>
    <w:rsid w:val="00CC23DC"/>
    <w:rsid w:val="00CC247E"/>
    <w:rsid w:val="00CC27EB"/>
    <w:rsid w:val="00CC2E8A"/>
    <w:rsid w:val="00CC2F0D"/>
    <w:rsid w:val="00CC357F"/>
    <w:rsid w:val="00CC3E9E"/>
    <w:rsid w:val="00CC4037"/>
    <w:rsid w:val="00CC413C"/>
    <w:rsid w:val="00CC4937"/>
    <w:rsid w:val="00CC4D19"/>
    <w:rsid w:val="00CC5123"/>
    <w:rsid w:val="00CC53EF"/>
    <w:rsid w:val="00CC5459"/>
    <w:rsid w:val="00CC5B38"/>
    <w:rsid w:val="00CC5E62"/>
    <w:rsid w:val="00CC6043"/>
    <w:rsid w:val="00CC604E"/>
    <w:rsid w:val="00CC6051"/>
    <w:rsid w:val="00CC62F9"/>
    <w:rsid w:val="00CC631D"/>
    <w:rsid w:val="00CC6E8E"/>
    <w:rsid w:val="00CC70DA"/>
    <w:rsid w:val="00CC74DA"/>
    <w:rsid w:val="00CC7A87"/>
    <w:rsid w:val="00CD02E9"/>
    <w:rsid w:val="00CD0603"/>
    <w:rsid w:val="00CD0B57"/>
    <w:rsid w:val="00CD0BAF"/>
    <w:rsid w:val="00CD1963"/>
    <w:rsid w:val="00CD1B2C"/>
    <w:rsid w:val="00CD1BE1"/>
    <w:rsid w:val="00CD1D89"/>
    <w:rsid w:val="00CD25C8"/>
    <w:rsid w:val="00CD35F2"/>
    <w:rsid w:val="00CD36E7"/>
    <w:rsid w:val="00CD3D75"/>
    <w:rsid w:val="00CD3DF5"/>
    <w:rsid w:val="00CD50ED"/>
    <w:rsid w:val="00CD5169"/>
    <w:rsid w:val="00CD5D5B"/>
    <w:rsid w:val="00CD5DE6"/>
    <w:rsid w:val="00CD72D8"/>
    <w:rsid w:val="00CD7627"/>
    <w:rsid w:val="00CE062C"/>
    <w:rsid w:val="00CE0933"/>
    <w:rsid w:val="00CE0A6F"/>
    <w:rsid w:val="00CE0B02"/>
    <w:rsid w:val="00CE0C71"/>
    <w:rsid w:val="00CE0D2E"/>
    <w:rsid w:val="00CE0E76"/>
    <w:rsid w:val="00CE1334"/>
    <w:rsid w:val="00CE225B"/>
    <w:rsid w:val="00CE33E2"/>
    <w:rsid w:val="00CE3CDA"/>
    <w:rsid w:val="00CE3E0E"/>
    <w:rsid w:val="00CE45D1"/>
    <w:rsid w:val="00CE463B"/>
    <w:rsid w:val="00CE5118"/>
    <w:rsid w:val="00CE5466"/>
    <w:rsid w:val="00CE56B5"/>
    <w:rsid w:val="00CE5702"/>
    <w:rsid w:val="00CE6410"/>
    <w:rsid w:val="00CE6513"/>
    <w:rsid w:val="00CE651B"/>
    <w:rsid w:val="00CE6E76"/>
    <w:rsid w:val="00CE71F9"/>
    <w:rsid w:val="00CE720A"/>
    <w:rsid w:val="00CE727F"/>
    <w:rsid w:val="00CE745E"/>
    <w:rsid w:val="00CE7E13"/>
    <w:rsid w:val="00CE7F01"/>
    <w:rsid w:val="00CF0191"/>
    <w:rsid w:val="00CF0292"/>
    <w:rsid w:val="00CF0AE4"/>
    <w:rsid w:val="00CF0FA9"/>
    <w:rsid w:val="00CF12B1"/>
    <w:rsid w:val="00CF1446"/>
    <w:rsid w:val="00CF2512"/>
    <w:rsid w:val="00CF28C0"/>
    <w:rsid w:val="00CF2A57"/>
    <w:rsid w:val="00CF2CCF"/>
    <w:rsid w:val="00CF2E5F"/>
    <w:rsid w:val="00CF301B"/>
    <w:rsid w:val="00CF3097"/>
    <w:rsid w:val="00CF3327"/>
    <w:rsid w:val="00CF349D"/>
    <w:rsid w:val="00CF36C3"/>
    <w:rsid w:val="00CF4153"/>
    <w:rsid w:val="00CF4493"/>
    <w:rsid w:val="00CF4B0B"/>
    <w:rsid w:val="00CF4C55"/>
    <w:rsid w:val="00CF4EA7"/>
    <w:rsid w:val="00CF5A62"/>
    <w:rsid w:val="00CF6172"/>
    <w:rsid w:val="00CF6213"/>
    <w:rsid w:val="00CF6A8E"/>
    <w:rsid w:val="00CF6B50"/>
    <w:rsid w:val="00CF6B91"/>
    <w:rsid w:val="00CF6C82"/>
    <w:rsid w:val="00CF700B"/>
    <w:rsid w:val="00CF74D3"/>
    <w:rsid w:val="00CF7FBB"/>
    <w:rsid w:val="00D005FA"/>
    <w:rsid w:val="00D00719"/>
    <w:rsid w:val="00D0095A"/>
    <w:rsid w:val="00D009D2"/>
    <w:rsid w:val="00D014CB"/>
    <w:rsid w:val="00D01672"/>
    <w:rsid w:val="00D01844"/>
    <w:rsid w:val="00D01A61"/>
    <w:rsid w:val="00D01D8B"/>
    <w:rsid w:val="00D02558"/>
    <w:rsid w:val="00D029BF"/>
    <w:rsid w:val="00D029F5"/>
    <w:rsid w:val="00D02FD3"/>
    <w:rsid w:val="00D03891"/>
    <w:rsid w:val="00D03CB3"/>
    <w:rsid w:val="00D04129"/>
    <w:rsid w:val="00D04532"/>
    <w:rsid w:val="00D046DE"/>
    <w:rsid w:val="00D05E8F"/>
    <w:rsid w:val="00D06050"/>
    <w:rsid w:val="00D0626A"/>
    <w:rsid w:val="00D070B4"/>
    <w:rsid w:val="00D07445"/>
    <w:rsid w:val="00D074B2"/>
    <w:rsid w:val="00D0759E"/>
    <w:rsid w:val="00D078C5"/>
    <w:rsid w:val="00D103C6"/>
    <w:rsid w:val="00D10B4A"/>
    <w:rsid w:val="00D11557"/>
    <w:rsid w:val="00D1299B"/>
    <w:rsid w:val="00D13ABE"/>
    <w:rsid w:val="00D14040"/>
    <w:rsid w:val="00D145C3"/>
    <w:rsid w:val="00D145CB"/>
    <w:rsid w:val="00D152F7"/>
    <w:rsid w:val="00D15A76"/>
    <w:rsid w:val="00D15D4E"/>
    <w:rsid w:val="00D15E9C"/>
    <w:rsid w:val="00D16083"/>
    <w:rsid w:val="00D163A1"/>
    <w:rsid w:val="00D168AB"/>
    <w:rsid w:val="00D200FD"/>
    <w:rsid w:val="00D202FA"/>
    <w:rsid w:val="00D20C74"/>
    <w:rsid w:val="00D21798"/>
    <w:rsid w:val="00D21D15"/>
    <w:rsid w:val="00D2238D"/>
    <w:rsid w:val="00D22645"/>
    <w:rsid w:val="00D226F1"/>
    <w:rsid w:val="00D22C98"/>
    <w:rsid w:val="00D23146"/>
    <w:rsid w:val="00D23BDE"/>
    <w:rsid w:val="00D24581"/>
    <w:rsid w:val="00D24E9C"/>
    <w:rsid w:val="00D26B7B"/>
    <w:rsid w:val="00D26D24"/>
    <w:rsid w:val="00D2763A"/>
    <w:rsid w:val="00D306AB"/>
    <w:rsid w:val="00D309F7"/>
    <w:rsid w:val="00D30BBE"/>
    <w:rsid w:val="00D30C28"/>
    <w:rsid w:val="00D30CFD"/>
    <w:rsid w:val="00D30DB2"/>
    <w:rsid w:val="00D30F6A"/>
    <w:rsid w:val="00D31220"/>
    <w:rsid w:val="00D3188E"/>
    <w:rsid w:val="00D31F3F"/>
    <w:rsid w:val="00D321AF"/>
    <w:rsid w:val="00D32457"/>
    <w:rsid w:val="00D32756"/>
    <w:rsid w:val="00D329C8"/>
    <w:rsid w:val="00D356FD"/>
    <w:rsid w:val="00D357B1"/>
    <w:rsid w:val="00D35D75"/>
    <w:rsid w:val="00D35D99"/>
    <w:rsid w:val="00D36D0F"/>
    <w:rsid w:val="00D37341"/>
    <w:rsid w:val="00D376C2"/>
    <w:rsid w:val="00D37A14"/>
    <w:rsid w:val="00D4010A"/>
    <w:rsid w:val="00D40116"/>
    <w:rsid w:val="00D40841"/>
    <w:rsid w:val="00D414B8"/>
    <w:rsid w:val="00D41577"/>
    <w:rsid w:val="00D415A5"/>
    <w:rsid w:val="00D417C2"/>
    <w:rsid w:val="00D41817"/>
    <w:rsid w:val="00D41878"/>
    <w:rsid w:val="00D421E3"/>
    <w:rsid w:val="00D42B93"/>
    <w:rsid w:val="00D42EE6"/>
    <w:rsid w:val="00D42FD2"/>
    <w:rsid w:val="00D434A1"/>
    <w:rsid w:val="00D437C7"/>
    <w:rsid w:val="00D43B2E"/>
    <w:rsid w:val="00D4426B"/>
    <w:rsid w:val="00D4454B"/>
    <w:rsid w:val="00D449CD"/>
    <w:rsid w:val="00D44BE9"/>
    <w:rsid w:val="00D45DF7"/>
    <w:rsid w:val="00D45EC9"/>
    <w:rsid w:val="00D45FB3"/>
    <w:rsid w:val="00D46543"/>
    <w:rsid w:val="00D46CD7"/>
    <w:rsid w:val="00D46E47"/>
    <w:rsid w:val="00D47DC6"/>
    <w:rsid w:val="00D47F9F"/>
    <w:rsid w:val="00D5052E"/>
    <w:rsid w:val="00D50729"/>
    <w:rsid w:val="00D5097B"/>
    <w:rsid w:val="00D512DF"/>
    <w:rsid w:val="00D513BF"/>
    <w:rsid w:val="00D51C0C"/>
    <w:rsid w:val="00D5211E"/>
    <w:rsid w:val="00D52232"/>
    <w:rsid w:val="00D52B26"/>
    <w:rsid w:val="00D52B53"/>
    <w:rsid w:val="00D5326B"/>
    <w:rsid w:val="00D535DB"/>
    <w:rsid w:val="00D539E6"/>
    <w:rsid w:val="00D541D4"/>
    <w:rsid w:val="00D543F6"/>
    <w:rsid w:val="00D544E7"/>
    <w:rsid w:val="00D5450B"/>
    <w:rsid w:val="00D54C46"/>
    <w:rsid w:val="00D54EB7"/>
    <w:rsid w:val="00D54F7F"/>
    <w:rsid w:val="00D55652"/>
    <w:rsid w:val="00D55744"/>
    <w:rsid w:val="00D557FA"/>
    <w:rsid w:val="00D562DC"/>
    <w:rsid w:val="00D56B02"/>
    <w:rsid w:val="00D570E3"/>
    <w:rsid w:val="00D5735C"/>
    <w:rsid w:val="00D573FA"/>
    <w:rsid w:val="00D57B86"/>
    <w:rsid w:val="00D57F10"/>
    <w:rsid w:val="00D60183"/>
    <w:rsid w:val="00D60658"/>
    <w:rsid w:val="00D61165"/>
    <w:rsid w:val="00D613B5"/>
    <w:rsid w:val="00D614A9"/>
    <w:rsid w:val="00D61FBD"/>
    <w:rsid w:val="00D629B1"/>
    <w:rsid w:val="00D634DE"/>
    <w:rsid w:val="00D63A35"/>
    <w:rsid w:val="00D63CA1"/>
    <w:rsid w:val="00D641F8"/>
    <w:rsid w:val="00D6434F"/>
    <w:rsid w:val="00D6499C"/>
    <w:rsid w:val="00D65305"/>
    <w:rsid w:val="00D6602A"/>
    <w:rsid w:val="00D67432"/>
    <w:rsid w:val="00D67AA5"/>
    <w:rsid w:val="00D70EB7"/>
    <w:rsid w:val="00D715E0"/>
    <w:rsid w:val="00D71BAB"/>
    <w:rsid w:val="00D71EA8"/>
    <w:rsid w:val="00D737BC"/>
    <w:rsid w:val="00D73B53"/>
    <w:rsid w:val="00D73CE6"/>
    <w:rsid w:val="00D73D0B"/>
    <w:rsid w:val="00D73FC1"/>
    <w:rsid w:val="00D74481"/>
    <w:rsid w:val="00D74783"/>
    <w:rsid w:val="00D74E18"/>
    <w:rsid w:val="00D75424"/>
    <w:rsid w:val="00D75F01"/>
    <w:rsid w:val="00D76154"/>
    <w:rsid w:val="00D767BE"/>
    <w:rsid w:val="00D76C6F"/>
    <w:rsid w:val="00D76D73"/>
    <w:rsid w:val="00D76DC8"/>
    <w:rsid w:val="00D77A20"/>
    <w:rsid w:val="00D77A3D"/>
    <w:rsid w:val="00D77A8C"/>
    <w:rsid w:val="00D8059F"/>
    <w:rsid w:val="00D8078D"/>
    <w:rsid w:val="00D80A43"/>
    <w:rsid w:val="00D80ABC"/>
    <w:rsid w:val="00D80B16"/>
    <w:rsid w:val="00D81017"/>
    <w:rsid w:val="00D812BD"/>
    <w:rsid w:val="00D81A79"/>
    <w:rsid w:val="00D81B3B"/>
    <w:rsid w:val="00D824AC"/>
    <w:rsid w:val="00D82933"/>
    <w:rsid w:val="00D82A4C"/>
    <w:rsid w:val="00D82BC6"/>
    <w:rsid w:val="00D83496"/>
    <w:rsid w:val="00D835F4"/>
    <w:rsid w:val="00D83925"/>
    <w:rsid w:val="00D83A48"/>
    <w:rsid w:val="00D84131"/>
    <w:rsid w:val="00D842F0"/>
    <w:rsid w:val="00D8440F"/>
    <w:rsid w:val="00D85196"/>
    <w:rsid w:val="00D8539C"/>
    <w:rsid w:val="00D853F7"/>
    <w:rsid w:val="00D85C65"/>
    <w:rsid w:val="00D866C9"/>
    <w:rsid w:val="00D86734"/>
    <w:rsid w:val="00D86741"/>
    <w:rsid w:val="00D868BE"/>
    <w:rsid w:val="00D86C54"/>
    <w:rsid w:val="00D86D9F"/>
    <w:rsid w:val="00D87157"/>
    <w:rsid w:val="00D87A0F"/>
    <w:rsid w:val="00D90247"/>
    <w:rsid w:val="00D904DC"/>
    <w:rsid w:val="00D90531"/>
    <w:rsid w:val="00D90D55"/>
    <w:rsid w:val="00D91061"/>
    <w:rsid w:val="00D910F1"/>
    <w:rsid w:val="00D91181"/>
    <w:rsid w:val="00D91352"/>
    <w:rsid w:val="00D9154D"/>
    <w:rsid w:val="00D91622"/>
    <w:rsid w:val="00D91793"/>
    <w:rsid w:val="00D91EF0"/>
    <w:rsid w:val="00D91F40"/>
    <w:rsid w:val="00D923DC"/>
    <w:rsid w:val="00D925EA"/>
    <w:rsid w:val="00D92B31"/>
    <w:rsid w:val="00D92D4E"/>
    <w:rsid w:val="00D93502"/>
    <w:rsid w:val="00D9389D"/>
    <w:rsid w:val="00D93C05"/>
    <w:rsid w:val="00D94370"/>
    <w:rsid w:val="00D946AE"/>
    <w:rsid w:val="00D946D3"/>
    <w:rsid w:val="00D9471D"/>
    <w:rsid w:val="00D94B51"/>
    <w:rsid w:val="00D954BB"/>
    <w:rsid w:val="00D966E4"/>
    <w:rsid w:val="00D96870"/>
    <w:rsid w:val="00D96E26"/>
    <w:rsid w:val="00DA070E"/>
    <w:rsid w:val="00DA0ED9"/>
    <w:rsid w:val="00DA2DEF"/>
    <w:rsid w:val="00DA2E53"/>
    <w:rsid w:val="00DA2F1B"/>
    <w:rsid w:val="00DA306F"/>
    <w:rsid w:val="00DA3280"/>
    <w:rsid w:val="00DA3DC2"/>
    <w:rsid w:val="00DA42FB"/>
    <w:rsid w:val="00DA4489"/>
    <w:rsid w:val="00DA4704"/>
    <w:rsid w:val="00DA473F"/>
    <w:rsid w:val="00DA4D7B"/>
    <w:rsid w:val="00DA4FFF"/>
    <w:rsid w:val="00DA5398"/>
    <w:rsid w:val="00DA555D"/>
    <w:rsid w:val="00DA7312"/>
    <w:rsid w:val="00DA7449"/>
    <w:rsid w:val="00DA7A57"/>
    <w:rsid w:val="00DA7AFB"/>
    <w:rsid w:val="00DB04D1"/>
    <w:rsid w:val="00DB1F6A"/>
    <w:rsid w:val="00DB21D2"/>
    <w:rsid w:val="00DB26DB"/>
    <w:rsid w:val="00DB32D4"/>
    <w:rsid w:val="00DB337A"/>
    <w:rsid w:val="00DB3643"/>
    <w:rsid w:val="00DB38F4"/>
    <w:rsid w:val="00DB3ED8"/>
    <w:rsid w:val="00DB46CD"/>
    <w:rsid w:val="00DB4AA8"/>
    <w:rsid w:val="00DB5C81"/>
    <w:rsid w:val="00DB60F4"/>
    <w:rsid w:val="00DB61D7"/>
    <w:rsid w:val="00DB6CA9"/>
    <w:rsid w:val="00DB6D86"/>
    <w:rsid w:val="00DB6E49"/>
    <w:rsid w:val="00DB7D44"/>
    <w:rsid w:val="00DC0CEC"/>
    <w:rsid w:val="00DC0E30"/>
    <w:rsid w:val="00DC0F46"/>
    <w:rsid w:val="00DC0FB3"/>
    <w:rsid w:val="00DC1734"/>
    <w:rsid w:val="00DC206F"/>
    <w:rsid w:val="00DC2156"/>
    <w:rsid w:val="00DC2303"/>
    <w:rsid w:val="00DC2396"/>
    <w:rsid w:val="00DC239E"/>
    <w:rsid w:val="00DC2714"/>
    <w:rsid w:val="00DC2813"/>
    <w:rsid w:val="00DC32CB"/>
    <w:rsid w:val="00DC3399"/>
    <w:rsid w:val="00DC39E9"/>
    <w:rsid w:val="00DC42DE"/>
    <w:rsid w:val="00DC46B7"/>
    <w:rsid w:val="00DC48E7"/>
    <w:rsid w:val="00DC648E"/>
    <w:rsid w:val="00DC6DBC"/>
    <w:rsid w:val="00DC71A3"/>
    <w:rsid w:val="00DC761D"/>
    <w:rsid w:val="00DC7762"/>
    <w:rsid w:val="00DC7BC8"/>
    <w:rsid w:val="00DC7C0B"/>
    <w:rsid w:val="00DD0BB9"/>
    <w:rsid w:val="00DD0E2F"/>
    <w:rsid w:val="00DD0F82"/>
    <w:rsid w:val="00DD111A"/>
    <w:rsid w:val="00DD1659"/>
    <w:rsid w:val="00DD1E7C"/>
    <w:rsid w:val="00DD1FFC"/>
    <w:rsid w:val="00DD2343"/>
    <w:rsid w:val="00DD24B9"/>
    <w:rsid w:val="00DD2D66"/>
    <w:rsid w:val="00DD2DC8"/>
    <w:rsid w:val="00DD353D"/>
    <w:rsid w:val="00DD3D06"/>
    <w:rsid w:val="00DD4337"/>
    <w:rsid w:val="00DD49DF"/>
    <w:rsid w:val="00DD4CEC"/>
    <w:rsid w:val="00DD4F52"/>
    <w:rsid w:val="00DD51CC"/>
    <w:rsid w:val="00DD57B8"/>
    <w:rsid w:val="00DD5CA5"/>
    <w:rsid w:val="00DD5E86"/>
    <w:rsid w:val="00DD63D2"/>
    <w:rsid w:val="00DD687D"/>
    <w:rsid w:val="00DD6FB5"/>
    <w:rsid w:val="00DD7115"/>
    <w:rsid w:val="00DE04FA"/>
    <w:rsid w:val="00DE0547"/>
    <w:rsid w:val="00DE1117"/>
    <w:rsid w:val="00DE12E4"/>
    <w:rsid w:val="00DE12E5"/>
    <w:rsid w:val="00DE19EF"/>
    <w:rsid w:val="00DE1BF2"/>
    <w:rsid w:val="00DE1CF4"/>
    <w:rsid w:val="00DE1ED1"/>
    <w:rsid w:val="00DE23F7"/>
    <w:rsid w:val="00DE279E"/>
    <w:rsid w:val="00DE2A2F"/>
    <w:rsid w:val="00DE2D24"/>
    <w:rsid w:val="00DE3193"/>
    <w:rsid w:val="00DE34CC"/>
    <w:rsid w:val="00DE3AE0"/>
    <w:rsid w:val="00DE3D84"/>
    <w:rsid w:val="00DE3F00"/>
    <w:rsid w:val="00DE4586"/>
    <w:rsid w:val="00DE4FC9"/>
    <w:rsid w:val="00DE54C4"/>
    <w:rsid w:val="00DE5AF4"/>
    <w:rsid w:val="00DE5E47"/>
    <w:rsid w:val="00DE616E"/>
    <w:rsid w:val="00DE698D"/>
    <w:rsid w:val="00DF0255"/>
    <w:rsid w:val="00DF03A3"/>
    <w:rsid w:val="00DF07D8"/>
    <w:rsid w:val="00DF0813"/>
    <w:rsid w:val="00DF091A"/>
    <w:rsid w:val="00DF09F7"/>
    <w:rsid w:val="00DF0E99"/>
    <w:rsid w:val="00DF1712"/>
    <w:rsid w:val="00DF23ED"/>
    <w:rsid w:val="00DF37B2"/>
    <w:rsid w:val="00DF3B6A"/>
    <w:rsid w:val="00DF3E60"/>
    <w:rsid w:val="00DF405F"/>
    <w:rsid w:val="00DF5B45"/>
    <w:rsid w:val="00DF5C18"/>
    <w:rsid w:val="00DF5C83"/>
    <w:rsid w:val="00DF5DB6"/>
    <w:rsid w:val="00DF5E22"/>
    <w:rsid w:val="00DF61BD"/>
    <w:rsid w:val="00DF640A"/>
    <w:rsid w:val="00DF6A2D"/>
    <w:rsid w:val="00DF7013"/>
    <w:rsid w:val="00E018A9"/>
    <w:rsid w:val="00E022F5"/>
    <w:rsid w:val="00E02642"/>
    <w:rsid w:val="00E027BA"/>
    <w:rsid w:val="00E02C22"/>
    <w:rsid w:val="00E02CC9"/>
    <w:rsid w:val="00E031B4"/>
    <w:rsid w:val="00E034B3"/>
    <w:rsid w:val="00E03E5B"/>
    <w:rsid w:val="00E04009"/>
    <w:rsid w:val="00E0498A"/>
    <w:rsid w:val="00E05AF1"/>
    <w:rsid w:val="00E06821"/>
    <w:rsid w:val="00E0734B"/>
    <w:rsid w:val="00E0746B"/>
    <w:rsid w:val="00E07A49"/>
    <w:rsid w:val="00E07BC9"/>
    <w:rsid w:val="00E1196B"/>
    <w:rsid w:val="00E12531"/>
    <w:rsid w:val="00E1260E"/>
    <w:rsid w:val="00E12DE6"/>
    <w:rsid w:val="00E1304E"/>
    <w:rsid w:val="00E1336D"/>
    <w:rsid w:val="00E13D08"/>
    <w:rsid w:val="00E13D3B"/>
    <w:rsid w:val="00E13D67"/>
    <w:rsid w:val="00E150CE"/>
    <w:rsid w:val="00E151B7"/>
    <w:rsid w:val="00E1602F"/>
    <w:rsid w:val="00E16DC1"/>
    <w:rsid w:val="00E17020"/>
    <w:rsid w:val="00E174F5"/>
    <w:rsid w:val="00E17727"/>
    <w:rsid w:val="00E17739"/>
    <w:rsid w:val="00E179A8"/>
    <w:rsid w:val="00E17A6E"/>
    <w:rsid w:val="00E17B22"/>
    <w:rsid w:val="00E20767"/>
    <w:rsid w:val="00E20807"/>
    <w:rsid w:val="00E20E1B"/>
    <w:rsid w:val="00E20E8C"/>
    <w:rsid w:val="00E20E9D"/>
    <w:rsid w:val="00E210FB"/>
    <w:rsid w:val="00E216CF"/>
    <w:rsid w:val="00E21A61"/>
    <w:rsid w:val="00E21F5F"/>
    <w:rsid w:val="00E22F30"/>
    <w:rsid w:val="00E23178"/>
    <w:rsid w:val="00E233B5"/>
    <w:rsid w:val="00E23928"/>
    <w:rsid w:val="00E23E29"/>
    <w:rsid w:val="00E240B6"/>
    <w:rsid w:val="00E24562"/>
    <w:rsid w:val="00E24736"/>
    <w:rsid w:val="00E249E6"/>
    <w:rsid w:val="00E24ACE"/>
    <w:rsid w:val="00E24D92"/>
    <w:rsid w:val="00E24EEF"/>
    <w:rsid w:val="00E24F85"/>
    <w:rsid w:val="00E25437"/>
    <w:rsid w:val="00E25775"/>
    <w:rsid w:val="00E25DB7"/>
    <w:rsid w:val="00E25EFA"/>
    <w:rsid w:val="00E25FAD"/>
    <w:rsid w:val="00E26E67"/>
    <w:rsid w:val="00E27169"/>
    <w:rsid w:val="00E272BC"/>
    <w:rsid w:val="00E27405"/>
    <w:rsid w:val="00E27B50"/>
    <w:rsid w:val="00E27EF9"/>
    <w:rsid w:val="00E30E87"/>
    <w:rsid w:val="00E3182D"/>
    <w:rsid w:val="00E319F6"/>
    <w:rsid w:val="00E31B49"/>
    <w:rsid w:val="00E3272D"/>
    <w:rsid w:val="00E3352C"/>
    <w:rsid w:val="00E33751"/>
    <w:rsid w:val="00E33B0E"/>
    <w:rsid w:val="00E33D53"/>
    <w:rsid w:val="00E33F85"/>
    <w:rsid w:val="00E34BA3"/>
    <w:rsid w:val="00E356FD"/>
    <w:rsid w:val="00E369E1"/>
    <w:rsid w:val="00E36C4F"/>
    <w:rsid w:val="00E3709C"/>
    <w:rsid w:val="00E37278"/>
    <w:rsid w:val="00E372C7"/>
    <w:rsid w:val="00E378A2"/>
    <w:rsid w:val="00E37B8C"/>
    <w:rsid w:val="00E40B17"/>
    <w:rsid w:val="00E4110F"/>
    <w:rsid w:val="00E4154E"/>
    <w:rsid w:val="00E41CE6"/>
    <w:rsid w:val="00E41E53"/>
    <w:rsid w:val="00E420E3"/>
    <w:rsid w:val="00E425D2"/>
    <w:rsid w:val="00E4291A"/>
    <w:rsid w:val="00E430D5"/>
    <w:rsid w:val="00E431A0"/>
    <w:rsid w:val="00E43901"/>
    <w:rsid w:val="00E4392F"/>
    <w:rsid w:val="00E43A37"/>
    <w:rsid w:val="00E4535D"/>
    <w:rsid w:val="00E458DB"/>
    <w:rsid w:val="00E46FED"/>
    <w:rsid w:val="00E474FF"/>
    <w:rsid w:val="00E4756A"/>
    <w:rsid w:val="00E47C1B"/>
    <w:rsid w:val="00E47D07"/>
    <w:rsid w:val="00E47F7E"/>
    <w:rsid w:val="00E501DC"/>
    <w:rsid w:val="00E507D2"/>
    <w:rsid w:val="00E51468"/>
    <w:rsid w:val="00E516EF"/>
    <w:rsid w:val="00E518A9"/>
    <w:rsid w:val="00E51E60"/>
    <w:rsid w:val="00E52AE9"/>
    <w:rsid w:val="00E52CD5"/>
    <w:rsid w:val="00E53191"/>
    <w:rsid w:val="00E5366C"/>
    <w:rsid w:val="00E541BF"/>
    <w:rsid w:val="00E542FD"/>
    <w:rsid w:val="00E5445C"/>
    <w:rsid w:val="00E54E4D"/>
    <w:rsid w:val="00E54EAD"/>
    <w:rsid w:val="00E54EFF"/>
    <w:rsid w:val="00E558B0"/>
    <w:rsid w:val="00E55BEC"/>
    <w:rsid w:val="00E55C2E"/>
    <w:rsid w:val="00E55D69"/>
    <w:rsid w:val="00E5607B"/>
    <w:rsid w:val="00E562C1"/>
    <w:rsid w:val="00E56DBB"/>
    <w:rsid w:val="00E57546"/>
    <w:rsid w:val="00E57AAA"/>
    <w:rsid w:val="00E57B86"/>
    <w:rsid w:val="00E57F12"/>
    <w:rsid w:val="00E60798"/>
    <w:rsid w:val="00E60AAD"/>
    <w:rsid w:val="00E6170D"/>
    <w:rsid w:val="00E61A6B"/>
    <w:rsid w:val="00E61AF2"/>
    <w:rsid w:val="00E61CAD"/>
    <w:rsid w:val="00E62104"/>
    <w:rsid w:val="00E62391"/>
    <w:rsid w:val="00E62970"/>
    <w:rsid w:val="00E62975"/>
    <w:rsid w:val="00E629DE"/>
    <w:rsid w:val="00E63118"/>
    <w:rsid w:val="00E6355A"/>
    <w:rsid w:val="00E63D1E"/>
    <w:rsid w:val="00E64405"/>
    <w:rsid w:val="00E64601"/>
    <w:rsid w:val="00E64C18"/>
    <w:rsid w:val="00E64D16"/>
    <w:rsid w:val="00E653F9"/>
    <w:rsid w:val="00E654BD"/>
    <w:rsid w:val="00E65F92"/>
    <w:rsid w:val="00E66145"/>
    <w:rsid w:val="00E66E58"/>
    <w:rsid w:val="00E67152"/>
    <w:rsid w:val="00E672B1"/>
    <w:rsid w:val="00E67845"/>
    <w:rsid w:val="00E6786B"/>
    <w:rsid w:val="00E701C6"/>
    <w:rsid w:val="00E703D4"/>
    <w:rsid w:val="00E70BFA"/>
    <w:rsid w:val="00E710EA"/>
    <w:rsid w:val="00E72421"/>
    <w:rsid w:val="00E72BD6"/>
    <w:rsid w:val="00E72DA9"/>
    <w:rsid w:val="00E731C3"/>
    <w:rsid w:val="00E733F8"/>
    <w:rsid w:val="00E73480"/>
    <w:rsid w:val="00E73778"/>
    <w:rsid w:val="00E73F0D"/>
    <w:rsid w:val="00E74422"/>
    <w:rsid w:val="00E7534A"/>
    <w:rsid w:val="00E75565"/>
    <w:rsid w:val="00E75F93"/>
    <w:rsid w:val="00E7622D"/>
    <w:rsid w:val="00E76A39"/>
    <w:rsid w:val="00E76BF1"/>
    <w:rsid w:val="00E77158"/>
    <w:rsid w:val="00E77336"/>
    <w:rsid w:val="00E77873"/>
    <w:rsid w:val="00E779D8"/>
    <w:rsid w:val="00E80380"/>
    <w:rsid w:val="00E8079F"/>
    <w:rsid w:val="00E809B1"/>
    <w:rsid w:val="00E80BA0"/>
    <w:rsid w:val="00E816E5"/>
    <w:rsid w:val="00E8199E"/>
    <w:rsid w:val="00E81F8C"/>
    <w:rsid w:val="00E820B9"/>
    <w:rsid w:val="00E8235B"/>
    <w:rsid w:val="00E827EA"/>
    <w:rsid w:val="00E82C67"/>
    <w:rsid w:val="00E82D35"/>
    <w:rsid w:val="00E831CA"/>
    <w:rsid w:val="00E83384"/>
    <w:rsid w:val="00E8389D"/>
    <w:rsid w:val="00E838B6"/>
    <w:rsid w:val="00E83ADB"/>
    <w:rsid w:val="00E83D99"/>
    <w:rsid w:val="00E84001"/>
    <w:rsid w:val="00E84FF1"/>
    <w:rsid w:val="00E85151"/>
    <w:rsid w:val="00E85174"/>
    <w:rsid w:val="00E851F6"/>
    <w:rsid w:val="00E85218"/>
    <w:rsid w:val="00E8549B"/>
    <w:rsid w:val="00E85547"/>
    <w:rsid w:val="00E85A2F"/>
    <w:rsid w:val="00E85C21"/>
    <w:rsid w:val="00E85C66"/>
    <w:rsid w:val="00E864B0"/>
    <w:rsid w:val="00E8679E"/>
    <w:rsid w:val="00E868C5"/>
    <w:rsid w:val="00E86F34"/>
    <w:rsid w:val="00E87747"/>
    <w:rsid w:val="00E877CF"/>
    <w:rsid w:val="00E877F1"/>
    <w:rsid w:val="00E9065C"/>
    <w:rsid w:val="00E9123E"/>
    <w:rsid w:val="00E914CC"/>
    <w:rsid w:val="00E92126"/>
    <w:rsid w:val="00E9232D"/>
    <w:rsid w:val="00E931C8"/>
    <w:rsid w:val="00E9359C"/>
    <w:rsid w:val="00E93CC0"/>
    <w:rsid w:val="00E93F6A"/>
    <w:rsid w:val="00E948DF"/>
    <w:rsid w:val="00E94964"/>
    <w:rsid w:val="00E94C85"/>
    <w:rsid w:val="00E95031"/>
    <w:rsid w:val="00E957FA"/>
    <w:rsid w:val="00E96247"/>
    <w:rsid w:val="00E96C4D"/>
    <w:rsid w:val="00E96F05"/>
    <w:rsid w:val="00E96F6D"/>
    <w:rsid w:val="00E97053"/>
    <w:rsid w:val="00E970B3"/>
    <w:rsid w:val="00E972CA"/>
    <w:rsid w:val="00E975B5"/>
    <w:rsid w:val="00E97FCA"/>
    <w:rsid w:val="00E97FFE"/>
    <w:rsid w:val="00EA06F7"/>
    <w:rsid w:val="00EA0EE0"/>
    <w:rsid w:val="00EA10E2"/>
    <w:rsid w:val="00EA1979"/>
    <w:rsid w:val="00EA1CE8"/>
    <w:rsid w:val="00EA1D00"/>
    <w:rsid w:val="00EA23D8"/>
    <w:rsid w:val="00EA286C"/>
    <w:rsid w:val="00EA2B8F"/>
    <w:rsid w:val="00EA3074"/>
    <w:rsid w:val="00EA3504"/>
    <w:rsid w:val="00EA35D1"/>
    <w:rsid w:val="00EA3EA5"/>
    <w:rsid w:val="00EA438D"/>
    <w:rsid w:val="00EA43E9"/>
    <w:rsid w:val="00EA4EEF"/>
    <w:rsid w:val="00EA5A4A"/>
    <w:rsid w:val="00EA5DE9"/>
    <w:rsid w:val="00EA6004"/>
    <w:rsid w:val="00EA6016"/>
    <w:rsid w:val="00EA6608"/>
    <w:rsid w:val="00EA6D3E"/>
    <w:rsid w:val="00EA74B0"/>
    <w:rsid w:val="00EA74E6"/>
    <w:rsid w:val="00EA7681"/>
    <w:rsid w:val="00EA76E6"/>
    <w:rsid w:val="00EA7B95"/>
    <w:rsid w:val="00EB00E5"/>
    <w:rsid w:val="00EB02CE"/>
    <w:rsid w:val="00EB14FC"/>
    <w:rsid w:val="00EB16E9"/>
    <w:rsid w:val="00EB1C53"/>
    <w:rsid w:val="00EB242F"/>
    <w:rsid w:val="00EB26BF"/>
    <w:rsid w:val="00EB27BD"/>
    <w:rsid w:val="00EB2B70"/>
    <w:rsid w:val="00EB2FEC"/>
    <w:rsid w:val="00EB43B4"/>
    <w:rsid w:val="00EB456B"/>
    <w:rsid w:val="00EB48C4"/>
    <w:rsid w:val="00EB4E4C"/>
    <w:rsid w:val="00EB519C"/>
    <w:rsid w:val="00EB5380"/>
    <w:rsid w:val="00EB5BE1"/>
    <w:rsid w:val="00EB5FD8"/>
    <w:rsid w:val="00EB60F6"/>
    <w:rsid w:val="00EB69E6"/>
    <w:rsid w:val="00EB6D83"/>
    <w:rsid w:val="00EB6E16"/>
    <w:rsid w:val="00EB6E98"/>
    <w:rsid w:val="00EB713D"/>
    <w:rsid w:val="00EB716F"/>
    <w:rsid w:val="00EB745B"/>
    <w:rsid w:val="00EB762F"/>
    <w:rsid w:val="00EB7900"/>
    <w:rsid w:val="00EB7BF9"/>
    <w:rsid w:val="00EC00B3"/>
    <w:rsid w:val="00EC0251"/>
    <w:rsid w:val="00EC0DAF"/>
    <w:rsid w:val="00EC0DC4"/>
    <w:rsid w:val="00EC0DD3"/>
    <w:rsid w:val="00EC1120"/>
    <w:rsid w:val="00EC1A7E"/>
    <w:rsid w:val="00EC23BD"/>
    <w:rsid w:val="00EC2B53"/>
    <w:rsid w:val="00EC2FD9"/>
    <w:rsid w:val="00EC302B"/>
    <w:rsid w:val="00EC384A"/>
    <w:rsid w:val="00EC4364"/>
    <w:rsid w:val="00EC4531"/>
    <w:rsid w:val="00EC461F"/>
    <w:rsid w:val="00EC46E6"/>
    <w:rsid w:val="00EC50BC"/>
    <w:rsid w:val="00EC52CB"/>
    <w:rsid w:val="00EC538E"/>
    <w:rsid w:val="00EC5457"/>
    <w:rsid w:val="00EC54CB"/>
    <w:rsid w:val="00EC578A"/>
    <w:rsid w:val="00EC5C56"/>
    <w:rsid w:val="00EC6225"/>
    <w:rsid w:val="00EC623E"/>
    <w:rsid w:val="00EC7E1E"/>
    <w:rsid w:val="00ED0688"/>
    <w:rsid w:val="00ED08DF"/>
    <w:rsid w:val="00ED0F16"/>
    <w:rsid w:val="00ED14B2"/>
    <w:rsid w:val="00ED15CB"/>
    <w:rsid w:val="00ED18B6"/>
    <w:rsid w:val="00ED20CC"/>
    <w:rsid w:val="00ED2200"/>
    <w:rsid w:val="00ED2794"/>
    <w:rsid w:val="00ED366C"/>
    <w:rsid w:val="00ED36CF"/>
    <w:rsid w:val="00ED3ACD"/>
    <w:rsid w:val="00ED3D51"/>
    <w:rsid w:val="00ED4049"/>
    <w:rsid w:val="00ED4257"/>
    <w:rsid w:val="00ED4341"/>
    <w:rsid w:val="00ED506B"/>
    <w:rsid w:val="00ED52B5"/>
    <w:rsid w:val="00ED565A"/>
    <w:rsid w:val="00ED568F"/>
    <w:rsid w:val="00ED6217"/>
    <w:rsid w:val="00ED6673"/>
    <w:rsid w:val="00ED699E"/>
    <w:rsid w:val="00ED6DC5"/>
    <w:rsid w:val="00EE00E3"/>
    <w:rsid w:val="00EE1547"/>
    <w:rsid w:val="00EE1C44"/>
    <w:rsid w:val="00EE1CE6"/>
    <w:rsid w:val="00EE2017"/>
    <w:rsid w:val="00EE2DA7"/>
    <w:rsid w:val="00EE3E26"/>
    <w:rsid w:val="00EE40FC"/>
    <w:rsid w:val="00EE4ED3"/>
    <w:rsid w:val="00EE54E1"/>
    <w:rsid w:val="00EE5508"/>
    <w:rsid w:val="00EE5C0C"/>
    <w:rsid w:val="00EE78E3"/>
    <w:rsid w:val="00EF0859"/>
    <w:rsid w:val="00EF0D2E"/>
    <w:rsid w:val="00EF15C5"/>
    <w:rsid w:val="00EF1696"/>
    <w:rsid w:val="00EF16FD"/>
    <w:rsid w:val="00EF1D01"/>
    <w:rsid w:val="00EF1DD7"/>
    <w:rsid w:val="00EF1F28"/>
    <w:rsid w:val="00EF20F3"/>
    <w:rsid w:val="00EF2112"/>
    <w:rsid w:val="00EF25DC"/>
    <w:rsid w:val="00EF35E0"/>
    <w:rsid w:val="00EF3BDD"/>
    <w:rsid w:val="00EF41CE"/>
    <w:rsid w:val="00EF4496"/>
    <w:rsid w:val="00EF4885"/>
    <w:rsid w:val="00EF4ADA"/>
    <w:rsid w:val="00EF4B05"/>
    <w:rsid w:val="00EF510D"/>
    <w:rsid w:val="00EF5678"/>
    <w:rsid w:val="00EF5EF3"/>
    <w:rsid w:val="00EF6237"/>
    <w:rsid w:val="00EF637A"/>
    <w:rsid w:val="00EF6885"/>
    <w:rsid w:val="00EF6CDF"/>
    <w:rsid w:val="00EF7AE4"/>
    <w:rsid w:val="00F003AE"/>
    <w:rsid w:val="00F008AC"/>
    <w:rsid w:val="00F009D5"/>
    <w:rsid w:val="00F009DF"/>
    <w:rsid w:val="00F00A49"/>
    <w:rsid w:val="00F00A9E"/>
    <w:rsid w:val="00F00C8D"/>
    <w:rsid w:val="00F018C1"/>
    <w:rsid w:val="00F0210E"/>
    <w:rsid w:val="00F02B29"/>
    <w:rsid w:val="00F02DE5"/>
    <w:rsid w:val="00F030F0"/>
    <w:rsid w:val="00F0333C"/>
    <w:rsid w:val="00F039ED"/>
    <w:rsid w:val="00F03C30"/>
    <w:rsid w:val="00F04428"/>
    <w:rsid w:val="00F04ECB"/>
    <w:rsid w:val="00F050C0"/>
    <w:rsid w:val="00F0588F"/>
    <w:rsid w:val="00F05938"/>
    <w:rsid w:val="00F05EED"/>
    <w:rsid w:val="00F06615"/>
    <w:rsid w:val="00F06E56"/>
    <w:rsid w:val="00F07193"/>
    <w:rsid w:val="00F0776A"/>
    <w:rsid w:val="00F07817"/>
    <w:rsid w:val="00F07FB2"/>
    <w:rsid w:val="00F10195"/>
    <w:rsid w:val="00F101E6"/>
    <w:rsid w:val="00F1027E"/>
    <w:rsid w:val="00F105FD"/>
    <w:rsid w:val="00F108BD"/>
    <w:rsid w:val="00F10DE9"/>
    <w:rsid w:val="00F112ED"/>
    <w:rsid w:val="00F11D3D"/>
    <w:rsid w:val="00F1200A"/>
    <w:rsid w:val="00F120A3"/>
    <w:rsid w:val="00F12436"/>
    <w:rsid w:val="00F12F83"/>
    <w:rsid w:val="00F13206"/>
    <w:rsid w:val="00F134F0"/>
    <w:rsid w:val="00F13A2C"/>
    <w:rsid w:val="00F13E35"/>
    <w:rsid w:val="00F14AEE"/>
    <w:rsid w:val="00F14BB7"/>
    <w:rsid w:val="00F14E24"/>
    <w:rsid w:val="00F14EC8"/>
    <w:rsid w:val="00F15E51"/>
    <w:rsid w:val="00F15EC0"/>
    <w:rsid w:val="00F15F74"/>
    <w:rsid w:val="00F15FA3"/>
    <w:rsid w:val="00F160CD"/>
    <w:rsid w:val="00F16354"/>
    <w:rsid w:val="00F1636B"/>
    <w:rsid w:val="00F166E5"/>
    <w:rsid w:val="00F16E03"/>
    <w:rsid w:val="00F16EDC"/>
    <w:rsid w:val="00F17779"/>
    <w:rsid w:val="00F1798A"/>
    <w:rsid w:val="00F179C4"/>
    <w:rsid w:val="00F17D88"/>
    <w:rsid w:val="00F20312"/>
    <w:rsid w:val="00F20FB8"/>
    <w:rsid w:val="00F21BFB"/>
    <w:rsid w:val="00F22483"/>
    <w:rsid w:val="00F224BB"/>
    <w:rsid w:val="00F225AA"/>
    <w:rsid w:val="00F23818"/>
    <w:rsid w:val="00F24376"/>
    <w:rsid w:val="00F24ECA"/>
    <w:rsid w:val="00F255DB"/>
    <w:rsid w:val="00F25813"/>
    <w:rsid w:val="00F25C5B"/>
    <w:rsid w:val="00F265C4"/>
    <w:rsid w:val="00F26A26"/>
    <w:rsid w:val="00F26C4E"/>
    <w:rsid w:val="00F27F43"/>
    <w:rsid w:val="00F3043B"/>
    <w:rsid w:val="00F307B0"/>
    <w:rsid w:val="00F310DC"/>
    <w:rsid w:val="00F31597"/>
    <w:rsid w:val="00F31C0E"/>
    <w:rsid w:val="00F33272"/>
    <w:rsid w:val="00F3367D"/>
    <w:rsid w:val="00F33D4E"/>
    <w:rsid w:val="00F343D8"/>
    <w:rsid w:val="00F35256"/>
    <w:rsid w:val="00F35263"/>
    <w:rsid w:val="00F3555A"/>
    <w:rsid w:val="00F36252"/>
    <w:rsid w:val="00F367D1"/>
    <w:rsid w:val="00F367D3"/>
    <w:rsid w:val="00F36D42"/>
    <w:rsid w:val="00F37861"/>
    <w:rsid w:val="00F37D30"/>
    <w:rsid w:val="00F404B4"/>
    <w:rsid w:val="00F40C4F"/>
    <w:rsid w:val="00F411F2"/>
    <w:rsid w:val="00F41861"/>
    <w:rsid w:val="00F41B6A"/>
    <w:rsid w:val="00F4225A"/>
    <w:rsid w:val="00F42AAA"/>
    <w:rsid w:val="00F42C2C"/>
    <w:rsid w:val="00F436A4"/>
    <w:rsid w:val="00F43AFA"/>
    <w:rsid w:val="00F43B41"/>
    <w:rsid w:val="00F44399"/>
    <w:rsid w:val="00F444E1"/>
    <w:rsid w:val="00F44B3F"/>
    <w:rsid w:val="00F4595E"/>
    <w:rsid w:val="00F45CDD"/>
    <w:rsid w:val="00F4640B"/>
    <w:rsid w:val="00F46994"/>
    <w:rsid w:val="00F470D5"/>
    <w:rsid w:val="00F47A1F"/>
    <w:rsid w:val="00F50546"/>
    <w:rsid w:val="00F50A67"/>
    <w:rsid w:val="00F50DAB"/>
    <w:rsid w:val="00F5145D"/>
    <w:rsid w:val="00F51730"/>
    <w:rsid w:val="00F518F1"/>
    <w:rsid w:val="00F52025"/>
    <w:rsid w:val="00F5222A"/>
    <w:rsid w:val="00F52372"/>
    <w:rsid w:val="00F5252E"/>
    <w:rsid w:val="00F529A1"/>
    <w:rsid w:val="00F529DD"/>
    <w:rsid w:val="00F52B49"/>
    <w:rsid w:val="00F53A1C"/>
    <w:rsid w:val="00F53DBC"/>
    <w:rsid w:val="00F53F3B"/>
    <w:rsid w:val="00F54BE1"/>
    <w:rsid w:val="00F54CF5"/>
    <w:rsid w:val="00F55433"/>
    <w:rsid w:val="00F55AA3"/>
    <w:rsid w:val="00F561D6"/>
    <w:rsid w:val="00F5751F"/>
    <w:rsid w:val="00F57C28"/>
    <w:rsid w:val="00F57D22"/>
    <w:rsid w:val="00F603AE"/>
    <w:rsid w:val="00F60442"/>
    <w:rsid w:val="00F6046D"/>
    <w:rsid w:val="00F6064E"/>
    <w:rsid w:val="00F60B22"/>
    <w:rsid w:val="00F61375"/>
    <w:rsid w:val="00F61B81"/>
    <w:rsid w:val="00F61CE4"/>
    <w:rsid w:val="00F61E98"/>
    <w:rsid w:val="00F62309"/>
    <w:rsid w:val="00F62E6E"/>
    <w:rsid w:val="00F62FD1"/>
    <w:rsid w:val="00F63197"/>
    <w:rsid w:val="00F639C1"/>
    <w:rsid w:val="00F63BE8"/>
    <w:rsid w:val="00F66B1C"/>
    <w:rsid w:val="00F67333"/>
    <w:rsid w:val="00F673DF"/>
    <w:rsid w:val="00F6778F"/>
    <w:rsid w:val="00F679BC"/>
    <w:rsid w:val="00F707FF"/>
    <w:rsid w:val="00F70E50"/>
    <w:rsid w:val="00F7118B"/>
    <w:rsid w:val="00F7168D"/>
    <w:rsid w:val="00F7193E"/>
    <w:rsid w:val="00F71A25"/>
    <w:rsid w:val="00F71AD5"/>
    <w:rsid w:val="00F71F6B"/>
    <w:rsid w:val="00F71F99"/>
    <w:rsid w:val="00F721A6"/>
    <w:rsid w:val="00F7238A"/>
    <w:rsid w:val="00F72747"/>
    <w:rsid w:val="00F728FD"/>
    <w:rsid w:val="00F72E24"/>
    <w:rsid w:val="00F72E56"/>
    <w:rsid w:val="00F730DB"/>
    <w:rsid w:val="00F73209"/>
    <w:rsid w:val="00F738EE"/>
    <w:rsid w:val="00F73A57"/>
    <w:rsid w:val="00F74472"/>
    <w:rsid w:val="00F745BF"/>
    <w:rsid w:val="00F7486A"/>
    <w:rsid w:val="00F74B09"/>
    <w:rsid w:val="00F74C41"/>
    <w:rsid w:val="00F74D24"/>
    <w:rsid w:val="00F74E9E"/>
    <w:rsid w:val="00F7503B"/>
    <w:rsid w:val="00F755F4"/>
    <w:rsid w:val="00F75669"/>
    <w:rsid w:val="00F75B9A"/>
    <w:rsid w:val="00F7614E"/>
    <w:rsid w:val="00F76194"/>
    <w:rsid w:val="00F76195"/>
    <w:rsid w:val="00F7642F"/>
    <w:rsid w:val="00F77098"/>
    <w:rsid w:val="00F771FB"/>
    <w:rsid w:val="00F7734D"/>
    <w:rsid w:val="00F77A65"/>
    <w:rsid w:val="00F77F2C"/>
    <w:rsid w:val="00F803C1"/>
    <w:rsid w:val="00F8043A"/>
    <w:rsid w:val="00F80A56"/>
    <w:rsid w:val="00F814F2"/>
    <w:rsid w:val="00F81B66"/>
    <w:rsid w:val="00F81D5F"/>
    <w:rsid w:val="00F82480"/>
    <w:rsid w:val="00F82A04"/>
    <w:rsid w:val="00F82A5A"/>
    <w:rsid w:val="00F82D62"/>
    <w:rsid w:val="00F832B0"/>
    <w:rsid w:val="00F83A41"/>
    <w:rsid w:val="00F83EDC"/>
    <w:rsid w:val="00F84AD7"/>
    <w:rsid w:val="00F84E3B"/>
    <w:rsid w:val="00F8575F"/>
    <w:rsid w:val="00F85991"/>
    <w:rsid w:val="00F85AD7"/>
    <w:rsid w:val="00F85E82"/>
    <w:rsid w:val="00F85ED0"/>
    <w:rsid w:val="00F86A08"/>
    <w:rsid w:val="00F87409"/>
    <w:rsid w:val="00F8782A"/>
    <w:rsid w:val="00F87C8C"/>
    <w:rsid w:val="00F87E0F"/>
    <w:rsid w:val="00F9046F"/>
    <w:rsid w:val="00F906E8"/>
    <w:rsid w:val="00F90B77"/>
    <w:rsid w:val="00F91090"/>
    <w:rsid w:val="00F910D3"/>
    <w:rsid w:val="00F91329"/>
    <w:rsid w:val="00F91753"/>
    <w:rsid w:val="00F91883"/>
    <w:rsid w:val="00F91E21"/>
    <w:rsid w:val="00F92345"/>
    <w:rsid w:val="00F928BB"/>
    <w:rsid w:val="00F93026"/>
    <w:rsid w:val="00F94098"/>
    <w:rsid w:val="00F94176"/>
    <w:rsid w:val="00F94FD8"/>
    <w:rsid w:val="00F957E1"/>
    <w:rsid w:val="00F95C1E"/>
    <w:rsid w:val="00F96530"/>
    <w:rsid w:val="00F965D5"/>
    <w:rsid w:val="00F96627"/>
    <w:rsid w:val="00F967F6"/>
    <w:rsid w:val="00F9684C"/>
    <w:rsid w:val="00F96D52"/>
    <w:rsid w:val="00F96F36"/>
    <w:rsid w:val="00F9712C"/>
    <w:rsid w:val="00F9775A"/>
    <w:rsid w:val="00F97BB2"/>
    <w:rsid w:val="00F97E80"/>
    <w:rsid w:val="00FA077D"/>
    <w:rsid w:val="00FA09CB"/>
    <w:rsid w:val="00FA0F7D"/>
    <w:rsid w:val="00FA1374"/>
    <w:rsid w:val="00FA1AC5"/>
    <w:rsid w:val="00FA1AE3"/>
    <w:rsid w:val="00FA2211"/>
    <w:rsid w:val="00FA2709"/>
    <w:rsid w:val="00FA29AD"/>
    <w:rsid w:val="00FA2A63"/>
    <w:rsid w:val="00FA2AC2"/>
    <w:rsid w:val="00FA334F"/>
    <w:rsid w:val="00FA3463"/>
    <w:rsid w:val="00FA3CC2"/>
    <w:rsid w:val="00FA40DD"/>
    <w:rsid w:val="00FA4184"/>
    <w:rsid w:val="00FA517C"/>
    <w:rsid w:val="00FA55E7"/>
    <w:rsid w:val="00FA5A74"/>
    <w:rsid w:val="00FA5B86"/>
    <w:rsid w:val="00FA626D"/>
    <w:rsid w:val="00FA6DA4"/>
    <w:rsid w:val="00FA6E93"/>
    <w:rsid w:val="00FA701F"/>
    <w:rsid w:val="00FB027C"/>
    <w:rsid w:val="00FB0641"/>
    <w:rsid w:val="00FB1005"/>
    <w:rsid w:val="00FB115B"/>
    <w:rsid w:val="00FB11F8"/>
    <w:rsid w:val="00FB164C"/>
    <w:rsid w:val="00FB1FAA"/>
    <w:rsid w:val="00FB2344"/>
    <w:rsid w:val="00FB2724"/>
    <w:rsid w:val="00FB309C"/>
    <w:rsid w:val="00FB3325"/>
    <w:rsid w:val="00FB3492"/>
    <w:rsid w:val="00FB3E21"/>
    <w:rsid w:val="00FB40EF"/>
    <w:rsid w:val="00FB4E7D"/>
    <w:rsid w:val="00FB5514"/>
    <w:rsid w:val="00FB6054"/>
    <w:rsid w:val="00FB61AF"/>
    <w:rsid w:val="00FB7C61"/>
    <w:rsid w:val="00FC0786"/>
    <w:rsid w:val="00FC0A6C"/>
    <w:rsid w:val="00FC188E"/>
    <w:rsid w:val="00FC1B1E"/>
    <w:rsid w:val="00FC1EE1"/>
    <w:rsid w:val="00FC20D3"/>
    <w:rsid w:val="00FC38A8"/>
    <w:rsid w:val="00FC3B9A"/>
    <w:rsid w:val="00FC3F85"/>
    <w:rsid w:val="00FC455D"/>
    <w:rsid w:val="00FC45BE"/>
    <w:rsid w:val="00FC4A72"/>
    <w:rsid w:val="00FC4B40"/>
    <w:rsid w:val="00FC51E0"/>
    <w:rsid w:val="00FC52DB"/>
    <w:rsid w:val="00FC5439"/>
    <w:rsid w:val="00FC5BED"/>
    <w:rsid w:val="00FC6924"/>
    <w:rsid w:val="00FC6A17"/>
    <w:rsid w:val="00FC6CE8"/>
    <w:rsid w:val="00FC70D2"/>
    <w:rsid w:val="00FC7222"/>
    <w:rsid w:val="00FD0246"/>
    <w:rsid w:val="00FD15C3"/>
    <w:rsid w:val="00FD16EB"/>
    <w:rsid w:val="00FD1728"/>
    <w:rsid w:val="00FD2580"/>
    <w:rsid w:val="00FD263D"/>
    <w:rsid w:val="00FD2667"/>
    <w:rsid w:val="00FD27DD"/>
    <w:rsid w:val="00FD2F87"/>
    <w:rsid w:val="00FD33D5"/>
    <w:rsid w:val="00FD3674"/>
    <w:rsid w:val="00FD3A01"/>
    <w:rsid w:val="00FD3BBF"/>
    <w:rsid w:val="00FD3E67"/>
    <w:rsid w:val="00FD4037"/>
    <w:rsid w:val="00FD40F9"/>
    <w:rsid w:val="00FD430E"/>
    <w:rsid w:val="00FD45E4"/>
    <w:rsid w:val="00FD46C1"/>
    <w:rsid w:val="00FD4F21"/>
    <w:rsid w:val="00FD5152"/>
    <w:rsid w:val="00FD5BB7"/>
    <w:rsid w:val="00FD66D2"/>
    <w:rsid w:val="00FD685E"/>
    <w:rsid w:val="00FD72A9"/>
    <w:rsid w:val="00FE0769"/>
    <w:rsid w:val="00FE0A4A"/>
    <w:rsid w:val="00FE1711"/>
    <w:rsid w:val="00FE1972"/>
    <w:rsid w:val="00FE1A45"/>
    <w:rsid w:val="00FE2306"/>
    <w:rsid w:val="00FE2531"/>
    <w:rsid w:val="00FE31AA"/>
    <w:rsid w:val="00FE3582"/>
    <w:rsid w:val="00FE37A6"/>
    <w:rsid w:val="00FE3801"/>
    <w:rsid w:val="00FE3B1A"/>
    <w:rsid w:val="00FE3F6A"/>
    <w:rsid w:val="00FE4177"/>
    <w:rsid w:val="00FE44EF"/>
    <w:rsid w:val="00FE4834"/>
    <w:rsid w:val="00FE4DE8"/>
    <w:rsid w:val="00FE51A5"/>
    <w:rsid w:val="00FE51DE"/>
    <w:rsid w:val="00FE5200"/>
    <w:rsid w:val="00FE5235"/>
    <w:rsid w:val="00FE539B"/>
    <w:rsid w:val="00FE625C"/>
    <w:rsid w:val="00FE6AAD"/>
    <w:rsid w:val="00FE6BDA"/>
    <w:rsid w:val="00FE7034"/>
    <w:rsid w:val="00FE75B4"/>
    <w:rsid w:val="00FE75E5"/>
    <w:rsid w:val="00FE7AF8"/>
    <w:rsid w:val="00FE7F2D"/>
    <w:rsid w:val="00FF0063"/>
    <w:rsid w:val="00FF0C30"/>
    <w:rsid w:val="00FF1267"/>
    <w:rsid w:val="00FF140F"/>
    <w:rsid w:val="00FF1C5D"/>
    <w:rsid w:val="00FF236C"/>
    <w:rsid w:val="00FF2BB9"/>
    <w:rsid w:val="00FF2FC7"/>
    <w:rsid w:val="00FF3973"/>
    <w:rsid w:val="00FF3FF5"/>
    <w:rsid w:val="00FF4BE2"/>
    <w:rsid w:val="00FF4E11"/>
    <w:rsid w:val="00FF5294"/>
    <w:rsid w:val="00FF6C2D"/>
    <w:rsid w:val="00FF7711"/>
    <w:rsid w:val="00FF7841"/>
    <w:rsid w:val="017B2EEC"/>
    <w:rsid w:val="037A8877"/>
    <w:rsid w:val="03B5B9A7"/>
    <w:rsid w:val="03D96D0D"/>
    <w:rsid w:val="04367649"/>
    <w:rsid w:val="04E67BD5"/>
    <w:rsid w:val="04EBC3E7"/>
    <w:rsid w:val="04F98364"/>
    <w:rsid w:val="05769FC7"/>
    <w:rsid w:val="0668CE1C"/>
    <w:rsid w:val="06AD9341"/>
    <w:rsid w:val="095D3447"/>
    <w:rsid w:val="09C93F82"/>
    <w:rsid w:val="0A60E1A1"/>
    <w:rsid w:val="0B5BF8F6"/>
    <w:rsid w:val="0C236CE6"/>
    <w:rsid w:val="0C8699A6"/>
    <w:rsid w:val="0C9595B4"/>
    <w:rsid w:val="0CF20252"/>
    <w:rsid w:val="0DE44FCA"/>
    <w:rsid w:val="0E1299BB"/>
    <w:rsid w:val="0F1F15A4"/>
    <w:rsid w:val="0F894B02"/>
    <w:rsid w:val="1104124E"/>
    <w:rsid w:val="11A58835"/>
    <w:rsid w:val="12164EA0"/>
    <w:rsid w:val="1358F21C"/>
    <w:rsid w:val="1363A1B6"/>
    <w:rsid w:val="138CA232"/>
    <w:rsid w:val="141EB5B6"/>
    <w:rsid w:val="1435BEA7"/>
    <w:rsid w:val="146347FB"/>
    <w:rsid w:val="147E022B"/>
    <w:rsid w:val="16C39205"/>
    <w:rsid w:val="16D2C7CE"/>
    <w:rsid w:val="16DB090F"/>
    <w:rsid w:val="17612DAF"/>
    <w:rsid w:val="178CA78B"/>
    <w:rsid w:val="183880A8"/>
    <w:rsid w:val="189BF4FF"/>
    <w:rsid w:val="198C29E5"/>
    <w:rsid w:val="1A25EDD2"/>
    <w:rsid w:val="1A68125A"/>
    <w:rsid w:val="1A8AF831"/>
    <w:rsid w:val="1B7373B3"/>
    <w:rsid w:val="1BC5A708"/>
    <w:rsid w:val="1D8FBA3C"/>
    <w:rsid w:val="1F185366"/>
    <w:rsid w:val="1F408F8B"/>
    <w:rsid w:val="1F494F81"/>
    <w:rsid w:val="1F98D86F"/>
    <w:rsid w:val="211BBB65"/>
    <w:rsid w:val="214C4E87"/>
    <w:rsid w:val="2177D58E"/>
    <w:rsid w:val="231731C4"/>
    <w:rsid w:val="2354AF30"/>
    <w:rsid w:val="2389D42F"/>
    <w:rsid w:val="23B2D928"/>
    <w:rsid w:val="242E593A"/>
    <w:rsid w:val="245E732B"/>
    <w:rsid w:val="248114ED"/>
    <w:rsid w:val="24AF7650"/>
    <w:rsid w:val="257C0106"/>
    <w:rsid w:val="25F982C5"/>
    <w:rsid w:val="266D1163"/>
    <w:rsid w:val="26FEFA51"/>
    <w:rsid w:val="27814F38"/>
    <w:rsid w:val="278F22AD"/>
    <w:rsid w:val="2867DF23"/>
    <w:rsid w:val="287B8A23"/>
    <w:rsid w:val="2950C742"/>
    <w:rsid w:val="297F869E"/>
    <w:rsid w:val="2A57F9C7"/>
    <w:rsid w:val="2C4C0C15"/>
    <w:rsid w:val="2C8A3C9E"/>
    <w:rsid w:val="2C90CAEE"/>
    <w:rsid w:val="2CB0D9AF"/>
    <w:rsid w:val="2D2DE149"/>
    <w:rsid w:val="2D86EEA2"/>
    <w:rsid w:val="2DA7364C"/>
    <w:rsid w:val="2DB2C955"/>
    <w:rsid w:val="2E3558E3"/>
    <w:rsid w:val="2E8189B3"/>
    <w:rsid w:val="2F8A6A72"/>
    <w:rsid w:val="2FCBE35A"/>
    <w:rsid w:val="2FDE6A37"/>
    <w:rsid w:val="30021C01"/>
    <w:rsid w:val="30615049"/>
    <w:rsid w:val="306988B2"/>
    <w:rsid w:val="306FC899"/>
    <w:rsid w:val="309BFCCD"/>
    <w:rsid w:val="31F4EEAC"/>
    <w:rsid w:val="32446B92"/>
    <w:rsid w:val="326B0826"/>
    <w:rsid w:val="32F46686"/>
    <w:rsid w:val="32FDB757"/>
    <w:rsid w:val="348CFD6A"/>
    <w:rsid w:val="36D0BC9F"/>
    <w:rsid w:val="3768C6D5"/>
    <w:rsid w:val="38E7180B"/>
    <w:rsid w:val="393DEFAA"/>
    <w:rsid w:val="394384A9"/>
    <w:rsid w:val="39B2C189"/>
    <w:rsid w:val="3AD01A90"/>
    <w:rsid w:val="3B09A1DD"/>
    <w:rsid w:val="3C03298B"/>
    <w:rsid w:val="3C035EA6"/>
    <w:rsid w:val="3C8514F6"/>
    <w:rsid w:val="3CE1C350"/>
    <w:rsid w:val="3CE477B2"/>
    <w:rsid w:val="3D0C1B02"/>
    <w:rsid w:val="3D4A1511"/>
    <w:rsid w:val="3D8548EF"/>
    <w:rsid w:val="3DCF9120"/>
    <w:rsid w:val="3E7AF4B0"/>
    <w:rsid w:val="3F71145B"/>
    <w:rsid w:val="404A204B"/>
    <w:rsid w:val="4144997A"/>
    <w:rsid w:val="41A93AD4"/>
    <w:rsid w:val="41DFAFB3"/>
    <w:rsid w:val="420D2B68"/>
    <w:rsid w:val="4421F720"/>
    <w:rsid w:val="44F259F3"/>
    <w:rsid w:val="453AFD0F"/>
    <w:rsid w:val="46045C94"/>
    <w:rsid w:val="48089B15"/>
    <w:rsid w:val="497ED786"/>
    <w:rsid w:val="49C10FB7"/>
    <w:rsid w:val="49DD9CBC"/>
    <w:rsid w:val="4A4928CC"/>
    <w:rsid w:val="4BB1F8BC"/>
    <w:rsid w:val="4C43C148"/>
    <w:rsid w:val="4D18702F"/>
    <w:rsid w:val="4D198BFB"/>
    <w:rsid w:val="4D4FA771"/>
    <w:rsid w:val="4D557EE0"/>
    <w:rsid w:val="4D81D40E"/>
    <w:rsid w:val="4DBE79CB"/>
    <w:rsid w:val="4DFD7FFD"/>
    <w:rsid w:val="4E1CB516"/>
    <w:rsid w:val="4F017954"/>
    <w:rsid w:val="4FE28193"/>
    <w:rsid w:val="50F406DA"/>
    <w:rsid w:val="5159FB55"/>
    <w:rsid w:val="52FC0454"/>
    <w:rsid w:val="54306215"/>
    <w:rsid w:val="5493C3FC"/>
    <w:rsid w:val="55773C05"/>
    <w:rsid w:val="55D932F0"/>
    <w:rsid w:val="5652E216"/>
    <w:rsid w:val="5711E80E"/>
    <w:rsid w:val="57181306"/>
    <w:rsid w:val="57821714"/>
    <w:rsid w:val="581E3E24"/>
    <w:rsid w:val="58A60D16"/>
    <w:rsid w:val="596E007C"/>
    <w:rsid w:val="59729417"/>
    <w:rsid w:val="59D8907E"/>
    <w:rsid w:val="59F23776"/>
    <w:rsid w:val="5A630250"/>
    <w:rsid w:val="5A846B1D"/>
    <w:rsid w:val="5A90601B"/>
    <w:rsid w:val="5B581618"/>
    <w:rsid w:val="5B9643D9"/>
    <w:rsid w:val="5C83A98B"/>
    <w:rsid w:val="5CB76171"/>
    <w:rsid w:val="5D395E44"/>
    <w:rsid w:val="5D59C45B"/>
    <w:rsid w:val="5DEAD30A"/>
    <w:rsid w:val="5DEB72AA"/>
    <w:rsid w:val="5EFE5CD7"/>
    <w:rsid w:val="5F9E4D6B"/>
    <w:rsid w:val="60392BA5"/>
    <w:rsid w:val="6162EAEF"/>
    <w:rsid w:val="61B5626D"/>
    <w:rsid w:val="6250BED5"/>
    <w:rsid w:val="6272402D"/>
    <w:rsid w:val="637D8E40"/>
    <w:rsid w:val="63BFC2A8"/>
    <w:rsid w:val="646E1A25"/>
    <w:rsid w:val="66F53EB2"/>
    <w:rsid w:val="6783ED8B"/>
    <w:rsid w:val="67C04030"/>
    <w:rsid w:val="681360F3"/>
    <w:rsid w:val="6971C1B5"/>
    <w:rsid w:val="6A446EC5"/>
    <w:rsid w:val="6A7A2239"/>
    <w:rsid w:val="6B13D8ED"/>
    <w:rsid w:val="6BE03F26"/>
    <w:rsid w:val="6C008C31"/>
    <w:rsid w:val="6C1D0201"/>
    <w:rsid w:val="6D741CC1"/>
    <w:rsid w:val="6E315BD6"/>
    <w:rsid w:val="6F8637B1"/>
    <w:rsid w:val="6F8F66D4"/>
    <w:rsid w:val="6FD294C9"/>
    <w:rsid w:val="703BF369"/>
    <w:rsid w:val="7134DCC9"/>
    <w:rsid w:val="7203887C"/>
    <w:rsid w:val="721CFFA9"/>
    <w:rsid w:val="72A08231"/>
    <w:rsid w:val="733BECAD"/>
    <w:rsid w:val="73C1DA32"/>
    <w:rsid w:val="73ED535D"/>
    <w:rsid w:val="74129C59"/>
    <w:rsid w:val="745A1D6C"/>
    <w:rsid w:val="7523B1DD"/>
    <w:rsid w:val="7591246A"/>
    <w:rsid w:val="76290F54"/>
    <w:rsid w:val="76CA448C"/>
    <w:rsid w:val="76D34052"/>
    <w:rsid w:val="771574BA"/>
    <w:rsid w:val="77517213"/>
    <w:rsid w:val="7777DDBC"/>
    <w:rsid w:val="7791BE2E"/>
    <w:rsid w:val="77CBD519"/>
    <w:rsid w:val="78C8C52C"/>
    <w:rsid w:val="78DCC653"/>
    <w:rsid w:val="79432ACC"/>
    <w:rsid w:val="79688531"/>
    <w:rsid w:val="7A0EAA52"/>
    <w:rsid w:val="7AA552BB"/>
    <w:rsid w:val="7AD49E94"/>
    <w:rsid w:val="7B2EE409"/>
    <w:rsid w:val="7BCFEAF8"/>
    <w:rsid w:val="7BF3FE0F"/>
    <w:rsid w:val="7E1A18FC"/>
    <w:rsid w:val="7E3CB84E"/>
    <w:rsid w:val="7EFC94A7"/>
    <w:rsid w:val="7F8528DC"/>
    <w:rsid w:val="7F873889"/>
    <w:rsid w:val="7F915706"/>
    <w:rsid w:val="7FC94E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70E43"/>
  <w15:docId w15:val="{D6D5EDFE-3D7C-49AF-A159-98812308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9A2"/>
    <w:pPr>
      <w:spacing w:before="200" w:after="120" w:line="288" w:lineRule="auto"/>
    </w:pPr>
    <w:rPr>
      <w:rFonts w:ascii="Arial" w:eastAsiaTheme="minorEastAsia" w:hAnsi="Arial"/>
      <w:szCs w:val="24"/>
      <w:lang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rPr>
  </w:style>
  <w:style w:type="paragraph" w:styleId="Heading2">
    <w:name w:val="heading 2"/>
    <w:basedOn w:val="Normal"/>
    <w:next w:val="Normal"/>
    <w:link w:val="Heading2Char"/>
    <w:uiPriority w:val="9"/>
    <w:unhideWhenUsed/>
    <w:qFormat/>
    <w:rsid w:val="00A01FA6"/>
    <w:pPr>
      <w:pageBreakBefore/>
      <w:numPr>
        <w:numId w:val="37"/>
      </w:numPr>
      <w:spacing w:after="240"/>
      <w:ind w:left="1134" w:hanging="1134"/>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B745B"/>
    <w:pPr>
      <w:keepNext/>
      <w:numPr>
        <w:ilvl w:val="1"/>
        <w:numId w:val="37"/>
      </w:numPr>
      <w:outlineLvl w:val="2"/>
    </w:pPr>
    <w:rPr>
      <w:b/>
      <w:color w:val="6B2976"/>
      <w:sz w:val="30"/>
      <w:szCs w:val="30"/>
    </w:rPr>
  </w:style>
  <w:style w:type="paragraph" w:styleId="Heading4">
    <w:name w:val="heading 4"/>
    <w:basedOn w:val="Normal"/>
    <w:next w:val="Normal"/>
    <w:link w:val="Heading4Char"/>
    <w:uiPriority w:val="9"/>
    <w:unhideWhenUsed/>
    <w:qFormat/>
    <w:rsid w:val="00964CA3"/>
    <w:pPr>
      <w:keepNext/>
      <w:numPr>
        <w:ilvl w:val="2"/>
        <w:numId w:val="37"/>
      </w:numPr>
      <w:outlineLvl w:val="3"/>
    </w:pPr>
    <w:rPr>
      <w:b/>
      <w:sz w:val="24"/>
    </w:rPr>
  </w:style>
  <w:style w:type="paragraph" w:styleId="Heading5">
    <w:name w:val="heading 5"/>
    <w:basedOn w:val="Normal"/>
    <w:next w:val="Normal"/>
    <w:link w:val="Heading5Char"/>
    <w:uiPriority w:val="9"/>
    <w:unhideWhenUsed/>
    <w:qFormat/>
    <w:rsid w:val="00954115"/>
    <w:pPr>
      <w:keepNext/>
      <w:numPr>
        <w:ilvl w:val="3"/>
        <w:numId w:val="34"/>
      </w:numPr>
      <w:outlineLvl w:val="4"/>
    </w:pPr>
    <w:rPr>
      <w:b/>
    </w:rPr>
  </w:style>
  <w:style w:type="paragraph" w:styleId="Heading6">
    <w:name w:val="heading 6"/>
    <w:basedOn w:val="Normal"/>
    <w:next w:val="Normal"/>
    <w:link w:val="Heading6Char"/>
    <w:uiPriority w:val="9"/>
    <w:unhideWhenUsed/>
    <w:qFormat/>
    <w:rsid w:val="00F71AD5"/>
    <w:pPr>
      <w:keepNext/>
      <w:numPr>
        <w:ilvl w:val="4"/>
        <w:numId w:val="34"/>
      </w:numPr>
      <w:spacing w:after="0" w:line="271" w:lineRule="auto"/>
      <w:outlineLvl w:val="5"/>
    </w:pPr>
    <w:rPr>
      <w:rFonts w:eastAsiaTheme="majorEastAsia" w:cstheme="majorBidi"/>
      <w:b/>
      <w:bCs/>
      <w:i/>
      <w:iCs/>
      <w:color w:val="595959" w:themeColor="text1" w:themeTint="A6"/>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A01FA6"/>
    <w:rPr>
      <w:rFonts w:ascii="Arial" w:eastAsiaTheme="majorEastAsia" w:hAnsi="Arial" w:cstheme="majorBidi"/>
      <w:b/>
      <w:bCs/>
      <w:color w:val="6B2976"/>
      <w:sz w:val="44"/>
      <w:szCs w:val="26"/>
      <w:lang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B745B"/>
    <w:rPr>
      <w:rFonts w:ascii="Arial" w:eastAsiaTheme="minorEastAsia" w:hAnsi="Arial"/>
      <w:b/>
      <w:color w:val="6B2976"/>
      <w:sz w:val="30"/>
      <w:szCs w:val="30"/>
      <w:lang w:eastAsia="ja-JP"/>
    </w:rPr>
  </w:style>
  <w:style w:type="character" w:customStyle="1" w:styleId="Heading4Char">
    <w:name w:val="Heading 4 Char"/>
    <w:basedOn w:val="DefaultParagraphFont"/>
    <w:link w:val="Heading4"/>
    <w:uiPriority w:val="9"/>
    <w:rsid w:val="00964CA3"/>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954115"/>
    <w:rPr>
      <w:rFonts w:ascii="Arial" w:eastAsiaTheme="minorEastAsia" w:hAnsi="Arial"/>
      <w:b/>
      <w:szCs w:val="24"/>
      <w:lang w:eastAsia="ja-JP"/>
    </w:rPr>
  </w:style>
  <w:style w:type="character" w:customStyle="1" w:styleId="Heading6Char">
    <w:name w:val="Heading 6 Char"/>
    <w:basedOn w:val="DefaultParagraphFont"/>
    <w:link w:val="Heading6"/>
    <w:uiPriority w:val="9"/>
    <w:rsid w:val="00F71AD5"/>
    <w:rPr>
      <w:rFonts w:ascii="Arial" w:eastAsiaTheme="majorEastAsia" w:hAnsi="Arial" w:cstheme="majorBidi"/>
      <w:b/>
      <w:bCs/>
      <w:i/>
      <w:iCs/>
      <w:color w:val="595959" w:themeColor="text1" w:themeTint="A6"/>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1,Recommendation,List Paragraph1,Bullet point,CV text,Dot pt,F5 List Paragraph,FooterText,L,List Paragraph111,List Paragraph2,Medium Grid 1 - Accent 21,NFP GP Bulleted List,Numbered Paragraph,Table text,numbered,列出段,列出段落"/>
    <w:basedOn w:val="Normal"/>
    <w:link w:val="ListParagraphChar"/>
    <w:uiPriority w:val="34"/>
    <w:qFormat/>
    <w:rsid w:val="00A779A2"/>
    <w:pPr>
      <w:numPr>
        <w:numId w:val="5"/>
      </w:numPr>
      <w:spacing w:before="40" w:after="40"/>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844D79"/>
    <w:pPr>
      <w:pBdr>
        <w:top w:val="single" w:sz="4" w:space="1" w:color="auto"/>
        <w:left w:val="single" w:sz="4" w:space="4" w:color="auto"/>
        <w:bottom w:val="single" w:sz="4" w:space="1" w:color="auto"/>
        <w:right w:val="single" w:sz="4" w:space="4" w:color="auto"/>
      </w:pBdr>
      <w:shd w:val="clear" w:color="auto" w:fill="F7EEF7"/>
      <w:spacing w:after="200"/>
      <w:ind w:left="142" w:right="237"/>
      <w:jc w:val="both"/>
    </w:pPr>
  </w:style>
  <w:style w:type="character" w:customStyle="1" w:styleId="QuoteChar">
    <w:name w:val="Quote Char"/>
    <w:basedOn w:val="DefaultParagraphFont"/>
    <w:link w:val="Quote"/>
    <w:uiPriority w:val="29"/>
    <w:rsid w:val="00844D79"/>
    <w:rPr>
      <w:rFonts w:ascii="Arial" w:eastAsiaTheme="minorEastAsia" w:hAnsi="Arial"/>
      <w:szCs w:val="24"/>
      <w:shd w:val="clear" w:color="auto" w:fill="F7EEF7"/>
      <w:lang w:eastAsia="ja-JP"/>
    </w:rPr>
  </w:style>
  <w:style w:type="paragraph" w:styleId="IntenseQuote">
    <w:name w:val="Intense Quote"/>
    <w:basedOn w:val="Normal"/>
    <w:next w:val="Normal"/>
    <w:link w:val="IntenseQuoteChar"/>
    <w:uiPriority w:val="30"/>
    <w:qFormat/>
    <w:rsid w:val="004B54CA"/>
    <w:pPr>
      <w:pBdr>
        <w:bottom w:val="single" w:sz="4" w:space="1" w:color="auto"/>
      </w:pBdr>
      <w:spacing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aliases w:val="Caption for table or figure"/>
    <w:basedOn w:val="Normal"/>
    <w:next w:val="Normal"/>
    <w:uiPriority w:val="35"/>
    <w:unhideWhenUsed/>
    <w:qFormat/>
    <w:rsid w:val="00B61BBD"/>
    <w:pPr>
      <w:keepNext/>
    </w:pPr>
    <w:rPr>
      <w:b/>
      <w:bCs/>
      <w:sz w:val="20"/>
      <w:szCs w:val="20"/>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D47DC6"/>
    <w:pPr>
      <w:tabs>
        <w:tab w:val="left" w:pos="660"/>
        <w:tab w:val="right" w:pos="9016"/>
        <w:tab w:val="right" w:pos="10206"/>
      </w:tabs>
      <w:spacing w:before="100" w:after="100"/>
      <w:ind w:left="221"/>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aliases w:val="HealthConsult"/>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eastAsia="en-US"/>
    </w:rPr>
  </w:style>
  <w:style w:type="character" w:customStyle="1" w:styleId="SecuritymarkerChar">
    <w:name w:val="Security marker Char"/>
    <w:basedOn w:val="DefaultParagraphFont"/>
    <w:link w:val="Securitymarker"/>
    <w:rsid w:val="00AB4CC5"/>
    <w:rPr>
      <w:b/>
      <w:bCs/>
      <w:sz w:val="28"/>
      <w:szCs w:val="28"/>
    </w:rPr>
  </w:style>
  <w:style w:type="paragraph" w:customStyle="1" w:styleId="Heading2nonumber">
    <w:name w:val="Heading 2 no number"/>
    <w:basedOn w:val="Heading2"/>
    <w:next w:val="BodyText1"/>
    <w:qFormat/>
    <w:rsid w:val="00C47E98"/>
    <w:pPr>
      <w:numPr>
        <w:numId w:val="0"/>
      </w:numPr>
    </w:pPr>
  </w:style>
  <w:style w:type="character" w:styleId="CommentReference">
    <w:name w:val="annotation reference"/>
    <w:basedOn w:val="DefaultParagraphFont"/>
    <w:uiPriority w:val="99"/>
    <w:semiHidden/>
    <w:unhideWhenUsed/>
    <w:rsid w:val="002A4151"/>
    <w:rPr>
      <w:sz w:val="16"/>
      <w:szCs w:val="16"/>
    </w:rPr>
  </w:style>
  <w:style w:type="paragraph" w:styleId="CommentText">
    <w:name w:val="annotation text"/>
    <w:basedOn w:val="Normal"/>
    <w:link w:val="CommentTextChar"/>
    <w:uiPriority w:val="99"/>
    <w:unhideWhenUsed/>
    <w:rsid w:val="002A4151"/>
    <w:pPr>
      <w:spacing w:line="240" w:lineRule="auto"/>
    </w:pPr>
    <w:rPr>
      <w:sz w:val="20"/>
      <w:szCs w:val="20"/>
    </w:rPr>
  </w:style>
  <w:style w:type="character" w:customStyle="1" w:styleId="CommentTextChar">
    <w:name w:val="Comment Text Char"/>
    <w:basedOn w:val="DefaultParagraphFont"/>
    <w:link w:val="CommentText"/>
    <w:uiPriority w:val="99"/>
    <w:rsid w:val="002A4151"/>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2A4151"/>
    <w:rPr>
      <w:b/>
      <w:bCs/>
    </w:rPr>
  </w:style>
  <w:style w:type="character" w:customStyle="1" w:styleId="CommentSubjectChar">
    <w:name w:val="Comment Subject Char"/>
    <w:basedOn w:val="CommentTextChar"/>
    <w:link w:val="CommentSubject"/>
    <w:uiPriority w:val="99"/>
    <w:semiHidden/>
    <w:rsid w:val="002A4151"/>
    <w:rPr>
      <w:rFonts w:ascii="Arial" w:eastAsiaTheme="minorEastAsia" w:hAnsi="Arial"/>
      <w:b/>
      <w:bCs/>
      <w:sz w:val="20"/>
      <w:szCs w:val="20"/>
      <w:lang w:val="en-US" w:eastAsia="ja-JP"/>
    </w:rPr>
  </w:style>
  <w:style w:type="paragraph" w:customStyle="1" w:styleId="Heading3nonumber">
    <w:name w:val="Heading 3 no number"/>
    <w:basedOn w:val="Heading3"/>
    <w:qFormat/>
    <w:rsid w:val="000F2591"/>
    <w:pPr>
      <w:numPr>
        <w:ilvl w:val="0"/>
        <w:numId w:val="0"/>
      </w:numPr>
    </w:pPr>
  </w:style>
  <w:style w:type="paragraph" w:customStyle="1" w:styleId="Appendix1">
    <w:name w:val="Appendix 1"/>
    <w:basedOn w:val="Heading2nonumber"/>
    <w:next w:val="Normal"/>
    <w:qFormat/>
    <w:rsid w:val="00113147"/>
    <w:pPr>
      <w:numPr>
        <w:numId w:val="4"/>
      </w:numPr>
      <w:ind w:left="0" w:firstLine="0"/>
    </w:pPr>
  </w:style>
  <w:style w:type="paragraph" w:customStyle="1" w:styleId="Appendix2">
    <w:name w:val="Appendix 2"/>
    <w:basedOn w:val="Heading3"/>
    <w:next w:val="Normal"/>
    <w:qFormat/>
    <w:rsid w:val="00C87434"/>
    <w:pPr>
      <w:numPr>
        <w:numId w:val="4"/>
      </w:numPr>
    </w:pPr>
  </w:style>
  <w:style w:type="paragraph" w:customStyle="1" w:styleId="Appendix3">
    <w:name w:val="Appendix 3"/>
    <w:basedOn w:val="Heading4"/>
    <w:next w:val="Normal"/>
    <w:rsid w:val="00C87434"/>
    <w:pPr>
      <w:numPr>
        <w:numId w:val="4"/>
      </w:numPr>
    </w:pPr>
  </w:style>
  <w:style w:type="character" w:customStyle="1" w:styleId="ListParagraphChar">
    <w:name w:val="List Paragraph Char"/>
    <w:aliases w:val="List Paragraph11 Char,Recommendation Char,List Paragraph1 Char,Bullet point Char,CV text Char,Dot pt Char,F5 List Paragraph Char,FooterText Char,L Char,List Paragraph111 Char,List Paragraph2 Char,Medium Grid 1 - Accent 21 Char"/>
    <w:link w:val="ListParagraph"/>
    <w:uiPriority w:val="34"/>
    <w:qFormat/>
    <w:rsid w:val="00A779A2"/>
    <w:rPr>
      <w:rFonts w:ascii="Arial" w:eastAsiaTheme="minorEastAsia" w:hAnsi="Arial"/>
      <w:szCs w:val="24"/>
      <w:lang w:eastAsia="ja-JP"/>
    </w:rPr>
  </w:style>
  <w:style w:type="paragraph" w:customStyle="1" w:styleId="BodyText1">
    <w:name w:val="Body Text1"/>
    <w:basedOn w:val="Normal"/>
    <w:link w:val="BodyText1Char"/>
    <w:qFormat/>
    <w:rsid w:val="00D76154"/>
    <w:pPr>
      <w:spacing w:after="200"/>
    </w:pPr>
    <w:rPr>
      <w:rFonts w:eastAsia="MS Mincho" w:cs="FSMe-Bold"/>
      <w:spacing w:val="-2"/>
      <w:szCs w:val="20"/>
      <w:lang w:eastAsia="en-US"/>
    </w:rPr>
  </w:style>
  <w:style w:type="character" w:customStyle="1" w:styleId="BodyText1Char">
    <w:name w:val="Body Text1 Char"/>
    <w:basedOn w:val="DefaultParagraphFont"/>
    <w:link w:val="BodyText1"/>
    <w:rsid w:val="00D76154"/>
    <w:rPr>
      <w:rFonts w:ascii="Arial" w:eastAsia="MS Mincho" w:hAnsi="Arial" w:cs="FSMe-Bold"/>
      <w:spacing w:val="-2"/>
      <w:szCs w:val="20"/>
    </w:rPr>
  </w:style>
  <w:style w:type="paragraph" w:styleId="FootnoteText">
    <w:name w:val="footnote text"/>
    <w:basedOn w:val="Normal"/>
    <w:link w:val="FootnoteTextChar"/>
    <w:uiPriority w:val="99"/>
    <w:unhideWhenUsed/>
    <w:rsid w:val="002E77B3"/>
    <w:pPr>
      <w:spacing w:before="80" w:after="80" w:line="240" w:lineRule="auto"/>
    </w:pPr>
    <w:rPr>
      <w:sz w:val="20"/>
      <w:szCs w:val="20"/>
    </w:rPr>
  </w:style>
  <w:style w:type="character" w:customStyle="1" w:styleId="FootnoteTextChar">
    <w:name w:val="Footnote Text Char"/>
    <w:basedOn w:val="DefaultParagraphFont"/>
    <w:link w:val="FootnoteText"/>
    <w:uiPriority w:val="99"/>
    <w:rsid w:val="002E77B3"/>
    <w:rPr>
      <w:rFonts w:ascii="Arial" w:eastAsiaTheme="minorEastAsia" w:hAnsi="Arial"/>
      <w:sz w:val="20"/>
      <w:szCs w:val="20"/>
      <w:lang w:eastAsia="ja-JP"/>
    </w:rPr>
  </w:style>
  <w:style w:type="character" w:styleId="FootnoteReference">
    <w:name w:val="footnote reference"/>
    <w:basedOn w:val="DefaultParagraphFont"/>
    <w:uiPriority w:val="99"/>
    <w:semiHidden/>
    <w:unhideWhenUsed/>
    <w:rsid w:val="00B93801"/>
    <w:rPr>
      <w:vertAlign w:val="superscript"/>
    </w:rPr>
  </w:style>
  <w:style w:type="table" w:styleId="GridTable1Light">
    <w:name w:val="Grid Table 1 Light"/>
    <w:basedOn w:val="TableNormal"/>
    <w:uiPriority w:val="46"/>
    <w:rsid w:val="00D73C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4B49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490E"/>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4B490E"/>
    <w:rPr>
      <w:vertAlign w:val="superscript"/>
    </w:rPr>
  </w:style>
  <w:style w:type="paragraph" w:customStyle="1" w:styleId="Tablenotes">
    <w:name w:val="Table notes"/>
    <w:basedOn w:val="Normal"/>
    <w:link w:val="TablenotesChar"/>
    <w:qFormat/>
    <w:rsid w:val="0081332C"/>
    <w:pPr>
      <w:spacing w:before="40" w:after="40"/>
    </w:pPr>
    <w:rPr>
      <w:sz w:val="18"/>
      <w:szCs w:val="18"/>
    </w:rPr>
  </w:style>
  <w:style w:type="character" w:customStyle="1" w:styleId="TablenotesChar">
    <w:name w:val="Table notes Char"/>
    <w:basedOn w:val="DefaultParagraphFont"/>
    <w:link w:val="Tablenotes"/>
    <w:rsid w:val="0081332C"/>
    <w:rPr>
      <w:rFonts w:ascii="Arial" w:eastAsiaTheme="minorEastAsia" w:hAnsi="Arial"/>
      <w:sz w:val="18"/>
      <w:szCs w:val="18"/>
      <w:lang w:eastAsia="ja-JP"/>
    </w:rPr>
  </w:style>
  <w:style w:type="paragraph" w:customStyle="1" w:styleId="Bulletlist">
    <w:name w:val="Bullet list"/>
    <w:basedOn w:val="Normal"/>
    <w:next w:val="Normal"/>
    <w:qFormat/>
    <w:rsid w:val="00FB3492"/>
    <w:pPr>
      <w:numPr>
        <w:numId w:val="10"/>
      </w:numPr>
      <w:spacing w:before="40" w:after="40"/>
    </w:pPr>
  </w:style>
  <w:style w:type="paragraph" w:styleId="Revision">
    <w:name w:val="Revision"/>
    <w:hidden/>
    <w:uiPriority w:val="99"/>
    <w:semiHidden/>
    <w:rsid w:val="004A103C"/>
    <w:pPr>
      <w:spacing w:after="0" w:line="240" w:lineRule="auto"/>
    </w:pPr>
    <w:rPr>
      <w:rFonts w:ascii="Arial" w:eastAsiaTheme="minorEastAsia" w:hAnsi="Arial"/>
      <w:szCs w:val="24"/>
      <w:lang w:eastAsia="ja-JP"/>
    </w:rPr>
  </w:style>
  <w:style w:type="paragraph" w:customStyle="1" w:styleId="Footertext">
    <w:name w:val="Footer text"/>
    <w:basedOn w:val="FootnoteText"/>
    <w:qFormat/>
    <w:rsid w:val="003B0FD9"/>
    <w:pPr>
      <w:spacing w:before="60" w:after="60"/>
    </w:pPr>
  </w:style>
  <w:style w:type="paragraph" w:customStyle="1" w:styleId="Source">
    <w:name w:val="Source"/>
    <w:basedOn w:val="Normal"/>
    <w:link w:val="SourceChar"/>
    <w:qFormat/>
    <w:rsid w:val="008D73CD"/>
    <w:pPr>
      <w:spacing w:before="60" w:line="240" w:lineRule="auto"/>
      <w:contextualSpacing/>
    </w:pPr>
    <w:rPr>
      <w:sz w:val="18"/>
    </w:rPr>
  </w:style>
  <w:style w:type="character" w:customStyle="1" w:styleId="SourceChar">
    <w:name w:val="Source Char"/>
    <w:basedOn w:val="DefaultParagraphFont"/>
    <w:link w:val="Source"/>
    <w:rsid w:val="008D73CD"/>
    <w:rPr>
      <w:rFonts w:ascii="Arial" w:eastAsiaTheme="minorEastAsia" w:hAnsi="Arial"/>
      <w:sz w:val="18"/>
      <w:szCs w:val="24"/>
      <w:lang w:eastAsia="ja-JP"/>
    </w:rPr>
  </w:style>
  <w:style w:type="table" w:customStyle="1" w:styleId="NodesTable">
    <w:name w:val="Nodes Table"/>
    <w:rsid w:val="002D3B2B"/>
    <w:pPr>
      <w:spacing w:after="160" w:line="259" w:lineRule="auto"/>
    </w:pPr>
    <w:rPr>
      <w:rFonts w:eastAsiaTheme="minorEastAsia" w:hAnsi="Times New Roman" w:cs="Times New Roman"/>
      <w:sz w:val="20"/>
      <w:szCs w:val="20"/>
      <w:lang w:eastAsia="ja-JP" w:bidi="th-TH"/>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ESheading3">
    <w:name w:val="ES heading 3"/>
    <w:basedOn w:val="Heading3"/>
    <w:next w:val="BodyText1"/>
    <w:qFormat/>
    <w:rsid w:val="002165F8"/>
    <w:pPr>
      <w:numPr>
        <w:ilvl w:val="2"/>
        <w:numId w:val="19"/>
      </w:numPr>
    </w:pPr>
  </w:style>
  <w:style w:type="paragraph" w:customStyle="1" w:styleId="ESheading4">
    <w:name w:val="ES heading 4"/>
    <w:basedOn w:val="Heading4"/>
    <w:next w:val="BodyText1"/>
    <w:qFormat/>
    <w:rsid w:val="001D2429"/>
    <w:pPr>
      <w:numPr>
        <w:ilvl w:val="3"/>
        <w:numId w:val="19"/>
      </w:numPr>
    </w:pPr>
    <w:rPr>
      <w:color w:val="6B2976" w:themeColor="background2"/>
    </w:rPr>
  </w:style>
  <w:style w:type="character" w:styleId="UnresolvedMention">
    <w:name w:val="Unresolved Mention"/>
    <w:basedOn w:val="DefaultParagraphFont"/>
    <w:uiPriority w:val="99"/>
    <w:semiHidden/>
    <w:unhideWhenUsed/>
    <w:rsid w:val="0006370B"/>
    <w:rPr>
      <w:color w:val="605E5C"/>
      <w:shd w:val="clear" w:color="auto" w:fill="E1DFDD"/>
    </w:rPr>
  </w:style>
  <w:style w:type="paragraph" w:styleId="TOC6">
    <w:name w:val="toc 6"/>
    <w:basedOn w:val="Normal"/>
    <w:next w:val="Normal"/>
    <w:autoRedefine/>
    <w:uiPriority w:val="39"/>
    <w:unhideWhenUsed/>
    <w:rsid w:val="000A4A70"/>
    <w:pPr>
      <w:spacing w:after="100"/>
      <w:ind w:left="1100"/>
    </w:pPr>
  </w:style>
  <w:style w:type="paragraph" w:customStyle="1" w:styleId="Heading2NotinTOC">
    <w:name w:val="Heading 2 Not in TOC"/>
    <w:basedOn w:val="Heading2nonumber"/>
    <w:next w:val="Normal"/>
    <w:qFormat/>
    <w:rsid w:val="006F2ECB"/>
  </w:style>
  <w:style w:type="character" w:styleId="Mention">
    <w:name w:val="Mention"/>
    <w:basedOn w:val="DefaultParagraphFont"/>
    <w:uiPriority w:val="99"/>
    <w:unhideWhenUsed/>
    <w:rsid w:val="00D57B86"/>
    <w:rPr>
      <w:color w:val="2B579A"/>
      <w:shd w:val="clear" w:color="auto" w:fill="E6E6E6"/>
    </w:rPr>
  </w:style>
  <w:style w:type="character" w:styleId="PlaceholderText">
    <w:name w:val="Placeholder Text"/>
    <w:basedOn w:val="DefaultParagraphFont"/>
    <w:uiPriority w:val="99"/>
    <w:semiHidden/>
    <w:rsid w:val="00492A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chart" Target="charts/chart1.xml"/><Relationship Id="rId39" Type="http://schemas.openxmlformats.org/officeDocument/2006/relationships/chart" Target="charts/chart14.xml"/><Relationship Id="rId21" Type="http://schemas.openxmlformats.org/officeDocument/2006/relationships/header" Target="header6.xml"/><Relationship Id="rId34" Type="http://schemas.openxmlformats.org/officeDocument/2006/relationships/chart" Target="charts/chart9.xml"/><Relationship Id="rId42" Type="http://schemas.openxmlformats.org/officeDocument/2006/relationships/chart" Target="charts/chart17.xml"/><Relationship Id="rId47" Type="http://schemas.openxmlformats.org/officeDocument/2006/relationships/footer" Target="footer8.xml"/><Relationship Id="rId50"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chart" Target="charts/chart4.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footer" Target="footer7.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chart" Target="charts/chart6.xml"/><Relationship Id="rId44" Type="http://schemas.openxmlformats.org/officeDocument/2006/relationships/chart" Target="charts/chart19.xm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chart" Target="charts/chart18.xml"/><Relationship Id="rId48" Type="http://schemas.openxmlformats.org/officeDocument/2006/relationships/image" Target="media/image6.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4.png"/><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image" Target="media/image5.png"/><Relationship Id="rId20" Type="http://schemas.openxmlformats.org/officeDocument/2006/relationships/footer" Target="footer4.xml"/><Relationship Id="rId41" Type="http://schemas.openxmlformats.org/officeDocument/2006/relationships/chart" Target="charts/chart16.xml"/><Relationship Id="rId54"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chart" Target="charts/chart20.xml"/></Relationships>
</file>

<file path=word/_rels/footnotes.xml.rels><?xml version="1.0" encoding="UTF-8" standalone="yes"?>
<Relationships xmlns="http://schemas.openxmlformats.org/package/2006/relationships"><Relationship Id="rId3" Type="http://schemas.openxmlformats.org/officeDocument/2006/relationships/hyperlink" Target="http://www.ndisreview.gov.au/sites/default/files/resource/download/ndis-review-tor.pdf" TargetMode="External"/><Relationship Id="rId2" Type="http://schemas.openxmlformats.org/officeDocument/2006/relationships/hyperlink" Target="http://www.nationalskillscommission.gov.au/sites/default/files/2022-10/Care%20Workforce%20Labour%20Market%20Study.pdf" TargetMode="External"/><Relationship Id="rId1" Type="http://schemas.openxmlformats.org/officeDocument/2006/relationships/hyperlink" Target="http://www.nds.org.au/about/state-of-the-disability-sector-repor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9679050185841"/>
          <c:y val="2.0401166862939791E-2"/>
          <c:w val="0.60222233965720728"/>
          <c:h val="0.89496355477559442"/>
        </c:manualLayout>
      </c:layout>
      <c:barChart>
        <c:barDir val="bar"/>
        <c:grouping val="clustered"/>
        <c:varyColors val="0"/>
        <c:ser>
          <c:idx val="3"/>
          <c:order val="3"/>
          <c:tx>
            <c:strRef>
              <c:f>Sheet1!$E$1</c:f>
              <c:strCache>
                <c:ptCount val="1"/>
                <c:pt idx="0">
                  <c:v>Change</c:v>
                </c:pt>
              </c:strCache>
            </c:strRef>
          </c:tx>
          <c:spPr>
            <a:solidFill>
              <a:schemeClr val="accent4"/>
            </a:solidFill>
            <a:ln>
              <a:noFill/>
            </a:ln>
            <a:effectLst/>
          </c:spPr>
          <c:invertIfNegative val="0"/>
          <c:dPt>
            <c:idx val="1"/>
            <c:invertIfNegative val="0"/>
            <c:bubble3D val="0"/>
            <c:spPr>
              <a:solidFill>
                <a:srgbClr val="822E08"/>
              </a:solidFill>
              <a:ln>
                <a:noFill/>
              </a:ln>
              <a:effectLst/>
            </c:spPr>
            <c:extLst>
              <c:ext xmlns:c16="http://schemas.microsoft.com/office/drawing/2014/chart" uri="{C3380CC4-5D6E-409C-BE32-E72D297353CC}">
                <c16:uniqueId val="{00000004-C74A-4675-8AE9-75D80FCB8057}"/>
              </c:ext>
            </c:extLst>
          </c:dPt>
          <c:dPt>
            <c:idx val="3"/>
            <c:invertIfNegative val="0"/>
            <c:bubble3D val="0"/>
            <c:spPr>
              <a:solidFill>
                <a:schemeClr val="bg2"/>
              </a:solidFill>
              <a:ln>
                <a:noFill/>
              </a:ln>
              <a:effectLst/>
            </c:spPr>
            <c:extLst>
              <c:ext xmlns:c16="http://schemas.microsoft.com/office/drawing/2014/chart" uri="{C3380CC4-5D6E-409C-BE32-E72D297353CC}">
                <c16:uniqueId val="{00000005-C74A-4675-8AE9-75D80FCB8057}"/>
              </c:ext>
            </c:extLst>
          </c:dPt>
          <c:dPt>
            <c:idx val="4"/>
            <c:invertIfNegative val="0"/>
            <c:bubble3D val="0"/>
            <c:spPr>
              <a:solidFill>
                <a:schemeClr val="bg2"/>
              </a:solidFill>
              <a:ln>
                <a:noFill/>
              </a:ln>
              <a:effectLst/>
            </c:spPr>
            <c:extLst>
              <c:ext xmlns:c16="http://schemas.microsoft.com/office/drawing/2014/chart" uri="{C3380CC4-5D6E-409C-BE32-E72D297353CC}">
                <c16:uniqueId val="{00000006-C74A-4675-8AE9-75D80FCB8057}"/>
              </c:ext>
            </c:extLst>
          </c:dPt>
          <c:dPt>
            <c:idx val="5"/>
            <c:invertIfNegative val="0"/>
            <c:bubble3D val="0"/>
            <c:spPr>
              <a:solidFill>
                <a:schemeClr val="bg2"/>
              </a:solidFill>
              <a:ln>
                <a:noFill/>
              </a:ln>
              <a:effectLst/>
            </c:spPr>
            <c:extLst>
              <c:ext xmlns:c16="http://schemas.microsoft.com/office/drawing/2014/chart" uri="{C3380CC4-5D6E-409C-BE32-E72D297353CC}">
                <c16:uniqueId val="{00000007-C74A-4675-8AE9-75D80FCB8057}"/>
              </c:ext>
            </c:extLst>
          </c:dPt>
          <c:dPt>
            <c:idx val="7"/>
            <c:invertIfNegative val="0"/>
            <c:bubble3D val="0"/>
            <c:spPr>
              <a:solidFill>
                <a:schemeClr val="bg2"/>
              </a:solidFill>
              <a:ln>
                <a:noFill/>
              </a:ln>
              <a:effectLst/>
            </c:spPr>
            <c:extLst>
              <c:ext xmlns:c16="http://schemas.microsoft.com/office/drawing/2014/chart" uri="{C3380CC4-5D6E-409C-BE32-E72D297353CC}">
                <c16:uniqueId val="{00000008-C74A-4675-8AE9-75D80FCB8057}"/>
              </c:ext>
            </c:extLst>
          </c:dPt>
          <c:dPt>
            <c:idx val="8"/>
            <c:invertIfNegative val="0"/>
            <c:bubble3D val="0"/>
            <c:spPr>
              <a:solidFill>
                <a:schemeClr val="bg2"/>
              </a:solidFill>
              <a:ln>
                <a:noFill/>
              </a:ln>
              <a:effectLst/>
            </c:spPr>
            <c:extLst>
              <c:ext xmlns:c16="http://schemas.microsoft.com/office/drawing/2014/chart" uri="{C3380CC4-5D6E-409C-BE32-E72D297353CC}">
                <c16:uniqueId val="{00000009-C74A-4675-8AE9-75D80FCB8057}"/>
              </c:ext>
            </c:extLst>
          </c:dPt>
          <c:dPt>
            <c:idx val="18"/>
            <c:invertIfNegative val="0"/>
            <c:bubble3D val="0"/>
            <c:spPr>
              <a:solidFill>
                <a:schemeClr val="accent6"/>
              </a:solidFill>
              <a:ln>
                <a:noFill/>
              </a:ln>
              <a:effectLst/>
            </c:spPr>
            <c:extLst>
              <c:ext xmlns:c16="http://schemas.microsoft.com/office/drawing/2014/chart" uri="{C3380CC4-5D6E-409C-BE32-E72D297353CC}">
                <c16:uniqueId val="{0000000A-C74A-4675-8AE9-75D80FCB8057}"/>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0B-C74A-4675-8AE9-75D80FCB8057}"/>
              </c:ext>
            </c:extLst>
          </c:dPt>
          <c:dPt>
            <c:idx val="20"/>
            <c:invertIfNegative val="0"/>
            <c:bubble3D val="0"/>
            <c:spPr>
              <a:solidFill>
                <a:schemeClr val="accent6"/>
              </a:solidFill>
              <a:ln>
                <a:noFill/>
              </a:ln>
              <a:effectLst/>
            </c:spPr>
            <c:extLst>
              <c:ext xmlns:c16="http://schemas.microsoft.com/office/drawing/2014/chart" uri="{C3380CC4-5D6E-409C-BE32-E72D297353CC}">
                <c16:uniqueId val="{0000000C-C74A-4675-8AE9-75D80FCB8057}"/>
              </c:ext>
            </c:extLst>
          </c:dPt>
          <c:dPt>
            <c:idx val="21"/>
            <c:invertIfNegative val="0"/>
            <c:bubble3D val="0"/>
            <c:spPr>
              <a:solidFill>
                <a:schemeClr val="accent6"/>
              </a:solidFill>
              <a:ln>
                <a:noFill/>
              </a:ln>
              <a:effectLst/>
            </c:spPr>
            <c:extLst>
              <c:ext xmlns:c16="http://schemas.microsoft.com/office/drawing/2014/chart" uri="{C3380CC4-5D6E-409C-BE32-E72D297353CC}">
                <c16:uniqueId val="{0000000D-C74A-4675-8AE9-75D80FCB8057}"/>
              </c:ext>
            </c:extLst>
          </c:dPt>
          <c:dPt>
            <c:idx val="22"/>
            <c:invertIfNegative val="0"/>
            <c:bubble3D val="0"/>
            <c:spPr>
              <a:solidFill>
                <a:schemeClr val="accent6"/>
              </a:solidFill>
              <a:ln>
                <a:noFill/>
              </a:ln>
              <a:effectLst/>
            </c:spPr>
            <c:extLst>
              <c:ext xmlns:c16="http://schemas.microsoft.com/office/drawing/2014/chart" uri="{C3380CC4-5D6E-409C-BE32-E72D297353CC}">
                <c16:uniqueId val="{0000000E-C74A-4675-8AE9-75D80FCB8057}"/>
              </c:ext>
            </c:extLst>
          </c:dPt>
          <c:dPt>
            <c:idx val="23"/>
            <c:invertIfNegative val="0"/>
            <c:bubble3D val="0"/>
            <c:spPr>
              <a:solidFill>
                <a:schemeClr val="accent6"/>
              </a:solidFill>
              <a:ln>
                <a:noFill/>
              </a:ln>
              <a:effectLst/>
            </c:spPr>
            <c:extLst>
              <c:ext xmlns:c16="http://schemas.microsoft.com/office/drawing/2014/chart" uri="{C3380CC4-5D6E-409C-BE32-E72D297353CC}">
                <c16:uniqueId val="{0000000F-C74A-4675-8AE9-75D80FCB8057}"/>
              </c:ext>
            </c:extLst>
          </c:dPt>
          <c:dPt>
            <c:idx val="24"/>
            <c:invertIfNegative val="0"/>
            <c:bubble3D val="0"/>
            <c:spPr>
              <a:solidFill>
                <a:schemeClr val="accent6"/>
              </a:solidFill>
              <a:ln>
                <a:noFill/>
              </a:ln>
              <a:effectLst/>
            </c:spPr>
            <c:extLst>
              <c:ext xmlns:c16="http://schemas.microsoft.com/office/drawing/2014/chart" uri="{C3380CC4-5D6E-409C-BE32-E72D297353CC}">
                <c16:uniqueId val="{00000010-C74A-4675-8AE9-75D80FCB8057}"/>
              </c:ext>
            </c:extLst>
          </c:dPt>
          <c:dPt>
            <c:idx val="25"/>
            <c:invertIfNegative val="0"/>
            <c:bubble3D val="0"/>
            <c:spPr>
              <a:solidFill>
                <a:schemeClr val="accent6"/>
              </a:solidFill>
              <a:ln>
                <a:noFill/>
              </a:ln>
              <a:effectLst/>
            </c:spPr>
            <c:extLst>
              <c:ext xmlns:c16="http://schemas.microsoft.com/office/drawing/2014/chart" uri="{C3380CC4-5D6E-409C-BE32-E72D297353CC}">
                <c16:uniqueId val="{00000011-C74A-4675-8AE9-75D80FCB8057}"/>
              </c:ext>
            </c:extLst>
          </c:dPt>
          <c:dPt>
            <c:idx val="27"/>
            <c:invertIfNegative val="0"/>
            <c:bubble3D val="0"/>
            <c:spPr>
              <a:solidFill>
                <a:schemeClr val="tx1"/>
              </a:solidFill>
              <a:ln>
                <a:noFill/>
              </a:ln>
              <a:effectLst/>
            </c:spPr>
            <c:extLst>
              <c:ext xmlns:c16="http://schemas.microsoft.com/office/drawing/2014/chart" uri="{C3380CC4-5D6E-409C-BE32-E72D297353CC}">
                <c16:uniqueId val="{00000012-C74A-4675-8AE9-75D80FCB8057}"/>
              </c:ext>
            </c:extLst>
          </c:dPt>
          <c:dPt>
            <c:idx val="29"/>
            <c:invertIfNegative val="0"/>
            <c:bubble3D val="0"/>
            <c:spPr>
              <a:solidFill>
                <a:schemeClr val="accent5"/>
              </a:solidFill>
              <a:ln>
                <a:noFill/>
              </a:ln>
              <a:effectLst/>
            </c:spPr>
            <c:extLst>
              <c:ext xmlns:c16="http://schemas.microsoft.com/office/drawing/2014/chart" uri="{C3380CC4-5D6E-409C-BE32-E72D297353CC}">
                <c16:uniqueId val="{00000013-C74A-4675-8AE9-75D80FCB8057}"/>
              </c:ext>
            </c:extLst>
          </c:dPt>
          <c:dPt>
            <c:idx val="30"/>
            <c:invertIfNegative val="0"/>
            <c:bubble3D val="0"/>
            <c:spPr>
              <a:solidFill>
                <a:schemeClr val="accent5"/>
              </a:solidFill>
              <a:ln>
                <a:noFill/>
              </a:ln>
              <a:effectLst/>
            </c:spPr>
            <c:extLst>
              <c:ext xmlns:c16="http://schemas.microsoft.com/office/drawing/2014/chart" uri="{C3380CC4-5D6E-409C-BE32-E72D297353CC}">
                <c16:uniqueId val="{00000014-C74A-4675-8AE9-75D80FCB8057}"/>
              </c:ext>
            </c:extLst>
          </c:dPt>
          <c:dPt>
            <c:idx val="31"/>
            <c:invertIfNegative val="0"/>
            <c:bubble3D val="0"/>
            <c:spPr>
              <a:solidFill>
                <a:schemeClr val="accent5"/>
              </a:solidFill>
              <a:ln>
                <a:noFill/>
              </a:ln>
              <a:effectLst/>
            </c:spPr>
            <c:extLst>
              <c:ext xmlns:c16="http://schemas.microsoft.com/office/drawing/2014/chart" uri="{C3380CC4-5D6E-409C-BE32-E72D297353CC}">
                <c16:uniqueId val="{00000019-C74A-4675-8AE9-75D80FCB8057}"/>
              </c:ext>
            </c:extLst>
          </c:dPt>
          <c:dPt>
            <c:idx val="32"/>
            <c:invertIfNegative val="0"/>
            <c:bubble3D val="0"/>
            <c:spPr>
              <a:solidFill>
                <a:schemeClr val="accent5"/>
              </a:solidFill>
              <a:ln>
                <a:noFill/>
              </a:ln>
              <a:effectLst/>
            </c:spPr>
            <c:extLst>
              <c:ext xmlns:c16="http://schemas.microsoft.com/office/drawing/2014/chart" uri="{C3380CC4-5D6E-409C-BE32-E72D297353CC}">
                <c16:uniqueId val="{00000015-C74A-4675-8AE9-75D80FCB8057}"/>
              </c:ext>
            </c:extLst>
          </c:dPt>
          <c:dPt>
            <c:idx val="33"/>
            <c:invertIfNegative val="0"/>
            <c:bubble3D val="0"/>
            <c:spPr>
              <a:solidFill>
                <a:schemeClr val="accent5"/>
              </a:solidFill>
              <a:ln>
                <a:noFill/>
              </a:ln>
              <a:effectLst/>
            </c:spPr>
            <c:extLst>
              <c:ext xmlns:c16="http://schemas.microsoft.com/office/drawing/2014/chart" uri="{C3380CC4-5D6E-409C-BE32-E72D297353CC}">
                <c16:uniqueId val="{00000016-C74A-4675-8AE9-75D80FCB8057}"/>
              </c:ext>
            </c:extLst>
          </c:dPt>
          <c:dPt>
            <c:idx val="34"/>
            <c:invertIfNegative val="0"/>
            <c:bubble3D val="0"/>
            <c:spPr>
              <a:solidFill>
                <a:schemeClr val="accent5"/>
              </a:solidFill>
              <a:ln>
                <a:noFill/>
              </a:ln>
              <a:effectLst/>
            </c:spPr>
            <c:extLst>
              <c:ext xmlns:c16="http://schemas.microsoft.com/office/drawing/2014/chart" uri="{C3380CC4-5D6E-409C-BE32-E72D297353CC}">
                <c16:uniqueId val="{00000017-C74A-4675-8AE9-75D80FCB8057}"/>
              </c:ext>
            </c:extLst>
          </c:dPt>
          <c:dPt>
            <c:idx val="35"/>
            <c:invertIfNegative val="0"/>
            <c:bubble3D val="0"/>
            <c:spPr>
              <a:solidFill>
                <a:schemeClr val="accent5"/>
              </a:solidFill>
              <a:ln>
                <a:noFill/>
              </a:ln>
              <a:effectLst/>
            </c:spPr>
            <c:extLst>
              <c:ext xmlns:c16="http://schemas.microsoft.com/office/drawing/2014/chart" uri="{C3380CC4-5D6E-409C-BE32-E72D297353CC}">
                <c16:uniqueId val="{0000001A-C74A-4675-8AE9-75D80FCB8057}"/>
              </c:ext>
            </c:extLst>
          </c:dPt>
          <c:dPt>
            <c:idx val="37"/>
            <c:invertIfNegative val="0"/>
            <c:bubble3D val="0"/>
            <c:spPr>
              <a:solidFill>
                <a:schemeClr val="accent2"/>
              </a:solidFill>
              <a:ln>
                <a:noFill/>
              </a:ln>
              <a:effectLst/>
            </c:spPr>
            <c:extLst>
              <c:ext xmlns:c16="http://schemas.microsoft.com/office/drawing/2014/chart" uri="{C3380CC4-5D6E-409C-BE32-E72D297353CC}">
                <c16:uniqueId val="{0000001B-C74A-4675-8AE9-75D80FCB8057}"/>
              </c:ext>
            </c:extLst>
          </c:dPt>
          <c:dPt>
            <c:idx val="38"/>
            <c:invertIfNegative val="0"/>
            <c:bubble3D val="0"/>
            <c:spPr>
              <a:solidFill>
                <a:schemeClr val="accent2"/>
              </a:solidFill>
              <a:ln>
                <a:noFill/>
              </a:ln>
              <a:effectLst/>
            </c:spPr>
            <c:extLst>
              <c:ext xmlns:c16="http://schemas.microsoft.com/office/drawing/2014/chart" uri="{C3380CC4-5D6E-409C-BE32-E72D297353CC}">
                <c16:uniqueId val="{00000018-C74A-4675-8AE9-75D80FCB8057}"/>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Sheet1!$A$2:$A$40</c:f>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f>Sheet1!$E$2:$E$40</c:f>
              <c:numCache>
                <c:formatCode>"$"#,##0</c:formatCode>
                <c:ptCount val="39"/>
                <c:pt idx="1">
                  <c:v>1942.308</c:v>
                </c:pt>
                <c:pt idx="3">
                  <c:v>-431.82527834562279</c:v>
                </c:pt>
                <c:pt idx="4">
                  <c:v>-277.7734130419849</c:v>
                </c:pt>
                <c:pt idx="5">
                  <c:v>-2050.1229524157229</c:v>
                </c:pt>
                <c:pt idx="6">
                  <c:v>-2.8269135147884299</c:v>
                </c:pt>
                <c:pt idx="7">
                  <c:v>308.6156444265107</c:v>
                </c:pt>
                <c:pt idx="8">
                  <c:v>-167.14765004114361</c:v>
                </c:pt>
                <c:pt idx="10">
                  <c:v>5770.5487159388722</c:v>
                </c:pt>
                <c:pt idx="11">
                  <c:v>2219.1253290535951</c:v>
                </c:pt>
                <c:pt idx="12">
                  <c:v>-2785.9670243536898</c:v>
                </c:pt>
                <c:pt idx="13">
                  <c:v>8362.6441931514182</c:v>
                </c:pt>
                <c:pt idx="14">
                  <c:v>1735.0458295827959</c:v>
                </c:pt>
                <c:pt idx="15">
                  <c:v>2011.579237449921</c:v>
                </c:pt>
                <c:pt idx="16">
                  <c:v>955.21722963113734</c:v>
                </c:pt>
                <c:pt idx="18">
                  <c:v>-688.56870238095235</c:v>
                </c:pt>
                <c:pt idx="19">
                  <c:v>1604.956437505318</c:v>
                </c:pt>
                <c:pt idx="20">
                  <c:v>1246.2076848484851</c:v>
                </c:pt>
                <c:pt idx="21">
                  <c:v>2419.49214011604</c:v>
                </c:pt>
                <c:pt idx="22">
                  <c:v>268.37997493301827</c:v>
                </c:pt>
                <c:pt idx="23">
                  <c:v>644.84065116279044</c:v>
                </c:pt>
                <c:pt idx="24">
                  <c:v>1204.2201428571429</c:v>
                </c:pt>
                <c:pt idx="25">
                  <c:v>1358.4749971830979</c:v>
                </c:pt>
                <c:pt idx="27">
                  <c:v>632.02731958433287</c:v>
                </c:pt>
                <c:pt idx="29">
                  <c:v>16.22319540229887</c:v>
                </c:pt>
                <c:pt idx="30">
                  <c:v>487.06540096618301</c:v>
                </c:pt>
                <c:pt idx="31">
                  <c:v>74.484354518371674</c:v>
                </c:pt>
                <c:pt idx="32">
                  <c:v>535.74440310077534</c:v>
                </c:pt>
                <c:pt idx="33">
                  <c:v>761.91732323232327</c:v>
                </c:pt>
                <c:pt idx="34">
                  <c:v>595.50562271062267</c:v>
                </c:pt>
                <c:pt idx="35">
                  <c:v>187.3661827956989</c:v>
                </c:pt>
                <c:pt idx="37">
                  <c:v>120.1363358908782</c:v>
                </c:pt>
                <c:pt idx="38">
                  <c:v>402.15987606001318</c:v>
                </c:pt>
              </c:numCache>
            </c:numRef>
          </c:val>
          <c:extLst>
            <c:ext xmlns:c16="http://schemas.microsoft.com/office/drawing/2014/chart" uri="{C3380CC4-5D6E-409C-BE32-E72D297353CC}">
              <c16:uniqueId val="{00000003-C74A-4675-8AE9-75D80FCB8057}"/>
            </c:ext>
          </c:extLst>
        </c:ser>
        <c:dLbls>
          <c:dLblPos val="outEnd"/>
          <c:showLegendKey val="0"/>
          <c:showVal val="1"/>
          <c:showCatName val="0"/>
          <c:showSerName val="0"/>
          <c:showPercent val="0"/>
          <c:showBubbleSize val="0"/>
        </c:dLbls>
        <c:gapWidth val="50"/>
        <c:axId val="266110400"/>
        <c:axId val="266110816"/>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STATE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Sheet1!$A$2:$A$40</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c:ext uri="{02D57815-91ED-43cb-92C2-25804820EDAC}">
                        <c15:formulaRef>
                          <c15:sqref>Sheet1!$B$2:$B$40</c15:sqref>
                        </c15:formulaRef>
                      </c:ext>
                    </c:extLst>
                    <c:numCache>
                      <c:formatCode>General</c:formatCode>
                      <c:ptCount val="39"/>
                      <c:pt idx="3">
                        <c:v>0</c:v>
                      </c:pt>
                      <c:pt idx="4">
                        <c:v>0</c:v>
                      </c:pt>
                      <c:pt idx="5">
                        <c:v>0</c:v>
                      </c:pt>
                      <c:pt idx="6">
                        <c:v>0</c:v>
                      </c:pt>
                      <c:pt idx="7">
                        <c:v>0</c:v>
                      </c:pt>
                      <c:pt idx="8">
                        <c:v>0</c:v>
                      </c:pt>
                      <c:pt idx="10">
                        <c:v>0</c:v>
                      </c:pt>
                      <c:pt idx="11">
                        <c:v>0</c:v>
                      </c:pt>
                      <c:pt idx="12">
                        <c:v>0</c:v>
                      </c:pt>
                      <c:pt idx="13">
                        <c:v>0</c:v>
                      </c:pt>
                      <c:pt idx="14">
                        <c:v>0</c:v>
                      </c:pt>
                      <c:pt idx="15">
                        <c:v>0</c:v>
                      </c:pt>
                      <c:pt idx="16">
                        <c:v>0</c:v>
                      </c:pt>
                      <c:pt idx="18">
                        <c:v>0</c:v>
                      </c:pt>
                      <c:pt idx="19">
                        <c:v>0</c:v>
                      </c:pt>
                      <c:pt idx="20">
                        <c:v>0</c:v>
                      </c:pt>
                      <c:pt idx="21">
                        <c:v>0</c:v>
                      </c:pt>
                      <c:pt idx="22">
                        <c:v>0</c:v>
                      </c:pt>
                      <c:pt idx="23">
                        <c:v>0</c:v>
                      </c:pt>
                      <c:pt idx="24">
                        <c:v>0</c:v>
                      </c:pt>
                      <c:pt idx="25">
                        <c:v>0</c:v>
                      </c:pt>
                      <c:pt idx="27">
                        <c:v>0</c:v>
                      </c:pt>
                      <c:pt idx="29">
                        <c:v>0</c:v>
                      </c:pt>
                      <c:pt idx="30">
                        <c:v>0</c:v>
                      </c:pt>
                      <c:pt idx="31">
                        <c:v>0</c:v>
                      </c:pt>
                      <c:pt idx="32">
                        <c:v>0</c:v>
                      </c:pt>
                      <c:pt idx="33">
                        <c:v>0</c:v>
                      </c:pt>
                      <c:pt idx="34">
                        <c:v>0</c:v>
                      </c:pt>
                      <c:pt idx="35">
                        <c:v>0</c:v>
                      </c:pt>
                      <c:pt idx="37">
                        <c:v>0</c:v>
                      </c:pt>
                      <c:pt idx="38">
                        <c:v>0</c:v>
                      </c:pt>
                    </c:numCache>
                  </c:numRef>
                </c:val>
                <c:extLst>
                  <c:ext xmlns:c16="http://schemas.microsoft.com/office/drawing/2014/chart" uri="{C3380CC4-5D6E-409C-BE32-E72D297353CC}">
                    <c16:uniqueId val="{00000000-C74A-4675-8AE9-75D80FCB805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Sheet1!$A$2:$A$40</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xmlns:c15="http://schemas.microsoft.com/office/drawing/2012/chart">
                      <c:ext xmlns:c15="http://schemas.microsoft.com/office/drawing/2012/chart" uri="{02D57815-91ED-43cb-92C2-25804820EDAC}">
                        <c15:formulaRef>
                          <c15:sqref>Sheet1!$C$2:$C$40</c15:sqref>
                        </c15:formulaRef>
                      </c:ext>
                    </c:extLst>
                    <c:numCache>
                      <c:formatCode>"$"#,##0</c:formatCode>
                      <c:ptCount val="39"/>
                      <c:pt idx="1">
                        <c:v>16131.3</c:v>
                      </c:pt>
                      <c:pt idx="3">
                        <c:v>7419.9652869565216</c:v>
                      </c:pt>
                      <c:pt idx="4">
                        <c:v>4713.758775510204</c:v>
                      </c:pt>
                      <c:pt idx="5">
                        <c:v>7335.0565656565659</c:v>
                      </c:pt>
                      <c:pt idx="6">
                        <c:v>4974.817041860465</c:v>
                      </c:pt>
                      <c:pt idx="7">
                        <c:v>4737.4690086956534</c:v>
                      </c:pt>
                      <c:pt idx="8">
                        <c:v>5283.8373994638068</c:v>
                      </c:pt>
                      <c:pt idx="10">
                        <c:v>42012.948272463771</c:v>
                      </c:pt>
                      <c:pt idx="11">
                        <c:v>17564.53138702461</c:v>
                      </c:pt>
                      <c:pt idx="12">
                        <c:v>6045.7496815286622</c:v>
                      </c:pt>
                      <c:pt idx="13">
                        <c:v>20079.982621722851</c:v>
                      </c:pt>
                      <c:pt idx="14">
                        <c:v>6073.5310318949341</c:v>
                      </c:pt>
                      <c:pt idx="15">
                        <c:v>7355.5862466725821</c:v>
                      </c:pt>
                      <c:pt idx="16">
                        <c:v>4244.571626794258</c:v>
                      </c:pt>
                      <c:pt idx="18">
                        <c:v>5377.8760000000002</c:v>
                      </c:pt>
                      <c:pt idx="19">
                        <c:v>6654.5153416149069</c:v>
                      </c:pt>
                      <c:pt idx="20">
                        <c:v>4415.1551515151514</c:v>
                      </c:pt>
                      <c:pt idx="21">
                        <c:v>7351.1242587601082</c:v>
                      </c:pt>
                      <c:pt idx="22">
                        <c:v>6114.1765650969528</c:v>
                      </c:pt>
                      <c:pt idx="23">
                        <c:v>2415.394651162791</c:v>
                      </c:pt>
                      <c:pt idx="24">
                        <c:v>3975.8171428571432</c:v>
                      </c:pt>
                      <c:pt idx="25">
                        <c:v>2854.3861971830979</c:v>
                      </c:pt>
                      <c:pt idx="27">
                        <c:v>3565.6949640287771</c:v>
                      </c:pt>
                      <c:pt idx="29">
                        <c:v>1823.605862068966</c:v>
                      </c:pt>
                      <c:pt idx="30">
                        <c:v>4229.6569565217387</c:v>
                      </c:pt>
                      <c:pt idx="31">
                        <c:v>3740.6960526315788</c:v>
                      </c:pt>
                      <c:pt idx="32">
                        <c:v>2133.6390697674419</c:v>
                      </c:pt>
                      <c:pt idx="33">
                        <c:v>3062.7868686868692</c:v>
                      </c:pt>
                      <c:pt idx="34">
                        <c:v>1989.622051282051</c:v>
                      </c:pt>
                      <c:pt idx="35">
                        <c:v>1792.754516129032</c:v>
                      </c:pt>
                      <c:pt idx="37">
                        <c:v>2138.9918260869572</c:v>
                      </c:pt>
                      <c:pt idx="38">
                        <c:v>3176.701428571429</c:v>
                      </c:pt>
                    </c:numCache>
                  </c:numRef>
                </c:val>
                <c:extLst xmlns:c15="http://schemas.microsoft.com/office/drawing/2012/chart">
                  <c:ext xmlns:c16="http://schemas.microsoft.com/office/drawing/2014/chart" uri="{C3380CC4-5D6E-409C-BE32-E72D297353CC}">
                    <c16:uniqueId val="{00000001-C74A-4675-8AE9-75D80FCB805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Before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Sheet1!$A$2:$A$40</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xmlns:c15="http://schemas.microsoft.com/office/drawing/2012/chart">
                      <c:ext xmlns:c15="http://schemas.microsoft.com/office/drawing/2012/chart" uri="{02D57815-91ED-43cb-92C2-25804820EDAC}">
                        <c15:formulaRef>
                          <c15:sqref>Sheet1!$D$2:$D$40</c15:sqref>
                        </c15:formulaRef>
                      </c:ext>
                    </c:extLst>
                    <c:numCache>
                      <c:formatCode>"$"#,##0</c:formatCode>
                      <c:ptCount val="39"/>
                      <c:pt idx="1">
                        <c:v>14188.99</c:v>
                      </c:pt>
                      <c:pt idx="3">
                        <c:v>7851.7905653021444</c:v>
                      </c:pt>
                      <c:pt idx="4">
                        <c:v>4991.5321885521889</c:v>
                      </c:pt>
                      <c:pt idx="5">
                        <c:v>9385.1795180722893</c:v>
                      </c:pt>
                      <c:pt idx="6">
                        <c:v>4977.6439553752534</c:v>
                      </c:pt>
                      <c:pt idx="7">
                        <c:v>4428.8533642691418</c:v>
                      </c:pt>
                      <c:pt idx="8">
                        <c:v>5450.9850495049504</c:v>
                      </c:pt>
                      <c:pt idx="10">
                        <c:v>36242.399556524899</c:v>
                      </c:pt>
                      <c:pt idx="11">
                        <c:v>15345.40605797102</c:v>
                      </c:pt>
                      <c:pt idx="12">
                        <c:v>8831.7167058823525</c:v>
                      </c:pt>
                      <c:pt idx="13">
                        <c:v>11717.338428571429</c:v>
                      </c:pt>
                      <c:pt idx="14">
                        <c:v>4338.4852023121384</c:v>
                      </c:pt>
                      <c:pt idx="15">
                        <c:v>5344.0070092226624</c:v>
                      </c:pt>
                      <c:pt idx="16">
                        <c:v>3289.3543971631211</c:v>
                      </c:pt>
                      <c:pt idx="18">
                        <c:v>6066.4447023809525</c:v>
                      </c:pt>
                      <c:pt idx="19">
                        <c:v>5049.5589041095891</c:v>
                      </c:pt>
                      <c:pt idx="20">
                        <c:v>3168.947466666667</c:v>
                      </c:pt>
                      <c:pt idx="21">
                        <c:v>4931.6321186440682</c:v>
                      </c:pt>
                      <c:pt idx="22">
                        <c:v>5845.7965901639354</c:v>
                      </c:pt>
                      <c:pt idx="23">
                        <c:v>1770.5540000000001</c:v>
                      </c:pt>
                      <c:pt idx="24">
                        <c:v>2771.5970000000002</c:v>
                      </c:pt>
                      <c:pt idx="25">
                        <c:v>1495.9112</c:v>
                      </c:pt>
                      <c:pt idx="27">
                        <c:v>2933.6676444444438</c:v>
                      </c:pt>
                      <c:pt idx="29">
                        <c:v>1807.3826666666671</c:v>
                      </c:pt>
                      <c:pt idx="30">
                        <c:v>3742.5915555555562</c:v>
                      </c:pt>
                      <c:pt idx="31">
                        <c:v>3666.2116981132081</c:v>
                      </c:pt>
                      <c:pt idx="32">
                        <c:v>1597.894666666667</c:v>
                      </c:pt>
                      <c:pt idx="33">
                        <c:v>2300.8695454545459</c:v>
                      </c:pt>
                      <c:pt idx="34">
                        <c:v>1394.116428571429</c:v>
                      </c:pt>
                      <c:pt idx="35">
                        <c:v>1605.3883333333331</c:v>
                      </c:pt>
                      <c:pt idx="37">
                        <c:v>2018.855490196079</c:v>
                      </c:pt>
                      <c:pt idx="38">
                        <c:v>2774.5415525114149</c:v>
                      </c:pt>
                    </c:numCache>
                  </c:numRef>
                </c:val>
                <c:extLst xmlns:c15="http://schemas.microsoft.com/office/drawing/2012/chart">
                  <c:ext xmlns:c16="http://schemas.microsoft.com/office/drawing/2014/chart" uri="{C3380CC4-5D6E-409C-BE32-E72D297353CC}">
                    <c16:uniqueId val="{00000002-C74A-4675-8AE9-75D80FCB8057}"/>
                  </c:ext>
                </c:extLst>
              </c15:ser>
            </c15:filteredBarSeries>
          </c:ext>
        </c:extLst>
      </c:barChart>
      <c:catAx>
        <c:axId val="266110400"/>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6110816"/>
        <c:crosses val="autoZero"/>
        <c:auto val="1"/>
        <c:lblAlgn val="ctr"/>
        <c:lblOffset val="100"/>
        <c:noMultiLvlLbl val="0"/>
      </c:catAx>
      <c:valAx>
        <c:axId val="266110816"/>
        <c:scaling>
          <c:orientation val="minMax"/>
        </c:scaling>
        <c:delete val="0"/>
        <c:axPos val="t"/>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b="1">
                    <a:solidFill>
                      <a:sysClr val="windowText" lastClr="000000"/>
                    </a:solidFill>
                  </a:rPr>
                  <a:t>Change in average monthly expenditure per participants </a:t>
                </a:r>
                <a:r>
                  <a:rPr lang="en-AU" sz="800" b="1">
                    <a:solidFill>
                      <a:sysClr val="windowText" lastClr="000000"/>
                    </a:solidFill>
                  </a:rPr>
                  <a:t>(10 months before</a:t>
                </a:r>
                <a:r>
                  <a:rPr lang="en-AU" sz="800" b="1" baseline="0">
                    <a:solidFill>
                      <a:sysClr val="windowText" lastClr="000000"/>
                    </a:solidFill>
                  </a:rPr>
                  <a:t> MF versus 10 months after)</a:t>
                </a:r>
                <a:endParaRPr lang="en-AU" b="1">
                  <a:solidFill>
                    <a:sysClr val="windowText" lastClr="000000"/>
                  </a:solidFill>
                </a:endParaRPr>
              </a:p>
            </c:rich>
          </c:tx>
          <c:layout>
            <c:manualLayout>
              <c:xMode val="edge"/>
              <c:yMode val="edge"/>
              <c:x val="0.47080509447468288"/>
              <c:y val="0.9716520039100684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6110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820424555364315"/>
          <c:y val="0"/>
          <c:w val="0.63850253658051781"/>
          <c:h val="0.93625514403292165"/>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0-82DA-4922-AABB-C4315A323D1D}"/>
              </c:ext>
            </c:extLst>
          </c:dPt>
          <c:dPt>
            <c:idx val="2"/>
            <c:marker>
              <c:symbol val="circle"/>
              <c:size val="5"/>
              <c:spPr>
                <a:solidFill>
                  <a:schemeClr val="bg2"/>
                </a:solidFill>
                <a:ln w="9525">
                  <a:noFill/>
                </a:ln>
                <a:effectLst/>
              </c:spPr>
            </c:marker>
            <c:bubble3D val="0"/>
            <c:extLst>
              <c:ext xmlns:c16="http://schemas.microsoft.com/office/drawing/2014/chart" uri="{C3380CC4-5D6E-409C-BE32-E72D297353CC}">
                <c16:uniqueId val="{00000001-82DA-4922-AABB-C4315A323D1D}"/>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2-82DA-4922-AABB-C4315A323D1D}"/>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3-82DA-4922-AABB-C4315A323D1D}"/>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4-82DA-4922-AABB-C4315A323D1D}"/>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5-82DA-4922-AABB-C4315A323D1D}"/>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6-82DA-4922-AABB-C4315A323D1D}"/>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07-82DA-4922-AABB-C4315A323D1D}"/>
              </c:ext>
            </c:extLst>
          </c:dPt>
          <c:dPt>
            <c:idx val="9"/>
            <c:marker>
              <c:symbol val="circle"/>
              <c:size val="5"/>
              <c:spPr>
                <a:solidFill>
                  <a:schemeClr val="accent4"/>
                </a:solidFill>
                <a:ln w="9525">
                  <a:noFill/>
                </a:ln>
                <a:effectLst/>
              </c:spPr>
            </c:marker>
            <c:bubble3D val="0"/>
            <c:extLst>
              <c:ext xmlns:c16="http://schemas.microsoft.com/office/drawing/2014/chart" uri="{C3380CC4-5D6E-409C-BE32-E72D297353CC}">
                <c16:uniqueId val="{00000008-82DA-4922-AABB-C4315A323D1D}"/>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9-82DA-4922-AABB-C4315A323D1D}"/>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A-82DA-4922-AABB-C4315A323D1D}"/>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B-82DA-4922-AABB-C4315A323D1D}"/>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0C-82DA-4922-AABB-C4315A323D1D}"/>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0D-82DA-4922-AABB-C4315A323D1D}"/>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E-82DA-4922-AABB-C4315A323D1D}"/>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0F-82DA-4922-AABB-C4315A323D1D}"/>
              </c:ext>
            </c:extLst>
          </c:dPt>
          <c:dPt>
            <c:idx val="26"/>
            <c:marker>
              <c:symbol val="circle"/>
              <c:size val="5"/>
              <c:spPr>
                <a:solidFill>
                  <a:schemeClr val="tx1"/>
                </a:solidFill>
                <a:ln w="9525">
                  <a:noFill/>
                </a:ln>
                <a:effectLst/>
              </c:spPr>
            </c:marker>
            <c:bubble3D val="0"/>
            <c:extLst>
              <c:ext xmlns:c16="http://schemas.microsoft.com/office/drawing/2014/chart" uri="{C3380CC4-5D6E-409C-BE32-E72D297353CC}">
                <c16:uniqueId val="{00000010-82DA-4922-AABB-C4315A323D1D}"/>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11-82DA-4922-AABB-C4315A323D1D}"/>
              </c:ext>
            </c:extLst>
          </c:dPt>
          <c:dPt>
            <c:idx val="28"/>
            <c:marker>
              <c:symbol val="circle"/>
              <c:size val="5"/>
              <c:spPr>
                <a:solidFill>
                  <a:schemeClr val="accent5"/>
                </a:solidFill>
                <a:ln w="9525">
                  <a:noFill/>
                </a:ln>
                <a:effectLst/>
              </c:spPr>
            </c:marker>
            <c:bubble3D val="0"/>
            <c:extLst>
              <c:ext xmlns:c16="http://schemas.microsoft.com/office/drawing/2014/chart" uri="{C3380CC4-5D6E-409C-BE32-E72D297353CC}">
                <c16:uniqueId val="{00000012-82DA-4922-AABB-C4315A323D1D}"/>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13-82DA-4922-AABB-C4315A323D1D}"/>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4-82DA-4922-AABB-C4315A323D1D}"/>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5-82DA-4922-AABB-C4315A323D1D}"/>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6-82DA-4922-AABB-C4315A323D1D}"/>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7-82DA-4922-AABB-C4315A323D1D}"/>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8-82DA-4922-AABB-C4315A323D1D}"/>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9-82DA-4922-AABB-C4315A323D1D}"/>
              </c:ext>
            </c:extLst>
          </c:dPt>
          <c:dPt>
            <c:idx val="36"/>
            <c:marker>
              <c:symbol val="circle"/>
              <c:size val="5"/>
              <c:spPr>
                <a:solidFill>
                  <a:schemeClr val="accent2"/>
                </a:solidFill>
                <a:ln w="9525">
                  <a:noFill/>
                </a:ln>
                <a:effectLst/>
              </c:spPr>
            </c:marker>
            <c:bubble3D val="0"/>
            <c:extLst>
              <c:ext xmlns:c16="http://schemas.microsoft.com/office/drawing/2014/chart" uri="{C3380CC4-5D6E-409C-BE32-E72D297353CC}">
                <c16:uniqueId val="{0000001A-82DA-4922-AABB-C4315A323D1D}"/>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B-82DA-4922-AABB-C4315A323D1D}"/>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C-82DA-4922-AABB-C4315A323D1D}"/>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Sheet1!$F$2:$F$39</c:f>
                <c:numCache>
                  <c:formatCode>General</c:formatCode>
                  <c:ptCount val="38"/>
                  <c:pt idx="2">
                    <c:v>2.9260000000000006</c:v>
                  </c:pt>
                  <c:pt idx="3">
                    <c:v>3.5284999999999993</c:v>
                  </c:pt>
                  <c:pt idx="4">
                    <c:v>3.6704999999999997</c:v>
                  </c:pt>
                  <c:pt idx="5">
                    <c:v>2.7824999999999998</c:v>
                  </c:pt>
                  <c:pt idx="6">
                    <c:v>3.5705000000000005</c:v>
                  </c:pt>
                  <c:pt idx="7">
                    <c:v>3.6755000000000013</c:v>
                  </c:pt>
                  <c:pt idx="9">
                    <c:v>3.6090000000000004</c:v>
                  </c:pt>
                  <c:pt idx="10">
                    <c:v>3.9769999999999999</c:v>
                  </c:pt>
                  <c:pt idx="11">
                    <c:v>3.5995000000000004</c:v>
                  </c:pt>
                  <c:pt idx="12">
                    <c:v>3.4935000000000009</c:v>
                  </c:pt>
                  <c:pt idx="13">
                    <c:v>4.7460000000000013</c:v>
                  </c:pt>
                  <c:pt idx="14">
                    <c:v>3.5870000000000011</c:v>
                  </c:pt>
                  <c:pt idx="15">
                    <c:v>5.2679999999999989</c:v>
                  </c:pt>
                  <c:pt idx="17">
                    <c:v>5.3285</c:v>
                  </c:pt>
                  <c:pt idx="18">
                    <c:v>3.3135000000000003</c:v>
                  </c:pt>
                  <c:pt idx="19">
                    <c:v>3.7310000000000008</c:v>
                  </c:pt>
                  <c:pt idx="20">
                    <c:v>3.9470000000000005</c:v>
                  </c:pt>
                  <c:pt idx="21">
                    <c:v>3.4415000000000009</c:v>
                  </c:pt>
                  <c:pt idx="22">
                    <c:v>3.9939999999999993</c:v>
                  </c:pt>
                  <c:pt idx="23">
                    <c:v>3.387</c:v>
                  </c:pt>
                  <c:pt idx="24">
                    <c:v>4.5620000000000021</c:v>
                  </c:pt>
                  <c:pt idx="26">
                    <c:v>2.9709999999999992</c:v>
                  </c:pt>
                  <c:pt idx="28">
                    <c:v>3.7959999999999998</c:v>
                  </c:pt>
                  <c:pt idx="29">
                    <c:v>3.4980000000000011</c:v>
                  </c:pt>
                  <c:pt idx="30">
                    <c:v>3.3240000000000003</c:v>
                  </c:pt>
                  <c:pt idx="31">
                    <c:v>3.2429999999999999</c:v>
                  </c:pt>
                  <c:pt idx="32">
                    <c:v>3.4385000000000008</c:v>
                  </c:pt>
                  <c:pt idx="33">
                    <c:v>3.6675</c:v>
                  </c:pt>
                  <c:pt idx="34">
                    <c:v>3.2320000000000002</c:v>
                  </c:pt>
                  <c:pt idx="36">
                    <c:v>4.3090000000000002</c:v>
                  </c:pt>
                  <c:pt idx="37">
                    <c:v>5.3019999999999987</c:v>
                  </c:pt>
                </c:numCache>
              </c:numRef>
            </c:plus>
            <c:minus>
              <c:numRef>
                <c:f>Sheet1!$F$2:$F$39</c:f>
                <c:numCache>
                  <c:formatCode>General</c:formatCode>
                  <c:ptCount val="38"/>
                  <c:pt idx="2">
                    <c:v>2.9260000000000006</c:v>
                  </c:pt>
                  <c:pt idx="3">
                    <c:v>3.5284999999999993</c:v>
                  </c:pt>
                  <c:pt idx="4">
                    <c:v>3.6704999999999997</c:v>
                  </c:pt>
                  <c:pt idx="5">
                    <c:v>2.7824999999999998</c:v>
                  </c:pt>
                  <c:pt idx="6">
                    <c:v>3.5705000000000005</c:v>
                  </c:pt>
                  <c:pt idx="7">
                    <c:v>3.6755000000000013</c:v>
                  </c:pt>
                  <c:pt idx="9">
                    <c:v>3.6090000000000004</c:v>
                  </c:pt>
                  <c:pt idx="10">
                    <c:v>3.9769999999999999</c:v>
                  </c:pt>
                  <c:pt idx="11">
                    <c:v>3.5995000000000004</c:v>
                  </c:pt>
                  <c:pt idx="12">
                    <c:v>3.4935000000000009</c:v>
                  </c:pt>
                  <c:pt idx="13">
                    <c:v>4.7460000000000013</c:v>
                  </c:pt>
                  <c:pt idx="14">
                    <c:v>3.5870000000000011</c:v>
                  </c:pt>
                  <c:pt idx="15">
                    <c:v>5.2679999999999989</c:v>
                  </c:pt>
                  <c:pt idx="17">
                    <c:v>5.3285</c:v>
                  </c:pt>
                  <c:pt idx="18">
                    <c:v>3.3135000000000003</c:v>
                  </c:pt>
                  <c:pt idx="19">
                    <c:v>3.7310000000000008</c:v>
                  </c:pt>
                  <c:pt idx="20">
                    <c:v>3.9470000000000005</c:v>
                  </c:pt>
                  <c:pt idx="21">
                    <c:v>3.4415000000000009</c:v>
                  </c:pt>
                  <c:pt idx="22">
                    <c:v>3.9939999999999993</c:v>
                  </c:pt>
                  <c:pt idx="23">
                    <c:v>3.387</c:v>
                  </c:pt>
                  <c:pt idx="24">
                    <c:v>4.5620000000000021</c:v>
                  </c:pt>
                  <c:pt idx="26">
                    <c:v>2.9709999999999992</c:v>
                  </c:pt>
                  <c:pt idx="28">
                    <c:v>3.7959999999999998</c:v>
                  </c:pt>
                  <c:pt idx="29">
                    <c:v>3.4980000000000011</c:v>
                  </c:pt>
                  <c:pt idx="30">
                    <c:v>3.3240000000000003</c:v>
                  </c:pt>
                  <c:pt idx="31">
                    <c:v>3.2429999999999999</c:v>
                  </c:pt>
                  <c:pt idx="32">
                    <c:v>3.4385000000000008</c:v>
                  </c:pt>
                  <c:pt idx="33">
                    <c:v>3.6675</c:v>
                  </c:pt>
                  <c:pt idx="34">
                    <c:v>3.2320000000000002</c:v>
                  </c:pt>
                  <c:pt idx="36">
                    <c:v>4.3090000000000002</c:v>
                  </c:pt>
                  <c:pt idx="37">
                    <c:v>5.3019999999999987</c:v>
                  </c:pt>
                </c:numCache>
              </c:numRef>
            </c:minus>
            <c:spPr>
              <a:noFill/>
              <a:ln w="9525" cap="flat" cmpd="sng" algn="ctr">
                <a:solidFill>
                  <a:schemeClr val="tx1">
                    <a:lumMod val="65000"/>
                    <a:lumOff val="35000"/>
                  </a:schemeClr>
                </a:solidFill>
                <a:round/>
              </a:ln>
              <a:effectLst/>
            </c:spPr>
          </c:errBars>
          <c:xVal>
            <c:numRef>
              <c:f>Sheet1!$C$2:$C$39</c:f>
              <c:numCache>
                <c:formatCode>General</c:formatCode>
                <c:ptCount val="38"/>
                <c:pt idx="2">
                  <c:v>0.14399999999999999</c:v>
                </c:pt>
                <c:pt idx="3">
                  <c:v>0.32600000000000001</c:v>
                </c:pt>
                <c:pt idx="4">
                  <c:v>-0.59399999999999997</c:v>
                </c:pt>
                <c:pt idx="5">
                  <c:v>0.19500000000000001</c:v>
                </c:pt>
                <c:pt idx="6">
                  <c:v>0.72099999999999997</c:v>
                </c:pt>
                <c:pt idx="7">
                  <c:v>0.35299999999999998</c:v>
                </c:pt>
                <c:pt idx="9">
                  <c:v>0.63400000000000001</c:v>
                </c:pt>
                <c:pt idx="10">
                  <c:v>0.14699999999999999</c:v>
                </c:pt>
                <c:pt idx="11">
                  <c:v>0.78500000000000003</c:v>
                </c:pt>
                <c:pt idx="12">
                  <c:v>0.217</c:v>
                </c:pt>
                <c:pt idx="13">
                  <c:v>0.32400000000000001</c:v>
                </c:pt>
                <c:pt idx="14">
                  <c:v>-0.13900000000000001</c:v>
                </c:pt>
                <c:pt idx="15">
                  <c:v>0.69199999999999995</c:v>
                </c:pt>
                <c:pt idx="17">
                  <c:v>-0.96299999999999997</c:v>
                </c:pt>
                <c:pt idx="18">
                  <c:v>-0.185</c:v>
                </c:pt>
                <c:pt idx="19">
                  <c:v>0.28799999999999998</c:v>
                </c:pt>
                <c:pt idx="20">
                  <c:v>1.016</c:v>
                </c:pt>
                <c:pt idx="21">
                  <c:v>0.124</c:v>
                </c:pt>
                <c:pt idx="22">
                  <c:v>3.6890000000000001</c:v>
                </c:pt>
                <c:pt idx="23">
                  <c:v>1.242</c:v>
                </c:pt>
                <c:pt idx="24">
                  <c:v>3.0419999999999998</c:v>
                </c:pt>
                <c:pt idx="26">
                  <c:v>0.29399999999999998</c:v>
                </c:pt>
                <c:pt idx="28">
                  <c:v>-0.20799999999999999</c:v>
                </c:pt>
                <c:pt idx="29">
                  <c:v>0.127</c:v>
                </c:pt>
                <c:pt idx="30">
                  <c:v>0.373</c:v>
                </c:pt>
                <c:pt idx="31">
                  <c:v>0.37</c:v>
                </c:pt>
                <c:pt idx="32">
                  <c:v>0.22</c:v>
                </c:pt>
                <c:pt idx="33">
                  <c:v>0.31900000000000001</c:v>
                </c:pt>
                <c:pt idx="34">
                  <c:v>0.55100000000000005</c:v>
                </c:pt>
                <c:pt idx="36">
                  <c:v>-1.677</c:v>
                </c:pt>
                <c:pt idx="37">
                  <c:v>0.32200000000000001</c:v>
                </c:pt>
              </c:numCache>
            </c:numRef>
          </c:xVal>
          <c:yVal>
            <c:numRef>
              <c:f>Sheet1!$G$2:$G$39</c:f>
              <c:numCache>
                <c:formatCode>General</c:formatCode>
                <c:ptCount val="38"/>
                <c:pt idx="1">
                  <c:v>37</c:v>
                </c:pt>
                <c:pt idx="2">
                  <c:v>36</c:v>
                </c:pt>
                <c:pt idx="3">
                  <c:v>35</c:v>
                </c:pt>
                <c:pt idx="4">
                  <c:v>34</c:v>
                </c:pt>
                <c:pt idx="5">
                  <c:v>33</c:v>
                </c:pt>
                <c:pt idx="6">
                  <c:v>32</c:v>
                </c:pt>
                <c:pt idx="7">
                  <c:v>31</c:v>
                </c:pt>
                <c:pt idx="8">
                  <c:v>30</c:v>
                </c:pt>
                <c:pt idx="9">
                  <c:v>29</c:v>
                </c:pt>
                <c:pt idx="10">
                  <c:v>28</c:v>
                </c:pt>
                <c:pt idx="11">
                  <c:v>27</c:v>
                </c:pt>
                <c:pt idx="12">
                  <c:v>26</c:v>
                </c:pt>
                <c:pt idx="13">
                  <c:v>25</c:v>
                </c:pt>
                <c:pt idx="14">
                  <c:v>24</c:v>
                </c:pt>
                <c:pt idx="15">
                  <c:v>23</c:v>
                </c:pt>
                <c:pt idx="16">
                  <c:v>22</c:v>
                </c:pt>
                <c:pt idx="17">
                  <c:v>21</c:v>
                </c:pt>
                <c:pt idx="18">
                  <c:v>20</c:v>
                </c:pt>
                <c:pt idx="19">
                  <c:v>19</c:v>
                </c:pt>
                <c:pt idx="20">
                  <c:v>18</c:v>
                </c:pt>
                <c:pt idx="21">
                  <c:v>17</c:v>
                </c:pt>
                <c:pt idx="22">
                  <c:v>16</c:v>
                </c:pt>
                <c:pt idx="23">
                  <c:v>15</c:v>
                </c:pt>
                <c:pt idx="24">
                  <c:v>14</c:v>
                </c:pt>
                <c:pt idx="25">
                  <c:v>13</c:v>
                </c:pt>
                <c:pt idx="26">
                  <c:v>12</c:v>
                </c:pt>
                <c:pt idx="27">
                  <c:v>11</c:v>
                </c:pt>
                <c:pt idx="28">
                  <c:v>10</c:v>
                </c:pt>
                <c:pt idx="29">
                  <c:v>9</c:v>
                </c:pt>
                <c:pt idx="30">
                  <c:v>8</c:v>
                </c:pt>
                <c:pt idx="31">
                  <c:v>7</c:v>
                </c:pt>
                <c:pt idx="32">
                  <c:v>6</c:v>
                </c:pt>
                <c:pt idx="33">
                  <c:v>5</c:v>
                </c:pt>
                <c:pt idx="34">
                  <c:v>4</c:v>
                </c:pt>
                <c:pt idx="35">
                  <c:v>3</c:v>
                </c:pt>
                <c:pt idx="36">
                  <c:v>2</c:v>
                </c:pt>
                <c:pt idx="37">
                  <c:v>1</c:v>
                </c:pt>
              </c:numCache>
            </c:numRef>
          </c:yVal>
          <c:smooth val="0"/>
          <c:extLst>
            <c:ext xmlns:c16="http://schemas.microsoft.com/office/drawing/2014/chart" uri="{C3380CC4-5D6E-409C-BE32-E72D297353CC}">
              <c16:uniqueId val="{0000001D-82DA-4922-AABB-C4315A323D1D}"/>
            </c:ext>
          </c:extLst>
        </c:ser>
        <c:ser>
          <c:idx val="0"/>
          <c:order val="1"/>
          <c:tx>
            <c:v>labels</c:v>
          </c:tx>
          <c:spPr>
            <a:ln w="25400" cap="rnd">
              <a:noFill/>
              <a:round/>
            </a:ln>
            <a:effectLst/>
          </c:spPr>
          <c:marker>
            <c:symbol val="none"/>
          </c:marker>
          <c:dLbls>
            <c:dLbl>
              <c:idx val="0"/>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E-82DA-4922-AABB-C4315A323D1D}"/>
                </c:ext>
              </c:extLst>
            </c:dLbl>
            <c:dLbl>
              <c:idx val="1"/>
              <c:layout>
                <c:manualLayout>
                  <c:x val="-0.16525530694205393"/>
                  <c:y val="0"/>
                </c:manualLayout>
              </c:layout>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fld id="{0D0E2B77-7D57-48D9-83A6-716B06E4D6BA}" type="CELLRANGE">
                      <a:rPr lang="en-US"/>
                      <a:pPr>
                        <a:defRPr sz="7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82DA-4922-AABB-C4315A323D1D}"/>
                </c:ext>
              </c:extLst>
            </c:dLbl>
            <c:dLbl>
              <c:idx val="2"/>
              <c:tx>
                <c:rich>
                  <a:bodyPr/>
                  <a:lstStyle/>
                  <a:p>
                    <a:fld id="{FFDF0FCE-8AC4-474B-B4D5-130F5007348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82DA-4922-AABB-C4315A323D1D}"/>
                </c:ext>
              </c:extLst>
            </c:dLbl>
            <c:dLbl>
              <c:idx val="3"/>
              <c:tx>
                <c:rich>
                  <a:bodyPr/>
                  <a:lstStyle/>
                  <a:p>
                    <a:fld id="{B6FD5336-27B4-4CFF-990C-48864E1FA54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82DA-4922-AABB-C4315A323D1D}"/>
                </c:ext>
              </c:extLst>
            </c:dLbl>
            <c:dLbl>
              <c:idx val="4"/>
              <c:tx>
                <c:rich>
                  <a:bodyPr/>
                  <a:lstStyle/>
                  <a:p>
                    <a:fld id="{253BFA88-E0AA-4485-AED9-6E67679E2F7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82DA-4922-AABB-C4315A323D1D}"/>
                </c:ext>
              </c:extLst>
            </c:dLbl>
            <c:dLbl>
              <c:idx val="5"/>
              <c:tx>
                <c:rich>
                  <a:bodyPr/>
                  <a:lstStyle/>
                  <a:p>
                    <a:fld id="{9423DC62-9615-433B-BA1C-5461BC98175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82DA-4922-AABB-C4315A323D1D}"/>
                </c:ext>
              </c:extLst>
            </c:dLbl>
            <c:dLbl>
              <c:idx val="6"/>
              <c:tx>
                <c:rich>
                  <a:bodyPr/>
                  <a:lstStyle/>
                  <a:p>
                    <a:fld id="{E19CF006-A276-4DA6-A661-3DA34288C56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82DA-4922-AABB-C4315A323D1D}"/>
                </c:ext>
              </c:extLst>
            </c:dLbl>
            <c:dLbl>
              <c:idx val="7"/>
              <c:tx>
                <c:rich>
                  <a:bodyPr/>
                  <a:lstStyle/>
                  <a:p>
                    <a:fld id="{2C8C2A41-FE7C-4717-89E6-BBCA18CE8FE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82DA-4922-AABB-C4315A323D1D}"/>
                </c:ext>
              </c:extLst>
            </c:dLbl>
            <c:dLbl>
              <c:idx val="8"/>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fld id="{DEA0A8C5-E0DB-423B-9954-68B06DF1A402}" type="CELLRANGE">
                      <a:rPr lang="en-AU"/>
                      <a:pPr>
                        <a:defRPr sz="7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82DA-4922-AABB-C4315A323D1D}"/>
                </c:ext>
              </c:extLst>
            </c:dLbl>
            <c:dLbl>
              <c:idx val="9"/>
              <c:tx>
                <c:rich>
                  <a:bodyPr/>
                  <a:lstStyle/>
                  <a:p>
                    <a:fld id="{9668BC42-C73F-4C6F-9982-B97B78CD26B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82DA-4922-AABB-C4315A323D1D}"/>
                </c:ext>
              </c:extLst>
            </c:dLbl>
            <c:dLbl>
              <c:idx val="10"/>
              <c:tx>
                <c:rich>
                  <a:bodyPr/>
                  <a:lstStyle/>
                  <a:p>
                    <a:fld id="{90BB0D1C-DDEA-467D-9A22-639EC928821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82DA-4922-AABB-C4315A323D1D}"/>
                </c:ext>
              </c:extLst>
            </c:dLbl>
            <c:dLbl>
              <c:idx val="11"/>
              <c:tx>
                <c:rich>
                  <a:bodyPr/>
                  <a:lstStyle/>
                  <a:p>
                    <a:fld id="{034A0E9D-986E-4CF9-907F-BE2203C8B2E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82DA-4922-AABB-C4315A323D1D}"/>
                </c:ext>
              </c:extLst>
            </c:dLbl>
            <c:dLbl>
              <c:idx val="12"/>
              <c:tx>
                <c:rich>
                  <a:bodyPr/>
                  <a:lstStyle/>
                  <a:p>
                    <a:fld id="{FFF73A28-169C-44FA-89E1-184C7E8EEEB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82DA-4922-AABB-C4315A323D1D}"/>
                </c:ext>
              </c:extLst>
            </c:dLbl>
            <c:dLbl>
              <c:idx val="13"/>
              <c:tx>
                <c:rich>
                  <a:bodyPr/>
                  <a:lstStyle/>
                  <a:p>
                    <a:fld id="{26EA57A9-DDDF-4610-98DB-B03408B9371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82DA-4922-AABB-C4315A323D1D}"/>
                </c:ext>
              </c:extLst>
            </c:dLbl>
            <c:dLbl>
              <c:idx val="14"/>
              <c:tx>
                <c:rich>
                  <a:bodyPr/>
                  <a:lstStyle/>
                  <a:p>
                    <a:fld id="{BC7F1BED-0D77-4EFE-A9CA-58F021CFB6B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82DA-4922-AABB-C4315A323D1D}"/>
                </c:ext>
              </c:extLst>
            </c:dLbl>
            <c:dLbl>
              <c:idx val="15"/>
              <c:tx>
                <c:rich>
                  <a:bodyPr/>
                  <a:lstStyle/>
                  <a:p>
                    <a:fld id="{439A949F-9204-49E0-BD3A-295F5E67E8C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82DA-4922-AABB-C4315A323D1D}"/>
                </c:ext>
              </c:extLst>
            </c:dLbl>
            <c:dLbl>
              <c:idx val="16"/>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fld id="{2F5F6E2C-6378-4C3C-BB4C-1CB910B45F56}" type="CELLRANGE">
                      <a:rPr lang="en-AU"/>
                      <a:pPr>
                        <a:defRPr sz="7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82DA-4922-AABB-C4315A323D1D}"/>
                </c:ext>
              </c:extLst>
            </c:dLbl>
            <c:dLbl>
              <c:idx val="17"/>
              <c:tx>
                <c:rich>
                  <a:bodyPr/>
                  <a:lstStyle/>
                  <a:p>
                    <a:fld id="{4082BD05-1EB3-47EE-9836-685FCE60A6E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82DA-4922-AABB-C4315A323D1D}"/>
                </c:ext>
              </c:extLst>
            </c:dLbl>
            <c:dLbl>
              <c:idx val="18"/>
              <c:tx>
                <c:rich>
                  <a:bodyPr/>
                  <a:lstStyle/>
                  <a:p>
                    <a:fld id="{2EAD6464-6982-48E5-91C6-3E73236FBDA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82DA-4922-AABB-C4315A323D1D}"/>
                </c:ext>
              </c:extLst>
            </c:dLbl>
            <c:dLbl>
              <c:idx val="19"/>
              <c:tx>
                <c:rich>
                  <a:bodyPr/>
                  <a:lstStyle/>
                  <a:p>
                    <a:fld id="{8952B704-CEDF-4B46-8BB0-ED234049B67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82DA-4922-AABB-C4315A323D1D}"/>
                </c:ext>
              </c:extLst>
            </c:dLbl>
            <c:dLbl>
              <c:idx val="20"/>
              <c:tx>
                <c:rich>
                  <a:bodyPr/>
                  <a:lstStyle/>
                  <a:p>
                    <a:fld id="{A1D829CF-3E7A-4B3A-B252-31AB20A06B2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82DA-4922-AABB-C4315A323D1D}"/>
                </c:ext>
              </c:extLst>
            </c:dLbl>
            <c:dLbl>
              <c:idx val="21"/>
              <c:tx>
                <c:rich>
                  <a:bodyPr/>
                  <a:lstStyle/>
                  <a:p>
                    <a:fld id="{66772A9C-2F63-4B52-95F8-9AFA5A7496D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82DA-4922-AABB-C4315A323D1D}"/>
                </c:ext>
              </c:extLst>
            </c:dLbl>
            <c:dLbl>
              <c:idx val="22"/>
              <c:tx>
                <c:rich>
                  <a:bodyPr/>
                  <a:lstStyle/>
                  <a:p>
                    <a:fld id="{F0251902-BB5A-432F-968E-655F9916AA9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82DA-4922-AABB-C4315A323D1D}"/>
                </c:ext>
              </c:extLst>
            </c:dLbl>
            <c:dLbl>
              <c:idx val="23"/>
              <c:tx>
                <c:rich>
                  <a:bodyPr/>
                  <a:lstStyle/>
                  <a:p>
                    <a:fld id="{BCF99269-CEC5-4DD4-BEA9-A717251AE3D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82DA-4922-AABB-C4315A323D1D}"/>
                </c:ext>
              </c:extLst>
            </c:dLbl>
            <c:dLbl>
              <c:idx val="24"/>
              <c:tx>
                <c:rich>
                  <a:bodyPr/>
                  <a:lstStyle/>
                  <a:p>
                    <a:fld id="{FCCD4AAD-44DB-4267-BB6B-FBEF4C4CF43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82DA-4922-AABB-C4315A323D1D}"/>
                </c:ext>
              </c:extLst>
            </c:dLbl>
            <c:dLbl>
              <c:idx val="25"/>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fld id="{CF008D9A-CBE0-46F6-8234-ACD5A7905C99}" type="CELLRANGE">
                      <a:rPr lang="en-AU"/>
                      <a:pPr>
                        <a:defRPr sz="7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82DA-4922-AABB-C4315A323D1D}"/>
                </c:ext>
              </c:extLst>
            </c:dLbl>
            <c:dLbl>
              <c:idx val="26"/>
              <c:tx>
                <c:rich>
                  <a:bodyPr/>
                  <a:lstStyle/>
                  <a:p>
                    <a:fld id="{C4EFAA00-2955-47AE-AA1D-893E8A823B4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82DA-4922-AABB-C4315A323D1D}"/>
                </c:ext>
              </c:extLst>
            </c:dLbl>
            <c:dLbl>
              <c:idx val="27"/>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fld id="{27EDFB5B-59B1-46BA-A941-9DEF8B42405E}" type="CELLRANGE">
                      <a:rPr lang="en-AU"/>
                      <a:pPr>
                        <a:defRPr sz="7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82DA-4922-AABB-C4315A323D1D}"/>
                </c:ext>
              </c:extLst>
            </c:dLbl>
            <c:dLbl>
              <c:idx val="28"/>
              <c:tx>
                <c:rich>
                  <a:bodyPr/>
                  <a:lstStyle/>
                  <a:p>
                    <a:fld id="{F816FE7A-C232-4CCB-84EA-B5E3F422C66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82DA-4922-AABB-C4315A323D1D}"/>
                </c:ext>
              </c:extLst>
            </c:dLbl>
            <c:dLbl>
              <c:idx val="29"/>
              <c:tx>
                <c:rich>
                  <a:bodyPr/>
                  <a:lstStyle/>
                  <a:p>
                    <a:fld id="{D9257E50-9F12-4003-A8D6-3423C9A4D92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82DA-4922-AABB-C4315A323D1D}"/>
                </c:ext>
              </c:extLst>
            </c:dLbl>
            <c:dLbl>
              <c:idx val="30"/>
              <c:tx>
                <c:rich>
                  <a:bodyPr/>
                  <a:lstStyle/>
                  <a:p>
                    <a:fld id="{0C87CEE1-B3AD-496A-A764-FCB6565E020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82DA-4922-AABB-C4315A323D1D}"/>
                </c:ext>
              </c:extLst>
            </c:dLbl>
            <c:dLbl>
              <c:idx val="31"/>
              <c:tx>
                <c:rich>
                  <a:bodyPr/>
                  <a:lstStyle/>
                  <a:p>
                    <a:fld id="{D960545A-A072-4606-AF85-4BE8D139071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82DA-4922-AABB-C4315A323D1D}"/>
                </c:ext>
              </c:extLst>
            </c:dLbl>
            <c:dLbl>
              <c:idx val="32"/>
              <c:tx>
                <c:rich>
                  <a:bodyPr/>
                  <a:lstStyle/>
                  <a:p>
                    <a:fld id="{F4FADAE3-B3C1-4400-B55C-6EE210A2328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82DA-4922-AABB-C4315A323D1D}"/>
                </c:ext>
              </c:extLst>
            </c:dLbl>
            <c:dLbl>
              <c:idx val="33"/>
              <c:tx>
                <c:rich>
                  <a:bodyPr/>
                  <a:lstStyle/>
                  <a:p>
                    <a:fld id="{F3D0E6D1-7505-4785-82EE-41C512082B8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82DA-4922-AABB-C4315A323D1D}"/>
                </c:ext>
              </c:extLst>
            </c:dLbl>
            <c:dLbl>
              <c:idx val="34"/>
              <c:tx>
                <c:rich>
                  <a:bodyPr/>
                  <a:lstStyle/>
                  <a:p>
                    <a:fld id="{DC4F2336-E07A-4EEA-8BE3-C78390EC156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82DA-4922-AABB-C4315A323D1D}"/>
                </c:ext>
              </c:extLst>
            </c:dLbl>
            <c:dLbl>
              <c:idx val="35"/>
              <c:tx>
                <c:rich>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fld id="{8648A4FA-7FA5-4639-82EB-6A607DB11C8B}" type="CELLRANGE">
                      <a:rPr lang="en-AU"/>
                      <a:pPr>
                        <a:defRPr sz="7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1-82DA-4922-AABB-C4315A323D1D}"/>
                </c:ext>
              </c:extLst>
            </c:dLbl>
            <c:dLbl>
              <c:idx val="36"/>
              <c:tx>
                <c:rich>
                  <a:bodyPr/>
                  <a:lstStyle/>
                  <a:p>
                    <a:fld id="{5FCCC1D0-F9CA-4D54-AFF5-76D4EC1C66A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82DA-4922-AABB-C4315A323D1D}"/>
                </c:ext>
              </c:extLst>
            </c:dLbl>
            <c:dLbl>
              <c:idx val="37"/>
              <c:tx>
                <c:rich>
                  <a:bodyPr/>
                  <a:lstStyle/>
                  <a:p>
                    <a:fld id="{9FE57756-857B-4F11-B664-C714F360F6E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82DA-4922-AABB-C4315A323D1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Sheet1!$H$2:$H$39</c:f>
              <c:numCache>
                <c:formatCode>General</c:formatCode>
                <c:ptCount val="38"/>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numCache>
            </c:numRef>
          </c:xVal>
          <c:yVal>
            <c:numRef>
              <c:f>Sheet1!$G$2:$G$39</c:f>
              <c:numCache>
                <c:formatCode>General</c:formatCode>
                <c:ptCount val="38"/>
                <c:pt idx="1">
                  <c:v>37</c:v>
                </c:pt>
                <c:pt idx="2">
                  <c:v>36</c:v>
                </c:pt>
                <c:pt idx="3">
                  <c:v>35</c:v>
                </c:pt>
                <c:pt idx="4">
                  <c:v>34</c:v>
                </c:pt>
                <c:pt idx="5">
                  <c:v>33</c:v>
                </c:pt>
                <c:pt idx="6">
                  <c:v>32</c:v>
                </c:pt>
                <c:pt idx="7">
                  <c:v>31</c:v>
                </c:pt>
                <c:pt idx="8">
                  <c:v>30</c:v>
                </c:pt>
                <c:pt idx="9">
                  <c:v>29</c:v>
                </c:pt>
                <c:pt idx="10">
                  <c:v>28</c:v>
                </c:pt>
                <c:pt idx="11">
                  <c:v>27</c:v>
                </c:pt>
                <c:pt idx="12">
                  <c:v>26</c:v>
                </c:pt>
                <c:pt idx="13">
                  <c:v>25</c:v>
                </c:pt>
                <c:pt idx="14">
                  <c:v>24</c:v>
                </c:pt>
                <c:pt idx="15">
                  <c:v>23</c:v>
                </c:pt>
                <c:pt idx="16">
                  <c:v>22</c:v>
                </c:pt>
                <c:pt idx="17">
                  <c:v>21</c:v>
                </c:pt>
                <c:pt idx="18">
                  <c:v>20</c:v>
                </c:pt>
                <c:pt idx="19">
                  <c:v>19</c:v>
                </c:pt>
                <c:pt idx="20">
                  <c:v>18</c:v>
                </c:pt>
                <c:pt idx="21">
                  <c:v>17</c:v>
                </c:pt>
                <c:pt idx="22">
                  <c:v>16</c:v>
                </c:pt>
                <c:pt idx="23">
                  <c:v>15</c:v>
                </c:pt>
                <c:pt idx="24">
                  <c:v>14</c:v>
                </c:pt>
                <c:pt idx="25">
                  <c:v>13</c:v>
                </c:pt>
                <c:pt idx="26">
                  <c:v>12</c:v>
                </c:pt>
                <c:pt idx="27">
                  <c:v>11</c:v>
                </c:pt>
                <c:pt idx="28">
                  <c:v>10</c:v>
                </c:pt>
                <c:pt idx="29">
                  <c:v>9</c:v>
                </c:pt>
                <c:pt idx="30">
                  <c:v>8</c:v>
                </c:pt>
                <c:pt idx="31">
                  <c:v>7</c:v>
                </c:pt>
                <c:pt idx="32">
                  <c:v>6</c:v>
                </c:pt>
                <c:pt idx="33">
                  <c:v>5</c:v>
                </c:pt>
                <c:pt idx="34">
                  <c:v>4</c:v>
                </c:pt>
                <c:pt idx="35">
                  <c:v>3</c:v>
                </c:pt>
                <c:pt idx="36">
                  <c:v>2</c:v>
                </c:pt>
                <c:pt idx="37">
                  <c:v>1</c:v>
                </c:pt>
              </c:numCache>
            </c:numRef>
          </c:yVal>
          <c:smooth val="0"/>
          <c:extLst>
            <c:ext xmlns:c15="http://schemas.microsoft.com/office/drawing/2012/chart" uri="{02D57815-91ED-43cb-92C2-25804820EDAC}">
              <c15:datalabelsRange>
                <c15:f>Sheet1!$A$2:$A$39</c15:f>
                <c15:dlblRangeCache>
                  <c:ptCount val="38"/>
                  <c:pt idx="1">
                    <c:v>NSW ---------------</c:v>
                  </c:pt>
                  <c:pt idx="2">
                    <c:v>Bland</c:v>
                  </c:pt>
                  <c:pt idx="3">
                    <c:v>Bourke</c:v>
                  </c:pt>
                  <c:pt idx="4">
                    <c:v>Brewarrina</c:v>
                  </c:pt>
                  <c:pt idx="5">
                    <c:v>Junee</c:v>
                  </c:pt>
                  <c:pt idx="6">
                    <c:v>Walgett</c:v>
                  </c:pt>
                  <c:pt idx="7">
                    <c:v>Wentworth</c:v>
                  </c:pt>
                  <c:pt idx="8">
                    <c:v>NT ---------------</c:v>
                  </c:pt>
                  <c:pt idx="9">
                    <c:v>Alice Springs</c:v>
                  </c:pt>
                  <c:pt idx="10">
                    <c:v>Barkly</c:v>
                  </c:pt>
                  <c:pt idx="11">
                    <c:v>Central Desert</c:v>
                  </c:pt>
                  <c:pt idx="12">
                    <c:v>MacDonnell</c:v>
                  </c:pt>
                  <c:pt idx="13">
                    <c:v>Tiwi Islands</c:v>
                  </c:pt>
                  <c:pt idx="14">
                    <c:v>West Arnhem</c:v>
                  </c:pt>
                  <c:pt idx="15">
                    <c:v>West Daly</c:v>
                  </c:pt>
                  <c:pt idx="16">
                    <c:v>QLD ---------------</c:v>
                  </c:pt>
                  <c:pt idx="17">
                    <c:v>Aurukun</c:v>
                  </c:pt>
                  <c:pt idx="18">
                    <c:v>Carpentaria</c:v>
                  </c:pt>
                  <c:pt idx="19">
                    <c:v>Cloncurry</c:v>
                  </c:pt>
                  <c:pt idx="20">
                    <c:v>Doomadgee</c:v>
                  </c:pt>
                  <c:pt idx="21">
                    <c:v>Goondiwindi</c:v>
                  </c:pt>
                  <c:pt idx="22">
                    <c:v>Mornington</c:v>
                  </c:pt>
                  <c:pt idx="23">
                    <c:v>Palm Island</c:v>
                  </c:pt>
                  <c:pt idx="24">
                    <c:v>Woorabinda</c:v>
                  </c:pt>
                  <c:pt idx="25">
                    <c:v>SA ---------------</c:v>
                  </c:pt>
                  <c:pt idx="26">
                    <c:v>Berri and Barmera</c:v>
                  </c:pt>
                  <c:pt idx="27">
                    <c:v>VIC ---------------</c:v>
                  </c:pt>
                  <c:pt idx="28">
                    <c:v>Ararat</c:v>
                  </c:pt>
                  <c:pt idx="29">
                    <c:v>Bass Coast</c:v>
                  </c:pt>
                  <c:pt idx="30">
                    <c:v>Baw Baw</c:v>
                  </c:pt>
                  <c:pt idx="31">
                    <c:v>East Gippsland</c:v>
                  </c:pt>
                  <c:pt idx="32">
                    <c:v>Latrobe</c:v>
                  </c:pt>
                  <c:pt idx="33">
                    <c:v>South Gippsland</c:v>
                  </c:pt>
                  <c:pt idx="34">
                    <c:v>Wellington</c:v>
                  </c:pt>
                  <c:pt idx="35">
                    <c:v>WA ---------------</c:v>
                  </c:pt>
                  <c:pt idx="36">
                    <c:v>Halls Creek</c:v>
                  </c:pt>
                  <c:pt idx="37">
                    <c:v>Wyndham-East Kimberley</c:v>
                  </c:pt>
                </c15:dlblRangeCache>
              </c15:datalabelsRange>
            </c:ext>
            <c:ext xmlns:c16="http://schemas.microsoft.com/office/drawing/2014/chart" uri="{C3380CC4-5D6E-409C-BE32-E72D297353CC}">
              <c16:uniqueId val="{00000044-82DA-4922-AABB-C4315A323D1D}"/>
            </c:ext>
          </c:extLst>
        </c:ser>
        <c:ser>
          <c:idx val="1"/>
          <c:order val="2"/>
          <c:tx>
            <c:v>Right labels</c:v>
          </c:tx>
          <c:spPr>
            <a:ln w="25400" cap="rnd">
              <a:noFill/>
              <a:round/>
            </a:ln>
            <a:effectLst/>
          </c:spPr>
          <c:marker>
            <c:symbol val="none"/>
          </c:marker>
          <c:dLbls>
            <c:dLbl>
              <c:idx val="0"/>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45-82DA-4922-AABB-C4315A323D1D}"/>
                </c:ext>
              </c:extLst>
            </c:dLbl>
            <c:dLbl>
              <c:idx val="1"/>
              <c:tx>
                <c:rich>
                  <a:bodyPr/>
                  <a:lstStyle/>
                  <a:p>
                    <a:fld id="{11A32C35-2DA7-4343-B9A2-AA3E3EBEB64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82DA-4922-AABB-C4315A323D1D}"/>
                </c:ext>
              </c:extLst>
            </c:dLbl>
            <c:dLbl>
              <c:idx val="2"/>
              <c:tx>
                <c:rich>
                  <a:bodyPr/>
                  <a:lstStyle/>
                  <a:p>
                    <a:fld id="{70FEBF0E-5FBC-4F46-A157-0B89502AB96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82DA-4922-AABB-C4315A323D1D}"/>
                </c:ext>
              </c:extLst>
            </c:dLbl>
            <c:dLbl>
              <c:idx val="3"/>
              <c:tx>
                <c:rich>
                  <a:bodyPr/>
                  <a:lstStyle/>
                  <a:p>
                    <a:fld id="{8B6F4BD0-BF51-47DC-A076-1034B2459B8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82DA-4922-AABB-C4315A323D1D}"/>
                </c:ext>
              </c:extLst>
            </c:dLbl>
            <c:dLbl>
              <c:idx val="4"/>
              <c:tx>
                <c:rich>
                  <a:bodyPr/>
                  <a:lstStyle/>
                  <a:p>
                    <a:fld id="{891D1D1F-8C7D-425C-85E0-A793AB85B59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82DA-4922-AABB-C4315A323D1D}"/>
                </c:ext>
              </c:extLst>
            </c:dLbl>
            <c:dLbl>
              <c:idx val="5"/>
              <c:tx>
                <c:rich>
                  <a:bodyPr/>
                  <a:lstStyle/>
                  <a:p>
                    <a:fld id="{3411C55D-D7C0-4847-96C0-4F61ECB78B8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82DA-4922-AABB-C4315A323D1D}"/>
                </c:ext>
              </c:extLst>
            </c:dLbl>
            <c:dLbl>
              <c:idx val="6"/>
              <c:tx>
                <c:rich>
                  <a:bodyPr/>
                  <a:lstStyle/>
                  <a:p>
                    <a:fld id="{1B971A5E-433D-4024-8429-B6ABDF2559A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82DA-4922-AABB-C4315A323D1D}"/>
                </c:ext>
              </c:extLst>
            </c:dLbl>
            <c:dLbl>
              <c:idx val="7"/>
              <c:tx>
                <c:rich>
                  <a:bodyPr/>
                  <a:lstStyle/>
                  <a:p>
                    <a:fld id="{8E907D21-9223-425D-8906-6FA67256773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82DA-4922-AABB-C4315A323D1D}"/>
                </c:ext>
              </c:extLst>
            </c:dLbl>
            <c:dLbl>
              <c:idx val="8"/>
              <c:tx>
                <c:rich>
                  <a:bodyPr/>
                  <a:lstStyle/>
                  <a:p>
                    <a:fld id="{EDEEFC2C-BD21-42B0-9F4E-21D53884ED9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82DA-4922-AABB-C4315A323D1D}"/>
                </c:ext>
              </c:extLst>
            </c:dLbl>
            <c:dLbl>
              <c:idx val="9"/>
              <c:tx>
                <c:rich>
                  <a:bodyPr/>
                  <a:lstStyle/>
                  <a:p>
                    <a:fld id="{FE3E7C8E-8D33-4BB0-8DC2-04470134D78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82DA-4922-AABB-C4315A323D1D}"/>
                </c:ext>
              </c:extLst>
            </c:dLbl>
            <c:dLbl>
              <c:idx val="10"/>
              <c:tx>
                <c:rich>
                  <a:bodyPr/>
                  <a:lstStyle/>
                  <a:p>
                    <a:fld id="{0B5FF8A1-CC04-4BB4-9757-53155AC2ACC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82DA-4922-AABB-C4315A323D1D}"/>
                </c:ext>
              </c:extLst>
            </c:dLbl>
            <c:dLbl>
              <c:idx val="11"/>
              <c:tx>
                <c:rich>
                  <a:bodyPr/>
                  <a:lstStyle/>
                  <a:p>
                    <a:fld id="{F9E6466D-810E-4175-9434-FF34B576F25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82DA-4922-AABB-C4315A323D1D}"/>
                </c:ext>
              </c:extLst>
            </c:dLbl>
            <c:dLbl>
              <c:idx val="12"/>
              <c:tx>
                <c:rich>
                  <a:bodyPr/>
                  <a:lstStyle/>
                  <a:p>
                    <a:fld id="{5F4D96EE-DE23-4BDD-A680-178B7580FE67}"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82DA-4922-AABB-C4315A323D1D}"/>
                </c:ext>
              </c:extLst>
            </c:dLbl>
            <c:dLbl>
              <c:idx val="13"/>
              <c:tx>
                <c:rich>
                  <a:bodyPr/>
                  <a:lstStyle/>
                  <a:p>
                    <a:fld id="{3C229BF3-ED02-4B4C-BA39-16F82BA35B4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82DA-4922-AABB-C4315A323D1D}"/>
                </c:ext>
              </c:extLst>
            </c:dLbl>
            <c:dLbl>
              <c:idx val="14"/>
              <c:tx>
                <c:rich>
                  <a:bodyPr/>
                  <a:lstStyle/>
                  <a:p>
                    <a:fld id="{3D1ED8C1-05B5-401C-B4A3-6DCEC681F03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82DA-4922-AABB-C4315A323D1D}"/>
                </c:ext>
              </c:extLst>
            </c:dLbl>
            <c:dLbl>
              <c:idx val="15"/>
              <c:tx>
                <c:rich>
                  <a:bodyPr/>
                  <a:lstStyle/>
                  <a:p>
                    <a:fld id="{10E09E10-A25E-4C36-A6F1-6505A007784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82DA-4922-AABB-C4315A323D1D}"/>
                </c:ext>
              </c:extLst>
            </c:dLbl>
            <c:dLbl>
              <c:idx val="16"/>
              <c:tx>
                <c:rich>
                  <a:bodyPr/>
                  <a:lstStyle/>
                  <a:p>
                    <a:fld id="{BF86A443-C070-4284-80A2-9FED35E7EC8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82DA-4922-AABB-C4315A323D1D}"/>
                </c:ext>
              </c:extLst>
            </c:dLbl>
            <c:dLbl>
              <c:idx val="17"/>
              <c:tx>
                <c:rich>
                  <a:bodyPr/>
                  <a:lstStyle/>
                  <a:p>
                    <a:fld id="{581752C4-46E0-4D81-A433-CF40B12FF25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82DA-4922-AABB-C4315A323D1D}"/>
                </c:ext>
              </c:extLst>
            </c:dLbl>
            <c:dLbl>
              <c:idx val="18"/>
              <c:tx>
                <c:rich>
                  <a:bodyPr/>
                  <a:lstStyle/>
                  <a:p>
                    <a:fld id="{1EFC2276-9CF8-4150-87B6-4E3A77A4ABA7}"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82DA-4922-AABB-C4315A323D1D}"/>
                </c:ext>
              </c:extLst>
            </c:dLbl>
            <c:dLbl>
              <c:idx val="19"/>
              <c:tx>
                <c:rich>
                  <a:bodyPr/>
                  <a:lstStyle/>
                  <a:p>
                    <a:fld id="{90FF5287-4402-4874-A26E-311CDD81821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82DA-4922-AABB-C4315A323D1D}"/>
                </c:ext>
              </c:extLst>
            </c:dLbl>
            <c:dLbl>
              <c:idx val="20"/>
              <c:tx>
                <c:rich>
                  <a:bodyPr/>
                  <a:lstStyle/>
                  <a:p>
                    <a:fld id="{4509D040-D399-4783-AC98-85FE8395097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82DA-4922-AABB-C4315A323D1D}"/>
                </c:ext>
              </c:extLst>
            </c:dLbl>
            <c:dLbl>
              <c:idx val="21"/>
              <c:tx>
                <c:rich>
                  <a:bodyPr/>
                  <a:lstStyle/>
                  <a:p>
                    <a:fld id="{AD5C2D38-228A-49A6-820B-B64B1D729567}"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82DA-4922-AABB-C4315A323D1D}"/>
                </c:ext>
              </c:extLst>
            </c:dLbl>
            <c:dLbl>
              <c:idx val="22"/>
              <c:tx>
                <c:rich>
                  <a:bodyPr/>
                  <a:lstStyle/>
                  <a:p>
                    <a:fld id="{DCE210C1-EE6D-4018-BCEF-8D87C86A657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82DA-4922-AABB-C4315A323D1D}"/>
                </c:ext>
              </c:extLst>
            </c:dLbl>
            <c:dLbl>
              <c:idx val="23"/>
              <c:tx>
                <c:rich>
                  <a:bodyPr/>
                  <a:lstStyle/>
                  <a:p>
                    <a:fld id="{6C57BCD1-365D-4664-820A-39F147BC04E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82DA-4922-AABB-C4315A323D1D}"/>
                </c:ext>
              </c:extLst>
            </c:dLbl>
            <c:dLbl>
              <c:idx val="24"/>
              <c:tx>
                <c:rich>
                  <a:bodyPr/>
                  <a:lstStyle/>
                  <a:p>
                    <a:fld id="{554BA668-7CA9-4DFA-B605-D21BBA4FB6F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82DA-4922-AABB-C4315A323D1D}"/>
                </c:ext>
              </c:extLst>
            </c:dLbl>
            <c:dLbl>
              <c:idx val="25"/>
              <c:tx>
                <c:rich>
                  <a:bodyPr/>
                  <a:lstStyle/>
                  <a:p>
                    <a:fld id="{D9B449FB-1809-4299-8921-AF187F5AF94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82DA-4922-AABB-C4315A323D1D}"/>
                </c:ext>
              </c:extLst>
            </c:dLbl>
            <c:dLbl>
              <c:idx val="26"/>
              <c:tx>
                <c:rich>
                  <a:bodyPr/>
                  <a:lstStyle/>
                  <a:p>
                    <a:fld id="{299E1CCE-538A-4888-81CE-D7D9196B34A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82DA-4922-AABB-C4315A323D1D}"/>
                </c:ext>
              </c:extLst>
            </c:dLbl>
            <c:dLbl>
              <c:idx val="27"/>
              <c:tx>
                <c:rich>
                  <a:bodyPr/>
                  <a:lstStyle/>
                  <a:p>
                    <a:fld id="{188B0F12-E8F7-4276-A4B7-140C8F715B8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82DA-4922-AABB-C4315A323D1D}"/>
                </c:ext>
              </c:extLst>
            </c:dLbl>
            <c:dLbl>
              <c:idx val="28"/>
              <c:tx>
                <c:rich>
                  <a:bodyPr/>
                  <a:lstStyle/>
                  <a:p>
                    <a:fld id="{A643D4F5-64AB-43B5-852E-9E786F2D5E1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82DA-4922-AABB-C4315A323D1D}"/>
                </c:ext>
              </c:extLst>
            </c:dLbl>
            <c:dLbl>
              <c:idx val="29"/>
              <c:tx>
                <c:rich>
                  <a:bodyPr/>
                  <a:lstStyle/>
                  <a:p>
                    <a:fld id="{02228656-85C2-4289-AE0D-887B6E32C74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82DA-4922-AABB-C4315A323D1D}"/>
                </c:ext>
              </c:extLst>
            </c:dLbl>
            <c:dLbl>
              <c:idx val="30"/>
              <c:tx>
                <c:rich>
                  <a:bodyPr/>
                  <a:lstStyle/>
                  <a:p>
                    <a:fld id="{2558C6EF-6231-4E03-9C28-B41B166B5BA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82DA-4922-AABB-C4315A323D1D}"/>
                </c:ext>
              </c:extLst>
            </c:dLbl>
            <c:dLbl>
              <c:idx val="31"/>
              <c:tx>
                <c:rich>
                  <a:bodyPr/>
                  <a:lstStyle/>
                  <a:p>
                    <a:fld id="{2580192A-D83D-407A-AC79-C4237E57073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82DA-4922-AABB-C4315A323D1D}"/>
                </c:ext>
              </c:extLst>
            </c:dLbl>
            <c:dLbl>
              <c:idx val="32"/>
              <c:tx>
                <c:rich>
                  <a:bodyPr/>
                  <a:lstStyle/>
                  <a:p>
                    <a:fld id="{B6ED6A46-8C59-4AB3-8C78-9F421FB2F90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5-82DA-4922-AABB-C4315A323D1D}"/>
                </c:ext>
              </c:extLst>
            </c:dLbl>
            <c:dLbl>
              <c:idx val="33"/>
              <c:tx>
                <c:rich>
                  <a:bodyPr/>
                  <a:lstStyle/>
                  <a:p>
                    <a:fld id="{3F54472C-FC3C-49FD-802B-AE8BB310D01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82DA-4922-AABB-C4315A323D1D}"/>
                </c:ext>
              </c:extLst>
            </c:dLbl>
            <c:dLbl>
              <c:idx val="34"/>
              <c:tx>
                <c:rich>
                  <a:bodyPr/>
                  <a:lstStyle/>
                  <a:p>
                    <a:fld id="{8D105919-875E-456C-BA1D-7C07B0E6061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82DA-4922-AABB-C4315A323D1D}"/>
                </c:ext>
              </c:extLst>
            </c:dLbl>
            <c:dLbl>
              <c:idx val="35"/>
              <c:tx>
                <c:rich>
                  <a:bodyPr/>
                  <a:lstStyle/>
                  <a:p>
                    <a:fld id="{DE33E286-7973-48EE-9AD3-40C49D04A81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8-82DA-4922-AABB-C4315A323D1D}"/>
                </c:ext>
              </c:extLst>
            </c:dLbl>
            <c:dLbl>
              <c:idx val="36"/>
              <c:tx>
                <c:rich>
                  <a:bodyPr/>
                  <a:lstStyle/>
                  <a:p>
                    <a:fld id="{97F5FCC6-8C3B-478F-BF6E-E6B5056C6A2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9-82DA-4922-AABB-C4315A323D1D}"/>
                </c:ext>
              </c:extLst>
            </c:dLbl>
            <c:dLbl>
              <c:idx val="37"/>
              <c:tx>
                <c:rich>
                  <a:bodyPr/>
                  <a:lstStyle/>
                  <a:p>
                    <a:fld id="{FC86C814-7825-4293-B206-FF4EDEDD88B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A-82DA-4922-AABB-C4315A323D1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Sheet1!$I$2:$I$39</c:f>
              <c:numCache>
                <c:formatCode>General</c:formatCode>
                <c:ptCount val="38"/>
                <c:pt idx="0">
                  <c:v>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numCache>
            </c:numRef>
          </c:xVal>
          <c:yVal>
            <c:numRef>
              <c:f>Sheet1!$G$2:$G$39</c:f>
              <c:numCache>
                <c:formatCode>General</c:formatCode>
                <c:ptCount val="38"/>
                <c:pt idx="1">
                  <c:v>37</c:v>
                </c:pt>
                <c:pt idx="2">
                  <c:v>36</c:v>
                </c:pt>
                <c:pt idx="3">
                  <c:v>35</c:v>
                </c:pt>
                <c:pt idx="4">
                  <c:v>34</c:v>
                </c:pt>
                <c:pt idx="5">
                  <c:v>33</c:v>
                </c:pt>
                <c:pt idx="6">
                  <c:v>32</c:v>
                </c:pt>
                <c:pt idx="7">
                  <c:v>31</c:v>
                </c:pt>
                <c:pt idx="8">
                  <c:v>30</c:v>
                </c:pt>
                <c:pt idx="9">
                  <c:v>29</c:v>
                </c:pt>
                <c:pt idx="10">
                  <c:v>28</c:v>
                </c:pt>
                <c:pt idx="11">
                  <c:v>27</c:v>
                </c:pt>
                <c:pt idx="12">
                  <c:v>26</c:v>
                </c:pt>
                <c:pt idx="13">
                  <c:v>25</c:v>
                </c:pt>
                <c:pt idx="14">
                  <c:v>24</c:v>
                </c:pt>
                <c:pt idx="15">
                  <c:v>23</c:v>
                </c:pt>
                <c:pt idx="16">
                  <c:v>22</c:v>
                </c:pt>
                <c:pt idx="17">
                  <c:v>21</c:v>
                </c:pt>
                <c:pt idx="18">
                  <c:v>20</c:v>
                </c:pt>
                <c:pt idx="19">
                  <c:v>19</c:v>
                </c:pt>
                <c:pt idx="20">
                  <c:v>18</c:v>
                </c:pt>
                <c:pt idx="21">
                  <c:v>17</c:v>
                </c:pt>
                <c:pt idx="22">
                  <c:v>16</c:v>
                </c:pt>
                <c:pt idx="23">
                  <c:v>15</c:v>
                </c:pt>
                <c:pt idx="24">
                  <c:v>14</c:v>
                </c:pt>
                <c:pt idx="25">
                  <c:v>13</c:v>
                </c:pt>
                <c:pt idx="26">
                  <c:v>12</c:v>
                </c:pt>
                <c:pt idx="27">
                  <c:v>11</c:v>
                </c:pt>
                <c:pt idx="28">
                  <c:v>10</c:v>
                </c:pt>
                <c:pt idx="29">
                  <c:v>9</c:v>
                </c:pt>
                <c:pt idx="30">
                  <c:v>8</c:v>
                </c:pt>
                <c:pt idx="31">
                  <c:v>7</c:v>
                </c:pt>
                <c:pt idx="32">
                  <c:v>6</c:v>
                </c:pt>
                <c:pt idx="33">
                  <c:v>5</c:v>
                </c:pt>
                <c:pt idx="34">
                  <c:v>4</c:v>
                </c:pt>
                <c:pt idx="35">
                  <c:v>3</c:v>
                </c:pt>
                <c:pt idx="36">
                  <c:v>2</c:v>
                </c:pt>
                <c:pt idx="37">
                  <c:v>1</c:v>
                </c:pt>
              </c:numCache>
            </c:numRef>
          </c:yVal>
          <c:smooth val="0"/>
          <c:extLst>
            <c:ext xmlns:c15="http://schemas.microsoft.com/office/drawing/2012/chart" uri="{02D57815-91ED-43cb-92C2-25804820EDAC}">
              <c15:datalabelsRange>
                <c15:f>Sheet1!$J$2:$J$39</c15:f>
                <c15:dlblRangeCache>
                  <c:ptCount val="38"/>
                  <c:pt idx="1">
                    <c:v> ----------------------</c:v>
                  </c:pt>
                  <c:pt idx="2">
                    <c:v>0.14 ± 2.93</c:v>
                  </c:pt>
                  <c:pt idx="3">
                    <c:v>0.33 ± 3.53</c:v>
                  </c:pt>
                  <c:pt idx="4">
                    <c:v>-0.59 ± 3.67</c:v>
                  </c:pt>
                  <c:pt idx="5">
                    <c:v>0.2 ± 2.78</c:v>
                  </c:pt>
                  <c:pt idx="6">
                    <c:v>0.72 ± 3.57</c:v>
                  </c:pt>
                  <c:pt idx="7">
                    <c:v>0.35 ± 3.68</c:v>
                  </c:pt>
                  <c:pt idx="8">
                    <c:v> ----------------------</c:v>
                  </c:pt>
                  <c:pt idx="9">
                    <c:v>0.63 ± 3.61</c:v>
                  </c:pt>
                  <c:pt idx="10">
                    <c:v>0.15 ± 3.98</c:v>
                  </c:pt>
                  <c:pt idx="11">
                    <c:v>0.79 ± 3.6</c:v>
                  </c:pt>
                  <c:pt idx="12">
                    <c:v>0.22 ± 3.49</c:v>
                  </c:pt>
                  <c:pt idx="13">
                    <c:v>0.32 ± 4.75</c:v>
                  </c:pt>
                  <c:pt idx="14">
                    <c:v>-0.14 ± 3.59</c:v>
                  </c:pt>
                  <c:pt idx="15">
                    <c:v>0.69 ± 5.27</c:v>
                  </c:pt>
                  <c:pt idx="16">
                    <c:v> ----------------------</c:v>
                  </c:pt>
                  <c:pt idx="17">
                    <c:v>-0.96 ± 5.33</c:v>
                  </c:pt>
                  <c:pt idx="18">
                    <c:v>-0.19 ± 3.31</c:v>
                  </c:pt>
                  <c:pt idx="19">
                    <c:v>0.29 ± 3.73</c:v>
                  </c:pt>
                  <c:pt idx="20">
                    <c:v>1.02 ± 3.95</c:v>
                  </c:pt>
                  <c:pt idx="21">
                    <c:v>0.12 ± 3.44</c:v>
                  </c:pt>
                  <c:pt idx="22">
                    <c:v>3.69 ± 3.99</c:v>
                  </c:pt>
                  <c:pt idx="23">
                    <c:v>1.24 ± 3.39</c:v>
                  </c:pt>
                  <c:pt idx="24">
                    <c:v>3.04 ± 4.56</c:v>
                  </c:pt>
                  <c:pt idx="25">
                    <c:v> ----------------------</c:v>
                  </c:pt>
                  <c:pt idx="26">
                    <c:v>0.29 ± 2.97</c:v>
                  </c:pt>
                  <c:pt idx="27">
                    <c:v> ----------------------</c:v>
                  </c:pt>
                  <c:pt idx="28">
                    <c:v>-0.21 ± 3.8</c:v>
                  </c:pt>
                  <c:pt idx="29">
                    <c:v>0.13 ± 3.5</c:v>
                  </c:pt>
                  <c:pt idx="30">
                    <c:v>0.37 ± 3.32</c:v>
                  </c:pt>
                  <c:pt idx="31">
                    <c:v>0.37 ± 3.24</c:v>
                  </c:pt>
                  <c:pt idx="32">
                    <c:v>0.22 ± 3.44</c:v>
                  </c:pt>
                  <c:pt idx="33">
                    <c:v>0.32 ± 3.67</c:v>
                  </c:pt>
                  <c:pt idx="34">
                    <c:v>0.55 ± 3.23</c:v>
                  </c:pt>
                  <c:pt idx="35">
                    <c:v> ----------------------</c:v>
                  </c:pt>
                  <c:pt idx="36">
                    <c:v>-1.68 ± 4.31</c:v>
                  </c:pt>
                  <c:pt idx="37">
                    <c:v>0.32 ± 5.3</c:v>
                  </c:pt>
                </c15:dlblRangeCache>
              </c15:datalabelsRange>
            </c:ext>
            <c:ext xmlns:c16="http://schemas.microsoft.com/office/drawing/2014/chart" uri="{C3380CC4-5D6E-409C-BE32-E72D297353CC}">
              <c16:uniqueId val="{0000006B-82DA-4922-AABB-C4315A323D1D}"/>
            </c:ext>
          </c:extLst>
        </c:ser>
        <c:dLbls>
          <c:dLblPos val="r"/>
          <c:showLegendKey val="0"/>
          <c:showVal val="1"/>
          <c:showCatName val="0"/>
          <c:showSerName val="0"/>
          <c:showPercent val="0"/>
          <c:showBubbleSize val="0"/>
        </c:dLbls>
        <c:axId val="848893584"/>
        <c:axId val="848895664"/>
      </c:scatterChart>
      <c:valAx>
        <c:axId val="848893584"/>
        <c:scaling>
          <c:orientation val="minMax"/>
          <c:max val="10"/>
          <c:min val="-10"/>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Change in participant/provider</a:t>
                </a:r>
                <a:r>
                  <a:rPr lang="en-AU" sz="800" b="1" baseline="0">
                    <a:solidFill>
                      <a:sysClr val="windowText" lastClr="000000"/>
                    </a:solidFill>
                  </a:rPr>
                  <a:t> ratio</a:t>
                </a:r>
                <a:endParaRPr lang="en-AU" sz="800" b="1">
                  <a:solidFill>
                    <a:sysClr val="windowText" lastClr="000000"/>
                  </a:solidFill>
                </a:endParaRPr>
              </a:p>
            </c:rich>
          </c:tx>
          <c:layout>
            <c:manualLayout>
              <c:xMode val="edge"/>
              <c:yMode val="edge"/>
              <c:x val="0.33609569888101337"/>
              <c:y val="0.96707818930041156"/>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majorUnit val="2"/>
      </c:valAx>
      <c:valAx>
        <c:axId val="848895664"/>
        <c:scaling>
          <c:orientation val="minMax"/>
          <c:max val="37"/>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5"/>
          <c:order val="5"/>
          <c:tx>
            <c:strRef>
              <c:f>Sheet1!$C$1</c:f>
              <c:strCache>
                <c:ptCount val="1"/>
                <c:pt idx="0">
                  <c:v>Providers Gini</c:v>
                </c:pt>
              </c:strCache>
            </c:strRef>
          </c:tx>
          <c:spPr>
            <a:ln w="19050" cap="rnd">
              <a:solidFill>
                <a:schemeClr val="tx2"/>
              </a:solidFill>
              <a:round/>
            </a:ln>
            <a:effectLst/>
          </c:spPr>
          <c:marker>
            <c:symbol val="circle"/>
            <c:size val="5"/>
            <c:spPr>
              <a:solidFill>
                <a:schemeClr val="tx2"/>
              </a:solidFill>
              <a:ln w="9525">
                <a:noFill/>
              </a:ln>
              <a:effectLst/>
            </c:spPr>
          </c:marker>
          <c:cat>
            <c:numRef>
              <c:f>Sheet1!$B$2:$B$22</c:f>
              <c:numCache>
                <c:formatCode>General</c:formatCode>
                <c:ptCount val="9"/>
                <c:pt idx="0">
                  <c:v>-12</c:v>
                </c:pt>
                <c:pt idx="1">
                  <c:v>-9</c:v>
                </c:pt>
                <c:pt idx="2">
                  <c:v>-6</c:v>
                </c:pt>
                <c:pt idx="3">
                  <c:v>-3</c:v>
                </c:pt>
                <c:pt idx="4">
                  <c:v>0</c:v>
                </c:pt>
                <c:pt idx="5">
                  <c:v>3</c:v>
                </c:pt>
                <c:pt idx="6">
                  <c:v>6</c:v>
                </c:pt>
                <c:pt idx="7">
                  <c:v>9</c:v>
                </c:pt>
                <c:pt idx="8">
                  <c:v>12</c:v>
                </c:pt>
              </c:numCache>
              <c:extLst/>
            </c:numRef>
          </c:cat>
          <c:val>
            <c:numRef>
              <c:f>Sheet1!$C$2:$C$22</c:f>
              <c:numCache>
                <c:formatCode>#,##0.00</c:formatCode>
                <c:ptCount val="9"/>
                <c:pt idx="0">
                  <c:v>0.72407299999999997</c:v>
                </c:pt>
                <c:pt idx="1">
                  <c:v>0.70386599999999999</c:v>
                </c:pt>
                <c:pt idx="2">
                  <c:v>0.69174999999999998</c:v>
                </c:pt>
                <c:pt idx="3">
                  <c:v>0.71912799999999999</c:v>
                </c:pt>
                <c:pt idx="4">
                  <c:v>0.71113000000000004</c:v>
                </c:pt>
                <c:pt idx="5">
                  <c:v>0.72377999999999998</c:v>
                </c:pt>
                <c:pt idx="6">
                  <c:v>0.75542600000000004</c:v>
                </c:pt>
                <c:pt idx="7">
                  <c:v>0.75588699999999998</c:v>
                </c:pt>
                <c:pt idx="8">
                  <c:v>0.73096899999999998</c:v>
                </c:pt>
              </c:numCache>
              <c:extLst/>
            </c:numRef>
          </c:val>
          <c:smooth val="0"/>
          <c:extLst>
            <c:ext xmlns:c16="http://schemas.microsoft.com/office/drawing/2014/chart" uri="{C3380CC4-5D6E-409C-BE32-E72D297353CC}">
              <c16:uniqueId val="{00000005-BED2-4E33-851A-51E1FB25A460}"/>
            </c:ext>
          </c:extLst>
        </c:ser>
        <c:ser>
          <c:idx val="6"/>
          <c:order val="6"/>
          <c:tx>
            <c:strRef>
              <c:f>Sheet1!$D$1</c:f>
              <c:strCache>
                <c:ptCount val="1"/>
                <c:pt idx="0">
                  <c:v>Participants Gini</c:v>
                </c:pt>
              </c:strCache>
            </c:strRef>
          </c:tx>
          <c:spPr>
            <a:ln w="19050" cap="rnd">
              <a:solidFill>
                <a:schemeClr val="bg2"/>
              </a:solidFill>
              <a:round/>
            </a:ln>
            <a:effectLst/>
          </c:spPr>
          <c:marker>
            <c:symbol val="circle"/>
            <c:size val="5"/>
            <c:spPr>
              <a:solidFill>
                <a:schemeClr val="bg2"/>
              </a:solidFill>
              <a:ln w="9525">
                <a:noFill/>
              </a:ln>
              <a:effectLst/>
            </c:spPr>
          </c:marker>
          <c:cat>
            <c:numRef>
              <c:f>Sheet1!$B$2:$B$22</c:f>
              <c:numCache>
                <c:formatCode>General</c:formatCode>
                <c:ptCount val="9"/>
                <c:pt idx="0">
                  <c:v>-12</c:v>
                </c:pt>
                <c:pt idx="1">
                  <c:v>-9</c:v>
                </c:pt>
                <c:pt idx="2">
                  <c:v>-6</c:v>
                </c:pt>
                <c:pt idx="3">
                  <c:v>-3</c:v>
                </c:pt>
                <c:pt idx="4">
                  <c:v>0</c:v>
                </c:pt>
                <c:pt idx="5">
                  <c:v>3</c:v>
                </c:pt>
                <c:pt idx="6">
                  <c:v>6</c:v>
                </c:pt>
                <c:pt idx="7">
                  <c:v>9</c:v>
                </c:pt>
                <c:pt idx="8">
                  <c:v>12</c:v>
                </c:pt>
              </c:numCache>
              <c:extLst/>
            </c:numRef>
          </c:cat>
          <c:val>
            <c:numRef>
              <c:f>Sheet1!$D$2:$D$22</c:f>
              <c:numCache>
                <c:formatCode>#,##0.00</c:formatCode>
                <c:ptCount val="9"/>
                <c:pt idx="0">
                  <c:v>0.59766300000000006</c:v>
                </c:pt>
                <c:pt idx="1">
                  <c:v>0.59340000000000004</c:v>
                </c:pt>
                <c:pt idx="2">
                  <c:v>0.60428400000000004</c:v>
                </c:pt>
                <c:pt idx="3">
                  <c:v>0.61669099999999999</c:v>
                </c:pt>
                <c:pt idx="4">
                  <c:v>0.60040499999999997</c:v>
                </c:pt>
                <c:pt idx="5">
                  <c:v>0.63541599999999998</c:v>
                </c:pt>
                <c:pt idx="6">
                  <c:v>0.62581799999999999</c:v>
                </c:pt>
                <c:pt idx="7">
                  <c:v>0.63941000000000003</c:v>
                </c:pt>
                <c:pt idx="8">
                  <c:v>0.62974399999999997</c:v>
                </c:pt>
              </c:numCache>
              <c:extLst/>
            </c:numRef>
          </c:val>
          <c:smooth val="0"/>
          <c:extLst>
            <c:ext xmlns:c16="http://schemas.microsoft.com/office/drawing/2014/chart" uri="{C3380CC4-5D6E-409C-BE32-E72D297353CC}">
              <c16:uniqueId val="{00000006-BED2-4E33-851A-51E1FB25A460}"/>
            </c:ext>
          </c:extLst>
        </c:ser>
        <c:dLbls>
          <c:showLegendKey val="0"/>
          <c:showVal val="0"/>
          <c:showCatName val="0"/>
          <c:showSerName val="0"/>
          <c:showPercent val="0"/>
          <c:showBubbleSize val="0"/>
        </c:dLbls>
        <c:marker val="1"/>
        <c:smooth val="0"/>
        <c:axId val="180892960"/>
        <c:axId val="180894624"/>
        <c:extLst>
          <c:ext xmlns:c15="http://schemas.microsoft.com/office/drawing/2012/chart" uri="{02D57815-91ED-43cb-92C2-25804820EDAC}">
            <c15:filteredLineSeries>
              <c15:ser>
                <c:idx val="0"/>
                <c:order val="0"/>
                <c:tx>
                  <c:strRef>
                    <c:extLst>
                      <c:ext uri="{02D57815-91ED-43cb-92C2-25804820EDAC}">
                        <c15:formulaRef>
                          <c15:sqref>Sheet1!$B$1</c15:sqref>
                        </c15:formulaRef>
                      </c:ext>
                    </c:extLst>
                    <c:strCache>
                      <c:ptCount val="1"/>
                      <c:pt idx="0">
                        <c:v>Months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Sheet1!$B$2:$B$22</c15:sqref>
                        </c15:formulaRef>
                      </c:ext>
                    </c:extLst>
                    <c:numCache>
                      <c:formatCode>General</c:formatCode>
                      <c:ptCount val="9"/>
                      <c:pt idx="0">
                        <c:v>-12</c:v>
                      </c:pt>
                      <c:pt idx="1">
                        <c:v>-9</c:v>
                      </c:pt>
                      <c:pt idx="2">
                        <c:v>-6</c:v>
                      </c:pt>
                      <c:pt idx="3">
                        <c:v>-3</c:v>
                      </c:pt>
                      <c:pt idx="4">
                        <c:v>0</c:v>
                      </c:pt>
                      <c:pt idx="5">
                        <c:v>3</c:v>
                      </c:pt>
                      <c:pt idx="6">
                        <c:v>6</c:v>
                      </c:pt>
                      <c:pt idx="7">
                        <c:v>9</c:v>
                      </c:pt>
                      <c:pt idx="8">
                        <c:v>12</c:v>
                      </c:pt>
                    </c:numCache>
                  </c:numRef>
                </c:cat>
                <c:val>
                  <c:numRef>
                    <c:extLst>
                      <c:ext uri="{02D57815-91ED-43cb-92C2-25804820EDAC}">
                        <c15:formulaRef>
                          <c15:sqref>Sheet1!$B$2:$B$22</c15:sqref>
                        </c15:formulaRef>
                      </c:ext>
                    </c:extLst>
                    <c:numCache>
                      <c:formatCode>General</c:formatCode>
                      <c:ptCount val="9"/>
                      <c:pt idx="0">
                        <c:v>-12</c:v>
                      </c:pt>
                      <c:pt idx="1">
                        <c:v>-9</c:v>
                      </c:pt>
                      <c:pt idx="2">
                        <c:v>-6</c:v>
                      </c:pt>
                      <c:pt idx="3">
                        <c:v>-3</c:v>
                      </c:pt>
                      <c:pt idx="4">
                        <c:v>0</c:v>
                      </c:pt>
                      <c:pt idx="5">
                        <c:v>3</c:v>
                      </c:pt>
                      <c:pt idx="6">
                        <c:v>6</c:v>
                      </c:pt>
                      <c:pt idx="7">
                        <c:v>9</c:v>
                      </c:pt>
                      <c:pt idx="8">
                        <c:v>12</c:v>
                      </c:pt>
                    </c:numCache>
                  </c:numRef>
                </c:val>
                <c:smooth val="1"/>
                <c:extLst>
                  <c:ext xmlns:c16="http://schemas.microsoft.com/office/drawing/2014/chart" uri="{C3380CC4-5D6E-409C-BE32-E72D297353CC}">
                    <c16:uniqueId val="{00000000-BED2-4E33-851A-51E1FB25A46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Sheet1!#REF!</c15:sqref>
                        </c15:formulaRef>
                      </c:ext>
                    </c:extLst>
                    <c:strCache>
                      <c:ptCount val="1"/>
                      <c:pt idx="0">
                        <c:v>#REF!</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cat>
                  <c:numRef>
                    <c:extLst xmlns:c15="http://schemas.microsoft.com/office/drawing/2012/chart">
                      <c:ext xmlns:c15="http://schemas.microsoft.com/office/drawing/2012/chart" uri="{02D57815-91ED-43cb-92C2-25804820EDAC}">
                        <c15:formulaRef>
                          <c15:sqref>Sheet1!$B$2:$B$22</c15:sqref>
                        </c15:formulaRef>
                      </c:ext>
                    </c:extLst>
                    <c:numCache>
                      <c:formatCode>General</c:formatCode>
                      <c:ptCount val="20"/>
                      <c:pt idx="0">
                        <c:v>-30</c:v>
                      </c:pt>
                      <c:pt idx="1">
                        <c:v>-27</c:v>
                      </c:pt>
                      <c:pt idx="2">
                        <c:v>-24</c:v>
                      </c:pt>
                      <c:pt idx="3">
                        <c:v>-21</c:v>
                      </c:pt>
                      <c:pt idx="4">
                        <c:v>-18</c:v>
                      </c:pt>
                      <c:pt idx="5">
                        <c:v>-15</c:v>
                      </c:pt>
                      <c:pt idx="6">
                        <c:v>-12</c:v>
                      </c:pt>
                      <c:pt idx="7">
                        <c:v>-9</c:v>
                      </c:pt>
                      <c:pt idx="8">
                        <c:v>-6</c:v>
                      </c:pt>
                      <c:pt idx="9">
                        <c:v>-3</c:v>
                      </c:pt>
                      <c:pt idx="10">
                        <c:v>0</c:v>
                      </c:pt>
                      <c:pt idx="11">
                        <c:v>3</c:v>
                      </c:pt>
                      <c:pt idx="12">
                        <c:v>6</c:v>
                      </c:pt>
                      <c:pt idx="13">
                        <c:v>9</c:v>
                      </c:pt>
                      <c:pt idx="14">
                        <c:v>12</c:v>
                      </c:pt>
                      <c:pt idx="15">
                        <c:v>15</c:v>
                      </c:pt>
                      <c:pt idx="16">
                        <c:v>18</c:v>
                      </c:pt>
                      <c:pt idx="17">
                        <c:v>21</c:v>
                      </c:pt>
                      <c:pt idx="18">
                        <c:v>24</c:v>
                      </c:pt>
                      <c:pt idx="19">
                        <c:v>27</c:v>
                      </c:pt>
                    </c:numCache>
                  </c:numRef>
                </c:cat>
                <c:val>
                  <c:numRef>
                    <c:extLst xmlns:c15="http://schemas.microsoft.com/office/drawing/2012/chart">
                      <c:ext xmlns:c15="http://schemas.microsoft.com/office/drawing/2012/chart" uri="{02D57815-91ED-43cb-92C2-25804820EDAC}">
                        <c15:formulaRef>
                          <c15:sqref>Sheet1!#REF!</c15:sqref>
                        </c15:formulaRef>
                      </c:ext>
                    </c:extLst>
                  </c:numRef>
                </c:val>
                <c:smooth val="0"/>
                <c:extLst xmlns:c15="http://schemas.microsoft.com/office/drawing/2012/chart">
                  <c:ext xmlns:c16="http://schemas.microsoft.com/office/drawing/2014/chart" uri="{C3380CC4-5D6E-409C-BE32-E72D297353CC}">
                    <c16:uniqueId val="{00000001-BED2-4E33-851A-51E1FB25A46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Sheet1!#REF!</c15:sqref>
                        </c15:formulaRef>
                      </c:ext>
                    </c:extLst>
                    <c:strCache>
                      <c:ptCount val="1"/>
                      <c:pt idx="0">
                        <c:v>#REF!</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cat>
                  <c:numRef>
                    <c:extLst xmlns:c15="http://schemas.microsoft.com/office/drawing/2012/chart">
                      <c:ext xmlns:c15="http://schemas.microsoft.com/office/drawing/2012/chart" uri="{02D57815-91ED-43cb-92C2-25804820EDAC}">
                        <c15:formulaRef>
                          <c15:sqref>Sheet1!$B$2:$B$22</c15:sqref>
                        </c15:formulaRef>
                      </c:ext>
                    </c:extLst>
                    <c:numCache>
                      <c:formatCode>General</c:formatCode>
                      <c:ptCount val="20"/>
                      <c:pt idx="0">
                        <c:v>-30</c:v>
                      </c:pt>
                      <c:pt idx="1">
                        <c:v>-27</c:v>
                      </c:pt>
                      <c:pt idx="2">
                        <c:v>-24</c:v>
                      </c:pt>
                      <c:pt idx="3">
                        <c:v>-21</c:v>
                      </c:pt>
                      <c:pt idx="4">
                        <c:v>-18</c:v>
                      </c:pt>
                      <c:pt idx="5">
                        <c:v>-15</c:v>
                      </c:pt>
                      <c:pt idx="6">
                        <c:v>-12</c:v>
                      </c:pt>
                      <c:pt idx="7">
                        <c:v>-9</c:v>
                      </c:pt>
                      <c:pt idx="8">
                        <c:v>-6</c:v>
                      </c:pt>
                      <c:pt idx="9">
                        <c:v>-3</c:v>
                      </c:pt>
                      <c:pt idx="10">
                        <c:v>0</c:v>
                      </c:pt>
                      <c:pt idx="11">
                        <c:v>3</c:v>
                      </c:pt>
                      <c:pt idx="12">
                        <c:v>6</c:v>
                      </c:pt>
                      <c:pt idx="13">
                        <c:v>9</c:v>
                      </c:pt>
                      <c:pt idx="14">
                        <c:v>12</c:v>
                      </c:pt>
                      <c:pt idx="15">
                        <c:v>15</c:v>
                      </c:pt>
                      <c:pt idx="16">
                        <c:v>18</c:v>
                      </c:pt>
                      <c:pt idx="17">
                        <c:v>21</c:v>
                      </c:pt>
                      <c:pt idx="18">
                        <c:v>24</c:v>
                      </c:pt>
                      <c:pt idx="19">
                        <c:v>27</c:v>
                      </c:pt>
                    </c:numCache>
                  </c:numRef>
                </c:cat>
                <c:val>
                  <c:numRef>
                    <c:extLst xmlns:c15="http://schemas.microsoft.com/office/drawing/2012/chart">
                      <c:ext xmlns:c15="http://schemas.microsoft.com/office/drawing/2012/chart" uri="{02D57815-91ED-43cb-92C2-25804820EDAC}">
                        <c15:formulaRef>
                          <c15:sqref>Sheet1!#REF!</c15:sqref>
                        </c15:formulaRef>
                      </c:ext>
                    </c:extLst>
                  </c:numRef>
                </c:val>
                <c:smooth val="0"/>
                <c:extLst xmlns:c15="http://schemas.microsoft.com/office/drawing/2012/chart">
                  <c:ext xmlns:c16="http://schemas.microsoft.com/office/drawing/2014/chart" uri="{C3380CC4-5D6E-409C-BE32-E72D297353CC}">
                    <c16:uniqueId val="{00000002-BED2-4E33-851A-51E1FB25A46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Sheet1!$E$1</c15:sqref>
                        </c15:formulaRef>
                      </c:ext>
                    </c:extLst>
                    <c:strCache>
                      <c:ptCount val="1"/>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cat>
                  <c:numRef>
                    <c:extLst xmlns:c15="http://schemas.microsoft.com/office/drawing/2012/chart">
                      <c:ext xmlns:c15="http://schemas.microsoft.com/office/drawing/2012/chart" uri="{02D57815-91ED-43cb-92C2-25804820EDAC}">
                        <c15:formulaRef>
                          <c15:sqref>Sheet1!$B$2:$B$22</c15:sqref>
                        </c15:formulaRef>
                      </c:ext>
                    </c:extLst>
                    <c:numCache>
                      <c:formatCode>General</c:formatCode>
                      <c:ptCount val="9"/>
                      <c:pt idx="0">
                        <c:v>-12</c:v>
                      </c:pt>
                      <c:pt idx="1">
                        <c:v>-9</c:v>
                      </c:pt>
                      <c:pt idx="2">
                        <c:v>-6</c:v>
                      </c:pt>
                      <c:pt idx="3">
                        <c:v>-3</c:v>
                      </c:pt>
                      <c:pt idx="4">
                        <c:v>0</c:v>
                      </c:pt>
                      <c:pt idx="5">
                        <c:v>3</c:v>
                      </c:pt>
                      <c:pt idx="6">
                        <c:v>6</c:v>
                      </c:pt>
                      <c:pt idx="7">
                        <c:v>9</c:v>
                      </c:pt>
                      <c:pt idx="8">
                        <c:v>12</c:v>
                      </c:pt>
                    </c:numCache>
                  </c:numRef>
                </c:cat>
                <c:val>
                  <c:numRef>
                    <c:extLst xmlns:c15="http://schemas.microsoft.com/office/drawing/2012/chart">
                      <c:ext xmlns:c15="http://schemas.microsoft.com/office/drawing/2012/chart" uri="{02D57815-91ED-43cb-92C2-25804820EDAC}">
                        <c15:formulaRef>
                          <c15:sqref>Sheet1!$E$2:$E$22</c15:sqref>
                        </c15:formulaRef>
                      </c:ext>
                    </c:extLst>
                    <c:numCache>
                      <c:formatCode>General</c:formatCode>
                      <c:ptCount val="9"/>
                    </c:numCache>
                  </c:numRef>
                </c:val>
                <c:smooth val="0"/>
                <c:extLst xmlns:c15="http://schemas.microsoft.com/office/drawing/2012/chart">
                  <c:ext xmlns:c16="http://schemas.microsoft.com/office/drawing/2014/chart" uri="{C3380CC4-5D6E-409C-BE32-E72D297353CC}">
                    <c16:uniqueId val="{00000003-BED2-4E33-851A-51E1FB25A46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Sheet1!$F$1</c15:sqref>
                        </c15:formulaRef>
                      </c:ext>
                    </c:extLst>
                    <c:strCache>
                      <c:ptCount val="1"/>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cat>
                  <c:numRef>
                    <c:extLst xmlns:c15="http://schemas.microsoft.com/office/drawing/2012/chart">
                      <c:ext xmlns:c15="http://schemas.microsoft.com/office/drawing/2012/chart" uri="{02D57815-91ED-43cb-92C2-25804820EDAC}">
                        <c15:formulaRef>
                          <c15:sqref>Sheet1!$B$2:$B$22</c15:sqref>
                        </c15:formulaRef>
                      </c:ext>
                    </c:extLst>
                    <c:numCache>
                      <c:formatCode>General</c:formatCode>
                      <c:ptCount val="9"/>
                      <c:pt idx="0">
                        <c:v>-12</c:v>
                      </c:pt>
                      <c:pt idx="1">
                        <c:v>-9</c:v>
                      </c:pt>
                      <c:pt idx="2">
                        <c:v>-6</c:v>
                      </c:pt>
                      <c:pt idx="3">
                        <c:v>-3</c:v>
                      </c:pt>
                      <c:pt idx="4">
                        <c:v>0</c:v>
                      </c:pt>
                      <c:pt idx="5">
                        <c:v>3</c:v>
                      </c:pt>
                      <c:pt idx="6">
                        <c:v>6</c:v>
                      </c:pt>
                      <c:pt idx="7">
                        <c:v>9</c:v>
                      </c:pt>
                      <c:pt idx="8">
                        <c:v>12</c:v>
                      </c:pt>
                    </c:numCache>
                  </c:numRef>
                </c:cat>
                <c:val>
                  <c:numRef>
                    <c:extLst xmlns:c15="http://schemas.microsoft.com/office/drawing/2012/chart">
                      <c:ext xmlns:c15="http://schemas.microsoft.com/office/drawing/2012/chart" uri="{02D57815-91ED-43cb-92C2-25804820EDAC}">
                        <c15:formulaRef>
                          <c15:sqref>Sheet1!$F$2:$F$22</c15:sqref>
                        </c15:formulaRef>
                      </c:ext>
                    </c:extLst>
                    <c:numCache>
                      <c:formatCode>General</c:formatCode>
                      <c:ptCount val="9"/>
                    </c:numCache>
                  </c:numRef>
                </c:val>
                <c:smooth val="0"/>
                <c:extLst xmlns:c15="http://schemas.microsoft.com/office/drawing/2012/chart">
                  <c:ext xmlns:c16="http://schemas.microsoft.com/office/drawing/2014/chart" uri="{C3380CC4-5D6E-409C-BE32-E72D297353CC}">
                    <c16:uniqueId val="{00000004-BED2-4E33-851A-51E1FB25A460}"/>
                  </c:ext>
                </c:extLst>
              </c15:ser>
            </c15:filteredLineSeries>
          </c:ext>
        </c:extLst>
      </c:lineChart>
      <c:catAx>
        <c:axId val="180892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b="1">
                    <a:solidFill>
                      <a:schemeClr val="tx1"/>
                    </a:solidFill>
                  </a:rPr>
                  <a:t>Months prior/post intervention</a:t>
                </a:r>
              </a:p>
            </c:rich>
          </c:tx>
          <c:layout>
            <c:manualLayout>
              <c:xMode val="edge"/>
              <c:yMode val="edge"/>
              <c:x val="0.34444462671332748"/>
              <c:y val="0.927202224721909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894624"/>
        <c:crosses val="autoZero"/>
        <c:auto val="1"/>
        <c:lblAlgn val="ctr"/>
        <c:lblOffset val="100"/>
        <c:tickMarkSkip val="1"/>
        <c:noMultiLvlLbl val="0"/>
      </c:catAx>
      <c:valAx>
        <c:axId val="180894624"/>
        <c:scaling>
          <c:orientation val="minMax"/>
          <c:min val="0.5"/>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AU" sz="900" b="1">
                    <a:solidFill>
                      <a:schemeClr val="tx1"/>
                    </a:solidFill>
                  </a:rPr>
                  <a:t>Gini coefficient</a:t>
                </a:r>
              </a:p>
            </c:rich>
          </c:tx>
          <c:layout>
            <c:manualLayout>
              <c:xMode val="edge"/>
              <c:yMode val="edge"/>
              <c:x val="1.3888888888888888E-2"/>
              <c:y val="0.2966566679165104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80892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20424555364315"/>
          <c:y val="0"/>
          <c:w val="0.66833615677558389"/>
          <c:h val="0.93213991769547322"/>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0-BCA5-4C2E-A130-BB47B98D23D4}"/>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1-BCA5-4C2E-A130-BB47B98D23D4}"/>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2-BCA5-4C2E-A130-BB47B98D23D4}"/>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3-BCA5-4C2E-A130-BB47B98D23D4}"/>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4-BCA5-4C2E-A130-BB47B98D23D4}"/>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5-BCA5-4C2E-A130-BB47B98D23D4}"/>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06-BCA5-4C2E-A130-BB47B98D23D4}"/>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7-BCA5-4C2E-A130-BB47B98D23D4}"/>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8-BCA5-4C2E-A130-BB47B98D23D4}"/>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9-BCA5-4C2E-A130-BB47B98D23D4}"/>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0A-BCA5-4C2E-A130-BB47B98D23D4}"/>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0B-BCA5-4C2E-A130-BB47B98D23D4}"/>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C-BCA5-4C2E-A130-BB47B98D23D4}"/>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0D-BCA5-4C2E-A130-BB47B98D23D4}"/>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0E-BCA5-4C2E-A130-BB47B98D23D4}"/>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0F-BCA5-4C2E-A130-BB47B98D23D4}"/>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0-BCA5-4C2E-A130-BB47B98D23D4}"/>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1-BCA5-4C2E-A130-BB47B98D23D4}"/>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2-BCA5-4C2E-A130-BB47B98D23D4}"/>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3-BCA5-4C2E-A130-BB47B98D23D4}"/>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4-BCA5-4C2E-A130-BB47B98D23D4}"/>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5-BCA5-4C2E-A130-BB47B98D23D4}"/>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6-BCA5-4C2E-A130-BB47B98D23D4}"/>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7-BCA5-4C2E-A130-BB47B98D23D4}"/>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Sheet1!$F$2:$F$40</c:f>
                <c:numCache>
                  <c:formatCode>General</c:formatCode>
                  <c:ptCount val="39"/>
                  <c:pt idx="1">
                    <c:v>2.9399999999999999E-2</c:v>
                  </c:pt>
                  <c:pt idx="3">
                    <c:v>0.12544</c:v>
                  </c:pt>
                  <c:pt idx="4">
                    <c:v>0.5292</c:v>
                  </c:pt>
                  <c:pt idx="5">
                    <c:v>0.23912</c:v>
                  </c:pt>
                  <c:pt idx="6">
                    <c:v>8.0360000000000001E-2</c:v>
                  </c:pt>
                  <c:pt idx="7">
                    <c:v>0.30771999999999999</c:v>
                  </c:pt>
                  <c:pt idx="8">
                    <c:v>8.2320000000000004E-2</c:v>
                  </c:pt>
                  <c:pt idx="10">
                    <c:v>8.2320000000000004E-2</c:v>
                  </c:pt>
                  <c:pt idx="11">
                    <c:v>0.16072</c:v>
                  </c:pt>
                  <c:pt idx="12">
                    <c:v>0.34887999999999997</c:v>
                  </c:pt>
                  <c:pt idx="13">
                    <c:v>2.3519999999999999E-2</c:v>
                  </c:pt>
                  <c:pt idx="14">
                    <c:v>0.17247999999999999</c:v>
                  </c:pt>
                  <c:pt idx="15">
                    <c:v>7.6439999999999994E-2</c:v>
                  </c:pt>
                  <c:pt idx="16">
                    <c:v>0.23715999999999998</c:v>
                  </c:pt>
                  <c:pt idx="18">
                    <c:v>0.32732</c:v>
                  </c:pt>
                  <c:pt idx="19">
                    <c:v>0.14504</c:v>
                  </c:pt>
                  <c:pt idx="20">
                    <c:v>0.25872000000000001</c:v>
                  </c:pt>
                  <c:pt idx="21">
                    <c:v>0.43708000000000002</c:v>
                  </c:pt>
                  <c:pt idx="22">
                    <c:v>5.2920000000000002E-2</c:v>
                  </c:pt>
                  <c:pt idx="23">
                    <c:v>0.32928000000000002</c:v>
                  </c:pt>
                  <c:pt idx="24">
                    <c:v>9.604E-2</c:v>
                  </c:pt>
                  <c:pt idx="25">
                    <c:v>0.12347999999999999</c:v>
                  </c:pt>
                  <c:pt idx="27">
                    <c:v>5.2920000000000002E-2</c:v>
                  </c:pt>
                  <c:pt idx="29">
                    <c:v>5.6840000000000002E-2</c:v>
                  </c:pt>
                  <c:pt idx="30">
                    <c:v>0.10584</c:v>
                  </c:pt>
                  <c:pt idx="31">
                    <c:v>3.3320000000000002E-2</c:v>
                  </c:pt>
                  <c:pt idx="32">
                    <c:v>3.5279999999999999E-2</c:v>
                  </c:pt>
                  <c:pt idx="33">
                    <c:v>1.7639999999999999E-2</c:v>
                  </c:pt>
                  <c:pt idx="34">
                    <c:v>5.0959999999999998E-2</c:v>
                  </c:pt>
                  <c:pt idx="35">
                    <c:v>7.8399999999999997E-2</c:v>
                  </c:pt>
                  <c:pt idx="37">
                    <c:v>0.27440000000000003</c:v>
                  </c:pt>
                  <c:pt idx="38">
                    <c:v>5.6840000000000002E-2</c:v>
                  </c:pt>
                </c:numCache>
              </c:numRef>
            </c:plus>
            <c:minus>
              <c:numRef>
                <c:f>Sheet1!$F$2:$F$40</c:f>
                <c:numCache>
                  <c:formatCode>General</c:formatCode>
                  <c:ptCount val="39"/>
                  <c:pt idx="1">
                    <c:v>2.9399999999999999E-2</c:v>
                  </c:pt>
                  <c:pt idx="3">
                    <c:v>0.12544</c:v>
                  </c:pt>
                  <c:pt idx="4">
                    <c:v>0.5292</c:v>
                  </c:pt>
                  <c:pt idx="5">
                    <c:v>0.23912</c:v>
                  </c:pt>
                  <c:pt idx="6">
                    <c:v>8.0360000000000001E-2</c:v>
                  </c:pt>
                  <c:pt idx="7">
                    <c:v>0.30771999999999999</c:v>
                  </c:pt>
                  <c:pt idx="8">
                    <c:v>8.2320000000000004E-2</c:v>
                  </c:pt>
                  <c:pt idx="10">
                    <c:v>8.2320000000000004E-2</c:v>
                  </c:pt>
                  <c:pt idx="11">
                    <c:v>0.16072</c:v>
                  </c:pt>
                  <c:pt idx="12">
                    <c:v>0.34887999999999997</c:v>
                  </c:pt>
                  <c:pt idx="13">
                    <c:v>2.3519999999999999E-2</c:v>
                  </c:pt>
                  <c:pt idx="14">
                    <c:v>0.17247999999999999</c:v>
                  </c:pt>
                  <c:pt idx="15">
                    <c:v>7.6439999999999994E-2</c:v>
                  </c:pt>
                  <c:pt idx="16">
                    <c:v>0.23715999999999998</c:v>
                  </c:pt>
                  <c:pt idx="18">
                    <c:v>0.32732</c:v>
                  </c:pt>
                  <c:pt idx="19">
                    <c:v>0.14504</c:v>
                  </c:pt>
                  <c:pt idx="20">
                    <c:v>0.25872000000000001</c:v>
                  </c:pt>
                  <c:pt idx="21">
                    <c:v>0.43708000000000002</c:v>
                  </c:pt>
                  <c:pt idx="22">
                    <c:v>5.2920000000000002E-2</c:v>
                  </c:pt>
                  <c:pt idx="23">
                    <c:v>0.32928000000000002</c:v>
                  </c:pt>
                  <c:pt idx="24">
                    <c:v>9.604E-2</c:v>
                  </c:pt>
                  <c:pt idx="25">
                    <c:v>0.12347999999999999</c:v>
                  </c:pt>
                  <c:pt idx="27">
                    <c:v>5.2920000000000002E-2</c:v>
                  </c:pt>
                  <c:pt idx="29">
                    <c:v>5.6840000000000002E-2</c:v>
                  </c:pt>
                  <c:pt idx="30">
                    <c:v>0.10584</c:v>
                  </c:pt>
                  <c:pt idx="31">
                    <c:v>3.3320000000000002E-2</c:v>
                  </c:pt>
                  <c:pt idx="32">
                    <c:v>3.5279999999999999E-2</c:v>
                  </c:pt>
                  <c:pt idx="33">
                    <c:v>1.7639999999999999E-2</c:v>
                  </c:pt>
                  <c:pt idx="34">
                    <c:v>5.0959999999999998E-2</c:v>
                  </c:pt>
                  <c:pt idx="35">
                    <c:v>7.8399999999999997E-2</c:v>
                  </c:pt>
                  <c:pt idx="37">
                    <c:v>0.27440000000000003</c:v>
                  </c:pt>
                  <c:pt idx="38">
                    <c:v>5.6840000000000002E-2</c:v>
                  </c:pt>
                </c:numCache>
              </c:numRef>
            </c:minus>
            <c:spPr>
              <a:noFill/>
              <a:ln w="9525" cap="flat" cmpd="sng" algn="ctr">
                <a:solidFill>
                  <a:schemeClr val="tx1">
                    <a:lumMod val="65000"/>
                    <a:lumOff val="35000"/>
                  </a:schemeClr>
                </a:solidFill>
                <a:round/>
              </a:ln>
              <a:effectLst/>
            </c:spPr>
          </c:errBars>
          <c:xVal>
            <c:numRef>
              <c:f>Sheet1!$C$2:$C$40</c:f>
              <c:numCache>
                <c:formatCode>General</c:formatCode>
                <c:ptCount val="39"/>
                <c:pt idx="1">
                  <c:v>8.9999999999999993E-3</c:v>
                </c:pt>
                <c:pt idx="3">
                  <c:v>-6.0000000000000001E-3</c:v>
                </c:pt>
                <c:pt idx="4">
                  <c:v>-8.2000000000000003E-2</c:v>
                </c:pt>
                <c:pt idx="5">
                  <c:v>-0.111</c:v>
                </c:pt>
                <c:pt idx="6">
                  <c:v>5.1999999999999998E-2</c:v>
                </c:pt>
                <c:pt idx="7">
                  <c:v>0.06</c:v>
                </c:pt>
                <c:pt idx="8">
                  <c:v>5.0999999999999997E-2</c:v>
                </c:pt>
                <c:pt idx="10">
                  <c:v>-6.0000000000000001E-3</c:v>
                </c:pt>
                <c:pt idx="11">
                  <c:v>-4.2000000000000003E-2</c:v>
                </c:pt>
                <c:pt idx="12">
                  <c:v>-0.10299999999999999</c:v>
                </c:pt>
                <c:pt idx="13">
                  <c:v>-9.7000000000000003E-2</c:v>
                </c:pt>
                <c:pt idx="14">
                  <c:v>-3.5000000000000003E-2</c:v>
                </c:pt>
                <c:pt idx="15">
                  <c:v>7.4999999999999997E-2</c:v>
                </c:pt>
                <c:pt idx="16">
                  <c:v>4.3999999999999997E-2</c:v>
                </c:pt>
                <c:pt idx="18">
                  <c:v>0.11799999999999999</c:v>
                </c:pt>
                <c:pt idx="19">
                  <c:v>-0.438</c:v>
                </c:pt>
                <c:pt idx="20">
                  <c:v>3.1E-2</c:v>
                </c:pt>
                <c:pt idx="21">
                  <c:v>8.3000000000000004E-2</c:v>
                </c:pt>
                <c:pt idx="22">
                  <c:v>1.7999999999999999E-2</c:v>
                </c:pt>
                <c:pt idx="23">
                  <c:v>8.5999999999999993E-2</c:v>
                </c:pt>
                <c:pt idx="24">
                  <c:v>0.17899999999999999</c:v>
                </c:pt>
                <c:pt idx="25">
                  <c:v>0.30599999999999999</c:v>
                </c:pt>
                <c:pt idx="27">
                  <c:v>8.0000000000000002E-3</c:v>
                </c:pt>
                <c:pt idx="29">
                  <c:v>7.1999999999999995E-2</c:v>
                </c:pt>
                <c:pt idx="30">
                  <c:v>-6.0000000000000001E-3</c:v>
                </c:pt>
                <c:pt idx="31">
                  <c:v>1.7000000000000001E-2</c:v>
                </c:pt>
                <c:pt idx="32">
                  <c:v>0.02</c:v>
                </c:pt>
                <c:pt idx="33">
                  <c:v>1.6E-2</c:v>
                </c:pt>
                <c:pt idx="34">
                  <c:v>4.3999999999999997E-2</c:v>
                </c:pt>
                <c:pt idx="35">
                  <c:v>-2.5000000000000001E-2</c:v>
                </c:pt>
                <c:pt idx="37">
                  <c:v>0.13200000000000001</c:v>
                </c:pt>
                <c:pt idx="38">
                  <c:v>-3.0000000000000001E-3</c:v>
                </c:pt>
              </c:numCache>
            </c:numRef>
          </c:xVal>
          <c:yVal>
            <c:numRef>
              <c:f>Sheet1!$G$2:$G$40</c:f>
              <c:numCache>
                <c:formatCode>General</c:formatCode>
                <c:ptCount val="39"/>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6="http://schemas.microsoft.com/office/drawing/2014/chart" uri="{C3380CC4-5D6E-409C-BE32-E72D297353CC}">
              <c16:uniqueId val="{00000018-BCA5-4C2E-A130-BB47B98D23D4}"/>
            </c:ext>
          </c:extLst>
        </c:ser>
        <c:ser>
          <c:idx val="0"/>
          <c:order val="1"/>
          <c:tx>
            <c:v>labels</c:v>
          </c:tx>
          <c:spPr>
            <a:ln w="25400" cap="rnd">
              <a:noFill/>
              <a:round/>
            </a:ln>
            <a:effectLst/>
          </c:spPr>
          <c:marker>
            <c:symbol val="none"/>
          </c:marker>
          <c:dLbls>
            <c:dLbl>
              <c:idx val="0"/>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9-BCA5-4C2E-A130-BB47B98D23D4}"/>
                </c:ext>
              </c:extLst>
            </c:dLbl>
            <c:dLbl>
              <c:idx val="1"/>
              <c:layout>
                <c:manualLayout>
                  <c:x val="-8.4934021801491677E-2"/>
                  <c:y val="-9.4306180800148089E-18"/>
                </c:manualLayout>
              </c:layout>
              <c:tx>
                <c:rich>
                  <a:bodyPr/>
                  <a:lstStyle/>
                  <a:p>
                    <a:fld id="{43F40E34-9A76-4360-858B-4B769EFD20AE}"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BCA5-4C2E-A130-BB47B98D23D4}"/>
                </c:ext>
              </c:extLst>
            </c:dLbl>
            <c:dLbl>
              <c:idx val="2"/>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30D1B244-2765-49F8-ADC5-159B9D4C2E6C}"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BCA5-4C2E-A130-BB47B98D23D4}"/>
                </c:ext>
              </c:extLst>
            </c:dLbl>
            <c:dLbl>
              <c:idx val="3"/>
              <c:tx>
                <c:rich>
                  <a:bodyPr/>
                  <a:lstStyle/>
                  <a:p>
                    <a:fld id="{6AC6F858-13C8-4284-83F3-4B2EF3013B1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BCA5-4C2E-A130-BB47B98D23D4}"/>
                </c:ext>
              </c:extLst>
            </c:dLbl>
            <c:dLbl>
              <c:idx val="4"/>
              <c:tx>
                <c:rich>
                  <a:bodyPr/>
                  <a:lstStyle/>
                  <a:p>
                    <a:fld id="{CCF135B2-F19A-4969-BA8E-05B79124541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BCA5-4C2E-A130-BB47B98D23D4}"/>
                </c:ext>
              </c:extLst>
            </c:dLbl>
            <c:dLbl>
              <c:idx val="5"/>
              <c:tx>
                <c:rich>
                  <a:bodyPr/>
                  <a:lstStyle/>
                  <a:p>
                    <a:fld id="{B46D23C7-9703-43F4-94D0-7B0C07F06D1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BCA5-4C2E-A130-BB47B98D23D4}"/>
                </c:ext>
              </c:extLst>
            </c:dLbl>
            <c:dLbl>
              <c:idx val="6"/>
              <c:tx>
                <c:rich>
                  <a:bodyPr/>
                  <a:lstStyle/>
                  <a:p>
                    <a:fld id="{330B085F-81BC-4C56-B29C-98F5BBF178D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BCA5-4C2E-A130-BB47B98D23D4}"/>
                </c:ext>
              </c:extLst>
            </c:dLbl>
            <c:dLbl>
              <c:idx val="7"/>
              <c:tx>
                <c:rich>
                  <a:bodyPr/>
                  <a:lstStyle/>
                  <a:p>
                    <a:fld id="{2C49D3EB-EA45-4BB2-BE47-1B0C378E617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BCA5-4C2E-A130-BB47B98D23D4}"/>
                </c:ext>
              </c:extLst>
            </c:dLbl>
            <c:dLbl>
              <c:idx val="8"/>
              <c:tx>
                <c:rich>
                  <a:bodyPr/>
                  <a:lstStyle/>
                  <a:p>
                    <a:fld id="{4005959E-3E9A-4597-B4D7-40DBF454FA0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BCA5-4C2E-A130-BB47B98D23D4}"/>
                </c:ext>
              </c:extLst>
            </c:dLbl>
            <c:dLbl>
              <c:idx val="9"/>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790EBFF3-BD74-4A5C-9786-21D4E52E44C3}"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BCA5-4C2E-A130-BB47B98D23D4}"/>
                </c:ext>
              </c:extLst>
            </c:dLbl>
            <c:dLbl>
              <c:idx val="10"/>
              <c:tx>
                <c:rich>
                  <a:bodyPr/>
                  <a:lstStyle/>
                  <a:p>
                    <a:fld id="{0555F75B-EA35-473F-9B2E-3C81ABA2C94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BCA5-4C2E-A130-BB47B98D23D4}"/>
                </c:ext>
              </c:extLst>
            </c:dLbl>
            <c:dLbl>
              <c:idx val="11"/>
              <c:tx>
                <c:rich>
                  <a:bodyPr/>
                  <a:lstStyle/>
                  <a:p>
                    <a:fld id="{C0388E3C-CC96-4717-925B-73CE03EB87C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BCA5-4C2E-A130-BB47B98D23D4}"/>
                </c:ext>
              </c:extLst>
            </c:dLbl>
            <c:dLbl>
              <c:idx val="12"/>
              <c:tx>
                <c:rich>
                  <a:bodyPr/>
                  <a:lstStyle/>
                  <a:p>
                    <a:fld id="{64C8C899-3187-4041-B0AB-02161759070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BCA5-4C2E-A130-BB47B98D23D4}"/>
                </c:ext>
              </c:extLst>
            </c:dLbl>
            <c:dLbl>
              <c:idx val="13"/>
              <c:tx>
                <c:rich>
                  <a:bodyPr/>
                  <a:lstStyle/>
                  <a:p>
                    <a:fld id="{D4E8A273-D0F8-44B6-A667-E6438CC0940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BCA5-4C2E-A130-BB47B98D23D4}"/>
                </c:ext>
              </c:extLst>
            </c:dLbl>
            <c:dLbl>
              <c:idx val="14"/>
              <c:tx>
                <c:rich>
                  <a:bodyPr/>
                  <a:lstStyle/>
                  <a:p>
                    <a:fld id="{43731FF2-552A-445D-88F6-F19C6EF8997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BCA5-4C2E-A130-BB47B98D23D4}"/>
                </c:ext>
              </c:extLst>
            </c:dLbl>
            <c:dLbl>
              <c:idx val="15"/>
              <c:tx>
                <c:rich>
                  <a:bodyPr/>
                  <a:lstStyle/>
                  <a:p>
                    <a:fld id="{56F00FC9-27F0-48F2-819E-71B1CB8EAF6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BCA5-4C2E-A130-BB47B98D23D4}"/>
                </c:ext>
              </c:extLst>
            </c:dLbl>
            <c:dLbl>
              <c:idx val="16"/>
              <c:tx>
                <c:rich>
                  <a:bodyPr/>
                  <a:lstStyle/>
                  <a:p>
                    <a:fld id="{4606B18A-3AE1-43B6-B86F-96359EC7F62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BCA5-4C2E-A130-BB47B98D23D4}"/>
                </c:ext>
              </c:extLst>
            </c:dLbl>
            <c:dLbl>
              <c:idx val="17"/>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29A80175-BB02-43D6-B8ED-7AE806651E83}"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BCA5-4C2E-A130-BB47B98D23D4}"/>
                </c:ext>
              </c:extLst>
            </c:dLbl>
            <c:dLbl>
              <c:idx val="18"/>
              <c:tx>
                <c:rich>
                  <a:bodyPr/>
                  <a:lstStyle/>
                  <a:p>
                    <a:fld id="{D3120F83-3FA3-4911-9446-567E169513A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BCA5-4C2E-A130-BB47B98D23D4}"/>
                </c:ext>
              </c:extLst>
            </c:dLbl>
            <c:dLbl>
              <c:idx val="19"/>
              <c:tx>
                <c:rich>
                  <a:bodyPr/>
                  <a:lstStyle/>
                  <a:p>
                    <a:fld id="{3A80CDD1-8D1F-4BA3-A4B4-703EAC81C0C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BCA5-4C2E-A130-BB47B98D23D4}"/>
                </c:ext>
              </c:extLst>
            </c:dLbl>
            <c:dLbl>
              <c:idx val="20"/>
              <c:tx>
                <c:rich>
                  <a:bodyPr/>
                  <a:lstStyle/>
                  <a:p>
                    <a:fld id="{A3E86E72-6EFE-4557-9117-16A685E9239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BCA5-4C2E-A130-BB47B98D23D4}"/>
                </c:ext>
              </c:extLst>
            </c:dLbl>
            <c:dLbl>
              <c:idx val="21"/>
              <c:tx>
                <c:rich>
                  <a:bodyPr/>
                  <a:lstStyle/>
                  <a:p>
                    <a:fld id="{75DF3191-7DDF-4BA9-829B-924DECC5175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BCA5-4C2E-A130-BB47B98D23D4}"/>
                </c:ext>
              </c:extLst>
            </c:dLbl>
            <c:dLbl>
              <c:idx val="22"/>
              <c:tx>
                <c:rich>
                  <a:bodyPr/>
                  <a:lstStyle/>
                  <a:p>
                    <a:fld id="{C9D717D6-296C-4594-8087-E958A9D72D8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BCA5-4C2E-A130-BB47B98D23D4}"/>
                </c:ext>
              </c:extLst>
            </c:dLbl>
            <c:dLbl>
              <c:idx val="23"/>
              <c:tx>
                <c:rich>
                  <a:bodyPr/>
                  <a:lstStyle/>
                  <a:p>
                    <a:fld id="{0CDBBED1-D24A-44DC-8B54-C0B8E27B5D1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BCA5-4C2E-A130-BB47B98D23D4}"/>
                </c:ext>
              </c:extLst>
            </c:dLbl>
            <c:dLbl>
              <c:idx val="24"/>
              <c:tx>
                <c:rich>
                  <a:bodyPr/>
                  <a:lstStyle/>
                  <a:p>
                    <a:fld id="{B844644C-2D06-4C1B-BE33-A3E137D6032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BCA5-4C2E-A130-BB47B98D23D4}"/>
                </c:ext>
              </c:extLst>
            </c:dLbl>
            <c:dLbl>
              <c:idx val="25"/>
              <c:tx>
                <c:rich>
                  <a:bodyPr/>
                  <a:lstStyle/>
                  <a:p>
                    <a:fld id="{D0B4DA8C-4B97-4C0C-A7DC-7CA39BE1D82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BCA5-4C2E-A130-BB47B98D23D4}"/>
                </c:ext>
              </c:extLst>
            </c:dLbl>
            <c:dLbl>
              <c:idx val="2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06F2D082-082E-4E5F-AEC3-7763C6149215}"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BCA5-4C2E-A130-BB47B98D23D4}"/>
                </c:ext>
              </c:extLst>
            </c:dLbl>
            <c:dLbl>
              <c:idx val="27"/>
              <c:tx>
                <c:rich>
                  <a:bodyPr/>
                  <a:lstStyle/>
                  <a:p>
                    <a:fld id="{DF6B671A-62AB-4C77-A6FE-2405804F1E5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BCA5-4C2E-A130-BB47B98D23D4}"/>
                </c:ext>
              </c:extLst>
            </c:dLbl>
            <c:dLbl>
              <c:idx val="2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7CFE91AC-FD3E-4A7C-9695-3F9DAFCA0DA7}"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BCA5-4C2E-A130-BB47B98D23D4}"/>
                </c:ext>
              </c:extLst>
            </c:dLbl>
            <c:dLbl>
              <c:idx val="29"/>
              <c:tx>
                <c:rich>
                  <a:bodyPr/>
                  <a:lstStyle/>
                  <a:p>
                    <a:fld id="{A79C2039-01E1-4B69-B332-41AD5AEFDDD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BCA5-4C2E-A130-BB47B98D23D4}"/>
                </c:ext>
              </c:extLst>
            </c:dLbl>
            <c:dLbl>
              <c:idx val="30"/>
              <c:tx>
                <c:rich>
                  <a:bodyPr/>
                  <a:lstStyle/>
                  <a:p>
                    <a:fld id="{1810F9A1-CAF6-49AE-A4CB-4554BE8E403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BCA5-4C2E-A130-BB47B98D23D4}"/>
                </c:ext>
              </c:extLst>
            </c:dLbl>
            <c:dLbl>
              <c:idx val="31"/>
              <c:tx>
                <c:rich>
                  <a:bodyPr/>
                  <a:lstStyle/>
                  <a:p>
                    <a:fld id="{61FA5852-1273-4B17-906B-D452A9C0104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BCA5-4C2E-A130-BB47B98D23D4}"/>
                </c:ext>
              </c:extLst>
            </c:dLbl>
            <c:dLbl>
              <c:idx val="32"/>
              <c:tx>
                <c:rich>
                  <a:bodyPr/>
                  <a:lstStyle/>
                  <a:p>
                    <a:fld id="{A1B15978-B8D5-4201-9492-6AE4D742010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BCA5-4C2E-A130-BB47B98D23D4}"/>
                </c:ext>
              </c:extLst>
            </c:dLbl>
            <c:dLbl>
              <c:idx val="33"/>
              <c:tx>
                <c:rich>
                  <a:bodyPr/>
                  <a:lstStyle/>
                  <a:p>
                    <a:fld id="{2CAF244D-4EF0-40D2-AF29-7C74EC94CE2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BCA5-4C2E-A130-BB47B98D23D4}"/>
                </c:ext>
              </c:extLst>
            </c:dLbl>
            <c:dLbl>
              <c:idx val="34"/>
              <c:tx>
                <c:rich>
                  <a:bodyPr/>
                  <a:lstStyle/>
                  <a:p>
                    <a:fld id="{984340EB-27A6-48A3-AA28-9587E1EB7C9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BCA5-4C2E-A130-BB47B98D23D4}"/>
                </c:ext>
              </c:extLst>
            </c:dLbl>
            <c:dLbl>
              <c:idx val="35"/>
              <c:tx>
                <c:rich>
                  <a:bodyPr/>
                  <a:lstStyle/>
                  <a:p>
                    <a:fld id="{0468253F-8781-46E1-9E53-98DD978B30E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BCA5-4C2E-A130-BB47B98D23D4}"/>
                </c:ext>
              </c:extLst>
            </c:dLbl>
            <c:dLbl>
              <c:idx val="3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CCF657CE-707E-4C48-A4AE-11262DCC2C05}"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BCA5-4C2E-A130-BB47B98D23D4}"/>
                </c:ext>
              </c:extLst>
            </c:dLbl>
            <c:dLbl>
              <c:idx val="37"/>
              <c:tx>
                <c:rich>
                  <a:bodyPr/>
                  <a:lstStyle/>
                  <a:p>
                    <a:fld id="{0D0E086A-13EC-44D0-9849-85AA07D0F0E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BCA5-4C2E-A130-BB47B98D23D4}"/>
                </c:ext>
              </c:extLst>
            </c:dLbl>
            <c:dLbl>
              <c:idx val="38"/>
              <c:tx>
                <c:rich>
                  <a:bodyPr/>
                  <a:lstStyle/>
                  <a:p>
                    <a:fld id="{98014865-801B-4075-B3EF-5EBAA645B2C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BCA5-4C2E-A130-BB47B98D23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Sheet1!$H$2:$H$40</c:f>
              <c:numCache>
                <c:formatCode>General</c:formatCode>
                <c:ptCount val="39"/>
                <c:pt idx="1">
                  <c:v>-0.7</c:v>
                </c:pt>
                <c:pt idx="2">
                  <c:v>-0.7</c:v>
                </c:pt>
                <c:pt idx="3">
                  <c:v>-0.7</c:v>
                </c:pt>
                <c:pt idx="4">
                  <c:v>-0.7</c:v>
                </c:pt>
                <c:pt idx="5">
                  <c:v>-0.7</c:v>
                </c:pt>
                <c:pt idx="6">
                  <c:v>-0.7</c:v>
                </c:pt>
                <c:pt idx="7">
                  <c:v>-0.7</c:v>
                </c:pt>
                <c:pt idx="8">
                  <c:v>-0.7</c:v>
                </c:pt>
                <c:pt idx="9">
                  <c:v>-0.7</c:v>
                </c:pt>
                <c:pt idx="10">
                  <c:v>-0.7</c:v>
                </c:pt>
                <c:pt idx="11">
                  <c:v>-0.7</c:v>
                </c:pt>
                <c:pt idx="12">
                  <c:v>-0.7</c:v>
                </c:pt>
                <c:pt idx="13">
                  <c:v>-0.7</c:v>
                </c:pt>
                <c:pt idx="14">
                  <c:v>-0.7</c:v>
                </c:pt>
                <c:pt idx="15">
                  <c:v>-0.7</c:v>
                </c:pt>
                <c:pt idx="16">
                  <c:v>-0.7</c:v>
                </c:pt>
                <c:pt idx="17">
                  <c:v>-0.7</c:v>
                </c:pt>
                <c:pt idx="18">
                  <c:v>-0.7</c:v>
                </c:pt>
                <c:pt idx="19">
                  <c:v>-0.7</c:v>
                </c:pt>
                <c:pt idx="20">
                  <c:v>-0.7</c:v>
                </c:pt>
                <c:pt idx="21">
                  <c:v>-0.7</c:v>
                </c:pt>
                <c:pt idx="22">
                  <c:v>-0.7</c:v>
                </c:pt>
                <c:pt idx="23">
                  <c:v>-0.7</c:v>
                </c:pt>
                <c:pt idx="24">
                  <c:v>-0.7</c:v>
                </c:pt>
                <c:pt idx="25">
                  <c:v>-0.7</c:v>
                </c:pt>
                <c:pt idx="26">
                  <c:v>-0.7</c:v>
                </c:pt>
                <c:pt idx="27">
                  <c:v>-0.7</c:v>
                </c:pt>
                <c:pt idx="28">
                  <c:v>-0.7</c:v>
                </c:pt>
                <c:pt idx="29">
                  <c:v>-0.7</c:v>
                </c:pt>
                <c:pt idx="30">
                  <c:v>-0.7</c:v>
                </c:pt>
                <c:pt idx="31">
                  <c:v>-0.7</c:v>
                </c:pt>
                <c:pt idx="32">
                  <c:v>-0.7</c:v>
                </c:pt>
                <c:pt idx="33">
                  <c:v>-0.7</c:v>
                </c:pt>
                <c:pt idx="34">
                  <c:v>-0.7</c:v>
                </c:pt>
                <c:pt idx="35">
                  <c:v>-0.7</c:v>
                </c:pt>
                <c:pt idx="36">
                  <c:v>-0.7</c:v>
                </c:pt>
                <c:pt idx="37">
                  <c:v>-0.7</c:v>
                </c:pt>
                <c:pt idx="38">
                  <c:v>-0.7</c:v>
                </c:pt>
              </c:numCache>
            </c:numRef>
          </c:xVal>
          <c:yVal>
            <c:numRef>
              <c:f>Sheet1!$G$2:$G$40</c:f>
              <c:numCache>
                <c:formatCode>General</c:formatCode>
                <c:ptCount val="39"/>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5="http://schemas.microsoft.com/office/drawing/2012/chart" uri="{02D57815-91ED-43cb-92C2-25804820EDAC}">
              <c15:datalabelsRange>
                <c15:f>Sheet1!$A$2:$A$40</c15:f>
                <c15:dlblRange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15:dlblRangeCache>
              </c15:datalabelsRange>
            </c:ext>
            <c:ext xmlns:c16="http://schemas.microsoft.com/office/drawing/2014/chart" uri="{C3380CC4-5D6E-409C-BE32-E72D297353CC}">
              <c16:uniqueId val="{00000040-BCA5-4C2E-A130-BB47B98D23D4}"/>
            </c:ext>
          </c:extLst>
        </c:ser>
        <c:ser>
          <c:idx val="1"/>
          <c:order val="2"/>
          <c:tx>
            <c:v>Right labels</c:v>
          </c:tx>
          <c:spPr>
            <a:ln w="25400" cap="rnd">
              <a:noFill/>
              <a:round/>
            </a:ln>
            <a:effectLst/>
          </c:spPr>
          <c:marker>
            <c:symbol val="none"/>
          </c:marker>
          <c:dLbls>
            <c:dLbl>
              <c:idx val="0"/>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41-BCA5-4C2E-A130-BB47B98D23D4}"/>
                </c:ext>
              </c:extLst>
            </c:dLbl>
            <c:dLbl>
              <c:idx val="1"/>
              <c:tx>
                <c:rich>
                  <a:bodyPr/>
                  <a:lstStyle/>
                  <a:p>
                    <a:fld id="{29CCF736-7AD1-4714-9620-3AEDB7A61B8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BCA5-4C2E-A130-BB47B98D23D4}"/>
                </c:ext>
              </c:extLst>
            </c:dLbl>
            <c:dLbl>
              <c:idx val="2"/>
              <c:tx>
                <c:rich>
                  <a:bodyPr/>
                  <a:lstStyle/>
                  <a:p>
                    <a:fld id="{278990CE-4640-4E96-88DF-B517E26ADA5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BCA5-4C2E-A130-BB47B98D23D4}"/>
                </c:ext>
              </c:extLst>
            </c:dLbl>
            <c:dLbl>
              <c:idx val="3"/>
              <c:tx>
                <c:rich>
                  <a:bodyPr/>
                  <a:lstStyle/>
                  <a:p>
                    <a:fld id="{CC96F81C-7F99-47BB-A9D0-CD9CA5804BE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BCA5-4C2E-A130-BB47B98D23D4}"/>
                </c:ext>
              </c:extLst>
            </c:dLbl>
            <c:dLbl>
              <c:idx val="4"/>
              <c:tx>
                <c:rich>
                  <a:bodyPr/>
                  <a:lstStyle/>
                  <a:p>
                    <a:fld id="{B371D6B4-8C63-4C08-AC42-FF2D8CB5CD9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BCA5-4C2E-A130-BB47B98D23D4}"/>
                </c:ext>
              </c:extLst>
            </c:dLbl>
            <c:dLbl>
              <c:idx val="5"/>
              <c:tx>
                <c:rich>
                  <a:bodyPr/>
                  <a:lstStyle/>
                  <a:p>
                    <a:fld id="{A667F4C9-0FDA-414F-AE96-8F2DF50E363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BCA5-4C2E-A130-BB47B98D23D4}"/>
                </c:ext>
              </c:extLst>
            </c:dLbl>
            <c:dLbl>
              <c:idx val="6"/>
              <c:tx>
                <c:rich>
                  <a:bodyPr/>
                  <a:lstStyle/>
                  <a:p>
                    <a:fld id="{FDAA269D-16D0-4831-8C63-A315C26A410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BCA5-4C2E-A130-BB47B98D23D4}"/>
                </c:ext>
              </c:extLst>
            </c:dLbl>
            <c:dLbl>
              <c:idx val="7"/>
              <c:tx>
                <c:rich>
                  <a:bodyPr/>
                  <a:lstStyle/>
                  <a:p>
                    <a:fld id="{A9F68626-E196-4A39-B065-D44D9F9F323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BCA5-4C2E-A130-BB47B98D23D4}"/>
                </c:ext>
              </c:extLst>
            </c:dLbl>
            <c:dLbl>
              <c:idx val="8"/>
              <c:tx>
                <c:rich>
                  <a:bodyPr/>
                  <a:lstStyle/>
                  <a:p>
                    <a:fld id="{2CF03B1D-43CB-406B-A4D4-73EA2957A35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BCA5-4C2E-A130-BB47B98D23D4}"/>
                </c:ext>
              </c:extLst>
            </c:dLbl>
            <c:dLbl>
              <c:idx val="9"/>
              <c:tx>
                <c:rich>
                  <a:bodyPr/>
                  <a:lstStyle/>
                  <a:p>
                    <a:fld id="{19F362E7-C149-4209-A610-3018E22B188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BCA5-4C2E-A130-BB47B98D23D4}"/>
                </c:ext>
              </c:extLst>
            </c:dLbl>
            <c:dLbl>
              <c:idx val="10"/>
              <c:tx>
                <c:rich>
                  <a:bodyPr/>
                  <a:lstStyle/>
                  <a:p>
                    <a:fld id="{2B2F4291-ADFD-4218-9E70-6C3C358214D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BCA5-4C2E-A130-BB47B98D23D4}"/>
                </c:ext>
              </c:extLst>
            </c:dLbl>
            <c:dLbl>
              <c:idx val="11"/>
              <c:tx>
                <c:rich>
                  <a:bodyPr/>
                  <a:lstStyle/>
                  <a:p>
                    <a:fld id="{46497B3A-D249-4B95-9ED6-5485E393E5E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BCA5-4C2E-A130-BB47B98D23D4}"/>
                </c:ext>
              </c:extLst>
            </c:dLbl>
            <c:dLbl>
              <c:idx val="12"/>
              <c:tx>
                <c:rich>
                  <a:bodyPr/>
                  <a:lstStyle/>
                  <a:p>
                    <a:fld id="{D876C4BB-30A1-4208-A4FC-D33133B6C2F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BCA5-4C2E-A130-BB47B98D23D4}"/>
                </c:ext>
              </c:extLst>
            </c:dLbl>
            <c:dLbl>
              <c:idx val="13"/>
              <c:tx>
                <c:rich>
                  <a:bodyPr/>
                  <a:lstStyle/>
                  <a:p>
                    <a:fld id="{4E07AB25-B8F1-42AC-9E58-184351FF723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BCA5-4C2E-A130-BB47B98D23D4}"/>
                </c:ext>
              </c:extLst>
            </c:dLbl>
            <c:dLbl>
              <c:idx val="14"/>
              <c:tx>
                <c:rich>
                  <a:bodyPr/>
                  <a:lstStyle/>
                  <a:p>
                    <a:fld id="{90316312-C328-48FF-B434-05820FA4C18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BCA5-4C2E-A130-BB47B98D23D4}"/>
                </c:ext>
              </c:extLst>
            </c:dLbl>
            <c:dLbl>
              <c:idx val="15"/>
              <c:tx>
                <c:rich>
                  <a:bodyPr/>
                  <a:lstStyle/>
                  <a:p>
                    <a:fld id="{D0741FEA-C540-4889-B092-3DE9A198853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BCA5-4C2E-A130-BB47B98D23D4}"/>
                </c:ext>
              </c:extLst>
            </c:dLbl>
            <c:dLbl>
              <c:idx val="16"/>
              <c:tx>
                <c:rich>
                  <a:bodyPr/>
                  <a:lstStyle/>
                  <a:p>
                    <a:fld id="{0AC94454-D2ED-49EE-8E5E-9B72B54EBDB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BCA5-4C2E-A130-BB47B98D23D4}"/>
                </c:ext>
              </c:extLst>
            </c:dLbl>
            <c:dLbl>
              <c:idx val="17"/>
              <c:tx>
                <c:rich>
                  <a:bodyPr/>
                  <a:lstStyle/>
                  <a:p>
                    <a:fld id="{F4F32015-1E6C-4320-90A3-62883117BCC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BCA5-4C2E-A130-BB47B98D23D4}"/>
                </c:ext>
              </c:extLst>
            </c:dLbl>
            <c:dLbl>
              <c:idx val="18"/>
              <c:tx>
                <c:rich>
                  <a:bodyPr/>
                  <a:lstStyle/>
                  <a:p>
                    <a:fld id="{9FAC8B17-3C65-431A-9995-0A050B5AB0B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BCA5-4C2E-A130-BB47B98D23D4}"/>
                </c:ext>
              </c:extLst>
            </c:dLbl>
            <c:dLbl>
              <c:idx val="19"/>
              <c:tx>
                <c:rich>
                  <a:bodyPr/>
                  <a:lstStyle/>
                  <a:p>
                    <a:fld id="{390ACF80-2936-4429-B661-FC6EDF15FDB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BCA5-4C2E-A130-BB47B98D23D4}"/>
                </c:ext>
              </c:extLst>
            </c:dLbl>
            <c:dLbl>
              <c:idx val="20"/>
              <c:tx>
                <c:rich>
                  <a:bodyPr/>
                  <a:lstStyle/>
                  <a:p>
                    <a:fld id="{1D725608-8807-4C25-9458-58AAC8366B8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BCA5-4C2E-A130-BB47B98D23D4}"/>
                </c:ext>
              </c:extLst>
            </c:dLbl>
            <c:dLbl>
              <c:idx val="21"/>
              <c:tx>
                <c:rich>
                  <a:bodyPr/>
                  <a:lstStyle/>
                  <a:p>
                    <a:fld id="{E292D96E-C756-4380-9A9B-45F795AB606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BCA5-4C2E-A130-BB47B98D23D4}"/>
                </c:ext>
              </c:extLst>
            </c:dLbl>
            <c:dLbl>
              <c:idx val="22"/>
              <c:tx>
                <c:rich>
                  <a:bodyPr/>
                  <a:lstStyle/>
                  <a:p>
                    <a:fld id="{879EBC1D-49B9-4155-A922-62003835F56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BCA5-4C2E-A130-BB47B98D23D4}"/>
                </c:ext>
              </c:extLst>
            </c:dLbl>
            <c:dLbl>
              <c:idx val="23"/>
              <c:tx>
                <c:rich>
                  <a:bodyPr/>
                  <a:lstStyle/>
                  <a:p>
                    <a:fld id="{BC0B2DDB-8211-4F37-86E9-393CC3EA049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BCA5-4C2E-A130-BB47B98D23D4}"/>
                </c:ext>
              </c:extLst>
            </c:dLbl>
            <c:dLbl>
              <c:idx val="24"/>
              <c:tx>
                <c:rich>
                  <a:bodyPr/>
                  <a:lstStyle/>
                  <a:p>
                    <a:fld id="{A42BD510-FF9C-45E1-B30D-348F053C06B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BCA5-4C2E-A130-BB47B98D23D4}"/>
                </c:ext>
              </c:extLst>
            </c:dLbl>
            <c:dLbl>
              <c:idx val="25"/>
              <c:tx>
                <c:rich>
                  <a:bodyPr/>
                  <a:lstStyle/>
                  <a:p>
                    <a:fld id="{1D818D00-8AD3-4183-91D6-2B462620A48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BCA5-4C2E-A130-BB47B98D23D4}"/>
                </c:ext>
              </c:extLst>
            </c:dLbl>
            <c:dLbl>
              <c:idx val="26"/>
              <c:tx>
                <c:rich>
                  <a:bodyPr/>
                  <a:lstStyle/>
                  <a:p>
                    <a:fld id="{445DCD48-DBC6-49DC-9B60-5F76E9E8F00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BCA5-4C2E-A130-BB47B98D23D4}"/>
                </c:ext>
              </c:extLst>
            </c:dLbl>
            <c:dLbl>
              <c:idx val="27"/>
              <c:tx>
                <c:rich>
                  <a:bodyPr/>
                  <a:lstStyle/>
                  <a:p>
                    <a:fld id="{584DC9D3-AEE9-4BF7-A8C2-253AFB8579E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BCA5-4C2E-A130-BB47B98D23D4}"/>
                </c:ext>
              </c:extLst>
            </c:dLbl>
            <c:dLbl>
              <c:idx val="28"/>
              <c:tx>
                <c:rich>
                  <a:bodyPr/>
                  <a:lstStyle/>
                  <a:p>
                    <a:fld id="{ACF5163A-EFAA-45A5-BE3E-2A361A2D342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BCA5-4C2E-A130-BB47B98D23D4}"/>
                </c:ext>
              </c:extLst>
            </c:dLbl>
            <c:dLbl>
              <c:idx val="29"/>
              <c:tx>
                <c:rich>
                  <a:bodyPr/>
                  <a:lstStyle/>
                  <a:p>
                    <a:fld id="{7A9A415C-6D29-4D1F-A4B8-4D52ECD31BF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BCA5-4C2E-A130-BB47B98D23D4}"/>
                </c:ext>
              </c:extLst>
            </c:dLbl>
            <c:dLbl>
              <c:idx val="30"/>
              <c:tx>
                <c:rich>
                  <a:bodyPr/>
                  <a:lstStyle/>
                  <a:p>
                    <a:fld id="{0BF78065-C838-4713-AD7F-21B5EE8C563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BCA5-4C2E-A130-BB47B98D23D4}"/>
                </c:ext>
              </c:extLst>
            </c:dLbl>
            <c:dLbl>
              <c:idx val="31"/>
              <c:tx>
                <c:rich>
                  <a:bodyPr/>
                  <a:lstStyle/>
                  <a:p>
                    <a:fld id="{D6B1B3F5-9A91-4AA7-BD53-7DDDC263630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BCA5-4C2E-A130-BB47B98D23D4}"/>
                </c:ext>
              </c:extLst>
            </c:dLbl>
            <c:dLbl>
              <c:idx val="32"/>
              <c:tx>
                <c:rich>
                  <a:bodyPr/>
                  <a:lstStyle/>
                  <a:p>
                    <a:fld id="{9FE8E501-B9E1-4841-B5C5-47EAF466BEE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BCA5-4C2E-A130-BB47B98D23D4}"/>
                </c:ext>
              </c:extLst>
            </c:dLbl>
            <c:dLbl>
              <c:idx val="33"/>
              <c:tx>
                <c:rich>
                  <a:bodyPr/>
                  <a:lstStyle/>
                  <a:p>
                    <a:fld id="{BC1C5679-F96E-4E03-85A6-083951047D6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BCA5-4C2E-A130-BB47B98D23D4}"/>
                </c:ext>
              </c:extLst>
            </c:dLbl>
            <c:dLbl>
              <c:idx val="34"/>
              <c:tx>
                <c:rich>
                  <a:bodyPr/>
                  <a:lstStyle/>
                  <a:p>
                    <a:fld id="{B79A599C-7AD2-44F2-9076-27262DD3CC1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BCA5-4C2E-A130-BB47B98D23D4}"/>
                </c:ext>
              </c:extLst>
            </c:dLbl>
            <c:dLbl>
              <c:idx val="35"/>
              <c:tx>
                <c:rich>
                  <a:bodyPr/>
                  <a:lstStyle/>
                  <a:p>
                    <a:fld id="{C0A7B830-B2C4-4420-88A4-5F3924853B4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BCA5-4C2E-A130-BB47B98D23D4}"/>
                </c:ext>
              </c:extLst>
            </c:dLbl>
            <c:dLbl>
              <c:idx val="36"/>
              <c:tx>
                <c:rich>
                  <a:bodyPr/>
                  <a:lstStyle/>
                  <a:p>
                    <a:fld id="{4E47EE7B-89F3-4031-8D27-4A5303EE3CE7}"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5-BCA5-4C2E-A130-BB47B98D23D4}"/>
                </c:ext>
              </c:extLst>
            </c:dLbl>
            <c:dLbl>
              <c:idx val="37"/>
              <c:tx>
                <c:rich>
                  <a:bodyPr/>
                  <a:lstStyle/>
                  <a:p>
                    <a:fld id="{386D9417-1CB7-4F81-BEAE-A1C9F951311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BCA5-4C2E-A130-BB47B98D23D4}"/>
                </c:ext>
              </c:extLst>
            </c:dLbl>
            <c:dLbl>
              <c:idx val="38"/>
              <c:tx>
                <c:rich>
                  <a:bodyPr/>
                  <a:lstStyle/>
                  <a:p>
                    <a:fld id="{1F46BAC4-2CC2-4FFC-B09D-20EBB460F11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BCA5-4C2E-A130-BB47B98D23D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Sheet1!$I$2:$I$40</c:f>
              <c:numCache>
                <c:formatCode>General</c:formatCode>
                <c:ptCount val="39"/>
                <c:pt idx="0">
                  <c:v>0</c:v>
                </c:pt>
                <c:pt idx="1">
                  <c:v>0.7</c:v>
                </c:pt>
                <c:pt idx="2">
                  <c:v>0.7</c:v>
                </c:pt>
                <c:pt idx="3">
                  <c:v>0.7</c:v>
                </c:pt>
                <c:pt idx="4">
                  <c:v>0.7</c:v>
                </c:pt>
                <c:pt idx="5">
                  <c:v>0.7</c:v>
                </c:pt>
                <c:pt idx="6">
                  <c:v>0.7</c:v>
                </c:pt>
                <c:pt idx="7">
                  <c:v>0.7</c:v>
                </c:pt>
                <c:pt idx="8">
                  <c:v>0.7</c:v>
                </c:pt>
                <c:pt idx="9">
                  <c:v>0.7</c:v>
                </c:pt>
                <c:pt idx="10">
                  <c:v>0.7</c:v>
                </c:pt>
                <c:pt idx="11">
                  <c:v>0.7</c:v>
                </c:pt>
                <c:pt idx="12">
                  <c:v>0.7</c:v>
                </c:pt>
                <c:pt idx="13">
                  <c:v>0.7</c:v>
                </c:pt>
                <c:pt idx="14">
                  <c:v>0.7</c:v>
                </c:pt>
                <c:pt idx="15">
                  <c:v>0.7</c:v>
                </c:pt>
                <c:pt idx="16">
                  <c:v>0.7</c:v>
                </c:pt>
                <c:pt idx="17">
                  <c:v>0.7</c:v>
                </c:pt>
                <c:pt idx="18">
                  <c:v>0.7</c:v>
                </c:pt>
                <c:pt idx="19">
                  <c:v>0.7</c:v>
                </c:pt>
                <c:pt idx="20">
                  <c:v>0.7</c:v>
                </c:pt>
                <c:pt idx="21">
                  <c:v>0.7</c:v>
                </c:pt>
                <c:pt idx="22">
                  <c:v>0.7</c:v>
                </c:pt>
                <c:pt idx="23">
                  <c:v>0.7</c:v>
                </c:pt>
                <c:pt idx="24">
                  <c:v>0.7</c:v>
                </c:pt>
                <c:pt idx="25">
                  <c:v>0.7</c:v>
                </c:pt>
                <c:pt idx="26">
                  <c:v>0.7</c:v>
                </c:pt>
                <c:pt idx="27">
                  <c:v>0.7</c:v>
                </c:pt>
                <c:pt idx="28">
                  <c:v>0.7</c:v>
                </c:pt>
                <c:pt idx="29">
                  <c:v>0.7</c:v>
                </c:pt>
                <c:pt idx="30">
                  <c:v>0.7</c:v>
                </c:pt>
                <c:pt idx="31">
                  <c:v>0.7</c:v>
                </c:pt>
                <c:pt idx="32">
                  <c:v>0.7</c:v>
                </c:pt>
                <c:pt idx="33">
                  <c:v>0.7</c:v>
                </c:pt>
                <c:pt idx="34">
                  <c:v>0.7</c:v>
                </c:pt>
                <c:pt idx="35">
                  <c:v>0.7</c:v>
                </c:pt>
                <c:pt idx="36">
                  <c:v>0.7</c:v>
                </c:pt>
                <c:pt idx="37">
                  <c:v>0.7</c:v>
                </c:pt>
                <c:pt idx="38">
                  <c:v>0.7</c:v>
                </c:pt>
              </c:numCache>
            </c:numRef>
          </c:xVal>
          <c:yVal>
            <c:numRef>
              <c:f>Sheet1!$G$2:$G$40</c:f>
              <c:numCache>
                <c:formatCode>General</c:formatCode>
                <c:ptCount val="39"/>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5="http://schemas.microsoft.com/office/drawing/2012/chart" uri="{02D57815-91ED-43cb-92C2-25804820EDAC}">
              <c15:datalabelsRange>
                <c15:f>Sheet1!$J$2:$J$40</c15:f>
                <c15:dlblRangeCache>
                  <c:ptCount val="39"/>
                  <c:pt idx="1">
                    <c:v>0.01 ± 0.03</c:v>
                  </c:pt>
                  <c:pt idx="2">
                    <c:v> ------------------------</c:v>
                  </c:pt>
                  <c:pt idx="3">
                    <c:v>-0.01 ± 0.13</c:v>
                  </c:pt>
                  <c:pt idx="4">
                    <c:v>-0.08 ± 0.53</c:v>
                  </c:pt>
                  <c:pt idx="5">
                    <c:v>-0.11 ± 0.24</c:v>
                  </c:pt>
                  <c:pt idx="6">
                    <c:v>0.05 ± 0.08</c:v>
                  </c:pt>
                  <c:pt idx="7">
                    <c:v>0.06 ± 0.31</c:v>
                  </c:pt>
                  <c:pt idx="8">
                    <c:v>0.05 ± 0.08</c:v>
                  </c:pt>
                  <c:pt idx="9">
                    <c:v> ------------------------</c:v>
                  </c:pt>
                  <c:pt idx="10">
                    <c:v>-0.01 ± 0.08</c:v>
                  </c:pt>
                  <c:pt idx="11">
                    <c:v>-0.04 ± 0.16</c:v>
                  </c:pt>
                  <c:pt idx="12">
                    <c:v>-0.1 ± 0.35</c:v>
                  </c:pt>
                  <c:pt idx="13">
                    <c:v>-0.1 ± 0.02</c:v>
                  </c:pt>
                  <c:pt idx="14">
                    <c:v>-0.04 ± 0.17</c:v>
                  </c:pt>
                  <c:pt idx="15">
                    <c:v>0.08 ± 0.08</c:v>
                  </c:pt>
                  <c:pt idx="16">
                    <c:v>0.04 ± 0.24</c:v>
                  </c:pt>
                  <c:pt idx="17">
                    <c:v> ------------------------</c:v>
                  </c:pt>
                  <c:pt idx="18">
                    <c:v>0.12 ± 0.33</c:v>
                  </c:pt>
                  <c:pt idx="19">
                    <c:v>-0.44 ± 0.15</c:v>
                  </c:pt>
                  <c:pt idx="20">
                    <c:v>0.03 ± 0.26</c:v>
                  </c:pt>
                  <c:pt idx="21">
                    <c:v>0.08 ± 0.44</c:v>
                  </c:pt>
                  <c:pt idx="22">
                    <c:v>0.02 ± 0.05</c:v>
                  </c:pt>
                  <c:pt idx="23">
                    <c:v>0.09 ± 0.33</c:v>
                  </c:pt>
                  <c:pt idx="24">
                    <c:v>0.18 ± 0.1</c:v>
                  </c:pt>
                  <c:pt idx="25">
                    <c:v>0.31 ± 0.12</c:v>
                  </c:pt>
                  <c:pt idx="26">
                    <c:v> ------------------------</c:v>
                  </c:pt>
                  <c:pt idx="27">
                    <c:v>0.01 ± 0.05</c:v>
                  </c:pt>
                  <c:pt idx="28">
                    <c:v> ------------------------</c:v>
                  </c:pt>
                  <c:pt idx="29">
                    <c:v>0.07 ± 0.06</c:v>
                  </c:pt>
                  <c:pt idx="30">
                    <c:v>-0.01 ± 0.11</c:v>
                  </c:pt>
                  <c:pt idx="31">
                    <c:v>0.02 ± 0.03</c:v>
                  </c:pt>
                  <c:pt idx="32">
                    <c:v>0.02 ± 0.04</c:v>
                  </c:pt>
                  <c:pt idx="33">
                    <c:v>0.02 ± 0.02</c:v>
                  </c:pt>
                  <c:pt idx="34">
                    <c:v>0.04 ± 0.05</c:v>
                  </c:pt>
                  <c:pt idx="35">
                    <c:v>-0.03 ± 0.08</c:v>
                  </c:pt>
                  <c:pt idx="36">
                    <c:v> ------------------------</c:v>
                  </c:pt>
                  <c:pt idx="37">
                    <c:v>0.13 ± 0.27</c:v>
                  </c:pt>
                  <c:pt idx="38">
                    <c:v>0 ± 0.06</c:v>
                  </c:pt>
                </c15:dlblRangeCache>
              </c15:datalabelsRange>
            </c:ext>
            <c:ext xmlns:c16="http://schemas.microsoft.com/office/drawing/2014/chart" uri="{C3380CC4-5D6E-409C-BE32-E72D297353CC}">
              <c16:uniqueId val="{00000068-BCA5-4C2E-A130-BB47B98D23D4}"/>
            </c:ext>
          </c:extLst>
        </c:ser>
        <c:dLbls>
          <c:dLblPos val="r"/>
          <c:showLegendKey val="0"/>
          <c:showVal val="1"/>
          <c:showCatName val="0"/>
          <c:showSerName val="0"/>
          <c:showPercent val="0"/>
          <c:showBubbleSize val="0"/>
        </c:dLbls>
        <c:axId val="848893584"/>
        <c:axId val="848895664"/>
      </c:scatterChart>
      <c:valAx>
        <c:axId val="848893584"/>
        <c:scaling>
          <c:orientation val="minMax"/>
          <c:max val="0.70000000000000007"/>
          <c:min val="-0.70000000000000007"/>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Change in participant Gini coefficent</a:t>
                </a:r>
              </a:p>
            </c:rich>
          </c:tx>
          <c:layout>
            <c:manualLayout>
              <c:xMode val="edge"/>
              <c:yMode val="edge"/>
              <c:x val="0.36822421293723828"/>
              <c:y val="0.96502057613168724"/>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39"/>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20424555364315"/>
          <c:y val="0"/>
          <c:w val="0.66833615677558389"/>
          <c:h val="0.93213991769547322"/>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0-4EA2-458C-B435-5B02E8414688}"/>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1-4EA2-458C-B435-5B02E8414688}"/>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2-4EA2-458C-B435-5B02E8414688}"/>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3-4EA2-458C-B435-5B02E8414688}"/>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4-4EA2-458C-B435-5B02E8414688}"/>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5-4EA2-458C-B435-5B02E8414688}"/>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06-4EA2-458C-B435-5B02E8414688}"/>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7-4EA2-458C-B435-5B02E8414688}"/>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8-4EA2-458C-B435-5B02E8414688}"/>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9-4EA2-458C-B435-5B02E8414688}"/>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0A-4EA2-458C-B435-5B02E8414688}"/>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0B-4EA2-458C-B435-5B02E8414688}"/>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C-4EA2-458C-B435-5B02E8414688}"/>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0D-4EA2-458C-B435-5B02E8414688}"/>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0E-4EA2-458C-B435-5B02E8414688}"/>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0F-4EA2-458C-B435-5B02E8414688}"/>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0-4EA2-458C-B435-5B02E8414688}"/>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1-4EA2-458C-B435-5B02E8414688}"/>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2-4EA2-458C-B435-5B02E8414688}"/>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3-4EA2-458C-B435-5B02E8414688}"/>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4-4EA2-458C-B435-5B02E8414688}"/>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5-4EA2-458C-B435-5B02E8414688}"/>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6-4EA2-458C-B435-5B02E8414688}"/>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7-4EA2-458C-B435-5B02E8414688}"/>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Sheet1!$F$2:$F$40</c:f>
                <c:numCache>
                  <c:formatCode>General</c:formatCode>
                  <c:ptCount val="39"/>
                  <c:pt idx="1">
                    <c:v>3.3320000000000002E-2</c:v>
                  </c:pt>
                  <c:pt idx="3">
                    <c:v>6.2719999999999998E-2</c:v>
                  </c:pt>
                  <c:pt idx="4">
                    <c:v>0.32340000000000002</c:v>
                  </c:pt>
                  <c:pt idx="5">
                    <c:v>0.32340000000000002</c:v>
                  </c:pt>
                  <c:pt idx="6">
                    <c:v>3.7239999999999995E-2</c:v>
                  </c:pt>
                  <c:pt idx="7">
                    <c:v>0.19600000000000001</c:v>
                  </c:pt>
                  <c:pt idx="8">
                    <c:v>0.26656000000000002</c:v>
                  </c:pt>
                  <c:pt idx="10">
                    <c:v>3.5279999999999999E-2</c:v>
                  </c:pt>
                  <c:pt idx="11">
                    <c:v>0.12740000000000001</c:v>
                  </c:pt>
                  <c:pt idx="12">
                    <c:v>0.13720000000000002</c:v>
                  </c:pt>
                  <c:pt idx="13">
                    <c:v>4.3119999999999999E-2</c:v>
                  </c:pt>
                  <c:pt idx="14">
                    <c:v>0.25872000000000001</c:v>
                  </c:pt>
                  <c:pt idx="15">
                    <c:v>5.0959999999999998E-2</c:v>
                  </c:pt>
                  <c:pt idx="16">
                    <c:v>7.2520000000000001E-2</c:v>
                  </c:pt>
                  <c:pt idx="18">
                    <c:v>0.10584</c:v>
                  </c:pt>
                  <c:pt idx="19">
                    <c:v>0.32144</c:v>
                  </c:pt>
                  <c:pt idx="20">
                    <c:v>0.37436000000000003</c:v>
                  </c:pt>
                  <c:pt idx="21">
                    <c:v>0.45863999999999999</c:v>
                  </c:pt>
                  <c:pt idx="22">
                    <c:v>3.5279999999999999E-2</c:v>
                  </c:pt>
                  <c:pt idx="23">
                    <c:v>0.5292</c:v>
                  </c:pt>
                  <c:pt idx="24">
                    <c:v>0.20187999999999998</c:v>
                  </c:pt>
                  <c:pt idx="25">
                    <c:v>0.28223999999999999</c:v>
                  </c:pt>
                  <c:pt idx="27">
                    <c:v>5.0959999999999998E-2</c:v>
                  </c:pt>
                  <c:pt idx="29">
                    <c:v>3.9199999999999999E-2</c:v>
                  </c:pt>
                  <c:pt idx="30">
                    <c:v>1.372E-2</c:v>
                  </c:pt>
                  <c:pt idx="31">
                    <c:v>1.372E-2</c:v>
                  </c:pt>
                  <c:pt idx="32">
                    <c:v>3.3320000000000002E-2</c:v>
                  </c:pt>
                  <c:pt idx="33">
                    <c:v>3.1359999999999999E-2</c:v>
                  </c:pt>
                  <c:pt idx="34">
                    <c:v>3.9199999999999999E-2</c:v>
                  </c:pt>
                  <c:pt idx="35">
                    <c:v>7.0559999999999998E-2</c:v>
                  </c:pt>
                  <c:pt idx="37">
                    <c:v>0.14699999999999999</c:v>
                  </c:pt>
                  <c:pt idx="38">
                    <c:v>6.2719999999999998E-2</c:v>
                  </c:pt>
                </c:numCache>
              </c:numRef>
            </c:plus>
            <c:minus>
              <c:numRef>
                <c:f>Sheet1!$F$2:$F$40</c:f>
                <c:numCache>
                  <c:formatCode>General</c:formatCode>
                  <c:ptCount val="39"/>
                  <c:pt idx="1">
                    <c:v>3.3320000000000002E-2</c:v>
                  </c:pt>
                  <c:pt idx="3">
                    <c:v>6.2719999999999998E-2</c:v>
                  </c:pt>
                  <c:pt idx="4">
                    <c:v>0.32340000000000002</c:v>
                  </c:pt>
                  <c:pt idx="5">
                    <c:v>0.32340000000000002</c:v>
                  </c:pt>
                  <c:pt idx="6">
                    <c:v>3.7239999999999995E-2</c:v>
                  </c:pt>
                  <c:pt idx="7">
                    <c:v>0.19600000000000001</c:v>
                  </c:pt>
                  <c:pt idx="8">
                    <c:v>0.26656000000000002</c:v>
                  </c:pt>
                  <c:pt idx="10">
                    <c:v>3.5279999999999999E-2</c:v>
                  </c:pt>
                  <c:pt idx="11">
                    <c:v>0.12740000000000001</c:v>
                  </c:pt>
                  <c:pt idx="12">
                    <c:v>0.13720000000000002</c:v>
                  </c:pt>
                  <c:pt idx="13">
                    <c:v>4.3119999999999999E-2</c:v>
                  </c:pt>
                  <c:pt idx="14">
                    <c:v>0.25872000000000001</c:v>
                  </c:pt>
                  <c:pt idx="15">
                    <c:v>5.0959999999999998E-2</c:v>
                  </c:pt>
                  <c:pt idx="16">
                    <c:v>7.2520000000000001E-2</c:v>
                  </c:pt>
                  <c:pt idx="18">
                    <c:v>0.10584</c:v>
                  </c:pt>
                  <c:pt idx="19">
                    <c:v>0.32144</c:v>
                  </c:pt>
                  <c:pt idx="20">
                    <c:v>0.37436000000000003</c:v>
                  </c:pt>
                  <c:pt idx="21">
                    <c:v>0.45863999999999999</c:v>
                  </c:pt>
                  <c:pt idx="22">
                    <c:v>3.5279999999999999E-2</c:v>
                  </c:pt>
                  <c:pt idx="23">
                    <c:v>0.5292</c:v>
                  </c:pt>
                  <c:pt idx="24">
                    <c:v>0.20187999999999998</c:v>
                  </c:pt>
                  <c:pt idx="25">
                    <c:v>0.28223999999999999</c:v>
                  </c:pt>
                  <c:pt idx="27">
                    <c:v>5.0959999999999998E-2</c:v>
                  </c:pt>
                  <c:pt idx="29">
                    <c:v>3.9199999999999999E-2</c:v>
                  </c:pt>
                  <c:pt idx="30">
                    <c:v>1.372E-2</c:v>
                  </c:pt>
                  <c:pt idx="31">
                    <c:v>1.372E-2</c:v>
                  </c:pt>
                  <c:pt idx="32">
                    <c:v>3.3320000000000002E-2</c:v>
                  </c:pt>
                  <c:pt idx="33">
                    <c:v>3.1359999999999999E-2</c:v>
                  </c:pt>
                  <c:pt idx="34">
                    <c:v>3.9199999999999999E-2</c:v>
                  </c:pt>
                  <c:pt idx="35">
                    <c:v>7.0559999999999998E-2</c:v>
                  </c:pt>
                  <c:pt idx="37">
                    <c:v>0.14699999999999999</c:v>
                  </c:pt>
                  <c:pt idx="38">
                    <c:v>6.2719999999999998E-2</c:v>
                  </c:pt>
                </c:numCache>
              </c:numRef>
            </c:minus>
            <c:spPr>
              <a:noFill/>
              <a:ln w="9525" cap="flat" cmpd="sng" algn="ctr">
                <a:solidFill>
                  <a:schemeClr val="tx1">
                    <a:lumMod val="65000"/>
                    <a:lumOff val="35000"/>
                  </a:schemeClr>
                </a:solidFill>
                <a:round/>
              </a:ln>
              <a:effectLst/>
            </c:spPr>
          </c:errBars>
          <c:xVal>
            <c:numRef>
              <c:f>Sheet1!$C$2:$C$40</c:f>
              <c:numCache>
                <c:formatCode>General</c:formatCode>
                <c:ptCount val="39"/>
                <c:pt idx="1">
                  <c:v>-2.5000000000000001E-2</c:v>
                </c:pt>
                <c:pt idx="3">
                  <c:v>-8.3000000000000004E-2</c:v>
                </c:pt>
                <c:pt idx="4">
                  <c:v>-7.0999999999999994E-2</c:v>
                </c:pt>
                <c:pt idx="5">
                  <c:v>-0.28699999999999998</c:v>
                </c:pt>
                <c:pt idx="6">
                  <c:v>-1.4E-2</c:v>
                </c:pt>
                <c:pt idx="7">
                  <c:v>-0.02</c:v>
                </c:pt>
                <c:pt idx="8">
                  <c:v>-2.1000000000000001E-2</c:v>
                </c:pt>
                <c:pt idx="10">
                  <c:v>-2E-3</c:v>
                </c:pt>
                <c:pt idx="11">
                  <c:v>2E-3</c:v>
                </c:pt>
                <c:pt idx="12">
                  <c:v>-4.9000000000000002E-2</c:v>
                </c:pt>
                <c:pt idx="13">
                  <c:v>-8.5000000000000006E-2</c:v>
                </c:pt>
                <c:pt idx="14">
                  <c:v>0.104</c:v>
                </c:pt>
                <c:pt idx="15">
                  <c:v>-5.1999999999999998E-2</c:v>
                </c:pt>
                <c:pt idx="16">
                  <c:v>0.214</c:v>
                </c:pt>
                <c:pt idx="18">
                  <c:v>0.08</c:v>
                </c:pt>
                <c:pt idx="19">
                  <c:v>-5.6000000000000001E-2</c:v>
                </c:pt>
                <c:pt idx="20">
                  <c:v>-2.1000000000000001E-2</c:v>
                </c:pt>
                <c:pt idx="21">
                  <c:v>7.9000000000000001E-2</c:v>
                </c:pt>
                <c:pt idx="22">
                  <c:v>7.0999999999999994E-2</c:v>
                </c:pt>
                <c:pt idx="23">
                  <c:v>-7.1999999999999995E-2</c:v>
                </c:pt>
                <c:pt idx="24">
                  <c:v>-1.4E-2</c:v>
                </c:pt>
                <c:pt idx="25">
                  <c:v>1.2E-2</c:v>
                </c:pt>
                <c:pt idx="27">
                  <c:v>-2.5999999999999999E-2</c:v>
                </c:pt>
                <c:pt idx="29">
                  <c:v>8.3000000000000004E-2</c:v>
                </c:pt>
                <c:pt idx="30">
                  <c:v>1E-3</c:v>
                </c:pt>
                <c:pt idx="31">
                  <c:v>7.0000000000000001E-3</c:v>
                </c:pt>
                <c:pt idx="32">
                  <c:v>-1.2E-2</c:v>
                </c:pt>
                <c:pt idx="33">
                  <c:v>2.3E-2</c:v>
                </c:pt>
                <c:pt idx="34">
                  <c:v>0</c:v>
                </c:pt>
                <c:pt idx="35">
                  <c:v>-3.7999999999999999E-2</c:v>
                </c:pt>
                <c:pt idx="37">
                  <c:v>0.115</c:v>
                </c:pt>
                <c:pt idx="38">
                  <c:v>-2.5000000000000001E-2</c:v>
                </c:pt>
              </c:numCache>
            </c:numRef>
          </c:xVal>
          <c:yVal>
            <c:numRef>
              <c:f>Sheet1!$G$2:$G$40</c:f>
              <c:numCache>
                <c:formatCode>General</c:formatCode>
                <c:ptCount val="39"/>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6="http://schemas.microsoft.com/office/drawing/2014/chart" uri="{C3380CC4-5D6E-409C-BE32-E72D297353CC}">
              <c16:uniqueId val="{00000018-4EA2-458C-B435-5B02E8414688}"/>
            </c:ext>
          </c:extLst>
        </c:ser>
        <c:ser>
          <c:idx val="0"/>
          <c:order val="1"/>
          <c:tx>
            <c:v>labels</c:v>
          </c:tx>
          <c:spPr>
            <a:ln w="25400" cap="rnd">
              <a:noFill/>
              <a:round/>
            </a:ln>
            <a:effectLst/>
          </c:spPr>
          <c:marker>
            <c:symbol val="none"/>
          </c:marker>
          <c:dLbls>
            <c:dLbl>
              <c:idx val="0"/>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9-4EA2-458C-B435-5B02E8414688}"/>
                </c:ext>
              </c:extLst>
            </c:dLbl>
            <c:dLbl>
              <c:idx val="1"/>
              <c:layout>
                <c:manualLayout>
                  <c:x val="-8.4934021801491677E-2"/>
                  <c:y val="-9.4306180800148089E-18"/>
                </c:manualLayout>
              </c:layout>
              <c:tx>
                <c:rich>
                  <a:bodyPr/>
                  <a:lstStyle/>
                  <a:p>
                    <a:fld id="{2F6BF868-9B37-4B3C-B988-6BF598170A3A}"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4EA2-458C-B435-5B02E8414688}"/>
                </c:ext>
              </c:extLst>
            </c:dLbl>
            <c:dLbl>
              <c:idx val="2"/>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62E87F8C-2E88-43C8-8633-764165ABB3C3}"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4EA2-458C-B435-5B02E8414688}"/>
                </c:ext>
              </c:extLst>
            </c:dLbl>
            <c:dLbl>
              <c:idx val="3"/>
              <c:tx>
                <c:rich>
                  <a:bodyPr/>
                  <a:lstStyle/>
                  <a:p>
                    <a:fld id="{0D178194-37D0-4253-834C-5D44D79EF76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4EA2-458C-B435-5B02E8414688}"/>
                </c:ext>
              </c:extLst>
            </c:dLbl>
            <c:dLbl>
              <c:idx val="4"/>
              <c:tx>
                <c:rich>
                  <a:bodyPr/>
                  <a:lstStyle/>
                  <a:p>
                    <a:fld id="{DCAD05BD-8CCC-480A-8CA1-1FA81264D87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4EA2-458C-B435-5B02E8414688}"/>
                </c:ext>
              </c:extLst>
            </c:dLbl>
            <c:dLbl>
              <c:idx val="5"/>
              <c:tx>
                <c:rich>
                  <a:bodyPr/>
                  <a:lstStyle/>
                  <a:p>
                    <a:fld id="{27EA0A6B-19E7-4D26-BD25-5FCE9CA9526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4EA2-458C-B435-5B02E8414688}"/>
                </c:ext>
              </c:extLst>
            </c:dLbl>
            <c:dLbl>
              <c:idx val="6"/>
              <c:tx>
                <c:rich>
                  <a:bodyPr/>
                  <a:lstStyle/>
                  <a:p>
                    <a:fld id="{251EDCB8-3A8C-4215-B4FB-F4F4D538653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4EA2-458C-B435-5B02E8414688}"/>
                </c:ext>
              </c:extLst>
            </c:dLbl>
            <c:dLbl>
              <c:idx val="7"/>
              <c:tx>
                <c:rich>
                  <a:bodyPr/>
                  <a:lstStyle/>
                  <a:p>
                    <a:fld id="{8FDFA959-88C0-4F11-8D05-C32BAD50848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4EA2-458C-B435-5B02E8414688}"/>
                </c:ext>
              </c:extLst>
            </c:dLbl>
            <c:dLbl>
              <c:idx val="8"/>
              <c:tx>
                <c:rich>
                  <a:bodyPr/>
                  <a:lstStyle/>
                  <a:p>
                    <a:fld id="{EC9AE498-D7D4-4777-AF95-8B9913E9D5A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4EA2-458C-B435-5B02E8414688}"/>
                </c:ext>
              </c:extLst>
            </c:dLbl>
            <c:dLbl>
              <c:idx val="9"/>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6D9966D3-791C-43AD-917E-C4DA588422F5}"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4EA2-458C-B435-5B02E8414688}"/>
                </c:ext>
              </c:extLst>
            </c:dLbl>
            <c:dLbl>
              <c:idx val="10"/>
              <c:tx>
                <c:rich>
                  <a:bodyPr/>
                  <a:lstStyle/>
                  <a:p>
                    <a:fld id="{1F23EE1F-D64A-43BA-934E-BE2756ADDEF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4EA2-458C-B435-5B02E8414688}"/>
                </c:ext>
              </c:extLst>
            </c:dLbl>
            <c:dLbl>
              <c:idx val="11"/>
              <c:tx>
                <c:rich>
                  <a:bodyPr/>
                  <a:lstStyle/>
                  <a:p>
                    <a:fld id="{38AEC9C2-DFB5-47F1-B8B4-D94F917BB8B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4EA2-458C-B435-5B02E8414688}"/>
                </c:ext>
              </c:extLst>
            </c:dLbl>
            <c:dLbl>
              <c:idx val="12"/>
              <c:tx>
                <c:rich>
                  <a:bodyPr/>
                  <a:lstStyle/>
                  <a:p>
                    <a:fld id="{35A1BD57-176A-4F75-8CCF-6AF5B01C149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4EA2-458C-B435-5B02E8414688}"/>
                </c:ext>
              </c:extLst>
            </c:dLbl>
            <c:dLbl>
              <c:idx val="13"/>
              <c:tx>
                <c:rich>
                  <a:bodyPr/>
                  <a:lstStyle/>
                  <a:p>
                    <a:fld id="{D1322EB1-1358-45B3-B715-73A1E5CC7FA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4EA2-458C-B435-5B02E8414688}"/>
                </c:ext>
              </c:extLst>
            </c:dLbl>
            <c:dLbl>
              <c:idx val="14"/>
              <c:tx>
                <c:rich>
                  <a:bodyPr/>
                  <a:lstStyle/>
                  <a:p>
                    <a:fld id="{C9BF03BB-B038-47AD-AA4C-E33D818CF93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4EA2-458C-B435-5B02E8414688}"/>
                </c:ext>
              </c:extLst>
            </c:dLbl>
            <c:dLbl>
              <c:idx val="15"/>
              <c:tx>
                <c:rich>
                  <a:bodyPr/>
                  <a:lstStyle/>
                  <a:p>
                    <a:fld id="{E26430E6-A2EF-4CB2-9C20-3DE55DC232A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4EA2-458C-B435-5B02E8414688}"/>
                </c:ext>
              </c:extLst>
            </c:dLbl>
            <c:dLbl>
              <c:idx val="16"/>
              <c:tx>
                <c:rich>
                  <a:bodyPr/>
                  <a:lstStyle/>
                  <a:p>
                    <a:fld id="{3998A0E2-7E6E-46CC-B689-2D6DF60EB98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4EA2-458C-B435-5B02E8414688}"/>
                </c:ext>
              </c:extLst>
            </c:dLbl>
            <c:dLbl>
              <c:idx val="17"/>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66FD0E3C-B92E-4F4E-AB67-29AA4D66F199}"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4EA2-458C-B435-5B02E8414688}"/>
                </c:ext>
              </c:extLst>
            </c:dLbl>
            <c:dLbl>
              <c:idx val="18"/>
              <c:tx>
                <c:rich>
                  <a:bodyPr/>
                  <a:lstStyle/>
                  <a:p>
                    <a:fld id="{1BC0C7E3-AE9C-4486-8978-75F4B3FCFCE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4EA2-458C-B435-5B02E8414688}"/>
                </c:ext>
              </c:extLst>
            </c:dLbl>
            <c:dLbl>
              <c:idx val="19"/>
              <c:tx>
                <c:rich>
                  <a:bodyPr/>
                  <a:lstStyle/>
                  <a:p>
                    <a:fld id="{FAEFD1AD-4571-42B0-8A17-CA57B7AC626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4EA2-458C-B435-5B02E8414688}"/>
                </c:ext>
              </c:extLst>
            </c:dLbl>
            <c:dLbl>
              <c:idx val="20"/>
              <c:tx>
                <c:rich>
                  <a:bodyPr/>
                  <a:lstStyle/>
                  <a:p>
                    <a:fld id="{3FD9A98E-E195-46D0-AB3F-254FA54186E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4EA2-458C-B435-5B02E8414688}"/>
                </c:ext>
              </c:extLst>
            </c:dLbl>
            <c:dLbl>
              <c:idx val="21"/>
              <c:tx>
                <c:rich>
                  <a:bodyPr/>
                  <a:lstStyle/>
                  <a:p>
                    <a:fld id="{86390D39-068B-40E2-89BC-A42295DCAED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4EA2-458C-B435-5B02E8414688}"/>
                </c:ext>
              </c:extLst>
            </c:dLbl>
            <c:dLbl>
              <c:idx val="22"/>
              <c:tx>
                <c:rich>
                  <a:bodyPr/>
                  <a:lstStyle/>
                  <a:p>
                    <a:fld id="{FABDCC81-7069-4CFD-B183-C0D91683B7D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4EA2-458C-B435-5B02E8414688}"/>
                </c:ext>
              </c:extLst>
            </c:dLbl>
            <c:dLbl>
              <c:idx val="23"/>
              <c:tx>
                <c:rich>
                  <a:bodyPr/>
                  <a:lstStyle/>
                  <a:p>
                    <a:fld id="{9CD863D1-F71A-4E95-9C5A-64E6F1AC2D5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4EA2-458C-B435-5B02E8414688}"/>
                </c:ext>
              </c:extLst>
            </c:dLbl>
            <c:dLbl>
              <c:idx val="24"/>
              <c:tx>
                <c:rich>
                  <a:bodyPr/>
                  <a:lstStyle/>
                  <a:p>
                    <a:fld id="{2B0E32EB-E550-4A8E-92ED-8C85DA81210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4EA2-458C-B435-5B02E8414688}"/>
                </c:ext>
              </c:extLst>
            </c:dLbl>
            <c:dLbl>
              <c:idx val="25"/>
              <c:tx>
                <c:rich>
                  <a:bodyPr/>
                  <a:lstStyle/>
                  <a:p>
                    <a:fld id="{A924814D-620C-4CCC-AC69-0E4E6344AF0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4EA2-458C-B435-5B02E8414688}"/>
                </c:ext>
              </c:extLst>
            </c:dLbl>
            <c:dLbl>
              <c:idx val="2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BBA472E2-5C3B-494E-9B68-E5B0267DA896}"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4EA2-458C-B435-5B02E8414688}"/>
                </c:ext>
              </c:extLst>
            </c:dLbl>
            <c:dLbl>
              <c:idx val="27"/>
              <c:tx>
                <c:rich>
                  <a:bodyPr/>
                  <a:lstStyle/>
                  <a:p>
                    <a:fld id="{6EDAFD73-85BD-4E35-B142-D8432E895F0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4EA2-458C-B435-5B02E8414688}"/>
                </c:ext>
              </c:extLst>
            </c:dLbl>
            <c:dLbl>
              <c:idx val="2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1C0F386D-CFDA-4765-96A7-D464BA4A8901}"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4EA2-458C-B435-5B02E8414688}"/>
                </c:ext>
              </c:extLst>
            </c:dLbl>
            <c:dLbl>
              <c:idx val="29"/>
              <c:tx>
                <c:rich>
                  <a:bodyPr/>
                  <a:lstStyle/>
                  <a:p>
                    <a:fld id="{1DE405AA-B151-414B-BDD3-B92CC49A8F3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4EA2-458C-B435-5B02E8414688}"/>
                </c:ext>
              </c:extLst>
            </c:dLbl>
            <c:dLbl>
              <c:idx val="30"/>
              <c:tx>
                <c:rich>
                  <a:bodyPr/>
                  <a:lstStyle/>
                  <a:p>
                    <a:fld id="{592CF07D-885B-443A-A4FD-C66BCBB8C94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4EA2-458C-B435-5B02E8414688}"/>
                </c:ext>
              </c:extLst>
            </c:dLbl>
            <c:dLbl>
              <c:idx val="31"/>
              <c:tx>
                <c:rich>
                  <a:bodyPr/>
                  <a:lstStyle/>
                  <a:p>
                    <a:fld id="{64D6B61B-ABED-4FDC-A372-9A4A95007EF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4EA2-458C-B435-5B02E8414688}"/>
                </c:ext>
              </c:extLst>
            </c:dLbl>
            <c:dLbl>
              <c:idx val="32"/>
              <c:tx>
                <c:rich>
                  <a:bodyPr/>
                  <a:lstStyle/>
                  <a:p>
                    <a:fld id="{A93AB232-0FA6-44BC-B245-8E3F416328D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4EA2-458C-B435-5B02E8414688}"/>
                </c:ext>
              </c:extLst>
            </c:dLbl>
            <c:dLbl>
              <c:idx val="33"/>
              <c:tx>
                <c:rich>
                  <a:bodyPr/>
                  <a:lstStyle/>
                  <a:p>
                    <a:fld id="{9937C133-027C-47CB-B54A-41B093B5EBA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4EA2-458C-B435-5B02E8414688}"/>
                </c:ext>
              </c:extLst>
            </c:dLbl>
            <c:dLbl>
              <c:idx val="34"/>
              <c:tx>
                <c:rich>
                  <a:bodyPr/>
                  <a:lstStyle/>
                  <a:p>
                    <a:fld id="{EA6D6584-B316-4EB3-9558-66017B2B22F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4EA2-458C-B435-5B02E8414688}"/>
                </c:ext>
              </c:extLst>
            </c:dLbl>
            <c:dLbl>
              <c:idx val="35"/>
              <c:tx>
                <c:rich>
                  <a:bodyPr/>
                  <a:lstStyle/>
                  <a:p>
                    <a:fld id="{B1B4729B-A2BC-46A6-80BB-6A485235331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4EA2-458C-B435-5B02E8414688}"/>
                </c:ext>
              </c:extLst>
            </c:dLbl>
            <c:dLbl>
              <c:idx val="3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67C3531B-AE4B-4977-A7FB-7ECA18627A6F}"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4EA2-458C-B435-5B02E8414688}"/>
                </c:ext>
              </c:extLst>
            </c:dLbl>
            <c:dLbl>
              <c:idx val="37"/>
              <c:tx>
                <c:rich>
                  <a:bodyPr/>
                  <a:lstStyle/>
                  <a:p>
                    <a:fld id="{46156E43-C120-456A-A4A5-DD78BABC4F0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4EA2-458C-B435-5B02E8414688}"/>
                </c:ext>
              </c:extLst>
            </c:dLbl>
            <c:dLbl>
              <c:idx val="38"/>
              <c:tx>
                <c:rich>
                  <a:bodyPr/>
                  <a:lstStyle/>
                  <a:p>
                    <a:fld id="{F98C9C46-00F5-4411-A8EA-00E9D30ECF4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4EA2-458C-B435-5B02E841468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Sheet1!$H$2:$H$40</c:f>
              <c:numCache>
                <c:formatCode>General</c:formatCode>
                <c:ptCount val="39"/>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numCache>
            </c:numRef>
          </c:xVal>
          <c:yVal>
            <c:numRef>
              <c:f>Sheet1!$G$2:$G$40</c:f>
              <c:numCache>
                <c:formatCode>General</c:formatCode>
                <c:ptCount val="39"/>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5="http://schemas.microsoft.com/office/drawing/2012/chart" uri="{02D57815-91ED-43cb-92C2-25804820EDAC}">
              <c15:datalabelsRange>
                <c15:f>Sheet1!$A$2:$A$40</c15:f>
                <c15:dlblRange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15:dlblRangeCache>
              </c15:datalabelsRange>
            </c:ext>
            <c:ext xmlns:c16="http://schemas.microsoft.com/office/drawing/2014/chart" uri="{C3380CC4-5D6E-409C-BE32-E72D297353CC}">
              <c16:uniqueId val="{00000040-4EA2-458C-B435-5B02E8414688}"/>
            </c:ext>
          </c:extLst>
        </c:ser>
        <c:ser>
          <c:idx val="1"/>
          <c:order val="2"/>
          <c:tx>
            <c:v>Right labels</c:v>
          </c:tx>
          <c:spPr>
            <a:ln w="25400" cap="rnd">
              <a:noFill/>
              <a:round/>
            </a:ln>
            <a:effectLst/>
          </c:spPr>
          <c:marker>
            <c:symbol val="none"/>
          </c:marker>
          <c:dLbls>
            <c:dLbl>
              <c:idx val="0"/>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41-4EA2-458C-B435-5B02E8414688}"/>
                </c:ext>
              </c:extLst>
            </c:dLbl>
            <c:dLbl>
              <c:idx val="1"/>
              <c:tx>
                <c:rich>
                  <a:bodyPr/>
                  <a:lstStyle/>
                  <a:p>
                    <a:fld id="{7A04A3F7-857F-4046-8055-889651893DA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4EA2-458C-B435-5B02E8414688}"/>
                </c:ext>
              </c:extLst>
            </c:dLbl>
            <c:dLbl>
              <c:idx val="2"/>
              <c:tx>
                <c:rich>
                  <a:bodyPr/>
                  <a:lstStyle/>
                  <a:p>
                    <a:fld id="{8AAACFE1-7BD4-4DB6-B8C4-ABF1E0CCD20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4EA2-458C-B435-5B02E8414688}"/>
                </c:ext>
              </c:extLst>
            </c:dLbl>
            <c:dLbl>
              <c:idx val="3"/>
              <c:tx>
                <c:rich>
                  <a:bodyPr/>
                  <a:lstStyle/>
                  <a:p>
                    <a:fld id="{88453EB0-CAE0-4265-B25F-D0FC79E7075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4EA2-458C-B435-5B02E8414688}"/>
                </c:ext>
              </c:extLst>
            </c:dLbl>
            <c:dLbl>
              <c:idx val="4"/>
              <c:tx>
                <c:rich>
                  <a:bodyPr/>
                  <a:lstStyle/>
                  <a:p>
                    <a:fld id="{5EC612D9-5EA3-4B0B-A47A-6DEC41E0378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4EA2-458C-B435-5B02E8414688}"/>
                </c:ext>
              </c:extLst>
            </c:dLbl>
            <c:dLbl>
              <c:idx val="5"/>
              <c:tx>
                <c:rich>
                  <a:bodyPr/>
                  <a:lstStyle/>
                  <a:p>
                    <a:fld id="{1FE07737-DD18-4BEF-BC2E-9194BEAC524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4EA2-458C-B435-5B02E8414688}"/>
                </c:ext>
              </c:extLst>
            </c:dLbl>
            <c:dLbl>
              <c:idx val="6"/>
              <c:tx>
                <c:rich>
                  <a:bodyPr/>
                  <a:lstStyle/>
                  <a:p>
                    <a:fld id="{7EB152B1-6961-4FAD-A2B0-3D6E3E4294C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4EA2-458C-B435-5B02E8414688}"/>
                </c:ext>
              </c:extLst>
            </c:dLbl>
            <c:dLbl>
              <c:idx val="7"/>
              <c:tx>
                <c:rich>
                  <a:bodyPr/>
                  <a:lstStyle/>
                  <a:p>
                    <a:fld id="{3280A6B3-6A79-4C73-9BCD-0C86712271E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4EA2-458C-B435-5B02E8414688}"/>
                </c:ext>
              </c:extLst>
            </c:dLbl>
            <c:dLbl>
              <c:idx val="8"/>
              <c:tx>
                <c:rich>
                  <a:bodyPr/>
                  <a:lstStyle/>
                  <a:p>
                    <a:fld id="{EE040C5D-88C1-4DF8-A440-4DAAED792E7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4EA2-458C-B435-5B02E8414688}"/>
                </c:ext>
              </c:extLst>
            </c:dLbl>
            <c:dLbl>
              <c:idx val="9"/>
              <c:tx>
                <c:rich>
                  <a:bodyPr/>
                  <a:lstStyle/>
                  <a:p>
                    <a:fld id="{737ADF81-0B5B-45D8-AA38-75C23682B1E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4EA2-458C-B435-5B02E8414688}"/>
                </c:ext>
              </c:extLst>
            </c:dLbl>
            <c:dLbl>
              <c:idx val="10"/>
              <c:tx>
                <c:rich>
                  <a:bodyPr/>
                  <a:lstStyle/>
                  <a:p>
                    <a:fld id="{6A01EB12-7350-4B4B-8B61-E79AFDBB9ED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4EA2-458C-B435-5B02E8414688}"/>
                </c:ext>
              </c:extLst>
            </c:dLbl>
            <c:dLbl>
              <c:idx val="11"/>
              <c:tx>
                <c:rich>
                  <a:bodyPr/>
                  <a:lstStyle/>
                  <a:p>
                    <a:fld id="{C630FD29-CD43-4432-B470-5510FE3D857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4EA2-458C-B435-5B02E8414688}"/>
                </c:ext>
              </c:extLst>
            </c:dLbl>
            <c:dLbl>
              <c:idx val="12"/>
              <c:tx>
                <c:rich>
                  <a:bodyPr/>
                  <a:lstStyle/>
                  <a:p>
                    <a:fld id="{29EF4378-0FA8-446F-9425-058D3A2AF15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4EA2-458C-B435-5B02E8414688}"/>
                </c:ext>
              </c:extLst>
            </c:dLbl>
            <c:dLbl>
              <c:idx val="13"/>
              <c:tx>
                <c:rich>
                  <a:bodyPr/>
                  <a:lstStyle/>
                  <a:p>
                    <a:fld id="{1ED43E37-A4CC-4976-AD9C-E3329D5C6A0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4EA2-458C-B435-5B02E8414688}"/>
                </c:ext>
              </c:extLst>
            </c:dLbl>
            <c:dLbl>
              <c:idx val="14"/>
              <c:tx>
                <c:rich>
                  <a:bodyPr/>
                  <a:lstStyle/>
                  <a:p>
                    <a:fld id="{4C7803E7-A878-4646-9946-8BCD3FB81F9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4EA2-458C-B435-5B02E8414688}"/>
                </c:ext>
              </c:extLst>
            </c:dLbl>
            <c:dLbl>
              <c:idx val="15"/>
              <c:tx>
                <c:rich>
                  <a:bodyPr/>
                  <a:lstStyle/>
                  <a:p>
                    <a:fld id="{7ACCB554-28E9-45CE-AFA5-016E0592A81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4EA2-458C-B435-5B02E8414688}"/>
                </c:ext>
              </c:extLst>
            </c:dLbl>
            <c:dLbl>
              <c:idx val="16"/>
              <c:tx>
                <c:rich>
                  <a:bodyPr/>
                  <a:lstStyle/>
                  <a:p>
                    <a:fld id="{5E3D3D2A-F4C2-4246-9CB7-BDD90DDEEDE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4EA2-458C-B435-5B02E8414688}"/>
                </c:ext>
              </c:extLst>
            </c:dLbl>
            <c:dLbl>
              <c:idx val="17"/>
              <c:tx>
                <c:rich>
                  <a:bodyPr/>
                  <a:lstStyle/>
                  <a:p>
                    <a:fld id="{35D1E174-8579-4A5F-9ED5-5947DD5D326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4EA2-458C-B435-5B02E8414688}"/>
                </c:ext>
              </c:extLst>
            </c:dLbl>
            <c:dLbl>
              <c:idx val="18"/>
              <c:tx>
                <c:rich>
                  <a:bodyPr/>
                  <a:lstStyle/>
                  <a:p>
                    <a:fld id="{3708600A-8906-4C9E-8A29-16BBB0EF9F7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4EA2-458C-B435-5B02E8414688}"/>
                </c:ext>
              </c:extLst>
            </c:dLbl>
            <c:dLbl>
              <c:idx val="19"/>
              <c:tx>
                <c:rich>
                  <a:bodyPr/>
                  <a:lstStyle/>
                  <a:p>
                    <a:fld id="{73ED109B-9739-4F9E-8FF0-5CA1D7E7157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4EA2-458C-B435-5B02E8414688}"/>
                </c:ext>
              </c:extLst>
            </c:dLbl>
            <c:dLbl>
              <c:idx val="20"/>
              <c:tx>
                <c:rich>
                  <a:bodyPr/>
                  <a:lstStyle/>
                  <a:p>
                    <a:fld id="{C74D0EA3-E5AE-4338-8525-5EA9A7C0E5C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4EA2-458C-B435-5B02E8414688}"/>
                </c:ext>
              </c:extLst>
            </c:dLbl>
            <c:dLbl>
              <c:idx val="21"/>
              <c:tx>
                <c:rich>
                  <a:bodyPr/>
                  <a:lstStyle/>
                  <a:p>
                    <a:fld id="{A6DAC87D-2FCA-467D-87E7-A70CA323E39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4EA2-458C-B435-5B02E8414688}"/>
                </c:ext>
              </c:extLst>
            </c:dLbl>
            <c:dLbl>
              <c:idx val="22"/>
              <c:tx>
                <c:rich>
                  <a:bodyPr/>
                  <a:lstStyle/>
                  <a:p>
                    <a:fld id="{5139E5A7-C548-428D-813C-EB99A1829C9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4EA2-458C-B435-5B02E8414688}"/>
                </c:ext>
              </c:extLst>
            </c:dLbl>
            <c:dLbl>
              <c:idx val="23"/>
              <c:tx>
                <c:rich>
                  <a:bodyPr/>
                  <a:lstStyle/>
                  <a:p>
                    <a:fld id="{1D9E5E16-0623-4CE3-9177-EC342B65727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4EA2-458C-B435-5B02E8414688}"/>
                </c:ext>
              </c:extLst>
            </c:dLbl>
            <c:dLbl>
              <c:idx val="24"/>
              <c:tx>
                <c:rich>
                  <a:bodyPr/>
                  <a:lstStyle/>
                  <a:p>
                    <a:fld id="{9EDC72B4-10CE-4DF1-AF34-AE14400A1F7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4EA2-458C-B435-5B02E8414688}"/>
                </c:ext>
              </c:extLst>
            </c:dLbl>
            <c:dLbl>
              <c:idx val="25"/>
              <c:tx>
                <c:rich>
                  <a:bodyPr/>
                  <a:lstStyle/>
                  <a:p>
                    <a:fld id="{28520427-E300-4FF5-BA12-BEADEACFE25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4EA2-458C-B435-5B02E8414688}"/>
                </c:ext>
              </c:extLst>
            </c:dLbl>
            <c:dLbl>
              <c:idx val="26"/>
              <c:tx>
                <c:rich>
                  <a:bodyPr/>
                  <a:lstStyle/>
                  <a:p>
                    <a:fld id="{13EE3250-0F17-442D-8A09-C510F39CF88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4EA2-458C-B435-5B02E8414688}"/>
                </c:ext>
              </c:extLst>
            </c:dLbl>
            <c:dLbl>
              <c:idx val="27"/>
              <c:tx>
                <c:rich>
                  <a:bodyPr/>
                  <a:lstStyle/>
                  <a:p>
                    <a:fld id="{502C378C-DADE-43EC-A972-250FCC0CDE3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4EA2-458C-B435-5B02E8414688}"/>
                </c:ext>
              </c:extLst>
            </c:dLbl>
            <c:dLbl>
              <c:idx val="28"/>
              <c:tx>
                <c:rich>
                  <a:bodyPr/>
                  <a:lstStyle/>
                  <a:p>
                    <a:fld id="{C9FF39E0-1A35-4453-BDE9-53F1616AFE9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4EA2-458C-B435-5B02E8414688}"/>
                </c:ext>
              </c:extLst>
            </c:dLbl>
            <c:dLbl>
              <c:idx val="29"/>
              <c:tx>
                <c:rich>
                  <a:bodyPr/>
                  <a:lstStyle/>
                  <a:p>
                    <a:fld id="{C5C9A43F-DF6F-414E-825F-B2B1F5868CE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4EA2-458C-B435-5B02E8414688}"/>
                </c:ext>
              </c:extLst>
            </c:dLbl>
            <c:dLbl>
              <c:idx val="30"/>
              <c:tx>
                <c:rich>
                  <a:bodyPr/>
                  <a:lstStyle/>
                  <a:p>
                    <a:fld id="{8A868EBA-1A2C-4E4B-9C62-3F3880BA718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4EA2-458C-B435-5B02E8414688}"/>
                </c:ext>
              </c:extLst>
            </c:dLbl>
            <c:dLbl>
              <c:idx val="31"/>
              <c:tx>
                <c:rich>
                  <a:bodyPr/>
                  <a:lstStyle/>
                  <a:p>
                    <a:fld id="{4007CC14-464B-4B1A-B00B-0AE875C956D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4EA2-458C-B435-5B02E8414688}"/>
                </c:ext>
              </c:extLst>
            </c:dLbl>
            <c:dLbl>
              <c:idx val="32"/>
              <c:tx>
                <c:rich>
                  <a:bodyPr/>
                  <a:lstStyle/>
                  <a:p>
                    <a:fld id="{553B0A08-FD79-4475-9167-AB7FF33FA4A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4EA2-458C-B435-5B02E8414688}"/>
                </c:ext>
              </c:extLst>
            </c:dLbl>
            <c:dLbl>
              <c:idx val="33"/>
              <c:tx>
                <c:rich>
                  <a:bodyPr/>
                  <a:lstStyle/>
                  <a:p>
                    <a:fld id="{54F42FB5-AF47-4E1F-9CC6-30C55077AD1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4EA2-458C-B435-5B02E8414688}"/>
                </c:ext>
              </c:extLst>
            </c:dLbl>
            <c:dLbl>
              <c:idx val="34"/>
              <c:tx>
                <c:rich>
                  <a:bodyPr/>
                  <a:lstStyle/>
                  <a:p>
                    <a:fld id="{2AFBF958-3BB3-432B-A0EB-D5822CD09FA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4EA2-458C-B435-5B02E8414688}"/>
                </c:ext>
              </c:extLst>
            </c:dLbl>
            <c:dLbl>
              <c:idx val="35"/>
              <c:tx>
                <c:rich>
                  <a:bodyPr/>
                  <a:lstStyle/>
                  <a:p>
                    <a:fld id="{B39E30CD-580C-4EC7-ACCD-32B5551708E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4EA2-458C-B435-5B02E8414688}"/>
                </c:ext>
              </c:extLst>
            </c:dLbl>
            <c:dLbl>
              <c:idx val="36"/>
              <c:tx>
                <c:rich>
                  <a:bodyPr/>
                  <a:lstStyle/>
                  <a:p>
                    <a:fld id="{AE8C78BB-E4F0-4167-843F-C81E25E8C0A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5-4EA2-458C-B435-5B02E8414688}"/>
                </c:ext>
              </c:extLst>
            </c:dLbl>
            <c:dLbl>
              <c:idx val="37"/>
              <c:tx>
                <c:rich>
                  <a:bodyPr/>
                  <a:lstStyle/>
                  <a:p>
                    <a:fld id="{BE1E810B-18C0-4D22-9120-AB113ADEEE8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4EA2-458C-B435-5B02E8414688}"/>
                </c:ext>
              </c:extLst>
            </c:dLbl>
            <c:dLbl>
              <c:idx val="38"/>
              <c:tx>
                <c:rich>
                  <a:bodyPr/>
                  <a:lstStyle/>
                  <a:p>
                    <a:fld id="{8331B4E7-9CCA-4500-AE02-A69F4C956B8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4EA2-458C-B435-5B02E841468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Sheet1!$I$2:$I$40</c:f>
              <c:numCache>
                <c:formatCode>General</c:formatCode>
                <c:ptCount val="39"/>
                <c:pt idx="0">
                  <c:v>0</c:v>
                </c:pt>
                <c:pt idx="1">
                  <c:v>0.8</c:v>
                </c:pt>
                <c:pt idx="2">
                  <c:v>0.8</c:v>
                </c:pt>
                <c:pt idx="3">
                  <c:v>0.8</c:v>
                </c:pt>
                <c:pt idx="4">
                  <c:v>0.8</c:v>
                </c:pt>
                <c:pt idx="5">
                  <c:v>0.8</c:v>
                </c:pt>
                <c:pt idx="6">
                  <c:v>0.8</c:v>
                </c:pt>
                <c:pt idx="7">
                  <c:v>0.8</c:v>
                </c:pt>
                <c:pt idx="8">
                  <c:v>0.8</c:v>
                </c:pt>
                <c:pt idx="9">
                  <c:v>0.8</c:v>
                </c:pt>
                <c:pt idx="10">
                  <c:v>0.8</c:v>
                </c:pt>
                <c:pt idx="11">
                  <c:v>0.8</c:v>
                </c:pt>
                <c:pt idx="12">
                  <c:v>0.8</c:v>
                </c:pt>
                <c:pt idx="13">
                  <c:v>0.8</c:v>
                </c:pt>
                <c:pt idx="14">
                  <c:v>0.8</c:v>
                </c:pt>
                <c:pt idx="15">
                  <c:v>0.8</c:v>
                </c:pt>
                <c:pt idx="16">
                  <c:v>0.8</c:v>
                </c:pt>
                <c:pt idx="17">
                  <c:v>0.8</c:v>
                </c:pt>
                <c:pt idx="18">
                  <c:v>0.8</c:v>
                </c:pt>
                <c:pt idx="19">
                  <c:v>0.8</c:v>
                </c:pt>
                <c:pt idx="20">
                  <c:v>0.8</c:v>
                </c:pt>
                <c:pt idx="21">
                  <c:v>0.8</c:v>
                </c:pt>
                <c:pt idx="22">
                  <c:v>0.8</c:v>
                </c:pt>
                <c:pt idx="23">
                  <c:v>0.8</c:v>
                </c:pt>
                <c:pt idx="24">
                  <c:v>0.8</c:v>
                </c:pt>
                <c:pt idx="25">
                  <c:v>0.8</c:v>
                </c:pt>
                <c:pt idx="26">
                  <c:v>0.8</c:v>
                </c:pt>
                <c:pt idx="27">
                  <c:v>0.8</c:v>
                </c:pt>
                <c:pt idx="28">
                  <c:v>0.8</c:v>
                </c:pt>
                <c:pt idx="29">
                  <c:v>0.8</c:v>
                </c:pt>
                <c:pt idx="30">
                  <c:v>0.8</c:v>
                </c:pt>
                <c:pt idx="31">
                  <c:v>0.8</c:v>
                </c:pt>
                <c:pt idx="32">
                  <c:v>0.8</c:v>
                </c:pt>
                <c:pt idx="33">
                  <c:v>0.8</c:v>
                </c:pt>
                <c:pt idx="34">
                  <c:v>0.8</c:v>
                </c:pt>
                <c:pt idx="35">
                  <c:v>0.8</c:v>
                </c:pt>
                <c:pt idx="36">
                  <c:v>0.8</c:v>
                </c:pt>
                <c:pt idx="37">
                  <c:v>0.8</c:v>
                </c:pt>
                <c:pt idx="38">
                  <c:v>0.8</c:v>
                </c:pt>
              </c:numCache>
            </c:numRef>
          </c:xVal>
          <c:yVal>
            <c:numRef>
              <c:f>Sheet1!$G$2:$G$40</c:f>
              <c:numCache>
                <c:formatCode>General</c:formatCode>
                <c:ptCount val="39"/>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5="http://schemas.microsoft.com/office/drawing/2012/chart" uri="{02D57815-91ED-43cb-92C2-25804820EDAC}">
              <c15:datalabelsRange>
                <c15:f>Sheet1!$J$2:$J$40</c15:f>
                <c15:dlblRangeCache>
                  <c:ptCount val="39"/>
                  <c:pt idx="1">
                    <c:v>-0.03 ± 0.03</c:v>
                  </c:pt>
                  <c:pt idx="2">
                    <c:v> ------------------------</c:v>
                  </c:pt>
                  <c:pt idx="3">
                    <c:v>-0.08 ± 0.06</c:v>
                  </c:pt>
                  <c:pt idx="4">
                    <c:v>-0.07 ± 0.32</c:v>
                  </c:pt>
                  <c:pt idx="5">
                    <c:v>-0.29 ± 0.32</c:v>
                  </c:pt>
                  <c:pt idx="6">
                    <c:v>-0.01 ± 0.04</c:v>
                  </c:pt>
                  <c:pt idx="7">
                    <c:v>-0.02 ± 0.2</c:v>
                  </c:pt>
                  <c:pt idx="8">
                    <c:v>-0.02 ± 0.27</c:v>
                  </c:pt>
                  <c:pt idx="9">
                    <c:v> ------------------------</c:v>
                  </c:pt>
                  <c:pt idx="10">
                    <c:v>0 ± 0.04</c:v>
                  </c:pt>
                  <c:pt idx="11">
                    <c:v>0 ± 0.13</c:v>
                  </c:pt>
                  <c:pt idx="12">
                    <c:v>-0.05 ± 0.14</c:v>
                  </c:pt>
                  <c:pt idx="13">
                    <c:v>-0.09 ± 0.04</c:v>
                  </c:pt>
                  <c:pt idx="14">
                    <c:v>0.1 ± 0.26</c:v>
                  </c:pt>
                  <c:pt idx="15">
                    <c:v>-0.05 ± 0.05</c:v>
                  </c:pt>
                  <c:pt idx="16">
                    <c:v>0.21 ± 0.07</c:v>
                  </c:pt>
                  <c:pt idx="17">
                    <c:v> ------------------------</c:v>
                  </c:pt>
                  <c:pt idx="18">
                    <c:v>0.08 ± 0.11</c:v>
                  </c:pt>
                  <c:pt idx="19">
                    <c:v>-0.06 ± 0.32</c:v>
                  </c:pt>
                  <c:pt idx="20">
                    <c:v>-0.02 ± 0.37</c:v>
                  </c:pt>
                  <c:pt idx="21">
                    <c:v>0.08 ± 0.46</c:v>
                  </c:pt>
                  <c:pt idx="22">
                    <c:v>0.07 ± 0.04</c:v>
                  </c:pt>
                  <c:pt idx="23">
                    <c:v>-0.07 ± 0.53</c:v>
                  </c:pt>
                  <c:pt idx="24">
                    <c:v>-0.01 ± 0.2</c:v>
                  </c:pt>
                  <c:pt idx="25">
                    <c:v>0.01 ± 0.28</c:v>
                  </c:pt>
                  <c:pt idx="26">
                    <c:v> ------------------------</c:v>
                  </c:pt>
                  <c:pt idx="27">
                    <c:v>-0.03 ± 0.05</c:v>
                  </c:pt>
                  <c:pt idx="28">
                    <c:v> ------------------------</c:v>
                  </c:pt>
                  <c:pt idx="29">
                    <c:v>0.08 ± 0.04</c:v>
                  </c:pt>
                  <c:pt idx="30">
                    <c:v>0 ± 0.01</c:v>
                  </c:pt>
                  <c:pt idx="31">
                    <c:v>0.01 ± 0.01</c:v>
                  </c:pt>
                  <c:pt idx="32">
                    <c:v>-0.01 ± 0.03</c:v>
                  </c:pt>
                  <c:pt idx="33">
                    <c:v>0.02 ± 0.03</c:v>
                  </c:pt>
                  <c:pt idx="34">
                    <c:v>0 ± 0.04</c:v>
                  </c:pt>
                  <c:pt idx="35">
                    <c:v>-0.04 ± 0.07</c:v>
                  </c:pt>
                  <c:pt idx="36">
                    <c:v> ------------------------</c:v>
                  </c:pt>
                  <c:pt idx="37">
                    <c:v>0.12 ± 0.15</c:v>
                  </c:pt>
                  <c:pt idx="38">
                    <c:v>-0.03 ± 0.06</c:v>
                  </c:pt>
                </c15:dlblRangeCache>
              </c15:datalabelsRange>
            </c:ext>
            <c:ext xmlns:c16="http://schemas.microsoft.com/office/drawing/2014/chart" uri="{C3380CC4-5D6E-409C-BE32-E72D297353CC}">
              <c16:uniqueId val="{00000068-4EA2-458C-B435-5B02E8414688}"/>
            </c:ext>
          </c:extLst>
        </c:ser>
        <c:dLbls>
          <c:dLblPos val="r"/>
          <c:showLegendKey val="0"/>
          <c:showVal val="1"/>
          <c:showCatName val="0"/>
          <c:showSerName val="0"/>
          <c:showPercent val="0"/>
          <c:showBubbleSize val="0"/>
        </c:dLbls>
        <c:axId val="848893584"/>
        <c:axId val="848895664"/>
      </c:scatterChart>
      <c:valAx>
        <c:axId val="848893584"/>
        <c:scaling>
          <c:orientation val="minMax"/>
          <c:max val="0.8"/>
          <c:min val="-0.8"/>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Change in provider Gini coefficent</a:t>
                </a:r>
              </a:p>
            </c:rich>
          </c:tx>
          <c:layout>
            <c:manualLayout>
              <c:xMode val="edge"/>
              <c:yMode val="edge"/>
              <c:x val="0.36822421293723828"/>
              <c:y val="0.96502057613168724"/>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39"/>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27559055118109"/>
          <c:y val="0.10079370078740159"/>
          <c:w val="0.65854009589583429"/>
          <c:h val="0.83182542182227226"/>
        </c:manualLayout>
      </c:layout>
      <c:barChart>
        <c:barDir val="bar"/>
        <c:grouping val="clustered"/>
        <c:varyColors val="0"/>
        <c:ser>
          <c:idx val="0"/>
          <c:order val="0"/>
          <c:tx>
            <c:strRef>
              <c:f>Sheet1!$B$1</c:f>
              <c:strCache>
                <c:ptCount val="1"/>
                <c:pt idx="0">
                  <c:v>No. claims 12 months pre-CFP</c:v>
                </c:pt>
              </c:strCache>
            </c:strRef>
          </c:tx>
          <c:spPr>
            <a:solidFill>
              <a:schemeClr val="bg2"/>
            </a:solidFill>
            <a:ln>
              <a:noFill/>
            </a:ln>
            <a:effectLst/>
          </c:spPr>
          <c:invertIfNegative val="0"/>
          <c:dLbls>
            <c:numFmt formatCode="General;General"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extLst/>
            </c:strRef>
          </c:cat>
          <c:val>
            <c:numRef>
              <c:f>Sheet1!$B$2:$B$12</c:f>
              <c:numCache>
                <c:formatCode>General</c:formatCode>
                <c:ptCount val="10"/>
                <c:pt idx="0">
                  <c:v>-179</c:v>
                </c:pt>
                <c:pt idx="1">
                  <c:v>-6</c:v>
                </c:pt>
                <c:pt idx="2">
                  <c:v>-465</c:v>
                </c:pt>
                <c:pt idx="3">
                  <c:v>-21</c:v>
                </c:pt>
                <c:pt idx="4">
                  <c:v>-37</c:v>
                </c:pt>
                <c:pt idx="5">
                  <c:v>-15</c:v>
                </c:pt>
                <c:pt idx="6">
                  <c:v>-35</c:v>
                </c:pt>
                <c:pt idx="7">
                  <c:v>-14</c:v>
                </c:pt>
                <c:pt idx="8">
                  <c:v>-73</c:v>
                </c:pt>
                <c:pt idx="9">
                  <c:v>-178</c:v>
                </c:pt>
              </c:numCache>
              <c:extLst/>
            </c:numRef>
          </c:val>
          <c:extLst>
            <c:ext xmlns:c16="http://schemas.microsoft.com/office/drawing/2014/chart" uri="{C3380CC4-5D6E-409C-BE32-E72D297353CC}">
              <c16:uniqueId val="{00000000-BDE9-4AEE-BAF9-16FDE2B62946}"/>
            </c:ext>
          </c:extLst>
        </c:ser>
        <c:ser>
          <c:idx val="2"/>
          <c:order val="1"/>
          <c:tx>
            <c:strRef>
              <c:f>Sheet1!$C$1</c:f>
              <c:strCache>
                <c:ptCount val="1"/>
                <c:pt idx="0">
                  <c:v>No. claims 12 months post-CFP</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extLst/>
            </c:strRef>
          </c:cat>
          <c:val>
            <c:numRef>
              <c:f>Sheet1!$C$2:$C$12</c:f>
              <c:numCache>
                <c:formatCode>General</c:formatCode>
                <c:ptCount val="10"/>
                <c:pt idx="0">
                  <c:v>287</c:v>
                </c:pt>
                <c:pt idx="1">
                  <c:v>32</c:v>
                </c:pt>
                <c:pt idx="2">
                  <c:v>573</c:v>
                </c:pt>
                <c:pt idx="3">
                  <c:v>20</c:v>
                </c:pt>
                <c:pt idx="4">
                  <c:v>313</c:v>
                </c:pt>
                <c:pt idx="5">
                  <c:v>18</c:v>
                </c:pt>
                <c:pt idx="6">
                  <c:v>50</c:v>
                </c:pt>
                <c:pt idx="7">
                  <c:v>85</c:v>
                </c:pt>
                <c:pt idx="8">
                  <c:v>186</c:v>
                </c:pt>
                <c:pt idx="9">
                  <c:v>273</c:v>
                </c:pt>
              </c:numCache>
              <c:extLst/>
            </c:numRef>
          </c:val>
          <c:extLst>
            <c:ext xmlns:c16="http://schemas.microsoft.com/office/drawing/2014/chart" uri="{C3380CC4-5D6E-409C-BE32-E72D297353CC}">
              <c16:uniqueId val="{00000002-BDE9-4AEE-BAF9-16FDE2B62946}"/>
            </c:ext>
          </c:extLst>
        </c:ser>
        <c:dLbls>
          <c:dLblPos val="outEnd"/>
          <c:showLegendKey val="0"/>
          <c:showVal val="1"/>
          <c:showCatName val="0"/>
          <c:showSerName val="0"/>
          <c:showPercent val="0"/>
          <c:showBubbleSize val="0"/>
        </c:dLbls>
        <c:gapWidth val="80"/>
        <c:overlap val="100"/>
        <c:axId val="99379856"/>
        <c:axId val="99379024"/>
        <c:extLst>
          <c:ext xmlns:c15="http://schemas.microsoft.com/office/drawing/2012/chart" uri="{02D57815-91ED-43cb-92C2-25804820EDAC}">
            <c15:filteredBarSeries>
              <c15:ser>
                <c:idx val="3"/>
                <c:order val="2"/>
                <c:tx>
                  <c:strRef>
                    <c:extLst>
                      <c:ext uri="{02D57815-91ED-43cb-92C2-25804820EDAC}">
                        <c15:formulaRef>
                          <c15:sqref>Sheet1!$D$1</c15:sqref>
                        </c15:formulaRef>
                      </c:ext>
                    </c:extLst>
                    <c:strCache>
                      <c:ptCount val="1"/>
                      <c:pt idx="0">
                        <c:v>Total expenditure 12 months pre-CFP</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c:ext uri="{02D57815-91ED-43cb-92C2-25804820EDAC}">
                        <c15:formulaRef>
                          <c15:sqref>Sheet1!$D$2:$D$12</c15:sqref>
                        </c15:formulaRef>
                      </c:ext>
                    </c:extLst>
                    <c:numCache>
                      <c:formatCode>"$"#,##0</c:formatCode>
                      <c:ptCount val="10"/>
                      <c:pt idx="0">
                        <c:v>-74240</c:v>
                      </c:pt>
                      <c:pt idx="1">
                        <c:v>-2523</c:v>
                      </c:pt>
                      <c:pt idx="2">
                        <c:v>-84543</c:v>
                      </c:pt>
                      <c:pt idx="3">
                        <c:v>-30305</c:v>
                      </c:pt>
                      <c:pt idx="4">
                        <c:v>-15265</c:v>
                      </c:pt>
                      <c:pt idx="5">
                        <c:v>-37297</c:v>
                      </c:pt>
                      <c:pt idx="6">
                        <c:v>-8566</c:v>
                      </c:pt>
                      <c:pt idx="7">
                        <c:v>-9130</c:v>
                      </c:pt>
                      <c:pt idx="8">
                        <c:v>-31238</c:v>
                      </c:pt>
                      <c:pt idx="9">
                        <c:v>-77453</c:v>
                      </c:pt>
                    </c:numCache>
                  </c:numRef>
                </c:val>
                <c:extLst>
                  <c:ext xmlns:c16="http://schemas.microsoft.com/office/drawing/2014/chart" uri="{C3380CC4-5D6E-409C-BE32-E72D297353CC}">
                    <c16:uniqueId val="{00000003-BDE9-4AEE-BAF9-16FDE2B62946}"/>
                  </c:ext>
                </c:extLst>
              </c15:ser>
            </c15:filteredBarSeries>
            <c15:filteredBarSeries>
              <c15:ser>
                <c:idx val="5"/>
                <c:order val="3"/>
                <c:tx>
                  <c:strRef>
                    <c:extLst xmlns:c15="http://schemas.microsoft.com/office/drawing/2012/chart">
                      <c:ext xmlns:c15="http://schemas.microsoft.com/office/drawing/2012/chart" uri="{02D57815-91ED-43cb-92C2-25804820EDAC}">
                        <c15:formulaRef>
                          <c15:sqref>Sheet1!$E$1</c15:sqref>
                        </c15:formulaRef>
                      </c:ext>
                    </c:extLst>
                    <c:strCache>
                      <c:ptCount val="1"/>
                      <c:pt idx="0">
                        <c:v>Total expenditure 12 months post-CFP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Sheet1!$E$2:$E$12</c15:sqref>
                        </c15:formulaRef>
                      </c:ext>
                    </c:extLst>
                    <c:numCache>
                      <c:formatCode>"$"#,##0</c:formatCode>
                      <c:ptCount val="10"/>
                      <c:pt idx="0">
                        <c:v>178607</c:v>
                      </c:pt>
                      <c:pt idx="1">
                        <c:v>45970</c:v>
                      </c:pt>
                      <c:pt idx="2">
                        <c:v>109739</c:v>
                      </c:pt>
                      <c:pt idx="3">
                        <c:v>82353</c:v>
                      </c:pt>
                      <c:pt idx="4">
                        <c:v>139270</c:v>
                      </c:pt>
                      <c:pt idx="5">
                        <c:v>12011</c:v>
                      </c:pt>
                      <c:pt idx="6">
                        <c:v>14665</c:v>
                      </c:pt>
                      <c:pt idx="7">
                        <c:v>98371</c:v>
                      </c:pt>
                      <c:pt idx="8">
                        <c:v>59486</c:v>
                      </c:pt>
                      <c:pt idx="9">
                        <c:v>118308</c:v>
                      </c:pt>
                    </c:numCache>
                  </c:numRef>
                </c:val>
                <c:extLst xmlns:c15="http://schemas.microsoft.com/office/drawing/2012/chart">
                  <c:ext xmlns:c16="http://schemas.microsoft.com/office/drawing/2014/chart" uri="{C3380CC4-5D6E-409C-BE32-E72D297353CC}">
                    <c16:uniqueId val="{00000005-BDE9-4AEE-BAF9-16FDE2B62946}"/>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Sheet1!$F$1</c15:sqref>
                        </c15:formulaRef>
                      </c:ext>
                    </c:extLst>
                    <c:strCache>
                      <c:ptCount val="1"/>
                      <c:pt idx="0">
                        <c:v>Ave expenditure per participant 12 months pre-CFP</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Sheet1!$F$2:$F$12</c15:sqref>
                        </c15:formulaRef>
                      </c:ext>
                    </c:extLst>
                    <c:numCache>
                      <c:formatCode>"$"#,##0</c:formatCode>
                      <c:ptCount val="10"/>
                      <c:pt idx="0">
                        <c:v>-8248.8888888888887</c:v>
                      </c:pt>
                      <c:pt idx="1">
                        <c:v>-630.75</c:v>
                      </c:pt>
                      <c:pt idx="2">
                        <c:v>-4227.1499999999996</c:v>
                      </c:pt>
                      <c:pt idx="3">
                        <c:v>-1515.25</c:v>
                      </c:pt>
                      <c:pt idx="4">
                        <c:v>-954.0625</c:v>
                      </c:pt>
                      <c:pt idx="5">
                        <c:v>-2331.0625</c:v>
                      </c:pt>
                      <c:pt idx="6">
                        <c:v>-535.375</c:v>
                      </c:pt>
                      <c:pt idx="7">
                        <c:v>-652.14285714285711</c:v>
                      </c:pt>
                      <c:pt idx="8">
                        <c:v>-2231.2857142857142</c:v>
                      </c:pt>
                      <c:pt idx="9">
                        <c:v>-4076.4736842105262</c:v>
                      </c:pt>
                    </c:numCache>
                  </c:numRef>
                </c:val>
                <c:extLst xmlns:c15="http://schemas.microsoft.com/office/drawing/2012/chart">
                  <c:ext xmlns:c16="http://schemas.microsoft.com/office/drawing/2014/chart" uri="{C3380CC4-5D6E-409C-BE32-E72D297353CC}">
                    <c16:uniqueId val="{00000006-BDE9-4AEE-BAF9-16FDE2B62946}"/>
                  </c:ext>
                </c:extLst>
              </c15:ser>
            </c15:filteredBarSeries>
            <c15:filteredBarSeries>
              <c15:ser>
                <c:idx val="7"/>
                <c:order val="5"/>
                <c:tx>
                  <c:strRef>
                    <c:extLst xmlns:c15="http://schemas.microsoft.com/office/drawing/2012/chart">
                      <c:ext xmlns:c15="http://schemas.microsoft.com/office/drawing/2012/chart" uri="{02D57815-91ED-43cb-92C2-25804820EDAC}">
                        <c15:formulaRef>
                          <c15:sqref>Sheet1!$G$1</c15:sqref>
                        </c15:formulaRef>
                      </c:ext>
                    </c:extLst>
                    <c:strCache>
                      <c:ptCount val="1"/>
                      <c:pt idx="0">
                        <c:v>Ave expenditure per participant 12 months post-CFP</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Sheet1!$G$2:$G$12</c15:sqref>
                        </c15:formulaRef>
                      </c:ext>
                    </c:extLst>
                    <c:numCache>
                      <c:formatCode>"$"#,##0</c:formatCode>
                      <c:ptCount val="10"/>
                      <c:pt idx="0">
                        <c:v>19845.222222222223</c:v>
                      </c:pt>
                      <c:pt idx="1">
                        <c:v>11492.5</c:v>
                      </c:pt>
                      <c:pt idx="2">
                        <c:v>5486.95</c:v>
                      </c:pt>
                      <c:pt idx="3">
                        <c:v>4117.6499999999996</c:v>
                      </c:pt>
                      <c:pt idx="4">
                        <c:v>8704.375</c:v>
                      </c:pt>
                      <c:pt idx="5">
                        <c:v>750.6875</c:v>
                      </c:pt>
                      <c:pt idx="6">
                        <c:v>916.5625</c:v>
                      </c:pt>
                      <c:pt idx="7">
                        <c:v>7026.5</c:v>
                      </c:pt>
                      <c:pt idx="8">
                        <c:v>4249</c:v>
                      </c:pt>
                      <c:pt idx="9">
                        <c:v>6226.7368421052633</c:v>
                      </c:pt>
                    </c:numCache>
                  </c:numRef>
                </c:val>
                <c:extLst xmlns:c15="http://schemas.microsoft.com/office/drawing/2012/chart">
                  <c:ext xmlns:c16="http://schemas.microsoft.com/office/drawing/2014/chart" uri="{C3380CC4-5D6E-409C-BE32-E72D297353CC}">
                    <c16:uniqueId val="{00000007-BDE9-4AEE-BAF9-16FDE2B62946}"/>
                  </c:ext>
                </c:extLst>
              </c15:ser>
            </c15:filteredBarSeries>
            <c15:filteredBarSeries>
              <c15:ser>
                <c:idx val="8"/>
                <c:order val="6"/>
                <c:tx>
                  <c:strRef>
                    <c:extLst xmlns:c15="http://schemas.microsoft.com/office/drawing/2012/chart">
                      <c:ext xmlns:c15="http://schemas.microsoft.com/office/drawing/2012/chart" uri="{02D57815-91ED-43cb-92C2-25804820EDAC}">
                        <c15:formulaRef>
                          <c15:sqref>Sheet1!$H$1</c15:sqref>
                        </c15:formulaRef>
                      </c:ext>
                    </c:extLst>
                    <c:strCache>
                      <c:ptCount val="1"/>
                      <c:pt idx="0">
                        <c:v>Change per participant</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Sheet1!$H$2:$H$12</c15:sqref>
                        </c15:formulaRef>
                      </c:ext>
                    </c:extLst>
                    <c:numCache>
                      <c:formatCode>"$"#,##0</c:formatCode>
                      <c:ptCount val="10"/>
                      <c:pt idx="0">
                        <c:v>11596.333333333334</c:v>
                      </c:pt>
                      <c:pt idx="1">
                        <c:v>10861.75</c:v>
                      </c:pt>
                      <c:pt idx="2">
                        <c:v>1259.8000000000002</c:v>
                      </c:pt>
                      <c:pt idx="3">
                        <c:v>2602.3999999999996</c:v>
                      </c:pt>
                      <c:pt idx="4">
                        <c:v>7750.3125</c:v>
                      </c:pt>
                      <c:pt idx="5">
                        <c:v>-1580.375</c:v>
                      </c:pt>
                      <c:pt idx="6">
                        <c:v>381.1875</c:v>
                      </c:pt>
                      <c:pt idx="7">
                        <c:v>6374.3571428571431</c:v>
                      </c:pt>
                      <c:pt idx="8">
                        <c:v>2017.7142857142858</c:v>
                      </c:pt>
                      <c:pt idx="9">
                        <c:v>2150.2631578947371</c:v>
                      </c:pt>
                    </c:numCache>
                  </c:numRef>
                </c:val>
                <c:extLst xmlns:c15="http://schemas.microsoft.com/office/drawing/2012/chart">
                  <c:ext xmlns:c16="http://schemas.microsoft.com/office/drawing/2014/chart" uri="{C3380CC4-5D6E-409C-BE32-E72D297353CC}">
                    <c16:uniqueId val="{00000008-BDE9-4AEE-BAF9-16FDE2B62946}"/>
                  </c:ext>
                </c:extLst>
              </c15:ser>
            </c15:filteredBarSeries>
          </c:ext>
        </c:extLst>
      </c:barChart>
      <c:catAx>
        <c:axId val="99379856"/>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99379024"/>
        <c:crosses val="autoZero"/>
        <c:auto val="1"/>
        <c:lblAlgn val="ctr"/>
        <c:lblOffset val="100"/>
        <c:noMultiLvlLbl val="0"/>
      </c:catAx>
      <c:valAx>
        <c:axId val="99379024"/>
        <c:scaling>
          <c:orientation val="minMax"/>
          <c:max val="600"/>
        </c:scaling>
        <c:delete val="0"/>
        <c:axPos val="t"/>
        <c:numFmt formatCode="General;General" sourceLinked="0"/>
        <c:majorTickMark val="none"/>
        <c:minorTickMark val="none"/>
        <c:tickLblPos val="high"/>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99379856"/>
        <c:crosses val="autoZero"/>
        <c:crossBetween val="between"/>
      </c:valAx>
      <c:spPr>
        <a:noFill/>
        <a:ln>
          <a:noFill/>
        </a:ln>
        <a:effectLst/>
      </c:spPr>
    </c:plotArea>
    <c:legend>
      <c:legendPos val="b"/>
      <c:layout>
        <c:manualLayout>
          <c:xMode val="edge"/>
          <c:yMode val="edge"/>
          <c:x val="0.31444173668235603"/>
          <c:y val="1.6073190851143605E-2"/>
          <c:w val="0.63929617736330435"/>
          <c:h val="6.036415448068991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127559055118109"/>
          <c:y val="0.10079370078740159"/>
          <c:w val="0.65854009589583429"/>
          <c:h val="0.83182542182227226"/>
        </c:manualLayout>
      </c:layout>
      <c:barChart>
        <c:barDir val="bar"/>
        <c:grouping val="clustered"/>
        <c:varyColors val="0"/>
        <c:ser>
          <c:idx val="3"/>
          <c:order val="2"/>
          <c:tx>
            <c:strRef>
              <c:f>Sheet1!$D$1</c:f>
              <c:strCache>
                <c:ptCount val="1"/>
                <c:pt idx="0">
                  <c:v>Total expenditure 12 months pre-CFP</c:v>
                </c:pt>
              </c:strCache>
              <c:extLst xmlns:c15="http://schemas.microsoft.com/office/drawing/2012/chart"/>
            </c:strRef>
          </c:tx>
          <c:spPr>
            <a:solidFill>
              <a:schemeClr val="bg2"/>
            </a:solidFill>
            <a:ln>
              <a:noFill/>
            </a:ln>
            <a:effectLst/>
          </c:spPr>
          <c:invertIfNegative val="0"/>
          <c:dLbls>
            <c:numFmt formatCode="&quot;$&quot;#,###;&quot;$&quot;#,###"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extLst xmlns:c15="http://schemas.microsoft.com/office/drawing/2012/chart"/>
            </c:strRef>
          </c:cat>
          <c:val>
            <c:numRef>
              <c:f>Sheet1!$D$2:$D$12</c:f>
              <c:numCache>
                <c:formatCode>"$"#,##0</c:formatCode>
                <c:ptCount val="10"/>
                <c:pt idx="0">
                  <c:v>-74240</c:v>
                </c:pt>
                <c:pt idx="1">
                  <c:v>-2523</c:v>
                </c:pt>
                <c:pt idx="2">
                  <c:v>-84543</c:v>
                </c:pt>
                <c:pt idx="3">
                  <c:v>-30305</c:v>
                </c:pt>
                <c:pt idx="4">
                  <c:v>-15265</c:v>
                </c:pt>
                <c:pt idx="5">
                  <c:v>-37297</c:v>
                </c:pt>
                <c:pt idx="6">
                  <c:v>-8566</c:v>
                </c:pt>
                <c:pt idx="7">
                  <c:v>-9130</c:v>
                </c:pt>
                <c:pt idx="8">
                  <c:v>-31238</c:v>
                </c:pt>
                <c:pt idx="9">
                  <c:v>-77453</c:v>
                </c:pt>
              </c:numCache>
              <c:extLst xmlns:c15="http://schemas.microsoft.com/office/drawing/2012/chart"/>
            </c:numRef>
          </c:val>
          <c:extLst>
            <c:ext xmlns:c16="http://schemas.microsoft.com/office/drawing/2014/chart" uri="{C3380CC4-5D6E-409C-BE32-E72D297353CC}">
              <c16:uniqueId val="{00000002-1DA2-474E-8224-085783CE1076}"/>
            </c:ext>
          </c:extLst>
        </c:ser>
        <c:ser>
          <c:idx val="5"/>
          <c:order val="3"/>
          <c:tx>
            <c:strRef>
              <c:f>Sheet1!$E$1</c:f>
              <c:strCache>
                <c:ptCount val="1"/>
                <c:pt idx="0">
                  <c:v>Total expenditure 12 months post-CFP</c:v>
                </c:pt>
              </c:strCache>
              <c:extLst xmlns:c15="http://schemas.microsoft.com/office/drawing/2012/chart"/>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extLst xmlns:c15="http://schemas.microsoft.com/office/drawing/2012/chart"/>
            </c:strRef>
          </c:cat>
          <c:val>
            <c:numRef>
              <c:f>Sheet1!$E$2:$E$12</c:f>
              <c:numCache>
                <c:formatCode>"$"#,##0</c:formatCode>
                <c:ptCount val="10"/>
                <c:pt idx="0">
                  <c:v>178607</c:v>
                </c:pt>
                <c:pt idx="1">
                  <c:v>45970</c:v>
                </c:pt>
                <c:pt idx="2">
                  <c:v>109739</c:v>
                </c:pt>
                <c:pt idx="3">
                  <c:v>82353</c:v>
                </c:pt>
                <c:pt idx="4">
                  <c:v>139270</c:v>
                </c:pt>
                <c:pt idx="5">
                  <c:v>12011</c:v>
                </c:pt>
                <c:pt idx="6">
                  <c:v>14665</c:v>
                </c:pt>
                <c:pt idx="7">
                  <c:v>98371</c:v>
                </c:pt>
                <c:pt idx="8">
                  <c:v>59486</c:v>
                </c:pt>
                <c:pt idx="9">
                  <c:v>118308</c:v>
                </c:pt>
              </c:numCache>
              <c:extLst xmlns:c15="http://schemas.microsoft.com/office/drawing/2012/chart"/>
            </c:numRef>
          </c:val>
          <c:extLst>
            <c:ext xmlns:c16="http://schemas.microsoft.com/office/drawing/2014/chart" uri="{C3380CC4-5D6E-409C-BE32-E72D297353CC}">
              <c16:uniqueId val="{00000003-1DA2-474E-8224-085783CE1076}"/>
            </c:ext>
          </c:extLst>
        </c:ser>
        <c:dLbls>
          <c:dLblPos val="outEnd"/>
          <c:showLegendKey val="0"/>
          <c:showVal val="1"/>
          <c:showCatName val="0"/>
          <c:showSerName val="0"/>
          <c:showPercent val="0"/>
          <c:showBubbleSize val="0"/>
        </c:dLbls>
        <c:gapWidth val="80"/>
        <c:overlap val="100"/>
        <c:axId val="99379856"/>
        <c:axId val="99379024"/>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No. claims 12 months pre-CFP</c:v>
                      </c:pt>
                    </c:strCache>
                  </c:strRef>
                </c:tx>
                <c:spPr>
                  <a:solidFill>
                    <a:schemeClr val="bg2"/>
                  </a:solidFill>
                  <a:ln>
                    <a:noFill/>
                  </a:ln>
                  <a:effectLst/>
                </c:spPr>
                <c:invertIfNegative val="0"/>
                <c:dLbls>
                  <c:numFmt formatCode="General;General"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c:ext uri="{02D57815-91ED-43cb-92C2-25804820EDAC}">
                        <c15:formulaRef>
                          <c15:sqref>Sheet1!$B$2:$B$12</c15:sqref>
                        </c15:formulaRef>
                      </c:ext>
                    </c:extLst>
                    <c:numCache>
                      <c:formatCode>General</c:formatCode>
                      <c:ptCount val="10"/>
                      <c:pt idx="0">
                        <c:v>-179</c:v>
                      </c:pt>
                      <c:pt idx="1">
                        <c:v>-6</c:v>
                      </c:pt>
                      <c:pt idx="2">
                        <c:v>-465</c:v>
                      </c:pt>
                      <c:pt idx="3">
                        <c:v>-21</c:v>
                      </c:pt>
                      <c:pt idx="4">
                        <c:v>-37</c:v>
                      </c:pt>
                      <c:pt idx="5">
                        <c:v>-15</c:v>
                      </c:pt>
                      <c:pt idx="6">
                        <c:v>-35</c:v>
                      </c:pt>
                      <c:pt idx="7">
                        <c:v>-14</c:v>
                      </c:pt>
                      <c:pt idx="8">
                        <c:v>-73</c:v>
                      </c:pt>
                      <c:pt idx="9">
                        <c:v>-178</c:v>
                      </c:pt>
                    </c:numCache>
                  </c:numRef>
                </c:val>
                <c:extLst>
                  <c:ext xmlns:c16="http://schemas.microsoft.com/office/drawing/2014/chart" uri="{C3380CC4-5D6E-409C-BE32-E72D297353CC}">
                    <c16:uniqueId val="{00000000-1DA2-474E-8224-085783CE1076}"/>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No. claims 12 months post-CFP</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Sheet1!$C$2:$C$12</c15:sqref>
                        </c15:formulaRef>
                      </c:ext>
                    </c:extLst>
                    <c:numCache>
                      <c:formatCode>General</c:formatCode>
                      <c:ptCount val="10"/>
                      <c:pt idx="0">
                        <c:v>287</c:v>
                      </c:pt>
                      <c:pt idx="1">
                        <c:v>32</c:v>
                      </c:pt>
                      <c:pt idx="2">
                        <c:v>573</c:v>
                      </c:pt>
                      <c:pt idx="3">
                        <c:v>20</c:v>
                      </c:pt>
                      <c:pt idx="4">
                        <c:v>313</c:v>
                      </c:pt>
                      <c:pt idx="5">
                        <c:v>18</c:v>
                      </c:pt>
                      <c:pt idx="6">
                        <c:v>50</c:v>
                      </c:pt>
                      <c:pt idx="7">
                        <c:v>85</c:v>
                      </c:pt>
                      <c:pt idx="8">
                        <c:v>186</c:v>
                      </c:pt>
                      <c:pt idx="9">
                        <c:v>273</c:v>
                      </c:pt>
                    </c:numCache>
                  </c:numRef>
                </c:val>
                <c:extLst xmlns:c15="http://schemas.microsoft.com/office/drawing/2012/chart">
                  <c:ext xmlns:c16="http://schemas.microsoft.com/office/drawing/2014/chart" uri="{C3380CC4-5D6E-409C-BE32-E72D297353CC}">
                    <c16:uniqueId val="{00000001-1DA2-474E-8224-085783CE1076}"/>
                  </c:ext>
                </c:extLst>
              </c15:ser>
            </c15:filteredBarSeries>
            <c15:filteredBarSeries>
              <c15:ser>
                <c:idx val="6"/>
                <c:order val="4"/>
                <c:tx>
                  <c:strRef>
                    <c:extLst xmlns:c15="http://schemas.microsoft.com/office/drawing/2012/chart">
                      <c:ext xmlns:c15="http://schemas.microsoft.com/office/drawing/2012/chart" uri="{02D57815-91ED-43cb-92C2-25804820EDAC}">
                        <c15:formulaRef>
                          <c15:sqref>Sheet1!$F$1</c15:sqref>
                        </c15:formulaRef>
                      </c:ext>
                    </c:extLst>
                    <c:strCache>
                      <c:ptCount val="1"/>
                      <c:pt idx="0">
                        <c:v>Ave expenditure per participant 12 months pre-CFP</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Sheet1!$F$2:$F$12</c15:sqref>
                        </c15:formulaRef>
                      </c:ext>
                    </c:extLst>
                    <c:numCache>
                      <c:formatCode>"$"#,##0</c:formatCode>
                      <c:ptCount val="10"/>
                      <c:pt idx="0">
                        <c:v>-8248.8888888888887</c:v>
                      </c:pt>
                      <c:pt idx="1">
                        <c:v>-630.75</c:v>
                      </c:pt>
                      <c:pt idx="2">
                        <c:v>-4227.1499999999996</c:v>
                      </c:pt>
                      <c:pt idx="3">
                        <c:v>-1515.25</c:v>
                      </c:pt>
                      <c:pt idx="4">
                        <c:v>-954.0625</c:v>
                      </c:pt>
                      <c:pt idx="5">
                        <c:v>-2331.0625</c:v>
                      </c:pt>
                      <c:pt idx="6">
                        <c:v>-535.375</c:v>
                      </c:pt>
                      <c:pt idx="7">
                        <c:v>-652.14285714285711</c:v>
                      </c:pt>
                      <c:pt idx="8">
                        <c:v>-2231.2857142857142</c:v>
                      </c:pt>
                      <c:pt idx="9">
                        <c:v>-4076.4736842105262</c:v>
                      </c:pt>
                    </c:numCache>
                  </c:numRef>
                </c:val>
                <c:extLst xmlns:c15="http://schemas.microsoft.com/office/drawing/2012/chart">
                  <c:ext xmlns:c16="http://schemas.microsoft.com/office/drawing/2014/chart" uri="{C3380CC4-5D6E-409C-BE32-E72D297353CC}">
                    <c16:uniqueId val="{00000004-1DA2-474E-8224-085783CE1076}"/>
                  </c:ext>
                </c:extLst>
              </c15:ser>
            </c15:filteredBarSeries>
            <c15:filteredBarSeries>
              <c15:ser>
                <c:idx val="7"/>
                <c:order val="5"/>
                <c:tx>
                  <c:strRef>
                    <c:extLst xmlns:c15="http://schemas.microsoft.com/office/drawing/2012/chart">
                      <c:ext xmlns:c15="http://schemas.microsoft.com/office/drawing/2012/chart" uri="{02D57815-91ED-43cb-92C2-25804820EDAC}">
                        <c15:formulaRef>
                          <c15:sqref>Sheet1!$G$1</c15:sqref>
                        </c15:formulaRef>
                      </c:ext>
                    </c:extLst>
                    <c:strCache>
                      <c:ptCount val="1"/>
                      <c:pt idx="0">
                        <c:v>Ave expenditure per participant 12 months post-CFP</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Sheet1!$G$2:$G$12</c15:sqref>
                        </c15:formulaRef>
                      </c:ext>
                    </c:extLst>
                    <c:numCache>
                      <c:formatCode>"$"#,##0</c:formatCode>
                      <c:ptCount val="10"/>
                      <c:pt idx="0">
                        <c:v>19845.222222222223</c:v>
                      </c:pt>
                      <c:pt idx="1">
                        <c:v>11492.5</c:v>
                      </c:pt>
                      <c:pt idx="2">
                        <c:v>5486.95</c:v>
                      </c:pt>
                      <c:pt idx="3">
                        <c:v>4117.6499999999996</c:v>
                      </c:pt>
                      <c:pt idx="4">
                        <c:v>8704.375</c:v>
                      </c:pt>
                      <c:pt idx="5">
                        <c:v>750.6875</c:v>
                      </c:pt>
                      <c:pt idx="6">
                        <c:v>916.5625</c:v>
                      </c:pt>
                      <c:pt idx="7">
                        <c:v>7026.5</c:v>
                      </c:pt>
                      <c:pt idx="8">
                        <c:v>4249</c:v>
                      </c:pt>
                      <c:pt idx="9">
                        <c:v>6226.7368421052633</c:v>
                      </c:pt>
                    </c:numCache>
                  </c:numRef>
                </c:val>
                <c:extLst xmlns:c15="http://schemas.microsoft.com/office/drawing/2012/chart">
                  <c:ext xmlns:c16="http://schemas.microsoft.com/office/drawing/2014/chart" uri="{C3380CC4-5D6E-409C-BE32-E72D297353CC}">
                    <c16:uniqueId val="{00000005-1DA2-474E-8224-085783CE1076}"/>
                  </c:ext>
                </c:extLst>
              </c15:ser>
            </c15:filteredBarSeries>
            <c15:filteredBarSeries>
              <c15:ser>
                <c:idx val="8"/>
                <c:order val="6"/>
                <c:tx>
                  <c:strRef>
                    <c:extLst xmlns:c15="http://schemas.microsoft.com/office/drawing/2012/chart">
                      <c:ext xmlns:c15="http://schemas.microsoft.com/office/drawing/2012/chart" uri="{02D57815-91ED-43cb-92C2-25804820EDAC}">
                        <c15:formulaRef>
                          <c15:sqref>Sheet1!$H$1</c15:sqref>
                        </c15:formulaRef>
                      </c:ext>
                    </c:extLst>
                    <c:strCache>
                      <c:ptCount val="1"/>
                      <c:pt idx="0">
                        <c:v>Change per participant</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Sheet1!$H$2:$H$12</c15:sqref>
                        </c15:formulaRef>
                      </c:ext>
                    </c:extLst>
                    <c:numCache>
                      <c:formatCode>"$"#,##0</c:formatCode>
                      <c:ptCount val="10"/>
                      <c:pt idx="0">
                        <c:v>11596.333333333334</c:v>
                      </c:pt>
                      <c:pt idx="1">
                        <c:v>10861.75</c:v>
                      </c:pt>
                      <c:pt idx="2">
                        <c:v>1259.8000000000002</c:v>
                      </c:pt>
                      <c:pt idx="3">
                        <c:v>2602.3999999999996</c:v>
                      </c:pt>
                      <c:pt idx="4">
                        <c:v>7750.3125</c:v>
                      </c:pt>
                      <c:pt idx="5">
                        <c:v>-1580.375</c:v>
                      </c:pt>
                      <c:pt idx="6">
                        <c:v>381.1875</c:v>
                      </c:pt>
                      <c:pt idx="7">
                        <c:v>6374.3571428571431</c:v>
                      </c:pt>
                      <c:pt idx="8">
                        <c:v>2017.7142857142858</c:v>
                      </c:pt>
                      <c:pt idx="9">
                        <c:v>2150.2631578947371</c:v>
                      </c:pt>
                    </c:numCache>
                  </c:numRef>
                </c:val>
                <c:extLst xmlns:c15="http://schemas.microsoft.com/office/drawing/2012/chart">
                  <c:ext xmlns:c16="http://schemas.microsoft.com/office/drawing/2014/chart" uri="{C3380CC4-5D6E-409C-BE32-E72D297353CC}">
                    <c16:uniqueId val="{00000006-1DA2-474E-8224-085783CE1076}"/>
                  </c:ext>
                </c:extLst>
              </c15:ser>
            </c15:filteredBarSeries>
          </c:ext>
        </c:extLst>
      </c:barChart>
      <c:catAx>
        <c:axId val="99379856"/>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99379024"/>
        <c:crosses val="autoZero"/>
        <c:auto val="1"/>
        <c:lblAlgn val="ctr"/>
        <c:lblOffset val="100"/>
        <c:noMultiLvlLbl val="0"/>
      </c:catAx>
      <c:valAx>
        <c:axId val="99379024"/>
        <c:scaling>
          <c:orientation val="minMax"/>
          <c:max val="200000"/>
          <c:min val="-150000"/>
        </c:scaling>
        <c:delete val="0"/>
        <c:axPos val="t"/>
        <c:numFmt formatCode="&quot;$&quot;#,###;&quot;$&quot;#,###" sourceLinked="0"/>
        <c:majorTickMark val="none"/>
        <c:minorTickMark val="none"/>
        <c:tickLblPos val="high"/>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99379856"/>
        <c:crosses val="autoZero"/>
        <c:crossBetween val="between"/>
      </c:valAx>
      <c:spPr>
        <a:noFill/>
        <a:ln>
          <a:noFill/>
        </a:ln>
        <a:effectLst/>
      </c:spPr>
    </c:plotArea>
    <c:legend>
      <c:legendPos val="b"/>
      <c:layout>
        <c:manualLayout>
          <c:xMode val="edge"/>
          <c:yMode val="edge"/>
          <c:x val="0.13837240207201426"/>
          <c:y val="2.3947237894475788E-2"/>
          <c:w val="0.81343880235406851"/>
          <c:h val="6.036425072850145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95288787225622"/>
          <c:y val="0.10079370078740159"/>
          <c:w val="0.65132081115558882"/>
          <c:h val="0.83182542182227226"/>
        </c:manualLayout>
      </c:layout>
      <c:barChart>
        <c:barDir val="bar"/>
        <c:grouping val="clustered"/>
        <c:varyColors val="0"/>
        <c:ser>
          <c:idx val="6"/>
          <c:order val="4"/>
          <c:tx>
            <c:strRef>
              <c:f>Sheet1!$F$1</c:f>
              <c:strCache>
                <c:ptCount val="1"/>
                <c:pt idx="0">
                  <c:v>Ave expenditure per participant 12 months pre-CFP</c:v>
                </c:pt>
              </c:strCache>
              <c:extLst xmlns:c15="http://schemas.microsoft.com/office/drawing/2012/chart"/>
            </c:strRef>
          </c:tx>
          <c:spPr>
            <a:solidFill>
              <a:schemeClr val="bg2"/>
            </a:solidFill>
            <a:ln>
              <a:noFill/>
            </a:ln>
            <a:effectLst/>
          </c:spPr>
          <c:invertIfNegative val="0"/>
          <c:dLbls>
            <c:numFmt formatCode="&quot;$&quot;#,###;&quot;$&quot;#,###"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extLst xmlns:c15="http://schemas.microsoft.com/office/drawing/2012/chart"/>
            </c:strRef>
          </c:cat>
          <c:val>
            <c:numRef>
              <c:f>Sheet1!$F$2:$F$12</c:f>
              <c:numCache>
                <c:formatCode>"$"#,##0</c:formatCode>
                <c:ptCount val="10"/>
                <c:pt idx="0">
                  <c:v>-8248.8888888888887</c:v>
                </c:pt>
                <c:pt idx="1">
                  <c:v>-630.75</c:v>
                </c:pt>
                <c:pt idx="2">
                  <c:v>-4227.1499999999996</c:v>
                </c:pt>
                <c:pt idx="3">
                  <c:v>-1515.25</c:v>
                </c:pt>
                <c:pt idx="4">
                  <c:v>-954.0625</c:v>
                </c:pt>
                <c:pt idx="5">
                  <c:v>-2331.0625</c:v>
                </c:pt>
                <c:pt idx="6">
                  <c:v>-535.375</c:v>
                </c:pt>
                <c:pt idx="7">
                  <c:v>-652.14285714285711</c:v>
                </c:pt>
                <c:pt idx="8">
                  <c:v>-2231.2857142857142</c:v>
                </c:pt>
                <c:pt idx="9">
                  <c:v>-4076.4736842105262</c:v>
                </c:pt>
              </c:numCache>
              <c:extLst xmlns:c15="http://schemas.microsoft.com/office/drawing/2012/chart"/>
            </c:numRef>
          </c:val>
          <c:extLst>
            <c:ext xmlns:c16="http://schemas.microsoft.com/office/drawing/2014/chart" uri="{C3380CC4-5D6E-409C-BE32-E72D297353CC}">
              <c16:uniqueId val="{00000004-EA9D-440C-9B3F-9A3ABAB864FC}"/>
            </c:ext>
          </c:extLst>
        </c:ser>
        <c:ser>
          <c:idx val="7"/>
          <c:order val="5"/>
          <c:tx>
            <c:strRef>
              <c:f>Sheet1!$G$1</c:f>
              <c:strCache>
                <c:ptCount val="1"/>
                <c:pt idx="0">
                  <c:v>Ave expenditure per participant 12 months post-CFP</c:v>
                </c:pt>
              </c:strCache>
              <c:extLst xmlns:c15="http://schemas.microsoft.com/office/drawing/2012/chart"/>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extLst xmlns:c15="http://schemas.microsoft.com/office/drawing/2012/chart"/>
            </c:strRef>
          </c:cat>
          <c:val>
            <c:numRef>
              <c:f>Sheet1!$G$2:$G$12</c:f>
              <c:numCache>
                <c:formatCode>"$"#,##0</c:formatCode>
                <c:ptCount val="10"/>
                <c:pt idx="0">
                  <c:v>19845.222222222223</c:v>
                </c:pt>
                <c:pt idx="1">
                  <c:v>11492.5</c:v>
                </c:pt>
                <c:pt idx="2">
                  <c:v>5486.95</c:v>
                </c:pt>
                <c:pt idx="3">
                  <c:v>4117.6499999999996</c:v>
                </c:pt>
                <c:pt idx="4">
                  <c:v>8704.375</c:v>
                </c:pt>
                <c:pt idx="5">
                  <c:v>750.6875</c:v>
                </c:pt>
                <c:pt idx="6">
                  <c:v>916.5625</c:v>
                </c:pt>
                <c:pt idx="7">
                  <c:v>7026.5</c:v>
                </c:pt>
                <c:pt idx="8">
                  <c:v>4249</c:v>
                </c:pt>
                <c:pt idx="9">
                  <c:v>6226.7368421052633</c:v>
                </c:pt>
              </c:numCache>
              <c:extLst xmlns:c15="http://schemas.microsoft.com/office/drawing/2012/chart"/>
            </c:numRef>
          </c:val>
          <c:extLst>
            <c:ext xmlns:c16="http://schemas.microsoft.com/office/drawing/2014/chart" uri="{C3380CC4-5D6E-409C-BE32-E72D297353CC}">
              <c16:uniqueId val="{00000005-EA9D-440C-9B3F-9A3ABAB864FC}"/>
            </c:ext>
          </c:extLst>
        </c:ser>
        <c:dLbls>
          <c:dLblPos val="outEnd"/>
          <c:showLegendKey val="0"/>
          <c:showVal val="1"/>
          <c:showCatName val="0"/>
          <c:showSerName val="0"/>
          <c:showPercent val="0"/>
          <c:showBubbleSize val="0"/>
        </c:dLbls>
        <c:gapWidth val="80"/>
        <c:overlap val="100"/>
        <c:axId val="99379856"/>
        <c:axId val="99379024"/>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No. claims 12 months pre-CFP</c:v>
                      </c:pt>
                    </c:strCache>
                  </c:strRef>
                </c:tx>
                <c:spPr>
                  <a:solidFill>
                    <a:schemeClr val="bg2"/>
                  </a:solidFill>
                  <a:ln>
                    <a:noFill/>
                  </a:ln>
                  <a:effectLst/>
                </c:spPr>
                <c:invertIfNegative val="0"/>
                <c:dLbls>
                  <c:numFmt formatCode="General;General"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c:ext uri="{02D57815-91ED-43cb-92C2-25804820EDAC}">
                        <c15:formulaRef>
                          <c15:sqref>Sheet1!$B$2:$B$12</c15:sqref>
                        </c15:formulaRef>
                      </c:ext>
                    </c:extLst>
                    <c:numCache>
                      <c:formatCode>General</c:formatCode>
                      <c:ptCount val="10"/>
                      <c:pt idx="0">
                        <c:v>-179</c:v>
                      </c:pt>
                      <c:pt idx="1">
                        <c:v>-6</c:v>
                      </c:pt>
                      <c:pt idx="2">
                        <c:v>-465</c:v>
                      </c:pt>
                      <c:pt idx="3">
                        <c:v>-21</c:v>
                      </c:pt>
                      <c:pt idx="4">
                        <c:v>-37</c:v>
                      </c:pt>
                      <c:pt idx="5">
                        <c:v>-15</c:v>
                      </c:pt>
                      <c:pt idx="6">
                        <c:v>-35</c:v>
                      </c:pt>
                      <c:pt idx="7">
                        <c:v>-14</c:v>
                      </c:pt>
                      <c:pt idx="8">
                        <c:v>-73</c:v>
                      </c:pt>
                      <c:pt idx="9">
                        <c:v>-178</c:v>
                      </c:pt>
                    </c:numCache>
                  </c:numRef>
                </c:val>
                <c:extLst>
                  <c:ext xmlns:c16="http://schemas.microsoft.com/office/drawing/2014/chart" uri="{C3380CC4-5D6E-409C-BE32-E72D297353CC}">
                    <c16:uniqueId val="{00000002-EA9D-440C-9B3F-9A3ABAB864FC}"/>
                  </c:ext>
                </c:extLst>
              </c15:ser>
            </c15:filteredBarSeries>
            <c15:filteredBarSeries>
              <c15:ser>
                <c:idx val="2"/>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No. claims 12 months post-CFP</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Sheet1!$C$2:$C$12</c15:sqref>
                        </c15:formulaRef>
                      </c:ext>
                    </c:extLst>
                    <c:numCache>
                      <c:formatCode>General</c:formatCode>
                      <c:ptCount val="10"/>
                      <c:pt idx="0">
                        <c:v>287</c:v>
                      </c:pt>
                      <c:pt idx="1">
                        <c:v>32</c:v>
                      </c:pt>
                      <c:pt idx="2">
                        <c:v>573</c:v>
                      </c:pt>
                      <c:pt idx="3">
                        <c:v>20</c:v>
                      </c:pt>
                      <c:pt idx="4">
                        <c:v>313</c:v>
                      </c:pt>
                      <c:pt idx="5">
                        <c:v>18</c:v>
                      </c:pt>
                      <c:pt idx="6">
                        <c:v>50</c:v>
                      </c:pt>
                      <c:pt idx="7">
                        <c:v>85</c:v>
                      </c:pt>
                      <c:pt idx="8">
                        <c:v>186</c:v>
                      </c:pt>
                      <c:pt idx="9">
                        <c:v>273</c:v>
                      </c:pt>
                    </c:numCache>
                  </c:numRef>
                </c:val>
                <c:extLst xmlns:c15="http://schemas.microsoft.com/office/drawing/2012/chart">
                  <c:ext xmlns:c16="http://schemas.microsoft.com/office/drawing/2014/chart" uri="{C3380CC4-5D6E-409C-BE32-E72D297353CC}">
                    <c16:uniqueId val="{00000003-EA9D-440C-9B3F-9A3ABAB864FC}"/>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Total expenditure 12 months pre-CFP</c:v>
                      </c:pt>
                    </c:strCache>
                  </c:strRef>
                </c:tx>
                <c:spPr>
                  <a:solidFill>
                    <a:schemeClr val="bg2"/>
                  </a:solidFill>
                  <a:ln>
                    <a:noFill/>
                  </a:ln>
                  <a:effectLst/>
                </c:spPr>
                <c:invertIfNegative val="0"/>
                <c:dLbls>
                  <c:numFmt formatCode="&quot;$&quot;#,###;&quot;$&quot;#,###"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Sheet1!$D$2:$D$12</c15:sqref>
                        </c15:formulaRef>
                      </c:ext>
                    </c:extLst>
                    <c:numCache>
                      <c:formatCode>"$"#,##0</c:formatCode>
                      <c:ptCount val="10"/>
                      <c:pt idx="0">
                        <c:v>-74240</c:v>
                      </c:pt>
                      <c:pt idx="1">
                        <c:v>-2523</c:v>
                      </c:pt>
                      <c:pt idx="2">
                        <c:v>-84543</c:v>
                      </c:pt>
                      <c:pt idx="3">
                        <c:v>-30305</c:v>
                      </c:pt>
                      <c:pt idx="4">
                        <c:v>-15265</c:v>
                      </c:pt>
                      <c:pt idx="5">
                        <c:v>-37297</c:v>
                      </c:pt>
                      <c:pt idx="6">
                        <c:v>-8566</c:v>
                      </c:pt>
                      <c:pt idx="7">
                        <c:v>-9130</c:v>
                      </c:pt>
                      <c:pt idx="8">
                        <c:v>-31238</c:v>
                      </c:pt>
                      <c:pt idx="9">
                        <c:v>-77453</c:v>
                      </c:pt>
                    </c:numCache>
                  </c:numRef>
                </c:val>
                <c:extLst xmlns:c15="http://schemas.microsoft.com/office/drawing/2012/chart">
                  <c:ext xmlns:c16="http://schemas.microsoft.com/office/drawing/2014/chart" uri="{C3380CC4-5D6E-409C-BE32-E72D297353CC}">
                    <c16:uniqueId val="{00000000-EA9D-440C-9B3F-9A3ABAB864FC}"/>
                  </c:ext>
                </c:extLst>
              </c15:ser>
            </c15:filteredBarSeries>
            <c15:filteredBarSeries>
              <c15:ser>
                <c:idx val="5"/>
                <c:order val="3"/>
                <c:tx>
                  <c:strRef>
                    <c:extLst xmlns:c15="http://schemas.microsoft.com/office/drawing/2012/chart">
                      <c:ext xmlns:c15="http://schemas.microsoft.com/office/drawing/2012/chart" uri="{02D57815-91ED-43cb-92C2-25804820EDAC}">
                        <c15:formulaRef>
                          <c15:sqref>Sheet1!$E$1</c15:sqref>
                        </c15:formulaRef>
                      </c:ext>
                    </c:extLst>
                    <c:strCache>
                      <c:ptCount val="1"/>
                      <c:pt idx="0">
                        <c:v>Total expenditure 12 months post-CFP</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Sheet1!$E$2:$E$12</c15:sqref>
                        </c15:formulaRef>
                      </c:ext>
                    </c:extLst>
                    <c:numCache>
                      <c:formatCode>"$"#,##0</c:formatCode>
                      <c:ptCount val="10"/>
                      <c:pt idx="0">
                        <c:v>178607</c:v>
                      </c:pt>
                      <c:pt idx="1">
                        <c:v>45970</c:v>
                      </c:pt>
                      <c:pt idx="2">
                        <c:v>109739</c:v>
                      </c:pt>
                      <c:pt idx="3">
                        <c:v>82353</c:v>
                      </c:pt>
                      <c:pt idx="4">
                        <c:v>139270</c:v>
                      </c:pt>
                      <c:pt idx="5">
                        <c:v>12011</c:v>
                      </c:pt>
                      <c:pt idx="6">
                        <c:v>14665</c:v>
                      </c:pt>
                      <c:pt idx="7">
                        <c:v>98371</c:v>
                      </c:pt>
                      <c:pt idx="8">
                        <c:v>59486</c:v>
                      </c:pt>
                      <c:pt idx="9">
                        <c:v>118308</c:v>
                      </c:pt>
                    </c:numCache>
                  </c:numRef>
                </c:val>
                <c:extLst xmlns:c15="http://schemas.microsoft.com/office/drawing/2012/chart">
                  <c:ext xmlns:c16="http://schemas.microsoft.com/office/drawing/2014/chart" uri="{C3380CC4-5D6E-409C-BE32-E72D297353CC}">
                    <c16:uniqueId val="{00000001-EA9D-440C-9B3F-9A3ABAB864FC}"/>
                  </c:ext>
                </c:extLst>
              </c15:ser>
            </c15:filteredBarSeries>
            <c15:filteredBarSeries>
              <c15:ser>
                <c:idx val="8"/>
                <c:order val="6"/>
                <c:tx>
                  <c:strRef>
                    <c:extLst xmlns:c15="http://schemas.microsoft.com/office/drawing/2012/chart">
                      <c:ext xmlns:c15="http://schemas.microsoft.com/office/drawing/2012/chart" uri="{02D57815-91ED-43cb-92C2-25804820EDAC}">
                        <c15:formulaRef>
                          <c15:sqref>Sheet1!$H$1</c15:sqref>
                        </c15:formulaRef>
                      </c:ext>
                    </c:extLst>
                    <c:strCache>
                      <c:ptCount val="1"/>
                      <c:pt idx="0">
                        <c:v>Change per participant</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Sheet1!$A$2:$A$12</c15:sqref>
                        </c15:formulaRef>
                      </c:ext>
                    </c:extLst>
                    <c:strCache>
                      <c:ptCount val="10"/>
                      <c:pt idx="0">
                        <c:v>APY Lands (Therapy support items)</c:v>
                      </c:pt>
                      <c:pt idx="1">
                        <c:v>APY (Core support items)</c:v>
                      </c:pt>
                      <c:pt idx="2">
                        <c:v>Broome (Therapy support items)</c:v>
                      </c:pt>
                      <c:pt idx="3">
                        <c:v>Broome (Capital)</c:v>
                      </c:pt>
                      <c:pt idx="4">
                        <c:v>Katherine (Therapy support items)</c:v>
                      </c:pt>
                      <c:pt idx="5">
                        <c:v>Katherine (Capital)</c:v>
                      </c:pt>
                      <c:pt idx="6">
                        <c:v>Katherine (Core)</c:v>
                      </c:pt>
                      <c:pt idx="7">
                        <c:v>Mornington</c:v>
                      </c:pt>
                      <c:pt idx="8">
                        <c:v>Tiwi Islands</c:v>
                      </c:pt>
                      <c:pt idx="9">
                        <c:v>West Arnhem</c:v>
                      </c:pt>
                    </c:strCache>
                  </c:strRef>
                </c:cat>
                <c:val>
                  <c:numRef>
                    <c:extLst xmlns:c15="http://schemas.microsoft.com/office/drawing/2012/chart">
                      <c:ext xmlns:c15="http://schemas.microsoft.com/office/drawing/2012/chart" uri="{02D57815-91ED-43cb-92C2-25804820EDAC}">
                        <c15:formulaRef>
                          <c15:sqref>Sheet1!$H$2:$H$12</c15:sqref>
                        </c15:formulaRef>
                      </c:ext>
                    </c:extLst>
                    <c:numCache>
                      <c:formatCode>"$"#,##0</c:formatCode>
                      <c:ptCount val="10"/>
                      <c:pt idx="0">
                        <c:v>11596.333333333334</c:v>
                      </c:pt>
                      <c:pt idx="1">
                        <c:v>10861.75</c:v>
                      </c:pt>
                      <c:pt idx="2">
                        <c:v>1259.8000000000002</c:v>
                      </c:pt>
                      <c:pt idx="3">
                        <c:v>2602.3999999999996</c:v>
                      </c:pt>
                      <c:pt idx="4">
                        <c:v>7750.3125</c:v>
                      </c:pt>
                      <c:pt idx="5">
                        <c:v>-1580.375</c:v>
                      </c:pt>
                      <c:pt idx="6">
                        <c:v>381.1875</c:v>
                      </c:pt>
                      <c:pt idx="7">
                        <c:v>6374.3571428571431</c:v>
                      </c:pt>
                      <c:pt idx="8">
                        <c:v>2017.7142857142858</c:v>
                      </c:pt>
                      <c:pt idx="9">
                        <c:v>2150.2631578947371</c:v>
                      </c:pt>
                    </c:numCache>
                  </c:numRef>
                </c:val>
                <c:extLst xmlns:c15="http://schemas.microsoft.com/office/drawing/2012/chart">
                  <c:ext xmlns:c16="http://schemas.microsoft.com/office/drawing/2014/chart" uri="{C3380CC4-5D6E-409C-BE32-E72D297353CC}">
                    <c16:uniqueId val="{00000006-EA9D-440C-9B3F-9A3ABAB864FC}"/>
                  </c:ext>
                </c:extLst>
              </c15:ser>
            </c15:filteredBarSeries>
          </c:ext>
        </c:extLst>
      </c:barChart>
      <c:catAx>
        <c:axId val="99379856"/>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99379024"/>
        <c:crosses val="autoZero"/>
        <c:auto val="1"/>
        <c:lblAlgn val="ctr"/>
        <c:lblOffset val="100"/>
        <c:noMultiLvlLbl val="0"/>
      </c:catAx>
      <c:valAx>
        <c:axId val="99379024"/>
        <c:scaling>
          <c:orientation val="minMax"/>
          <c:max val="25000"/>
          <c:min val="-20000"/>
        </c:scaling>
        <c:delete val="0"/>
        <c:axPos val="t"/>
        <c:numFmt formatCode="&quot;$&quot;#,###;&quot;$&quot;#,###" sourceLinked="0"/>
        <c:majorTickMark val="none"/>
        <c:minorTickMark val="none"/>
        <c:tickLblPos val="high"/>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99379856"/>
        <c:crosses val="autoZero"/>
        <c:crossBetween val="between"/>
      </c:valAx>
      <c:spPr>
        <a:noFill/>
        <a:ln>
          <a:noFill/>
        </a:ln>
        <a:effectLst/>
      </c:spPr>
    </c:plotArea>
    <c:legend>
      <c:legendPos val="b"/>
      <c:layout>
        <c:manualLayout>
          <c:xMode val="edge"/>
          <c:yMode val="edge"/>
          <c:x val="9.794210590638476E-2"/>
          <c:y val="1.9912040745386671E-2"/>
          <c:w val="0.86722913825715919"/>
          <c:h val="6.036415448068991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Sheet1!$B$1</c:f>
              <c:strCache>
                <c:ptCount val="1"/>
                <c:pt idx="0">
                  <c:v>Ave expenditure per month 6-12 months pre-DC</c:v>
                </c:pt>
              </c:strCache>
            </c:strRef>
          </c:tx>
          <c:spPr>
            <a:solidFill>
              <a:schemeClr val="bg2"/>
            </a:solidFill>
            <a:ln>
              <a:noFill/>
            </a:ln>
            <a:effectLst/>
          </c:spPr>
          <c:invertIfNegative val="0"/>
          <c:dLbls>
            <c:dLbl>
              <c:idx val="2"/>
              <c:layout>
                <c:manualLayout>
                  <c:x val="-8.9791216101622577E-17"/>
                  <c:y val="-1.66562565063501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A7-4A61-A899-BCFB644B897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APY Lands</c:v>
                </c:pt>
                <c:pt idx="1">
                  <c:v>ACT</c:v>
                </c:pt>
                <c:pt idx="2">
                  <c:v>Waratah-Wynyard</c:v>
                </c:pt>
              </c:strCache>
            </c:strRef>
          </c:cat>
          <c:val>
            <c:numRef>
              <c:f>Sheet1!$B$2:$B$4</c:f>
              <c:numCache>
                <c:formatCode>"$"#,##0</c:formatCode>
                <c:ptCount val="3"/>
                <c:pt idx="0">
                  <c:v>3307</c:v>
                </c:pt>
                <c:pt idx="1">
                  <c:v>502</c:v>
                </c:pt>
                <c:pt idx="2">
                  <c:v>2260</c:v>
                </c:pt>
              </c:numCache>
            </c:numRef>
          </c:val>
          <c:extLst>
            <c:ext xmlns:c16="http://schemas.microsoft.com/office/drawing/2014/chart" uri="{C3380CC4-5D6E-409C-BE32-E72D297353CC}">
              <c16:uniqueId val="{00000001-F20A-47CB-AD8F-0240FAB215D3}"/>
            </c:ext>
          </c:extLst>
        </c:ser>
        <c:ser>
          <c:idx val="2"/>
          <c:order val="1"/>
          <c:tx>
            <c:strRef>
              <c:f>Sheet1!$C$1</c:f>
              <c:strCache>
                <c:ptCount val="1"/>
                <c:pt idx="0">
                  <c:v>Ave expenditure per month 1-6 months pre-DC</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APY Lands</c:v>
                </c:pt>
                <c:pt idx="1">
                  <c:v>ACT</c:v>
                </c:pt>
                <c:pt idx="2">
                  <c:v>Waratah-Wynyard</c:v>
                </c:pt>
              </c:strCache>
            </c:strRef>
          </c:cat>
          <c:val>
            <c:numRef>
              <c:f>Sheet1!$C$2:$C$4</c:f>
              <c:numCache>
                <c:formatCode>"$"#,##0</c:formatCode>
                <c:ptCount val="3"/>
                <c:pt idx="0">
                  <c:v>24181</c:v>
                </c:pt>
                <c:pt idx="1">
                  <c:v>2130</c:v>
                </c:pt>
                <c:pt idx="2">
                  <c:v>1464</c:v>
                </c:pt>
              </c:numCache>
            </c:numRef>
          </c:val>
          <c:extLst>
            <c:ext xmlns:c16="http://schemas.microsoft.com/office/drawing/2014/chart" uri="{C3380CC4-5D6E-409C-BE32-E72D297353CC}">
              <c16:uniqueId val="{00000002-F20A-47CB-AD8F-0240FAB215D3}"/>
            </c:ext>
          </c:extLst>
        </c:ser>
        <c:ser>
          <c:idx val="3"/>
          <c:order val="2"/>
          <c:tx>
            <c:strRef>
              <c:f>Sheet1!$D$1</c:f>
              <c:strCache>
                <c:ptCount val="1"/>
                <c:pt idx="0">
                  <c:v>Ave expenditure per month during DC  (DC)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APY Lands</c:v>
                </c:pt>
                <c:pt idx="1">
                  <c:v>ACT</c:v>
                </c:pt>
                <c:pt idx="2">
                  <c:v>Waratah-Wynyard</c:v>
                </c:pt>
              </c:strCache>
            </c:strRef>
          </c:cat>
          <c:val>
            <c:numRef>
              <c:f>Sheet1!$D$2:$D$4</c:f>
              <c:numCache>
                <c:formatCode>"$"#,##0</c:formatCode>
                <c:ptCount val="3"/>
                <c:pt idx="0">
                  <c:v>52969.333333333336</c:v>
                </c:pt>
                <c:pt idx="1">
                  <c:v>6663</c:v>
                </c:pt>
                <c:pt idx="2">
                  <c:v>6494</c:v>
                </c:pt>
              </c:numCache>
            </c:numRef>
          </c:val>
          <c:extLst>
            <c:ext xmlns:c16="http://schemas.microsoft.com/office/drawing/2014/chart" uri="{C3380CC4-5D6E-409C-BE32-E72D297353CC}">
              <c16:uniqueId val="{00000003-F20A-47CB-AD8F-0240FAB215D3}"/>
            </c:ext>
          </c:extLst>
        </c:ser>
        <c:ser>
          <c:idx val="0"/>
          <c:order val="3"/>
          <c:tx>
            <c:strRef>
              <c:f>Sheet1!$E$1</c:f>
              <c:strCache>
                <c:ptCount val="1"/>
                <c:pt idx="0">
                  <c:v>Ave expenditure per month during DC (non-DC)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Sheet1!$E$2:$E$4</c:f>
              <c:numCache>
                <c:formatCode>General</c:formatCode>
                <c:ptCount val="3"/>
                <c:pt idx="0" formatCode="&quot;$&quot;#,##0">
                  <c:v>13629</c:v>
                </c:pt>
              </c:numCache>
            </c:numRef>
          </c:val>
          <c:extLst>
            <c:ext xmlns:c16="http://schemas.microsoft.com/office/drawing/2014/chart" uri="{C3380CC4-5D6E-409C-BE32-E72D297353CC}">
              <c16:uniqueId val="{00000001-74BC-49D4-8003-0B59299E5237}"/>
            </c:ext>
          </c:extLst>
        </c:ser>
        <c:dLbls>
          <c:dLblPos val="outEnd"/>
          <c:showLegendKey val="0"/>
          <c:showVal val="1"/>
          <c:showCatName val="0"/>
          <c:showSerName val="0"/>
          <c:showPercent val="0"/>
          <c:showBubbleSize val="0"/>
        </c:dLbls>
        <c:gapWidth val="219"/>
        <c:overlap val="-27"/>
        <c:axId val="52143312"/>
        <c:axId val="52157040"/>
      </c:barChart>
      <c:catAx>
        <c:axId val="521433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157040"/>
        <c:crosses val="autoZero"/>
        <c:auto val="1"/>
        <c:lblAlgn val="ctr"/>
        <c:lblOffset val="100"/>
        <c:noMultiLvlLbl val="0"/>
      </c:catAx>
      <c:valAx>
        <c:axId val="52157040"/>
        <c:scaling>
          <c:orientation val="minMax"/>
        </c:scaling>
        <c:delete val="0"/>
        <c:axPos val="l"/>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2143312"/>
        <c:crosses val="autoZero"/>
        <c:crossBetween val="between"/>
      </c:valAx>
      <c:spPr>
        <a:noFill/>
        <a:ln>
          <a:noFill/>
        </a:ln>
        <a:effectLst/>
      </c:spPr>
    </c:plotArea>
    <c:legend>
      <c:legendPos val="b"/>
      <c:layout>
        <c:manualLayout>
          <c:xMode val="edge"/>
          <c:yMode val="edge"/>
          <c:x val="6.2444502506245128E-2"/>
          <c:y val="0.87163272298645367"/>
          <c:w val="0.89461892444049362"/>
          <c:h val="0.111869766279215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10389326334208"/>
          <c:y val="4.3650793650793648E-2"/>
          <c:w val="0.87058271361913098"/>
          <c:h val="0.78202568428946384"/>
        </c:manualLayout>
      </c:layout>
      <c:lineChart>
        <c:grouping val="standard"/>
        <c:varyColors val="0"/>
        <c:ser>
          <c:idx val="3"/>
          <c:order val="0"/>
          <c:tx>
            <c:v>TAS</c:v>
          </c:tx>
          <c:spPr>
            <a:ln w="28575" cap="rnd">
              <a:solidFill>
                <a:schemeClr val="bg2"/>
              </a:solidFill>
              <a:round/>
            </a:ln>
            <a:effectLst/>
          </c:spPr>
          <c:marker>
            <c:symbol val="circle"/>
            <c:size val="5"/>
            <c:spPr>
              <a:solidFill>
                <a:schemeClr val="bg2"/>
              </a:solidFill>
              <a:ln w="9525">
                <a:noFill/>
              </a:ln>
              <a:effectLst/>
            </c:spPr>
          </c:marker>
          <c:cat>
            <c:numRef>
              <c:f>Sheet1!$A$2:$A$40</c:f>
              <c:numCache>
                <c:formatCode>General</c:formatCode>
                <c:ptCount val="39"/>
                <c:pt idx="1">
                  <c:v>-12</c:v>
                </c:pt>
                <c:pt idx="7">
                  <c:v>-6</c:v>
                </c:pt>
                <c:pt idx="13">
                  <c:v>0</c:v>
                </c:pt>
                <c:pt idx="19">
                  <c:v>6</c:v>
                </c:pt>
                <c:pt idx="25">
                  <c:v>12</c:v>
                </c:pt>
                <c:pt idx="31">
                  <c:v>18</c:v>
                </c:pt>
                <c:pt idx="37">
                  <c:v>24</c:v>
                </c:pt>
              </c:numCache>
            </c:numRef>
          </c:cat>
          <c:val>
            <c:numRef>
              <c:f>Sheet1!$B$2:$B$40</c:f>
              <c:numCache>
                <c:formatCode>"$"#,##0</c:formatCode>
                <c:ptCount val="39"/>
                <c:pt idx="0">
                  <c:v>24.66</c:v>
                </c:pt>
                <c:pt idx="1">
                  <c:v>30.443333333333332</c:v>
                </c:pt>
                <c:pt idx="2">
                  <c:v>279.74603535353538</c:v>
                </c:pt>
                <c:pt idx="3">
                  <c:v>316.82587719298249</c:v>
                </c:pt>
                <c:pt idx="4">
                  <c:v>307.23133333333328</c:v>
                </c:pt>
                <c:pt idx="5">
                  <c:v>258.45520634920638</c:v>
                </c:pt>
                <c:pt idx="6">
                  <c:v>272.36981666666668</c:v>
                </c:pt>
                <c:pt idx="7">
                  <c:v>218.19441863075201</c:v>
                </c:pt>
                <c:pt idx="8">
                  <c:v>211.51127047531591</c:v>
                </c:pt>
                <c:pt idx="9">
                  <c:v>335.97160308441562</c:v>
                </c:pt>
                <c:pt idx="10">
                  <c:v>244.9180955908289</c:v>
                </c:pt>
                <c:pt idx="11">
                  <c:v>218.62735416666669</c:v>
                </c:pt>
                <c:pt idx="12">
                  <c:v>335.16394507575762</c:v>
                </c:pt>
                <c:pt idx="13">
                  <c:v>234.31292678700271</c:v>
                </c:pt>
                <c:pt idx="14">
                  <c:v>196.51091428571431</c:v>
                </c:pt>
                <c:pt idx="15">
                  <c:v>221.96302513399971</c:v>
                </c:pt>
                <c:pt idx="16">
                  <c:v>255.19322644889829</c:v>
                </c:pt>
                <c:pt idx="17">
                  <c:v>253.27944696969701</c:v>
                </c:pt>
                <c:pt idx="18">
                  <c:v>183.88754920716809</c:v>
                </c:pt>
                <c:pt idx="19">
                  <c:v>213.4841801461325</c:v>
                </c:pt>
                <c:pt idx="20">
                  <c:v>219.49788770685581</c:v>
                </c:pt>
                <c:pt idx="21">
                  <c:v>210.67415219075801</c:v>
                </c:pt>
                <c:pt idx="22">
                  <c:v>272.47943789521878</c:v>
                </c:pt>
                <c:pt idx="23">
                  <c:v>204.80753210605181</c:v>
                </c:pt>
                <c:pt idx="24">
                  <c:v>202.99775993311891</c:v>
                </c:pt>
                <c:pt idx="25">
                  <c:v>197.92538815190289</c:v>
                </c:pt>
                <c:pt idx="26">
                  <c:v>405.36891653059132</c:v>
                </c:pt>
                <c:pt idx="27">
                  <c:v>186.0109024291236</c:v>
                </c:pt>
                <c:pt idx="28">
                  <c:v>229.9005224759191</c:v>
                </c:pt>
                <c:pt idx="29">
                  <c:v>220.39556332759381</c:v>
                </c:pt>
                <c:pt idx="30">
                  <c:v>180.3567742319409</c:v>
                </c:pt>
                <c:pt idx="31">
                  <c:v>241.9863035986084</c:v>
                </c:pt>
                <c:pt idx="32">
                  <c:v>197.32518869936041</c:v>
                </c:pt>
                <c:pt idx="33">
                  <c:v>186.41540177907839</c:v>
                </c:pt>
                <c:pt idx="34">
                  <c:v>165.30159821428569</c:v>
                </c:pt>
                <c:pt idx="35">
                  <c:v>186.15564914889029</c:v>
                </c:pt>
                <c:pt idx="36">
                  <c:v>175.90400217538931</c:v>
                </c:pt>
                <c:pt idx="37">
                  <c:v>171.3140077497666</c:v>
                </c:pt>
                <c:pt idx="38">
                  <c:v>145.4760131578947</c:v>
                </c:pt>
              </c:numCache>
            </c:numRef>
          </c:val>
          <c:smooth val="0"/>
          <c:extLst>
            <c:ext xmlns:c16="http://schemas.microsoft.com/office/drawing/2014/chart" uri="{C3380CC4-5D6E-409C-BE32-E72D297353CC}">
              <c16:uniqueId val="{00000003-6075-46A8-8F10-66BBD8FDAA13}"/>
            </c:ext>
          </c:extLst>
        </c:ser>
        <c:ser>
          <c:idx val="4"/>
          <c:order val="1"/>
          <c:tx>
            <c:v>Tas DC participants</c:v>
          </c:tx>
          <c:spPr>
            <a:ln w="28575" cap="rnd">
              <a:solidFill>
                <a:schemeClr val="tx2"/>
              </a:solidFill>
              <a:round/>
            </a:ln>
            <a:effectLst/>
          </c:spPr>
          <c:marker>
            <c:symbol val="circle"/>
            <c:size val="5"/>
            <c:spPr>
              <a:solidFill>
                <a:schemeClr val="tx2"/>
              </a:solidFill>
              <a:ln w="9525">
                <a:noFill/>
              </a:ln>
              <a:effectLst/>
            </c:spPr>
          </c:marker>
          <c:cat>
            <c:numRef>
              <c:f>Sheet1!$A$2:$A$40</c:f>
              <c:numCache>
                <c:formatCode>General</c:formatCode>
                <c:ptCount val="39"/>
                <c:pt idx="1">
                  <c:v>-12</c:v>
                </c:pt>
                <c:pt idx="7">
                  <c:v>-6</c:v>
                </c:pt>
                <c:pt idx="13">
                  <c:v>0</c:v>
                </c:pt>
                <c:pt idx="19">
                  <c:v>6</c:v>
                </c:pt>
                <c:pt idx="25">
                  <c:v>12</c:v>
                </c:pt>
                <c:pt idx="31">
                  <c:v>18</c:v>
                </c:pt>
                <c:pt idx="37">
                  <c:v>24</c:v>
                </c:pt>
              </c:numCache>
            </c:numRef>
          </c:cat>
          <c:val>
            <c:numRef>
              <c:f>Sheet1!$C$2:$C$40</c:f>
              <c:numCache>
                <c:formatCode>"$"#,##0</c:formatCode>
                <c:ptCount val="39"/>
                <c:pt idx="0">
                  <c:v>0</c:v>
                </c:pt>
                <c:pt idx="1">
                  <c:v>0</c:v>
                </c:pt>
                <c:pt idx="2">
                  <c:v>259.3029166666667</c:v>
                </c:pt>
                <c:pt idx="3">
                  <c:v>1092.8291666666671</c:v>
                </c:pt>
                <c:pt idx="4">
                  <c:v>799.54062499999998</c:v>
                </c:pt>
                <c:pt idx="5">
                  <c:v>325.50404761904758</c:v>
                </c:pt>
                <c:pt idx="6">
                  <c:v>524.83351851851853</c:v>
                </c:pt>
                <c:pt idx="7">
                  <c:v>217.2416666666667</c:v>
                </c:pt>
                <c:pt idx="8">
                  <c:v>310.31833333333333</c:v>
                </c:pt>
                <c:pt idx="9">
                  <c:v>287.42666666666668</c:v>
                </c:pt>
                <c:pt idx="10">
                  <c:v>362.41973214285707</c:v>
                </c:pt>
                <c:pt idx="11">
                  <c:v>220.09937500000001</c:v>
                </c:pt>
                <c:pt idx="12">
                  <c:v>356.95901515151508</c:v>
                </c:pt>
                <c:pt idx="13">
                  <c:v>473.94418181818179</c:v>
                </c:pt>
                <c:pt idx="14">
                  <c:v>461.2032967032967</c:v>
                </c:pt>
                <c:pt idx="15">
                  <c:v>142.2094462809917</c:v>
                </c:pt>
                <c:pt idx="16">
                  <c:v>206.05105925925929</c:v>
                </c:pt>
                <c:pt idx="17">
                  <c:v>189.68579411764711</c:v>
                </c:pt>
                <c:pt idx="18">
                  <c:v>277.99520943562612</c:v>
                </c:pt>
                <c:pt idx="19">
                  <c:v>250.9141772486773</c:v>
                </c:pt>
                <c:pt idx="20">
                  <c:v>263.99758441558441</c:v>
                </c:pt>
                <c:pt idx="21">
                  <c:v>148.20832539682539</c:v>
                </c:pt>
                <c:pt idx="22">
                  <c:v>223.0434518518519</c:v>
                </c:pt>
                <c:pt idx="23">
                  <c:v>210.7400111111111</c:v>
                </c:pt>
                <c:pt idx="24">
                  <c:v>136.2354312169312</c:v>
                </c:pt>
                <c:pt idx="25">
                  <c:v>169.45797258297259</c:v>
                </c:pt>
                <c:pt idx="26">
                  <c:v>153.48467559523809</c:v>
                </c:pt>
                <c:pt idx="27">
                  <c:v>294.18095646020652</c:v>
                </c:pt>
                <c:pt idx="28">
                  <c:v>194.10139924242429</c:v>
                </c:pt>
                <c:pt idx="29">
                  <c:v>95.179074668920819</c:v>
                </c:pt>
                <c:pt idx="30">
                  <c:v>126.145143557423</c:v>
                </c:pt>
                <c:pt idx="31">
                  <c:v>185.01992690058481</c:v>
                </c:pt>
                <c:pt idx="32">
                  <c:v>185.70900173611111</c:v>
                </c:pt>
                <c:pt idx="33">
                  <c:v>189.41940634920641</c:v>
                </c:pt>
                <c:pt idx="34">
                  <c:v>222.57580908289239</c:v>
                </c:pt>
                <c:pt idx="35">
                  <c:v>175.58879999999999</c:v>
                </c:pt>
                <c:pt idx="36">
                  <c:v>204.66448511904761</c:v>
                </c:pt>
                <c:pt idx="37">
                  <c:v>197.5149696969697</c:v>
                </c:pt>
                <c:pt idx="38">
                  <c:v>119.7428125</c:v>
                </c:pt>
              </c:numCache>
            </c:numRef>
          </c:val>
          <c:smooth val="0"/>
          <c:extLst>
            <c:ext xmlns:c16="http://schemas.microsoft.com/office/drawing/2014/chart" uri="{C3380CC4-5D6E-409C-BE32-E72D297353CC}">
              <c16:uniqueId val="{00000004-6075-46A8-8F10-66BBD8FDAA13}"/>
            </c:ext>
          </c:extLst>
        </c:ser>
        <c:ser>
          <c:idx val="5"/>
          <c:order val="2"/>
          <c:tx>
            <c:strRef>
              <c:f>Sheet1!$D$1</c:f>
              <c:strCache>
                <c:ptCount val="1"/>
                <c:pt idx="0">
                  <c:v>LAB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Pt>
            <c:idx val="13"/>
            <c:marker>
              <c:symbol val="none"/>
            </c:marker>
            <c:bubble3D val="0"/>
            <c:extLst>
              <c:ext xmlns:c16="http://schemas.microsoft.com/office/drawing/2014/chart" uri="{C3380CC4-5D6E-409C-BE32-E72D297353CC}">
                <c16:uniqueId val="{00000008-6075-46A8-8F10-66BBD8FDAA13}"/>
              </c:ext>
            </c:extLst>
          </c:dPt>
          <c:errBars>
            <c:errDir val="y"/>
            <c:errBarType val="both"/>
            <c:errValType val="fixedVal"/>
            <c:noEndCap val="1"/>
            <c:val val="1000"/>
            <c:spPr>
              <a:noFill/>
              <a:ln w="9525" cap="flat" cmpd="sng" algn="ctr">
                <a:solidFill>
                  <a:schemeClr val="tx1"/>
                </a:solidFill>
                <a:prstDash val="dash"/>
                <a:round/>
              </a:ln>
              <a:effectLst/>
            </c:spPr>
          </c:errBars>
          <c:cat>
            <c:numRef>
              <c:f>Sheet1!$A$2:$A$40</c:f>
              <c:numCache>
                <c:formatCode>General</c:formatCode>
                <c:ptCount val="39"/>
                <c:pt idx="1">
                  <c:v>-12</c:v>
                </c:pt>
                <c:pt idx="7">
                  <c:v>-6</c:v>
                </c:pt>
                <c:pt idx="13">
                  <c:v>0</c:v>
                </c:pt>
                <c:pt idx="19">
                  <c:v>6</c:v>
                </c:pt>
                <c:pt idx="25">
                  <c:v>12</c:v>
                </c:pt>
                <c:pt idx="31">
                  <c:v>18</c:v>
                </c:pt>
                <c:pt idx="37">
                  <c:v>24</c:v>
                </c:pt>
              </c:numCache>
            </c:numRef>
          </c:cat>
          <c:val>
            <c:numRef>
              <c:f>Sheet1!$D$2:$D$40</c:f>
              <c:numCache>
                <c:formatCode>General</c:formatCode>
                <c:ptCount val="39"/>
                <c:pt idx="13" formatCode="&quot;$&quot;#,##0">
                  <c:v>500</c:v>
                </c:pt>
              </c:numCache>
            </c:numRef>
          </c:val>
          <c:smooth val="0"/>
          <c:extLst>
            <c:ext xmlns:c16="http://schemas.microsoft.com/office/drawing/2014/chart" uri="{C3380CC4-5D6E-409C-BE32-E72D297353CC}">
              <c16:uniqueId val="{00000005-6075-46A8-8F10-66BBD8FDAA13}"/>
            </c:ext>
          </c:extLst>
        </c:ser>
        <c:ser>
          <c:idx val="6"/>
          <c:order val="3"/>
          <c:tx>
            <c:v>DC opt out participants</c:v>
          </c:tx>
          <c:spPr>
            <a:ln w="28575" cap="rnd">
              <a:solidFill>
                <a:schemeClr val="accent4"/>
              </a:solidFill>
              <a:round/>
            </a:ln>
            <a:effectLst/>
          </c:spPr>
          <c:marker>
            <c:symbol val="circle"/>
            <c:size val="5"/>
            <c:spPr>
              <a:solidFill>
                <a:schemeClr val="accent4"/>
              </a:solidFill>
              <a:ln w="9525">
                <a:noFill/>
              </a:ln>
              <a:effectLst/>
            </c:spPr>
          </c:marker>
          <c:cat>
            <c:numRef>
              <c:f>Sheet1!$A$2:$A$40</c:f>
              <c:numCache>
                <c:formatCode>General</c:formatCode>
                <c:ptCount val="39"/>
                <c:pt idx="1">
                  <c:v>-12</c:v>
                </c:pt>
                <c:pt idx="7">
                  <c:v>-6</c:v>
                </c:pt>
                <c:pt idx="13">
                  <c:v>0</c:v>
                </c:pt>
                <c:pt idx="19">
                  <c:v>6</c:v>
                </c:pt>
                <c:pt idx="25">
                  <c:v>12</c:v>
                </c:pt>
                <c:pt idx="31">
                  <c:v>18</c:v>
                </c:pt>
                <c:pt idx="37">
                  <c:v>24</c:v>
                </c:pt>
              </c:numCache>
            </c:numRef>
          </c:cat>
          <c:val>
            <c:numRef>
              <c:f>Sheet1!$E$2:$E$40</c:f>
              <c:numCache>
                <c:formatCode>"$"#,##0</c:formatCode>
                <c:ptCount val="39"/>
                <c:pt idx="0">
                  <c:v>0</c:v>
                </c:pt>
                <c:pt idx="1">
                  <c:v>0</c:v>
                </c:pt>
                <c:pt idx="2">
                  <c:v>281.07388889999999</c:v>
                </c:pt>
                <c:pt idx="3">
                  <c:v>1204.701</c:v>
                </c:pt>
                <c:pt idx="4">
                  <c:v>936.72749999999996</c:v>
                </c:pt>
                <c:pt idx="5">
                  <c:v>320.48194439999997</c:v>
                </c:pt>
                <c:pt idx="6">
                  <c:v>554.06520829999999</c:v>
                </c:pt>
                <c:pt idx="7">
                  <c:v>131.8725</c:v>
                </c:pt>
                <c:pt idx="8">
                  <c:v>331.5552381</c:v>
                </c:pt>
                <c:pt idx="9">
                  <c:v>301.54428569999999</c:v>
                </c:pt>
                <c:pt idx="10">
                  <c:v>392.80734519999999</c:v>
                </c:pt>
                <c:pt idx="11">
                  <c:v>177.88</c:v>
                </c:pt>
                <c:pt idx="12">
                  <c:v>313.06324069999999</c:v>
                </c:pt>
                <c:pt idx="13">
                  <c:v>446.65159999999997</c:v>
                </c:pt>
                <c:pt idx="14">
                  <c:v>483.47107140000003</c:v>
                </c:pt>
                <c:pt idx="15">
                  <c:v>142.2094463</c:v>
                </c:pt>
                <c:pt idx="16">
                  <c:v>199.9843492</c:v>
                </c:pt>
                <c:pt idx="17">
                  <c:v>155.4865667</c:v>
                </c:pt>
                <c:pt idx="18">
                  <c:v>277.99520940000002</c:v>
                </c:pt>
                <c:pt idx="19">
                  <c:v>244.27765830000001</c:v>
                </c:pt>
                <c:pt idx="20">
                  <c:v>263.99758439999999</c:v>
                </c:pt>
                <c:pt idx="21">
                  <c:v>148.20832540000001</c:v>
                </c:pt>
                <c:pt idx="22">
                  <c:v>223.04345190000001</c:v>
                </c:pt>
                <c:pt idx="23">
                  <c:v>210.7400111</c:v>
                </c:pt>
                <c:pt idx="24">
                  <c:v>136.23543119999999</c:v>
                </c:pt>
                <c:pt idx="25">
                  <c:v>169.45797260000001</c:v>
                </c:pt>
                <c:pt idx="26">
                  <c:v>153.4846756</c:v>
                </c:pt>
                <c:pt idx="27">
                  <c:v>294.18095649999998</c:v>
                </c:pt>
                <c:pt idx="28">
                  <c:v>194.1013992</c:v>
                </c:pt>
                <c:pt idx="29">
                  <c:v>95.179074670000006</c:v>
                </c:pt>
                <c:pt idx="30">
                  <c:v>126.1451436</c:v>
                </c:pt>
                <c:pt idx="31">
                  <c:v>185.0199269</c:v>
                </c:pt>
                <c:pt idx="32">
                  <c:v>185.70900169999999</c:v>
                </c:pt>
                <c:pt idx="33">
                  <c:v>189.41940629999999</c:v>
                </c:pt>
                <c:pt idx="34">
                  <c:v>222.57580909999999</c:v>
                </c:pt>
                <c:pt idx="35">
                  <c:v>176.8366316</c:v>
                </c:pt>
                <c:pt idx="36">
                  <c:v>209.99518169999999</c:v>
                </c:pt>
                <c:pt idx="37">
                  <c:v>204.0790159</c:v>
                </c:pt>
                <c:pt idx="38">
                  <c:v>129.61607140000001</c:v>
                </c:pt>
              </c:numCache>
            </c:numRef>
          </c:val>
          <c:smooth val="0"/>
          <c:extLst>
            <c:ext xmlns:c16="http://schemas.microsoft.com/office/drawing/2014/chart" uri="{C3380CC4-5D6E-409C-BE32-E72D297353CC}">
              <c16:uniqueId val="{00000006-6075-46A8-8F10-66BBD8FDAA13}"/>
            </c:ext>
          </c:extLst>
        </c:ser>
        <c:ser>
          <c:idx val="7"/>
          <c:order val="4"/>
          <c:tx>
            <c:strRef>
              <c:f>Sheet1!$F$1</c:f>
              <c:strCache>
                <c:ptCount val="1"/>
                <c:pt idx="0">
                  <c:v>LAB 2</c:v>
                </c:pt>
              </c:strCache>
            </c:strRef>
          </c:tx>
          <c:spPr>
            <a:ln w="28575" cap="rnd">
              <a:solidFill>
                <a:schemeClr val="accent2">
                  <a:lumMod val="60000"/>
                </a:schemeClr>
              </a:solidFill>
              <a:round/>
            </a:ln>
            <a:effectLst/>
          </c:spPr>
          <c:marker>
            <c:symbol val="none"/>
          </c:marker>
          <c:errBars>
            <c:errDir val="y"/>
            <c:errBarType val="both"/>
            <c:errValType val="fixedVal"/>
            <c:noEndCap val="1"/>
            <c:val val="1000"/>
            <c:spPr>
              <a:noFill/>
              <a:ln w="9525" cap="flat" cmpd="sng" algn="ctr">
                <a:solidFill>
                  <a:schemeClr val="tx1"/>
                </a:solidFill>
                <a:prstDash val="dash"/>
                <a:round/>
              </a:ln>
              <a:effectLst/>
            </c:spPr>
          </c:errBars>
          <c:cat>
            <c:numRef>
              <c:f>Sheet1!$A$2:$A$40</c:f>
              <c:numCache>
                <c:formatCode>General</c:formatCode>
                <c:ptCount val="39"/>
                <c:pt idx="1">
                  <c:v>-12</c:v>
                </c:pt>
                <c:pt idx="7">
                  <c:v>-6</c:v>
                </c:pt>
                <c:pt idx="13">
                  <c:v>0</c:v>
                </c:pt>
                <c:pt idx="19">
                  <c:v>6</c:v>
                </c:pt>
                <c:pt idx="25">
                  <c:v>12</c:v>
                </c:pt>
                <c:pt idx="31">
                  <c:v>18</c:v>
                </c:pt>
                <c:pt idx="37">
                  <c:v>24</c:v>
                </c:pt>
              </c:numCache>
            </c:numRef>
          </c:cat>
          <c:val>
            <c:numRef>
              <c:f>Sheet1!$F$2:$F$40</c:f>
              <c:numCache>
                <c:formatCode>General</c:formatCode>
                <c:ptCount val="39"/>
                <c:pt idx="26" formatCode="&quot;$&quot;#,##0">
                  <c:v>500</c:v>
                </c:pt>
              </c:numCache>
            </c:numRef>
          </c:val>
          <c:smooth val="0"/>
          <c:extLst>
            <c:ext xmlns:c16="http://schemas.microsoft.com/office/drawing/2014/chart" uri="{C3380CC4-5D6E-409C-BE32-E72D297353CC}">
              <c16:uniqueId val="{00000007-6075-46A8-8F10-66BBD8FDAA13}"/>
            </c:ext>
          </c:extLst>
        </c:ser>
        <c:dLbls>
          <c:showLegendKey val="0"/>
          <c:showVal val="0"/>
          <c:showCatName val="0"/>
          <c:showSerName val="0"/>
          <c:showPercent val="0"/>
          <c:showBubbleSize val="0"/>
        </c:dLbls>
        <c:marker val="1"/>
        <c:smooth val="0"/>
        <c:axId val="1554544735"/>
        <c:axId val="1554526431"/>
      </c:lineChart>
      <c:catAx>
        <c:axId val="1554544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solidFill>
                      <a:sysClr val="windowText" lastClr="000000"/>
                    </a:solidFill>
                  </a:rPr>
                  <a:t>Months before/after</a:t>
                </a:r>
                <a:r>
                  <a:rPr lang="en-AU" sz="900" baseline="0">
                    <a:solidFill>
                      <a:sysClr val="windowText" lastClr="000000"/>
                    </a:solidFill>
                  </a:rPr>
                  <a:t> intervention</a:t>
                </a:r>
                <a:endParaRPr lang="en-AU" sz="9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54526431"/>
        <c:crosses val="autoZero"/>
        <c:auto val="1"/>
        <c:lblAlgn val="ctr"/>
        <c:lblOffset val="100"/>
        <c:tickMarkSkip val="3"/>
        <c:noMultiLvlLbl val="0"/>
      </c:catAx>
      <c:valAx>
        <c:axId val="1554526431"/>
        <c:scaling>
          <c:orientation val="minMax"/>
          <c:max val="14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solidFill>
                      <a:sysClr val="windowText" lastClr="000000"/>
                    </a:solidFill>
                  </a:rPr>
                  <a:t>Average expenditure per participant per month</a:t>
                </a:r>
              </a:p>
            </c:rich>
          </c:tx>
          <c:layout>
            <c:manualLayout>
              <c:xMode val="edge"/>
              <c:yMode val="edge"/>
              <c:x val="0"/>
              <c:y val="0.191031573007771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54544735"/>
        <c:crosses val="autoZero"/>
        <c:crossBetween val="between"/>
      </c:valAx>
      <c:spPr>
        <a:noFill/>
        <a:ln>
          <a:noFill/>
        </a:ln>
        <a:effectLst/>
      </c:spPr>
    </c:plotArea>
    <c:legend>
      <c:legendPos val="b"/>
      <c:legendEntry>
        <c:idx val="2"/>
        <c:delete val="1"/>
      </c:legendEntry>
      <c:legendEntry>
        <c:idx val="4"/>
        <c:delete val="1"/>
      </c:legendEntry>
      <c:layout>
        <c:manualLayout>
          <c:xMode val="edge"/>
          <c:yMode val="edge"/>
          <c:x val="0.19202446048410615"/>
          <c:y val="0.93827515453076515"/>
          <c:w val="0.664433143773695"/>
          <c:h val="4.835697247941727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40562117235346"/>
          <c:y val="4.3650793650793648E-2"/>
          <c:w val="0.84511975065616796"/>
          <c:h val="0.78202568428946384"/>
        </c:manualLayout>
      </c:layout>
      <c:lineChart>
        <c:grouping val="standard"/>
        <c:varyColors val="0"/>
        <c:ser>
          <c:idx val="3"/>
          <c:order val="0"/>
          <c:tx>
            <c:v>ACT</c:v>
          </c:tx>
          <c:spPr>
            <a:ln w="28575" cap="rnd">
              <a:solidFill>
                <a:schemeClr val="bg2"/>
              </a:solidFill>
              <a:round/>
            </a:ln>
            <a:effectLst/>
          </c:spPr>
          <c:marker>
            <c:symbol val="circle"/>
            <c:size val="5"/>
            <c:spPr>
              <a:solidFill>
                <a:schemeClr val="bg2"/>
              </a:solidFill>
              <a:ln w="9525">
                <a:noFill/>
              </a:ln>
              <a:effectLst/>
            </c:spPr>
          </c:marker>
          <c:cat>
            <c:numRef>
              <c:f>Sheet1!$A$2:$A$44</c:f>
              <c:numCache>
                <c:formatCode>General</c:formatCode>
                <c:ptCount val="43"/>
                <c:pt idx="2">
                  <c:v>-15</c:v>
                </c:pt>
                <c:pt idx="5">
                  <c:v>-12</c:v>
                </c:pt>
                <c:pt idx="8">
                  <c:v>-9</c:v>
                </c:pt>
                <c:pt idx="11">
                  <c:v>-6</c:v>
                </c:pt>
                <c:pt idx="14">
                  <c:v>-3</c:v>
                </c:pt>
                <c:pt idx="17">
                  <c:v>0</c:v>
                </c:pt>
                <c:pt idx="20">
                  <c:v>3</c:v>
                </c:pt>
                <c:pt idx="23">
                  <c:v>6</c:v>
                </c:pt>
                <c:pt idx="26">
                  <c:v>9</c:v>
                </c:pt>
                <c:pt idx="29">
                  <c:v>12</c:v>
                </c:pt>
                <c:pt idx="32">
                  <c:v>15</c:v>
                </c:pt>
                <c:pt idx="35">
                  <c:v>18</c:v>
                </c:pt>
                <c:pt idx="38">
                  <c:v>21</c:v>
                </c:pt>
                <c:pt idx="41">
                  <c:v>24</c:v>
                </c:pt>
              </c:numCache>
            </c:numRef>
          </c:cat>
          <c:val>
            <c:numRef>
              <c:f>Sheet1!$B$2:$B$44</c:f>
              <c:numCache>
                <c:formatCode>"$"#,##0_);[Red]\("$"#,##0\)</c:formatCode>
                <c:ptCount val="43"/>
                <c:pt idx="0">
                  <c:v>400</c:v>
                </c:pt>
                <c:pt idx="1">
                  <c:v>444</c:v>
                </c:pt>
                <c:pt idx="2">
                  <c:v>453</c:v>
                </c:pt>
                <c:pt idx="3">
                  <c:v>517</c:v>
                </c:pt>
                <c:pt idx="4">
                  <c:v>469</c:v>
                </c:pt>
                <c:pt idx="5">
                  <c:v>509</c:v>
                </c:pt>
                <c:pt idx="6">
                  <c:v>396</c:v>
                </c:pt>
                <c:pt idx="7">
                  <c:v>484</c:v>
                </c:pt>
                <c:pt idx="8">
                  <c:v>528</c:v>
                </c:pt>
                <c:pt idx="9">
                  <c:v>637</c:v>
                </c:pt>
                <c:pt idx="10">
                  <c:v>524</c:v>
                </c:pt>
                <c:pt idx="11">
                  <c:v>456</c:v>
                </c:pt>
                <c:pt idx="12">
                  <c:v>470</c:v>
                </c:pt>
                <c:pt idx="13">
                  <c:v>467</c:v>
                </c:pt>
                <c:pt idx="14">
                  <c:v>458</c:v>
                </c:pt>
                <c:pt idx="15">
                  <c:v>462</c:v>
                </c:pt>
                <c:pt idx="16">
                  <c:v>457</c:v>
                </c:pt>
                <c:pt idx="17">
                  <c:v>504</c:v>
                </c:pt>
                <c:pt idx="18">
                  <c:v>498</c:v>
                </c:pt>
                <c:pt idx="19">
                  <c:v>524</c:v>
                </c:pt>
                <c:pt idx="20">
                  <c:v>525</c:v>
                </c:pt>
                <c:pt idx="21">
                  <c:v>502</c:v>
                </c:pt>
                <c:pt idx="22">
                  <c:v>457</c:v>
                </c:pt>
                <c:pt idx="23">
                  <c:v>493</c:v>
                </c:pt>
                <c:pt idx="24">
                  <c:v>480</c:v>
                </c:pt>
                <c:pt idx="25">
                  <c:v>466</c:v>
                </c:pt>
                <c:pt idx="26">
                  <c:v>530</c:v>
                </c:pt>
                <c:pt idx="27">
                  <c:v>462</c:v>
                </c:pt>
                <c:pt idx="28">
                  <c:v>501</c:v>
                </c:pt>
                <c:pt idx="29">
                  <c:v>491</c:v>
                </c:pt>
                <c:pt idx="30">
                  <c:v>466</c:v>
                </c:pt>
                <c:pt idx="31">
                  <c:v>439</c:v>
                </c:pt>
                <c:pt idx="32">
                  <c:v>509</c:v>
                </c:pt>
                <c:pt idx="33">
                  <c:v>383</c:v>
                </c:pt>
                <c:pt idx="34">
                  <c:v>410</c:v>
                </c:pt>
                <c:pt idx="35">
                  <c:v>413</c:v>
                </c:pt>
                <c:pt idx="36">
                  <c:v>409</c:v>
                </c:pt>
                <c:pt idx="37">
                  <c:v>395</c:v>
                </c:pt>
                <c:pt idx="38">
                  <c:v>447</c:v>
                </c:pt>
                <c:pt idx="39">
                  <c:v>454</c:v>
                </c:pt>
                <c:pt idx="40">
                  <c:v>402</c:v>
                </c:pt>
                <c:pt idx="41">
                  <c:v>459</c:v>
                </c:pt>
                <c:pt idx="42">
                  <c:v>405</c:v>
                </c:pt>
              </c:numCache>
            </c:numRef>
          </c:val>
          <c:smooth val="0"/>
          <c:extLst>
            <c:ext xmlns:c16="http://schemas.microsoft.com/office/drawing/2014/chart" uri="{C3380CC4-5D6E-409C-BE32-E72D297353CC}">
              <c16:uniqueId val="{00000000-1027-4766-A085-28141FC33CE8}"/>
            </c:ext>
          </c:extLst>
        </c:ser>
        <c:ser>
          <c:idx val="4"/>
          <c:order val="1"/>
          <c:tx>
            <c:v>ACT DC participants</c:v>
          </c:tx>
          <c:spPr>
            <a:ln w="28575" cap="rnd">
              <a:solidFill>
                <a:schemeClr val="tx2"/>
              </a:solidFill>
              <a:round/>
            </a:ln>
            <a:effectLst/>
          </c:spPr>
          <c:marker>
            <c:symbol val="circle"/>
            <c:size val="5"/>
            <c:spPr>
              <a:solidFill>
                <a:schemeClr val="tx2"/>
              </a:solidFill>
              <a:ln w="9525">
                <a:noFill/>
              </a:ln>
              <a:effectLst/>
            </c:spPr>
          </c:marker>
          <c:cat>
            <c:numRef>
              <c:f>Sheet1!$A$2:$A$44</c:f>
              <c:numCache>
                <c:formatCode>General</c:formatCode>
                <c:ptCount val="43"/>
                <c:pt idx="2">
                  <c:v>-15</c:v>
                </c:pt>
                <c:pt idx="5">
                  <c:v>-12</c:v>
                </c:pt>
                <c:pt idx="8">
                  <c:v>-9</c:v>
                </c:pt>
                <c:pt idx="11">
                  <c:v>-6</c:v>
                </c:pt>
                <c:pt idx="14">
                  <c:v>-3</c:v>
                </c:pt>
                <c:pt idx="17">
                  <c:v>0</c:v>
                </c:pt>
                <c:pt idx="20">
                  <c:v>3</c:v>
                </c:pt>
                <c:pt idx="23">
                  <c:v>6</c:v>
                </c:pt>
                <c:pt idx="26">
                  <c:v>9</c:v>
                </c:pt>
                <c:pt idx="29">
                  <c:v>12</c:v>
                </c:pt>
                <c:pt idx="32">
                  <c:v>15</c:v>
                </c:pt>
                <c:pt idx="35">
                  <c:v>18</c:v>
                </c:pt>
                <c:pt idx="38">
                  <c:v>21</c:v>
                </c:pt>
                <c:pt idx="41">
                  <c:v>24</c:v>
                </c:pt>
              </c:numCache>
            </c:numRef>
          </c:cat>
          <c:val>
            <c:numRef>
              <c:f>Sheet1!$C$2:$C$44</c:f>
              <c:numCache>
                <c:formatCode>"$"#,##0_);[Red]\("$"#,##0\)</c:formatCode>
                <c:ptCount val="43"/>
                <c:pt idx="0">
                  <c:v>258</c:v>
                </c:pt>
                <c:pt idx="1">
                  <c:v>977</c:v>
                </c:pt>
                <c:pt idx="2">
                  <c:v>249</c:v>
                </c:pt>
                <c:pt idx="3">
                  <c:v>316</c:v>
                </c:pt>
                <c:pt idx="4">
                  <c:v>367</c:v>
                </c:pt>
                <c:pt idx="5">
                  <c:v>208</c:v>
                </c:pt>
                <c:pt idx="6">
                  <c:v>344</c:v>
                </c:pt>
                <c:pt idx="7">
                  <c:v>774</c:v>
                </c:pt>
                <c:pt idx="8">
                  <c:v>983</c:v>
                </c:pt>
                <c:pt idx="9">
                  <c:v>119</c:v>
                </c:pt>
                <c:pt idx="10">
                  <c:v>220</c:v>
                </c:pt>
                <c:pt idx="11">
                  <c:v>933</c:v>
                </c:pt>
                <c:pt idx="12">
                  <c:v>623</c:v>
                </c:pt>
                <c:pt idx="13">
                  <c:v>353</c:v>
                </c:pt>
                <c:pt idx="14">
                  <c:v>0</c:v>
                </c:pt>
                <c:pt idx="15">
                  <c:v>0</c:v>
                </c:pt>
                <c:pt idx="16">
                  <c:v>564</c:v>
                </c:pt>
                <c:pt idx="17">
                  <c:v>253</c:v>
                </c:pt>
                <c:pt idx="18">
                  <c:v>2116</c:v>
                </c:pt>
                <c:pt idx="19">
                  <c:v>841</c:v>
                </c:pt>
                <c:pt idx="20">
                  <c:v>523</c:v>
                </c:pt>
                <c:pt idx="21">
                  <c:v>904</c:v>
                </c:pt>
                <c:pt idx="22">
                  <c:v>291</c:v>
                </c:pt>
                <c:pt idx="23">
                  <c:v>0</c:v>
                </c:pt>
                <c:pt idx="24">
                  <c:v>408</c:v>
                </c:pt>
                <c:pt idx="25">
                  <c:v>421</c:v>
                </c:pt>
                <c:pt idx="26">
                  <c:v>793</c:v>
                </c:pt>
                <c:pt idx="27">
                  <c:v>380</c:v>
                </c:pt>
                <c:pt idx="28">
                  <c:v>294</c:v>
                </c:pt>
                <c:pt idx="29">
                  <c:v>365</c:v>
                </c:pt>
                <c:pt idx="30">
                  <c:v>333</c:v>
                </c:pt>
                <c:pt idx="31">
                  <c:v>271</c:v>
                </c:pt>
                <c:pt idx="32">
                  <c:v>242</c:v>
                </c:pt>
                <c:pt idx="33">
                  <c:v>301</c:v>
                </c:pt>
                <c:pt idx="34">
                  <c:v>359</c:v>
                </c:pt>
                <c:pt idx="35">
                  <c:v>580</c:v>
                </c:pt>
                <c:pt idx="36">
                  <c:v>187</c:v>
                </c:pt>
                <c:pt idx="37">
                  <c:v>517</c:v>
                </c:pt>
                <c:pt idx="38">
                  <c:v>303</c:v>
                </c:pt>
                <c:pt idx="39">
                  <c:v>264</c:v>
                </c:pt>
                <c:pt idx="40">
                  <c:v>614</c:v>
                </c:pt>
                <c:pt idx="41">
                  <c:v>328</c:v>
                </c:pt>
                <c:pt idx="42">
                  <c:v>578</c:v>
                </c:pt>
              </c:numCache>
            </c:numRef>
          </c:val>
          <c:smooth val="0"/>
          <c:extLst>
            <c:ext xmlns:c16="http://schemas.microsoft.com/office/drawing/2014/chart" uri="{C3380CC4-5D6E-409C-BE32-E72D297353CC}">
              <c16:uniqueId val="{00000001-1027-4766-A085-28141FC33CE8}"/>
            </c:ext>
          </c:extLst>
        </c:ser>
        <c:ser>
          <c:idx val="5"/>
          <c:order val="2"/>
          <c:tx>
            <c:strRef>
              <c:f>Sheet1!$D$1</c:f>
              <c:strCache>
                <c:ptCount val="1"/>
                <c:pt idx="0">
                  <c:v>LAB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Pt>
            <c:idx val="13"/>
            <c:marker>
              <c:symbol val="none"/>
            </c:marker>
            <c:bubble3D val="0"/>
            <c:extLst>
              <c:ext xmlns:c16="http://schemas.microsoft.com/office/drawing/2014/chart" uri="{C3380CC4-5D6E-409C-BE32-E72D297353CC}">
                <c16:uniqueId val="{00000002-1027-4766-A085-28141FC33CE8}"/>
              </c:ext>
            </c:extLst>
          </c:dPt>
          <c:errBars>
            <c:errDir val="y"/>
            <c:errBarType val="both"/>
            <c:errValType val="fixedVal"/>
            <c:noEndCap val="1"/>
            <c:val val="2000"/>
            <c:spPr>
              <a:noFill/>
              <a:ln w="9525" cap="flat" cmpd="sng" algn="ctr">
                <a:solidFill>
                  <a:schemeClr val="tx1"/>
                </a:solidFill>
                <a:prstDash val="dash"/>
                <a:round/>
              </a:ln>
              <a:effectLst/>
            </c:spPr>
          </c:errBars>
          <c:cat>
            <c:numRef>
              <c:f>Sheet1!$A$2:$A$44</c:f>
              <c:numCache>
                <c:formatCode>General</c:formatCode>
                <c:ptCount val="43"/>
                <c:pt idx="2">
                  <c:v>-15</c:v>
                </c:pt>
                <c:pt idx="5">
                  <c:v>-12</c:v>
                </c:pt>
                <c:pt idx="8">
                  <c:v>-9</c:v>
                </c:pt>
                <c:pt idx="11">
                  <c:v>-6</c:v>
                </c:pt>
                <c:pt idx="14">
                  <c:v>-3</c:v>
                </c:pt>
                <c:pt idx="17">
                  <c:v>0</c:v>
                </c:pt>
                <c:pt idx="20">
                  <c:v>3</c:v>
                </c:pt>
                <c:pt idx="23">
                  <c:v>6</c:v>
                </c:pt>
                <c:pt idx="26">
                  <c:v>9</c:v>
                </c:pt>
                <c:pt idx="29">
                  <c:v>12</c:v>
                </c:pt>
                <c:pt idx="32">
                  <c:v>15</c:v>
                </c:pt>
                <c:pt idx="35">
                  <c:v>18</c:v>
                </c:pt>
                <c:pt idx="38">
                  <c:v>21</c:v>
                </c:pt>
                <c:pt idx="41">
                  <c:v>24</c:v>
                </c:pt>
              </c:numCache>
            </c:numRef>
          </c:cat>
          <c:val>
            <c:numRef>
              <c:f>Sheet1!$D$2:$D$40</c:f>
              <c:numCache>
                <c:formatCode>General</c:formatCode>
                <c:ptCount val="39"/>
                <c:pt idx="17" formatCode="&quot;$&quot;#,##0_);[Red]\(&quot;$&quot;#,##0\)">
                  <c:v>500</c:v>
                </c:pt>
              </c:numCache>
            </c:numRef>
          </c:val>
          <c:smooth val="0"/>
          <c:extLst>
            <c:ext xmlns:c16="http://schemas.microsoft.com/office/drawing/2014/chart" uri="{C3380CC4-5D6E-409C-BE32-E72D297353CC}">
              <c16:uniqueId val="{00000003-1027-4766-A085-28141FC33CE8}"/>
            </c:ext>
          </c:extLst>
        </c:ser>
        <c:ser>
          <c:idx val="6"/>
          <c:order val="3"/>
          <c:tx>
            <c:v>DC opt out participants</c:v>
          </c:tx>
          <c:spPr>
            <a:ln w="28575" cap="rnd">
              <a:solidFill>
                <a:schemeClr val="accent4"/>
              </a:solidFill>
              <a:round/>
            </a:ln>
            <a:effectLst/>
          </c:spPr>
          <c:marker>
            <c:symbol val="circle"/>
            <c:size val="5"/>
            <c:spPr>
              <a:solidFill>
                <a:schemeClr val="accent4"/>
              </a:solidFill>
              <a:ln w="9525">
                <a:noFill/>
              </a:ln>
              <a:effectLst/>
            </c:spPr>
          </c:marker>
          <c:cat>
            <c:numRef>
              <c:f>Sheet1!$A$2:$A$44</c:f>
              <c:numCache>
                <c:formatCode>General</c:formatCode>
                <c:ptCount val="43"/>
                <c:pt idx="2">
                  <c:v>-15</c:v>
                </c:pt>
                <c:pt idx="5">
                  <c:v>-12</c:v>
                </c:pt>
                <c:pt idx="8">
                  <c:v>-9</c:v>
                </c:pt>
                <c:pt idx="11">
                  <c:v>-6</c:v>
                </c:pt>
                <c:pt idx="14">
                  <c:v>-3</c:v>
                </c:pt>
                <c:pt idx="17">
                  <c:v>0</c:v>
                </c:pt>
                <c:pt idx="20">
                  <c:v>3</c:v>
                </c:pt>
                <c:pt idx="23">
                  <c:v>6</c:v>
                </c:pt>
                <c:pt idx="26">
                  <c:v>9</c:v>
                </c:pt>
                <c:pt idx="29">
                  <c:v>12</c:v>
                </c:pt>
                <c:pt idx="32">
                  <c:v>15</c:v>
                </c:pt>
                <c:pt idx="35">
                  <c:v>18</c:v>
                </c:pt>
                <c:pt idx="38">
                  <c:v>21</c:v>
                </c:pt>
                <c:pt idx="41">
                  <c:v>24</c:v>
                </c:pt>
              </c:numCache>
            </c:numRef>
          </c:cat>
          <c:val>
            <c:numRef>
              <c:f>Sheet1!$E$2:$E$40</c:f>
              <c:numCache>
                <c:formatCode>"$"#,##0_);[Red]\("$"#,##0\)</c:formatCode>
                <c:ptCount val="39"/>
                <c:pt idx="0">
                  <c:v>246</c:v>
                </c:pt>
                <c:pt idx="1">
                  <c:v>1017</c:v>
                </c:pt>
                <c:pt idx="2">
                  <c:v>269</c:v>
                </c:pt>
                <c:pt idx="3">
                  <c:v>274</c:v>
                </c:pt>
                <c:pt idx="4">
                  <c:v>364</c:v>
                </c:pt>
                <c:pt idx="5">
                  <c:v>250</c:v>
                </c:pt>
                <c:pt idx="6">
                  <c:v>201</c:v>
                </c:pt>
                <c:pt idx="7">
                  <c:v>840</c:v>
                </c:pt>
                <c:pt idx="8">
                  <c:v>0</c:v>
                </c:pt>
                <c:pt idx="9">
                  <c:v>119</c:v>
                </c:pt>
                <c:pt idx="10">
                  <c:v>119</c:v>
                </c:pt>
                <c:pt idx="11">
                  <c:v>1282</c:v>
                </c:pt>
                <c:pt idx="12">
                  <c:v>492</c:v>
                </c:pt>
                <c:pt idx="13">
                  <c:v>101</c:v>
                </c:pt>
                <c:pt idx="14">
                  <c:v>0</c:v>
                </c:pt>
                <c:pt idx="15">
                  <c:v>0</c:v>
                </c:pt>
                <c:pt idx="16">
                  <c:v>643</c:v>
                </c:pt>
                <c:pt idx="17">
                  <c:v>153</c:v>
                </c:pt>
                <c:pt idx="18">
                  <c:v>2116</c:v>
                </c:pt>
                <c:pt idx="19">
                  <c:v>1501</c:v>
                </c:pt>
                <c:pt idx="20">
                  <c:v>0</c:v>
                </c:pt>
                <c:pt idx="21">
                  <c:v>0</c:v>
                </c:pt>
                <c:pt idx="22">
                  <c:v>0</c:v>
                </c:pt>
                <c:pt idx="23">
                  <c:v>0</c:v>
                </c:pt>
                <c:pt idx="24">
                  <c:v>429</c:v>
                </c:pt>
                <c:pt idx="25">
                  <c:v>357</c:v>
                </c:pt>
                <c:pt idx="26">
                  <c:v>988</c:v>
                </c:pt>
                <c:pt idx="27">
                  <c:v>380</c:v>
                </c:pt>
                <c:pt idx="28">
                  <c:v>294</c:v>
                </c:pt>
                <c:pt idx="29">
                  <c:v>365</c:v>
                </c:pt>
                <c:pt idx="30">
                  <c:v>333</c:v>
                </c:pt>
                <c:pt idx="31">
                  <c:v>271</c:v>
                </c:pt>
                <c:pt idx="32">
                  <c:v>242</c:v>
                </c:pt>
                <c:pt idx="33">
                  <c:v>301</c:v>
                </c:pt>
                <c:pt idx="34">
                  <c:v>359</c:v>
                </c:pt>
                <c:pt idx="35">
                  <c:v>580</c:v>
                </c:pt>
                <c:pt idx="36">
                  <c:v>187</c:v>
                </c:pt>
                <c:pt idx="37">
                  <c:v>517</c:v>
                </c:pt>
                <c:pt idx="38">
                  <c:v>303</c:v>
                </c:pt>
              </c:numCache>
            </c:numRef>
          </c:val>
          <c:smooth val="0"/>
          <c:extLst>
            <c:ext xmlns:c16="http://schemas.microsoft.com/office/drawing/2014/chart" uri="{C3380CC4-5D6E-409C-BE32-E72D297353CC}">
              <c16:uniqueId val="{00000004-1027-4766-A085-28141FC33CE8}"/>
            </c:ext>
          </c:extLst>
        </c:ser>
        <c:ser>
          <c:idx val="7"/>
          <c:order val="4"/>
          <c:tx>
            <c:strRef>
              <c:f>Sheet1!$F$1</c:f>
              <c:strCache>
                <c:ptCount val="1"/>
                <c:pt idx="0">
                  <c:v>LAB 2</c:v>
                </c:pt>
              </c:strCache>
            </c:strRef>
          </c:tx>
          <c:spPr>
            <a:ln w="28575" cap="rnd">
              <a:solidFill>
                <a:schemeClr val="accent2">
                  <a:lumMod val="60000"/>
                </a:schemeClr>
              </a:solidFill>
              <a:round/>
            </a:ln>
            <a:effectLst/>
          </c:spPr>
          <c:marker>
            <c:symbol val="none"/>
          </c:marker>
          <c:errBars>
            <c:errDir val="y"/>
            <c:errBarType val="both"/>
            <c:errValType val="fixedVal"/>
            <c:noEndCap val="1"/>
            <c:val val="2000"/>
            <c:spPr>
              <a:noFill/>
              <a:ln w="9525" cap="flat" cmpd="sng" algn="ctr">
                <a:solidFill>
                  <a:schemeClr val="tx1"/>
                </a:solidFill>
                <a:prstDash val="dash"/>
                <a:round/>
              </a:ln>
              <a:effectLst/>
            </c:spPr>
          </c:errBars>
          <c:cat>
            <c:numRef>
              <c:f>Sheet1!$A$2:$A$44</c:f>
              <c:numCache>
                <c:formatCode>General</c:formatCode>
                <c:ptCount val="43"/>
                <c:pt idx="2">
                  <c:v>-15</c:v>
                </c:pt>
                <c:pt idx="5">
                  <c:v>-12</c:v>
                </c:pt>
                <c:pt idx="8">
                  <c:v>-9</c:v>
                </c:pt>
                <c:pt idx="11">
                  <c:v>-6</c:v>
                </c:pt>
                <c:pt idx="14">
                  <c:v>-3</c:v>
                </c:pt>
                <c:pt idx="17">
                  <c:v>0</c:v>
                </c:pt>
                <c:pt idx="20">
                  <c:v>3</c:v>
                </c:pt>
                <c:pt idx="23">
                  <c:v>6</c:v>
                </c:pt>
                <c:pt idx="26">
                  <c:v>9</c:v>
                </c:pt>
                <c:pt idx="29">
                  <c:v>12</c:v>
                </c:pt>
                <c:pt idx="32">
                  <c:v>15</c:v>
                </c:pt>
                <c:pt idx="35">
                  <c:v>18</c:v>
                </c:pt>
                <c:pt idx="38">
                  <c:v>21</c:v>
                </c:pt>
                <c:pt idx="41">
                  <c:v>24</c:v>
                </c:pt>
              </c:numCache>
            </c:numRef>
          </c:cat>
          <c:val>
            <c:numRef>
              <c:f>Sheet1!$F$2:$F$40</c:f>
              <c:numCache>
                <c:formatCode>General</c:formatCode>
                <c:ptCount val="39"/>
                <c:pt idx="26" formatCode="&quot;$&quot;#,##0">
                  <c:v>500</c:v>
                </c:pt>
              </c:numCache>
            </c:numRef>
          </c:val>
          <c:smooth val="0"/>
          <c:extLst>
            <c:ext xmlns:c16="http://schemas.microsoft.com/office/drawing/2014/chart" uri="{C3380CC4-5D6E-409C-BE32-E72D297353CC}">
              <c16:uniqueId val="{00000005-1027-4766-A085-28141FC33CE8}"/>
            </c:ext>
          </c:extLst>
        </c:ser>
        <c:dLbls>
          <c:showLegendKey val="0"/>
          <c:showVal val="0"/>
          <c:showCatName val="0"/>
          <c:showSerName val="0"/>
          <c:showPercent val="0"/>
          <c:showBubbleSize val="0"/>
        </c:dLbls>
        <c:marker val="1"/>
        <c:smooth val="0"/>
        <c:axId val="1554544735"/>
        <c:axId val="1554526431"/>
      </c:lineChart>
      <c:catAx>
        <c:axId val="15545447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solidFill>
                      <a:sysClr val="windowText" lastClr="000000"/>
                    </a:solidFill>
                  </a:rPr>
                  <a:t>Months before/after</a:t>
                </a:r>
                <a:r>
                  <a:rPr lang="en-AU" sz="900" baseline="0">
                    <a:solidFill>
                      <a:sysClr val="windowText" lastClr="000000"/>
                    </a:solidFill>
                  </a:rPr>
                  <a:t> intervention</a:t>
                </a:r>
                <a:endParaRPr lang="en-AU" sz="900">
                  <a:solidFill>
                    <a:sysClr val="windowText" lastClr="000000"/>
                  </a:solidFill>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54526431"/>
        <c:crosses val="autoZero"/>
        <c:auto val="1"/>
        <c:lblAlgn val="ctr"/>
        <c:lblOffset val="100"/>
        <c:tickMarkSkip val="3"/>
        <c:noMultiLvlLbl val="0"/>
      </c:catAx>
      <c:valAx>
        <c:axId val="1554526431"/>
        <c:scaling>
          <c:orientation val="minMax"/>
          <c:max val="2500"/>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900">
                    <a:solidFill>
                      <a:sysClr val="windowText" lastClr="000000"/>
                    </a:solidFill>
                  </a:rPr>
                  <a:t>Average expenditure per participant per month</a:t>
                </a:r>
              </a:p>
            </c:rich>
          </c:tx>
          <c:layout>
            <c:manualLayout>
              <c:xMode val="edge"/>
              <c:yMode val="edge"/>
              <c:x val="0"/>
              <c:y val="0.191031573007771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54544735"/>
        <c:crosses val="autoZero"/>
        <c:crossBetween val="midCat"/>
      </c:valAx>
      <c:spPr>
        <a:noFill/>
        <a:ln>
          <a:noFill/>
        </a:ln>
        <a:effectLst/>
      </c:spPr>
    </c:plotArea>
    <c:legend>
      <c:legendPos val="b"/>
      <c:legendEntry>
        <c:idx val="2"/>
        <c:delete val="1"/>
      </c:legendEntry>
      <c:legendEntry>
        <c:idx val="4"/>
        <c:delete val="1"/>
      </c:legendEntry>
      <c:layout>
        <c:manualLayout>
          <c:xMode val="edge"/>
          <c:yMode val="edge"/>
          <c:x val="0.19202446048410615"/>
          <c:y val="0.93827515453076515"/>
          <c:w val="0.664433143773695"/>
          <c:h val="4.8356972479417275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820424555364315"/>
          <c:y val="0"/>
          <c:w val="0.66833615677558389"/>
          <c:h val="0.93213991769547322"/>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53-A099-4353-B4BA-56BF4BC621DE}"/>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54-A099-4353-B4BA-56BF4BC621DE}"/>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55-A099-4353-B4BA-56BF4BC621DE}"/>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56-A099-4353-B4BA-56BF4BC621DE}"/>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57-A099-4353-B4BA-56BF4BC621DE}"/>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58-A099-4353-B4BA-56BF4BC621DE}"/>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59-A099-4353-B4BA-56BF4BC621DE}"/>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5A-A099-4353-B4BA-56BF4BC621DE}"/>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5B-A099-4353-B4BA-56BF4BC621DE}"/>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5C-A099-4353-B4BA-56BF4BC621DE}"/>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5D-A099-4353-B4BA-56BF4BC621DE}"/>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5E-A099-4353-B4BA-56BF4BC621DE}"/>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5F-A099-4353-B4BA-56BF4BC621DE}"/>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60-A099-4353-B4BA-56BF4BC621DE}"/>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61-A099-4353-B4BA-56BF4BC621DE}"/>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62-A099-4353-B4BA-56BF4BC621DE}"/>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63-A099-4353-B4BA-56BF4BC621DE}"/>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64-A099-4353-B4BA-56BF4BC621DE}"/>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65-A099-4353-B4BA-56BF4BC621DE}"/>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66-A099-4353-B4BA-56BF4BC621DE}"/>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67-A099-4353-B4BA-56BF4BC621DE}"/>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68-A099-4353-B4BA-56BF4BC621DE}"/>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69-A099-4353-B4BA-56BF4BC621DE}"/>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6A-A099-4353-B4BA-56BF4BC621DE}"/>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Sheet1!$F$2:$F$40</c:f>
                <c:numCache>
                  <c:formatCode>General</c:formatCode>
                  <c:ptCount val="39"/>
                  <c:pt idx="1">
                    <c:v>3547.90184</c:v>
                  </c:pt>
                  <c:pt idx="3">
                    <c:v>1652.4662000000001</c:v>
                  </c:pt>
                  <c:pt idx="4">
                    <c:v>2750.73848</c:v>
                  </c:pt>
                  <c:pt idx="5">
                    <c:v>21184.503199999999</c:v>
                  </c:pt>
                  <c:pt idx="6">
                    <c:v>948.14215999999999</c:v>
                  </c:pt>
                  <c:pt idx="7">
                    <c:v>2692.7969600000001</c:v>
                  </c:pt>
                  <c:pt idx="8">
                    <c:v>1405.8060800000001</c:v>
                  </c:pt>
                  <c:pt idx="10">
                    <c:v>2957.5733599999999</c:v>
                  </c:pt>
                  <c:pt idx="11">
                    <c:v>7399.2273599999999</c:v>
                  </c:pt>
                  <c:pt idx="12">
                    <c:v>14924.77672</c:v>
                  </c:pt>
                  <c:pt idx="13">
                    <c:v>19137.25576</c:v>
                  </c:pt>
                  <c:pt idx="14">
                    <c:v>6581.1821600000003</c:v>
                  </c:pt>
                  <c:pt idx="15">
                    <c:v>3929.3158799999997</c:v>
                  </c:pt>
                  <c:pt idx="16">
                    <c:v>2943.81808</c:v>
                  </c:pt>
                  <c:pt idx="18">
                    <c:v>2704.56088</c:v>
                  </c:pt>
                  <c:pt idx="19">
                    <c:v>7009.8243599999996</c:v>
                  </c:pt>
                  <c:pt idx="20">
                    <c:v>2493.1298000000002</c:v>
                  </c:pt>
                  <c:pt idx="21">
                    <c:v>4374.0575199999994</c:v>
                  </c:pt>
                  <c:pt idx="22">
                    <c:v>3471.62844</c:v>
                  </c:pt>
                  <c:pt idx="23">
                    <c:v>6028.9325599999993</c:v>
                  </c:pt>
                  <c:pt idx="24">
                    <c:v>8374.1431199999988</c:v>
                  </c:pt>
                  <c:pt idx="25">
                    <c:v>1236.6129999999998</c:v>
                  </c:pt>
                  <c:pt idx="27">
                    <c:v>1574.3739199999998</c:v>
                  </c:pt>
                  <c:pt idx="29">
                    <c:v>4351.5782800000006</c:v>
                  </c:pt>
                  <c:pt idx="30">
                    <c:v>6165.915</c:v>
                  </c:pt>
                  <c:pt idx="31">
                    <c:v>5886.4111600000006</c:v>
                  </c:pt>
                  <c:pt idx="32">
                    <c:v>2488.6629600000001</c:v>
                  </c:pt>
                  <c:pt idx="33">
                    <c:v>3870.5041200000001</c:v>
                  </c:pt>
                  <c:pt idx="34">
                    <c:v>4072.9917199999995</c:v>
                  </c:pt>
                  <c:pt idx="35">
                    <c:v>2417.8344399999996</c:v>
                  </c:pt>
                  <c:pt idx="37">
                    <c:v>12018.908159999999</c:v>
                  </c:pt>
                  <c:pt idx="38">
                    <c:v>10324.296079999998</c:v>
                  </c:pt>
                </c:numCache>
              </c:numRef>
            </c:plus>
            <c:minus>
              <c:numRef>
                <c:f>Sheet1!$F$2:$F$40</c:f>
                <c:numCache>
                  <c:formatCode>General</c:formatCode>
                  <c:ptCount val="39"/>
                  <c:pt idx="1">
                    <c:v>3547.90184</c:v>
                  </c:pt>
                  <c:pt idx="3">
                    <c:v>1652.4662000000001</c:v>
                  </c:pt>
                  <c:pt idx="4">
                    <c:v>2750.73848</c:v>
                  </c:pt>
                  <c:pt idx="5">
                    <c:v>21184.503199999999</c:v>
                  </c:pt>
                  <c:pt idx="6">
                    <c:v>948.14215999999999</c:v>
                  </c:pt>
                  <c:pt idx="7">
                    <c:v>2692.7969600000001</c:v>
                  </c:pt>
                  <c:pt idx="8">
                    <c:v>1405.8060800000001</c:v>
                  </c:pt>
                  <c:pt idx="10">
                    <c:v>2957.5733599999999</c:v>
                  </c:pt>
                  <c:pt idx="11">
                    <c:v>7399.2273599999999</c:v>
                  </c:pt>
                  <c:pt idx="12">
                    <c:v>14924.77672</c:v>
                  </c:pt>
                  <c:pt idx="13">
                    <c:v>19137.25576</c:v>
                  </c:pt>
                  <c:pt idx="14">
                    <c:v>6581.1821600000003</c:v>
                  </c:pt>
                  <c:pt idx="15">
                    <c:v>3929.3158799999997</c:v>
                  </c:pt>
                  <c:pt idx="16">
                    <c:v>2943.81808</c:v>
                  </c:pt>
                  <c:pt idx="18">
                    <c:v>2704.56088</c:v>
                  </c:pt>
                  <c:pt idx="19">
                    <c:v>7009.8243599999996</c:v>
                  </c:pt>
                  <c:pt idx="20">
                    <c:v>2493.1298000000002</c:v>
                  </c:pt>
                  <c:pt idx="21">
                    <c:v>4374.0575199999994</c:v>
                  </c:pt>
                  <c:pt idx="22">
                    <c:v>3471.62844</c:v>
                  </c:pt>
                  <c:pt idx="23">
                    <c:v>6028.9325599999993</c:v>
                  </c:pt>
                  <c:pt idx="24">
                    <c:v>8374.1431199999988</c:v>
                  </c:pt>
                  <c:pt idx="25">
                    <c:v>1236.6129999999998</c:v>
                  </c:pt>
                  <c:pt idx="27">
                    <c:v>1574.3739199999998</c:v>
                  </c:pt>
                  <c:pt idx="29">
                    <c:v>4351.5782800000006</c:v>
                  </c:pt>
                  <c:pt idx="30">
                    <c:v>6165.915</c:v>
                  </c:pt>
                  <c:pt idx="31">
                    <c:v>5886.4111600000006</c:v>
                  </c:pt>
                  <c:pt idx="32">
                    <c:v>2488.6629600000001</c:v>
                  </c:pt>
                  <c:pt idx="33">
                    <c:v>3870.5041200000001</c:v>
                  </c:pt>
                  <c:pt idx="34">
                    <c:v>4072.9917199999995</c:v>
                  </c:pt>
                  <c:pt idx="35">
                    <c:v>2417.8344399999996</c:v>
                  </c:pt>
                  <c:pt idx="37">
                    <c:v>12018.908159999999</c:v>
                  </c:pt>
                  <c:pt idx="38">
                    <c:v>10324.296079999998</c:v>
                  </c:pt>
                </c:numCache>
              </c:numRef>
            </c:minus>
            <c:spPr>
              <a:noFill/>
              <a:ln w="9525" cap="flat" cmpd="sng" algn="ctr">
                <a:solidFill>
                  <a:schemeClr val="tx1">
                    <a:lumMod val="65000"/>
                    <a:lumOff val="35000"/>
                  </a:schemeClr>
                </a:solidFill>
                <a:round/>
              </a:ln>
              <a:effectLst/>
            </c:spPr>
          </c:errBars>
          <c:xVal>
            <c:numRef>
              <c:f>Sheet1!$C$2:$C$40</c:f>
              <c:numCache>
                <c:formatCode>"$"#,##0</c:formatCode>
                <c:ptCount val="39"/>
                <c:pt idx="1">
                  <c:v>2917.0230000000001</c:v>
                </c:pt>
                <c:pt idx="3">
                  <c:v>-1181.3499999999999</c:v>
                </c:pt>
                <c:pt idx="4">
                  <c:v>-1714.34</c:v>
                </c:pt>
                <c:pt idx="5">
                  <c:v>-11371</c:v>
                </c:pt>
                <c:pt idx="6">
                  <c:v>316.15699999999998</c:v>
                </c:pt>
                <c:pt idx="7">
                  <c:v>-3256.69</c:v>
                </c:pt>
                <c:pt idx="8">
                  <c:v>-1688.68</c:v>
                </c:pt>
                <c:pt idx="10">
                  <c:v>5028.7470000000003</c:v>
                </c:pt>
                <c:pt idx="11">
                  <c:v>-2327.64</c:v>
                </c:pt>
                <c:pt idx="12">
                  <c:v>654.84100000000001</c:v>
                </c:pt>
                <c:pt idx="13">
                  <c:v>-508.90699999999998</c:v>
                </c:pt>
                <c:pt idx="14">
                  <c:v>-7502.31</c:v>
                </c:pt>
                <c:pt idx="15">
                  <c:v>-2834.91</c:v>
                </c:pt>
                <c:pt idx="16">
                  <c:v>-2159.6799999999998</c:v>
                </c:pt>
                <c:pt idx="18">
                  <c:v>5593.89</c:v>
                </c:pt>
                <c:pt idx="19">
                  <c:v>-4381.12</c:v>
                </c:pt>
                <c:pt idx="20">
                  <c:v>396.00299999999999</c:v>
                </c:pt>
                <c:pt idx="21">
                  <c:v>-1693.84</c:v>
                </c:pt>
                <c:pt idx="22">
                  <c:v>-3327.84</c:v>
                </c:pt>
                <c:pt idx="23">
                  <c:v>-6613.81</c:v>
                </c:pt>
                <c:pt idx="24">
                  <c:v>6955.9849999999997</c:v>
                </c:pt>
                <c:pt idx="25">
                  <c:v>129.34100000000001</c:v>
                </c:pt>
                <c:pt idx="27">
                  <c:v>676.55600000000004</c:v>
                </c:pt>
                <c:pt idx="29">
                  <c:v>1304.7539999999999</c:v>
                </c:pt>
                <c:pt idx="30">
                  <c:v>-423.66</c:v>
                </c:pt>
                <c:pt idx="31">
                  <c:v>-9031.7900000000009</c:v>
                </c:pt>
                <c:pt idx="32">
                  <c:v>181.73</c:v>
                </c:pt>
                <c:pt idx="33">
                  <c:v>1473.2139999999999</c:v>
                </c:pt>
                <c:pt idx="34">
                  <c:v>-2033.01</c:v>
                </c:pt>
                <c:pt idx="35">
                  <c:v>-2586.1799999999998</c:v>
                </c:pt>
                <c:pt idx="37">
                  <c:v>-7907.34</c:v>
                </c:pt>
                <c:pt idx="38">
                  <c:v>1363.087</c:v>
                </c:pt>
              </c:numCache>
            </c:numRef>
          </c:xVal>
          <c:yVal>
            <c:numRef>
              <c:f>Sheet1!$G$2:$G$40</c:f>
              <c:numCache>
                <c:formatCode>General</c:formatCode>
                <c:ptCount val="39"/>
                <c:pt idx="0">
                  <c:v>39</c:v>
                </c:pt>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6="http://schemas.microsoft.com/office/drawing/2014/chart" uri="{C3380CC4-5D6E-409C-BE32-E72D297353CC}">
              <c16:uniqueId val="{00000005-4672-410A-8469-EA555558619A}"/>
            </c:ext>
          </c:extLst>
        </c:ser>
        <c:ser>
          <c:idx val="0"/>
          <c:order val="1"/>
          <c:tx>
            <c:v>labels</c:v>
          </c:tx>
          <c:spPr>
            <a:ln w="25400" cap="rnd">
              <a:noFill/>
              <a:round/>
            </a:ln>
            <a:effectLst/>
          </c:spPr>
          <c:marker>
            <c:symbol val="none"/>
          </c:marker>
          <c:dLbls>
            <c:dLbl>
              <c:idx val="0"/>
              <c:tx>
                <c:rich>
                  <a:bodyPr/>
                  <a:lstStyle/>
                  <a:p>
                    <a:fld id="{EC3B7A6B-2B5F-486F-8B41-D4F9A5DEE2E9}" type="CELLRANGE">
                      <a:rPr lang="en-US"/>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A099-4353-B4BA-56BF4BC621DE}"/>
                </c:ext>
              </c:extLst>
            </c:dLbl>
            <c:dLbl>
              <c:idx val="1"/>
              <c:layout>
                <c:manualLayout>
                  <c:x val="-8.4934021801491677E-2"/>
                  <c:y val="-9.4306180800148089E-18"/>
                </c:manualLayout>
              </c:layout>
              <c:tx>
                <c:rich>
                  <a:bodyPr/>
                  <a:lstStyle/>
                  <a:p>
                    <a:fld id="{C900C5C6-D35B-4E26-A504-51C49A20199D}"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099-4353-B4BA-56BF4BC621DE}"/>
                </c:ext>
              </c:extLst>
            </c:dLbl>
            <c:dLbl>
              <c:idx val="2"/>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75652609-81ED-420B-9333-06D58B1AF578}"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099-4353-B4BA-56BF4BC621DE}"/>
                </c:ext>
              </c:extLst>
            </c:dLbl>
            <c:dLbl>
              <c:idx val="3"/>
              <c:tx>
                <c:rich>
                  <a:bodyPr/>
                  <a:lstStyle/>
                  <a:p>
                    <a:fld id="{5FB0DB43-F1B0-40B7-BAF3-3FA8C44F223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099-4353-B4BA-56BF4BC621DE}"/>
                </c:ext>
              </c:extLst>
            </c:dLbl>
            <c:dLbl>
              <c:idx val="4"/>
              <c:tx>
                <c:rich>
                  <a:bodyPr/>
                  <a:lstStyle/>
                  <a:p>
                    <a:fld id="{4F909162-3808-454D-A1E1-3303E5DCA46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099-4353-B4BA-56BF4BC621DE}"/>
                </c:ext>
              </c:extLst>
            </c:dLbl>
            <c:dLbl>
              <c:idx val="5"/>
              <c:tx>
                <c:rich>
                  <a:bodyPr/>
                  <a:lstStyle/>
                  <a:p>
                    <a:fld id="{3356CE80-3A2F-46FE-8A37-463FCF2ACA9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099-4353-B4BA-56BF4BC621DE}"/>
                </c:ext>
              </c:extLst>
            </c:dLbl>
            <c:dLbl>
              <c:idx val="6"/>
              <c:tx>
                <c:rich>
                  <a:bodyPr/>
                  <a:lstStyle/>
                  <a:p>
                    <a:fld id="{B5FF60F2-700D-4ABA-9B40-B1256510DCB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099-4353-B4BA-56BF4BC621DE}"/>
                </c:ext>
              </c:extLst>
            </c:dLbl>
            <c:dLbl>
              <c:idx val="7"/>
              <c:tx>
                <c:rich>
                  <a:bodyPr/>
                  <a:lstStyle/>
                  <a:p>
                    <a:fld id="{6966DA0F-03B5-408E-BEDB-AFFC040EBAF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A099-4353-B4BA-56BF4BC621DE}"/>
                </c:ext>
              </c:extLst>
            </c:dLbl>
            <c:dLbl>
              <c:idx val="8"/>
              <c:tx>
                <c:rich>
                  <a:bodyPr/>
                  <a:lstStyle/>
                  <a:p>
                    <a:fld id="{4E06D019-6C2F-45FD-942B-8F1AA880703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099-4353-B4BA-56BF4BC621DE}"/>
                </c:ext>
              </c:extLst>
            </c:dLbl>
            <c:dLbl>
              <c:idx val="9"/>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4C7AFC01-01BA-4180-8D37-F7AA2BF8C5EC}"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099-4353-B4BA-56BF4BC621DE}"/>
                </c:ext>
              </c:extLst>
            </c:dLbl>
            <c:dLbl>
              <c:idx val="10"/>
              <c:tx>
                <c:rich>
                  <a:bodyPr/>
                  <a:lstStyle/>
                  <a:p>
                    <a:fld id="{98994C75-6760-4126-AA63-B8CF2D70D6E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A099-4353-B4BA-56BF4BC621DE}"/>
                </c:ext>
              </c:extLst>
            </c:dLbl>
            <c:dLbl>
              <c:idx val="11"/>
              <c:tx>
                <c:rich>
                  <a:bodyPr/>
                  <a:lstStyle/>
                  <a:p>
                    <a:fld id="{DA373E99-E577-4924-A8AA-CD57FF28995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A099-4353-B4BA-56BF4BC621DE}"/>
                </c:ext>
              </c:extLst>
            </c:dLbl>
            <c:dLbl>
              <c:idx val="12"/>
              <c:tx>
                <c:rich>
                  <a:bodyPr/>
                  <a:lstStyle/>
                  <a:p>
                    <a:fld id="{7D8D6657-6DB7-4970-A03C-41BC3D9BB55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A099-4353-B4BA-56BF4BC621DE}"/>
                </c:ext>
              </c:extLst>
            </c:dLbl>
            <c:dLbl>
              <c:idx val="13"/>
              <c:tx>
                <c:rich>
                  <a:bodyPr/>
                  <a:lstStyle/>
                  <a:p>
                    <a:fld id="{5EA832FD-ACA8-41C9-8EA7-EEC8A528926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A099-4353-B4BA-56BF4BC621DE}"/>
                </c:ext>
              </c:extLst>
            </c:dLbl>
            <c:dLbl>
              <c:idx val="14"/>
              <c:tx>
                <c:rich>
                  <a:bodyPr/>
                  <a:lstStyle/>
                  <a:p>
                    <a:fld id="{E7B7D06C-75B8-4993-BCC3-22D0FD46CAF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A099-4353-B4BA-56BF4BC621DE}"/>
                </c:ext>
              </c:extLst>
            </c:dLbl>
            <c:dLbl>
              <c:idx val="15"/>
              <c:tx>
                <c:rich>
                  <a:bodyPr/>
                  <a:lstStyle/>
                  <a:p>
                    <a:fld id="{9419BEAF-6E18-40EE-B1A9-4F006D446B0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A099-4353-B4BA-56BF4BC621DE}"/>
                </c:ext>
              </c:extLst>
            </c:dLbl>
            <c:dLbl>
              <c:idx val="16"/>
              <c:tx>
                <c:rich>
                  <a:bodyPr/>
                  <a:lstStyle/>
                  <a:p>
                    <a:fld id="{A8631B81-17A9-4C3C-9BD4-16C7B60D91D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A099-4353-B4BA-56BF4BC621DE}"/>
                </c:ext>
              </c:extLst>
            </c:dLbl>
            <c:dLbl>
              <c:idx val="17"/>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0B0D2671-9750-4F6F-B717-06505CC36C36}"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A099-4353-B4BA-56BF4BC621DE}"/>
                </c:ext>
              </c:extLst>
            </c:dLbl>
            <c:dLbl>
              <c:idx val="18"/>
              <c:tx>
                <c:rich>
                  <a:bodyPr/>
                  <a:lstStyle/>
                  <a:p>
                    <a:fld id="{D510720D-D528-4354-B8DE-30E04937E86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A099-4353-B4BA-56BF4BC621DE}"/>
                </c:ext>
              </c:extLst>
            </c:dLbl>
            <c:dLbl>
              <c:idx val="19"/>
              <c:tx>
                <c:rich>
                  <a:bodyPr/>
                  <a:lstStyle/>
                  <a:p>
                    <a:fld id="{AEFC36C4-B4AE-465C-B394-A82223C6C60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A099-4353-B4BA-56BF4BC621DE}"/>
                </c:ext>
              </c:extLst>
            </c:dLbl>
            <c:dLbl>
              <c:idx val="20"/>
              <c:tx>
                <c:rich>
                  <a:bodyPr/>
                  <a:lstStyle/>
                  <a:p>
                    <a:fld id="{FAD3E1E4-C4E9-45EA-BD53-F0625472AD8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A099-4353-B4BA-56BF4BC621DE}"/>
                </c:ext>
              </c:extLst>
            </c:dLbl>
            <c:dLbl>
              <c:idx val="21"/>
              <c:tx>
                <c:rich>
                  <a:bodyPr/>
                  <a:lstStyle/>
                  <a:p>
                    <a:fld id="{63E6F0D7-7E6F-4FBD-A60A-1CDB9DECB3B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A099-4353-B4BA-56BF4BC621DE}"/>
                </c:ext>
              </c:extLst>
            </c:dLbl>
            <c:dLbl>
              <c:idx val="22"/>
              <c:tx>
                <c:rich>
                  <a:bodyPr/>
                  <a:lstStyle/>
                  <a:p>
                    <a:fld id="{20FA08DC-E4C9-41D2-9883-092445A2EE6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A099-4353-B4BA-56BF4BC621DE}"/>
                </c:ext>
              </c:extLst>
            </c:dLbl>
            <c:dLbl>
              <c:idx val="23"/>
              <c:tx>
                <c:rich>
                  <a:bodyPr/>
                  <a:lstStyle/>
                  <a:p>
                    <a:fld id="{8D999A29-762D-4583-BE3A-A60F1CB1265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A099-4353-B4BA-56BF4BC621DE}"/>
                </c:ext>
              </c:extLst>
            </c:dLbl>
            <c:dLbl>
              <c:idx val="24"/>
              <c:tx>
                <c:rich>
                  <a:bodyPr/>
                  <a:lstStyle/>
                  <a:p>
                    <a:fld id="{92FB108A-86F0-4289-9AA5-68E9C5AC891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A099-4353-B4BA-56BF4BC621DE}"/>
                </c:ext>
              </c:extLst>
            </c:dLbl>
            <c:dLbl>
              <c:idx val="25"/>
              <c:tx>
                <c:rich>
                  <a:bodyPr/>
                  <a:lstStyle/>
                  <a:p>
                    <a:fld id="{50F0115E-F569-4DE2-8BDD-A720CE31A74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A099-4353-B4BA-56BF4BC621DE}"/>
                </c:ext>
              </c:extLst>
            </c:dLbl>
            <c:dLbl>
              <c:idx val="2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2D641131-544A-4DE8-B89E-4264A3FD2365}"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A099-4353-B4BA-56BF4BC621DE}"/>
                </c:ext>
              </c:extLst>
            </c:dLbl>
            <c:dLbl>
              <c:idx val="27"/>
              <c:tx>
                <c:rich>
                  <a:bodyPr/>
                  <a:lstStyle/>
                  <a:p>
                    <a:fld id="{91BC6641-91B4-4257-A5C1-A2E3485E792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A099-4353-B4BA-56BF4BC621DE}"/>
                </c:ext>
              </c:extLst>
            </c:dLbl>
            <c:dLbl>
              <c:idx val="2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F27F2D0A-67E1-4C00-9339-CB089C456052}"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A099-4353-B4BA-56BF4BC621DE}"/>
                </c:ext>
              </c:extLst>
            </c:dLbl>
            <c:dLbl>
              <c:idx val="29"/>
              <c:tx>
                <c:rich>
                  <a:bodyPr/>
                  <a:lstStyle/>
                  <a:p>
                    <a:fld id="{4167653E-049F-469A-942F-2D15833080F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A099-4353-B4BA-56BF4BC621DE}"/>
                </c:ext>
              </c:extLst>
            </c:dLbl>
            <c:dLbl>
              <c:idx val="30"/>
              <c:tx>
                <c:rich>
                  <a:bodyPr/>
                  <a:lstStyle/>
                  <a:p>
                    <a:fld id="{DFE0F528-F55C-49BA-8237-904B0ED0192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A099-4353-B4BA-56BF4BC621DE}"/>
                </c:ext>
              </c:extLst>
            </c:dLbl>
            <c:dLbl>
              <c:idx val="31"/>
              <c:tx>
                <c:rich>
                  <a:bodyPr/>
                  <a:lstStyle/>
                  <a:p>
                    <a:fld id="{30B8C25D-8B6C-40D5-8C10-DECBDF1841F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A099-4353-B4BA-56BF4BC621DE}"/>
                </c:ext>
              </c:extLst>
            </c:dLbl>
            <c:dLbl>
              <c:idx val="32"/>
              <c:tx>
                <c:rich>
                  <a:bodyPr/>
                  <a:lstStyle/>
                  <a:p>
                    <a:fld id="{8EC364FB-803F-4D2F-B4A7-20338FB6EF7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A099-4353-B4BA-56BF4BC621DE}"/>
                </c:ext>
              </c:extLst>
            </c:dLbl>
            <c:dLbl>
              <c:idx val="33"/>
              <c:tx>
                <c:rich>
                  <a:bodyPr/>
                  <a:lstStyle/>
                  <a:p>
                    <a:fld id="{DD972AB9-8EA7-44F0-8078-A5C197DCCE7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A099-4353-B4BA-56BF4BC621DE}"/>
                </c:ext>
              </c:extLst>
            </c:dLbl>
            <c:dLbl>
              <c:idx val="34"/>
              <c:tx>
                <c:rich>
                  <a:bodyPr/>
                  <a:lstStyle/>
                  <a:p>
                    <a:fld id="{D02AEDBC-CDC4-4483-A313-C4CE75297A2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A099-4353-B4BA-56BF4BC621DE}"/>
                </c:ext>
              </c:extLst>
            </c:dLbl>
            <c:dLbl>
              <c:idx val="35"/>
              <c:tx>
                <c:rich>
                  <a:bodyPr/>
                  <a:lstStyle/>
                  <a:p>
                    <a:fld id="{70D1B69F-F39C-46B9-9EAD-C578A0B08AA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A099-4353-B4BA-56BF4BC621DE}"/>
                </c:ext>
              </c:extLst>
            </c:dLbl>
            <c:dLbl>
              <c:idx val="3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BE2EBACA-242E-4E37-A342-DB08BB22FDE4}"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A099-4353-B4BA-56BF4BC621DE}"/>
                </c:ext>
              </c:extLst>
            </c:dLbl>
            <c:dLbl>
              <c:idx val="37"/>
              <c:tx>
                <c:rich>
                  <a:bodyPr/>
                  <a:lstStyle/>
                  <a:p>
                    <a:fld id="{60D60448-71FF-4F6B-AA90-BC00950FC05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A099-4353-B4BA-56BF4BC621DE}"/>
                </c:ext>
              </c:extLst>
            </c:dLbl>
            <c:dLbl>
              <c:idx val="38"/>
              <c:tx>
                <c:rich>
                  <a:bodyPr/>
                  <a:lstStyle/>
                  <a:p>
                    <a:fld id="{DCF1FD7B-D0C5-4495-9745-BFB5F4EF01D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A099-4353-B4BA-56BF4BC621D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Sheet1!$H$2:$H$40</c:f>
              <c:numCache>
                <c:formatCode>General</c:formatCode>
                <c:ptCount val="39"/>
                <c:pt idx="0">
                  <c:v>-35000</c:v>
                </c:pt>
                <c:pt idx="1">
                  <c:v>-35000</c:v>
                </c:pt>
                <c:pt idx="2">
                  <c:v>-35000</c:v>
                </c:pt>
                <c:pt idx="3">
                  <c:v>-35000</c:v>
                </c:pt>
                <c:pt idx="4">
                  <c:v>-35000</c:v>
                </c:pt>
                <c:pt idx="5">
                  <c:v>-35000</c:v>
                </c:pt>
                <c:pt idx="6">
                  <c:v>-35000</c:v>
                </c:pt>
                <c:pt idx="7">
                  <c:v>-35000</c:v>
                </c:pt>
                <c:pt idx="8">
                  <c:v>-35000</c:v>
                </c:pt>
                <c:pt idx="9">
                  <c:v>-35000</c:v>
                </c:pt>
                <c:pt idx="10">
                  <c:v>-35000</c:v>
                </c:pt>
                <c:pt idx="11">
                  <c:v>-35000</c:v>
                </c:pt>
                <c:pt idx="12">
                  <c:v>-35000</c:v>
                </c:pt>
                <c:pt idx="13">
                  <c:v>-35000</c:v>
                </c:pt>
                <c:pt idx="14">
                  <c:v>-35000</c:v>
                </c:pt>
                <c:pt idx="15">
                  <c:v>-35000</c:v>
                </c:pt>
                <c:pt idx="16">
                  <c:v>-35000</c:v>
                </c:pt>
                <c:pt idx="17">
                  <c:v>-35000</c:v>
                </c:pt>
                <c:pt idx="18">
                  <c:v>-35000</c:v>
                </c:pt>
                <c:pt idx="19">
                  <c:v>-35000</c:v>
                </c:pt>
                <c:pt idx="20">
                  <c:v>-35000</c:v>
                </c:pt>
                <c:pt idx="21">
                  <c:v>-35000</c:v>
                </c:pt>
                <c:pt idx="22">
                  <c:v>-35000</c:v>
                </c:pt>
                <c:pt idx="23">
                  <c:v>-35000</c:v>
                </c:pt>
                <c:pt idx="24">
                  <c:v>-35000</c:v>
                </c:pt>
                <c:pt idx="25">
                  <c:v>-35000</c:v>
                </c:pt>
                <c:pt idx="26">
                  <c:v>-35000</c:v>
                </c:pt>
                <c:pt idx="27">
                  <c:v>-35000</c:v>
                </c:pt>
                <c:pt idx="28">
                  <c:v>-35000</c:v>
                </c:pt>
                <c:pt idx="29">
                  <c:v>-35000</c:v>
                </c:pt>
                <c:pt idx="30">
                  <c:v>-35000</c:v>
                </c:pt>
                <c:pt idx="31">
                  <c:v>-35000</c:v>
                </c:pt>
                <c:pt idx="32">
                  <c:v>-35000</c:v>
                </c:pt>
                <c:pt idx="33">
                  <c:v>-35000</c:v>
                </c:pt>
                <c:pt idx="34">
                  <c:v>-35000</c:v>
                </c:pt>
                <c:pt idx="35">
                  <c:v>-35000</c:v>
                </c:pt>
                <c:pt idx="36">
                  <c:v>-35000</c:v>
                </c:pt>
                <c:pt idx="37">
                  <c:v>-35000</c:v>
                </c:pt>
                <c:pt idx="38">
                  <c:v>-35000</c:v>
                </c:pt>
              </c:numCache>
            </c:numRef>
          </c:xVal>
          <c:yVal>
            <c:numRef>
              <c:f>Sheet1!$G$2:$G$40</c:f>
              <c:numCache>
                <c:formatCode>General</c:formatCode>
                <c:ptCount val="39"/>
                <c:pt idx="0">
                  <c:v>39</c:v>
                </c:pt>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5="http://schemas.microsoft.com/office/drawing/2012/chart" uri="{02D57815-91ED-43cb-92C2-25804820EDAC}">
              <c15:datalabelsRange>
                <c15:f>Sheet1!$A$2:$A$40</c15:f>
                <c15:dlblRange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15:dlblRangeCache>
              </c15:datalabelsRange>
            </c:ext>
            <c:ext xmlns:c16="http://schemas.microsoft.com/office/drawing/2014/chart" uri="{C3380CC4-5D6E-409C-BE32-E72D297353CC}">
              <c16:uniqueId val="{00000003-A099-4353-B4BA-56BF4BC621DE}"/>
            </c:ext>
          </c:extLst>
        </c:ser>
        <c:ser>
          <c:idx val="1"/>
          <c:order val="2"/>
          <c:tx>
            <c:v>Right labels</c:v>
          </c:tx>
          <c:spPr>
            <a:ln w="25400" cap="rnd">
              <a:noFill/>
              <a:round/>
            </a:ln>
            <a:effectLst/>
          </c:spPr>
          <c:marker>
            <c:symbol val="none"/>
          </c:marker>
          <c:dLbls>
            <c:dLbl>
              <c:idx val="0"/>
              <c:tx>
                <c:rich>
                  <a:bodyPr/>
                  <a:lstStyle/>
                  <a:p>
                    <a:fld id="{BCB14019-1E3E-4C0A-9B6F-E87554E0A5C3}"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2C-A099-4353-B4BA-56BF4BC621DE}"/>
                </c:ext>
              </c:extLst>
            </c:dLbl>
            <c:dLbl>
              <c:idx val="1"/>
              <c:tx>
                <c:rich>
                  <a:bodyPr/>
                  <a:lstStyle/>
                  <a:p>
                    <a:fld id="{9E6A4BDA-855E-4E40-9A85-B5FC6C5BDFD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A099-4353-B4BA-56BF4BC621DE}"/>
                </c:ext>
              </c:extLst>
            </c:dLbl>
            <c:dLbl>
              <c:idx val="2"/>
              <c:tx>
                <c:rich>
                  <a:bodyPr/>
                  <a:lstStyle/>
                  <a:p>
                    <a:fld id="{225139CB-AB8A-4B03-A8CB-71623898F95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A099-4353-B4BA-56BF4BC621DE}"/>
                </c:ext>
              </c:extLst>
            </c:dLbl>
            <c:dLbl>
              <c:idx val="3"/>
              <c:tx>
                <c:rich>
                  <a:bodyPr/>
                  <a:lstStyle/>
                  <a:p>
                    <a:fld id="{E629DFA9-5009-46BC-9B81-8EBC79CB1B2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A099-4353-B4BA-56BF4BC621DE}"/>
                </c:ext>
              </c:extLst>
            </c:dLbl>
            <c:dLbl>
              <c:idx val="4"/>
              <c:tx>
                <c:rich>
                  <a:bodyPr/>
                  <a:lstStyle/>
                  <a:p>
                    <a:fld id="{2A215DD3-81D6-4226-BC5C-C3DB4315B70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A099-4353-B4BA-56BF4BC621DE}"/>
                </c:ext>
              </c:extLst>
            </c:dLbl>
            <c:dLbl>
              <c:idx val="5"/>
              <c:tx>
                <c:rich>
                  <a:bodyPr/>
                  <a:lstStyle/>
                  <a:p>
                    <a:fld id="{79CAB0F5-3104-4D1A-9007-0CD39D1A4A0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A099-4353-B4BA-56BF4BC621DE}"/>
                </c:ext>
              </c:extLst>
            </c:dLbl>
            <c:dLbl>
              <c:idx val="6"/>
              <c:tx>
                <c:rich>
                  <a:bodyPr/>
                  <a:lstStyle/>
                  <a:p>
                    <a:fld id="{A3FBF236-3ED0-462D-A605-9F06E0D7FE6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A099-4353-B4BA-56BF4BC621DE}"/>
                </c:ext>
              </c:extLst>
            </c:dLbl>
            <c:dLbl>
              <c:idx val="7"/>
              <c:tx>
                <c:rich>
                  <a:bodyPr/>
                  <a:lstStyle/>
                  <a:p>
                    <a:fld id="{D86F33C3-B39B-4B2B-A342-193EAE82CB6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A099-4353-B4BA-56BF4BC621DE}"/>
                </c:ext>
              </c:extLst>
            </c:dLbl>
            <c:dLbl>
              <c:idx val="8"/>
              <c:tx>
                <c:rich>
                  <a:bodyPr/>
                  <a:lstStyle/>
                  <a:p>
                    <a:fld id="{F110DF83-B097-4E2B-A7EC-0D397EAC127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A099-4353-B4BA-56BF4BC621DE}"/>
                </c:ext>
              </c:extLst>
            </c:dLbl>
            <c:dLbl>
              <c:idx val="9"/>
              <c:tx>
                <c:rich>
                  <a:bodyPr/>
                  <a:lstStyle/>
                  <a:p>
                    <a:fld id="{D28C0F25-EA6E-484D-8F7F-CFBA5D87D3A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A099-4353-B4BA-56BF4BC621DE}"/>
                </c:ext>
              </c:extLst>
            </c:dLbl>
            <c:dLbl>
              <c:idx val="10"/>
              <c:tx>
                <c:rich>
                  <a:bodyPr/>
                  <a:lstStyle/>
                  <a:p>
                    <a:fld id="{866C3C66-E7F1-46A4-BAF1-CC99BE001F9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A099-4353-B4BA-56BF4BC621DE}"/>
                </c:ext>
              </c:extLst>
            </c:dLbl>
            <c:dLbl>
              <c:idx val="11"/>
              <c:tx>
                <c:rich>
                  <a:bodyPr/>
                  <a:lstStyle/>
                  <a:p>
                    <a:fld id="{B528EE9C-4624-4BCC-8252-68AC7AF264E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A099-4353-B4BA-56BF4BC621DE}"/>
                </c:ext>
              </c:extLst>
            </c:dLbl>
            <c:dLbl>
              <c:idx val="12"/>
              <c:tx>
                <c:rich>
                  <a:bodyPr/>
                  <a:lstStyle/>
                  <a:p>
                    <a:fld id="{9A9BD7E0-D9A3-483E-95A1-3A0BD2F100F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A099-4353-B4BA-56BF4BC621DE}"/>
                </c:ext>
              </c:extLst>
            </c:dLbl>
            <c:dLbl>
              <c:idx val="13"/>
              <c:tx>
                <c:rich>
                  <a:bodyPr/>
                  <a:lstStyle/>
                  <a:p>
                    <a:fld id="{81117470-71F6-423A-B35F-E7F819637F2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A099-4353-B4BA-56BF4BC621DE}"/>
                </c:ext>
              </c:extLst>
            </c:dLbl>
            <c:dLbl>
              <c:idx val="14"/>
              <c:tx>
                <c:rich>
                  <a:bodyPr/>
                  <a:lstStyle/>
                  <a:p>
                    <a:fld id="{2D32441A-FCAD-43D4-A904-DFEAF23E382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A099-4353-B4BA-56BF4BC621DE}"/>
                </c:ext>
              </c:extLst>
            </c:dLbl>
            <c:dLbl>
              <c:idx val="15"/>
              <c:tx>
                <c:rich>
                  <a:bodyPr/>
                  <a:lstStyle/>
                  <a:p>
                    <a:fld id="{04CCF22C-3003-42E1-993B-8125AD16225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A099-4353-B4BA-56BF4BC621DE}"/>
                </c:ext>
              </c:extLst>
            </c:dLbl>
            <c:dLbl>
              <c:idx val="16"/>
              <c:tx>
                <c:rich>
                  <a:bodyPr/>
                  <a:lstStyle/>
                  <a:p>
                    <a:fld id="{69A0AA8C-4F9D-4328-8CE0-5475F221A2F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A099-4353-B4BA-56BF4BC621DE}"/>
                </c:ext>
              </c:extLst>
            </c:dLbl>
            <c:dLbl>
              <c:idx val="17"/>
              <c:tx>
                <c:rich>
                  <a:bodyPr/>
                  <a:lstStyle/>
                  <a:p>
                    <a:fld id="{D5FA5E28-1BC1-44BC-821E-F86BC4B831A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A099-4353-B4BA-56BF4BC621DE}"/>
                </c:ext>
              </c:extLst>
            </c:dLbl>
            <c:dLbl>
              <c:idx val="18"/>
              <c:tx>
                <c:rich>
                  <a:bodyPr/>
                  <a:lstStyle/>
                  <a:p>
                    <a:fld id="{DB649D56-4FE1-4481-BA60-41A2E974EA8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A099-4353-B4BA-56BF4BC621DE}"/>
                </c:ext>
              </c:extLst>
            </c:dLbl>
            <c:dLbl>
              <c:idx val="19"/>
              <c:tx>
                <c:rich>
                  <a:bodyPr/>
                  <a:lstStyle/>
                  <a:p>
                    <a:fld id="{7D6276DA-93DF-4200-9B61-07C7B8369C3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A099-4353-B4BA-56BF4BC621DE}"/>
                </c:ext>
              </c:extLst>
            </c:dLbl>
            <c:dLbl>
              <c:idx val="20"/>
              <c:tx>
                <c:rich>
                  <a:bodyPr/>
                  <a:lstStyle/>
                  <a:p>
                    <a:fld id="{CE8A3C00-B69D-4A8C-A2CF-3D2EE945E69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A099-4353-B4BA-56BF4BC621DE}"/>
                </c:ext>
              </c:extLst>
            </c:dLbl>
            <c:dLbl>
              <c:idx val="21"/>
              <c:tx>
                <c:rich>
                  <a:bodyPr/>
                  <a:lstStyle/>
                  <a:p>
                    <a:fld id="{E6138CF0-CF9D-4551-9176-142426120E1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1-A099-4353-B4BA-56BF4BC621DE}"/>
                </c:ext>
              </c:extLst>
            </c:dLbl>
            <c:dLbl>
              <c:idx val="22"/>
              <c:tx>
                <c:rich>
                  <a:bodyPr/>
                  <a:lstStyle/>
                  <a:p>
                    <a:fld id="{BF9612D9-35C7-4519-918C-C5A1B4A92FD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A099-4353-B4BA-56BF4BC621DE}"/>
                </c:ext>
              </c:extLst>
            </c:dLbl>
            <c:dLbl>
              <c:idx val="23"/>
              <c:tx>
                <c:rich>
                  <a:bodyPr/>
                  <a:lstStyle/>
                  <a:p>
                    <a:fld id="{37BE04BC-4182-4602-9379-97DFFE46E71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A099-4353-B4BA-56BF4BC621DE}"/>
                </c:ext>
              </c:extLst>
            </c:dLbl>
            <c:dLbl>
              <c:idx val="24"/>
              <c:tx>
                <c:rich>
                  <a:bodyPr/>
                  <a:lstStyle/>
                  <a:p>
                    <a:fld id="{A0707AD7-8236-4731-A98A-64CF0EB5AE67}"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A099-4353-B4BA-56BF4BC621DE}"/>
                </c:ext>
              </c:extLst>
            </c:dLbl>
            <c:dLbl>
              <c:idx val="25"/>
              <c:tx>
                <c:rich>
                  <a:bodyPr/>
                  <a:lstStyle/>
                  <a:p>
                    <a:fld id="{A9453241-2173-4F7E-9CFD-78290946F98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A099-4353-B4BA-56BF4BC621DE}"/>
                </c:ext>
              </c:extLst>
            </c:dLbl>
            <c:dLbl>
              <c:idx val="26"/>
              <c:tx>
                <c:rich>
                  <a:bodyPr/>
                  <a:lstStyle/>
                  <a:p>
                    <a:fld id="{988965E8-B020-4580-9AEA-D7B930A5060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A099-4353-B4BA-56BF4BC621DE}"/>
                </c:ext>
              </c:extLst>
            </c:dLbl>
            <c:dLbl>
              <c:idx val="27"/>
              <c:tx>
                <c:rich>
                  <a:bodyPr/>
                  <a:lstStyle/>
                  <a:p>
                    <a:fld id="{5E8F233F-4A47-4939-9EC2-D20A285EAF6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A099-4353-B4BA-56BF4BC621DE}"/>
                </c:ext>
              </c:extLst>
            </c:dLbl>
            <c:dLbl>
              <c:idx val="28"/>
              <c:tx>
                <c:rich>
                  <a:bodyPr/>
                  <a:lstStyle/>
                  <a:p>
                    <a:fld id="{CAC920A3-9E31-4316-BDB9-83C45C0647F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A099-4353-B4BA-56BF4BC621DE}"/>
                </c:ext>
              </c:extLst>
            </c:dLbl>
            <c:dLbl>
              <c:idx val="29"/>
              <c:tx>
                <c:rich>
                  <a:bodyPr/>
                  <a:lstStyle/>
                  <a:p>
                    <a:fld id="{49A392A8-024E-4276-AC59-1DD0267467B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A099-4353-B4BA-56BF4BC621DE}"/>
                </c:ext>
              </c:extLst>
            </c:dLbl>
            <c:dLbl>
              <c:idx val="30"/>
              <c:tx>
                <c:rich>
                  <a:bodyPr/>
                  <a:lstStyle/>
                  <a:p>
                    <a:fld id="{2A2243B1-4259-49C4-90C5-A40BBE3C4A8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A099-4353-B4BA-56BF4BC621DE}"/>
                </c:ext>
              </c:extLst>
            </c:dLbl>
            <c:dLbl>
              <c:idx val="31"/>
              <c:tx>
                <c:rich>
                  <a:bodyPr/>
                  <a:lstStyle/>
                  <a:p>
                    <a:fld id="{C89898F4-BA66-4406-8AC1-9B496D3AA80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A099-4353-B4BA-56BF4BC621DE}"/>
                </c:ext>
              </c:extLst>
            </c:dLbl>
            <c:dLbl>
              <c:idx val="32"/>
              <c:tx>
                <c:rich>
                  <a:bodyPr/>
                  <a:lstStyle/>
                  <a:p>
                    <a:fld id="{5E10B4CD-4F50-48A2-B6D1-6B7265A3AAC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A099-4353-B4BA-56BF4BC621DE}"/>
                </c:ext>
              </c:extLst>
            </c:dLbl>
            <c:dLbl>
              <c:idx val="33"/>
              <c:tx>
                <c:rich>
                  <a:bodyPr/>
                  <a:lstStyle/>
                  <a:p>
                    <a:fld id="{BF5A932E-FC49-4298-BC63-4280B545072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A099-4353-B4BA-56BF4BC621DE}"/>
                </c:ext>
              </c:extLst>
            </c:dLbl>
            <c:dLbl>
              <c:idx val="34"/>
              <c:tx>
                <c:rich>
                  <a:bodyPr/>
                  <a:lstStyle/>
                  <a:p>
                    <a:fld id="{103F3959-1A6A-467E-AB3F-F1B514396AD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A099-4353-B4BA-56BF4BC621DE}"/>
                </c:ext>
              </c:extLst>
            </c:dLbl>
            <c:dLbl>
              <c:idx val="35"/>
              <c:tx>
                <c:rich>
                  <a:bodyPr/>
                  <a:lstStyle/>
                  <a:p>
                    <a:fld id="{CA3D5482-6446-464A-93F9-9E1BF7ECF52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A099-4353-B4BA-56BF4BC621DE}"/>
                </c:ext>
              </c:extLst>
            </c:dLbl>
            <c:dLbl>
              <c:idx val="36"/>
              <c:tx>
                <c:rich>
                  <a:bodyPr/>
                  <a:lstStyle/>
                  <a:p>
                    <a:fld id="{085BCD54-EC23-42E0-BFD2-E321534D4A7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A099-4353-B4BA-56BF4BC621DE}"/>
                </c:ext>
              </c:extLst>
            </c:dLbl>
            <c:dLbl>
              <c:idx val="37"/>
              <c:tx>
                <c:rich>
                  <a:bodyPr/>
                  <a:lstStyle/>
                  <a:p>
                    <a:fld id="{02BA8BA2-F884-49BF-838B-A20D4E4103D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A099-4353-B4BA-56BF4BC621DE}"/>
                </c:ext>
              </c:extLst>
            </c:dLbl>
            <c:dLbl>
              <c:idx val="38"/>
              <c:tx>
                <c:rich>
                  <a:bodyPr/>
                  <a:lstStyle/>
                  <a:p>
                    <a:fld id="{FD428DD3-D1A8-4F27-A596-63EB17B7C5D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A099-4353-B4BA-56BF4BC621D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Sheet1!$I$2:$I$40</c:f>
              <c:numCache>
                <c:formatCode>General</c:formatCode>
                <c:ptCount val="39"/>
                <c:pt idx="0">
                  <c:v>35000</c:v>
                </c:pt>
                <c:pt idx="1">
                  <c:v>35000</c:v>
                </c:pt>
                <c:pt idx="2">
                  <c:v>35000</c:v>
                </c:pt>
                <c:pt idx="3">
                  <c:v>35000</c:v>
                </c:pt>
                <c:pt idx="4">
                  <c:v>35000</c:v>
                </c:pt>
                <c:pt idx="5">
                  <c:v>35000</c:v>
                </c:pt>
                <c:pt idx="6">
                  <c:v>35000</c:v>
                </c:pt>
                <c:pt idx="7">
                  <c:v>35000</c:v>
                </c:pt>
                <c:pt idx="8">
                  <c:v>35000</c:v>
                </c:pt>
                <c:pt idx="9">
                  <c:v>35000</c:v>
                </c:pt>
                <c:pt idx="10">
                  <c:v>35000</c:v>
                </c:pt>
                <c:pt idx="11">
                  <c:v>35000</c:v>
                </c:pt>
                <c:pt idx="12">
                  <c:v>35000</c:v>
                </c:pt>
                <c:pt idx="13">
                  <c:v>35000</c:v>
                </c:pt>
                <c:pt idx="14">
                  <c:v>35000</c:v>
                </c:pt>
                <c:pt idx="15">
                  <c:v>35000</c:v>
                </c:pt>
                <c:pt idx="16">
                  <c:v>35000</c:v>
                </c:pt>
                <c:pt idx="17">
                  <c:v>35000</c:v>
                </c:pt>
                <c:pt idx="18">
                  <c:v>35000</c:v>
                </c:pt>
                <c:pt idx="19">
                  <c:v>35000</c:v>
                </c:pt>
                <c:pt idx="20">
                  <c:v>35000</c:v>
                </c:pt>
                <c:pt idx="21">
                  <c:v>35000</c:v>
                </c:pt>
                <c:pt idx="22">
                  <c:v>35000</c:v>
                </c:pt>
                <c:pt idx="23">
                  <c:v>35000</c:v>
                </c:pt>
                <c:pt idx="24">
                  <c:v>35000</c:v>
                </c:pt>
                <c:pt idx="25">
                  <c:v>35000</c:v>
                </c:pt>
                <c:pt idx="26">
                  <c:v>35000</c:v>
                </c:pt>
                <c:pt idx="27">
                  <c:v>35000</c:v>
                </c:pt>
                <c:pt idx="28">
                  <c:v>35000</c:v>
                </c:pt>
                <c:pt idx="29">
                  <c:v>35000</c:v>
                </c:pt>
                <c:pt idx="30">
                  <c:v>35000</c:v>
                </c:pt>
                <c:pt idx="31">
                  <c:v>35000</c:v>
                </c:pt>
                <c:pt idx="32">
                  <c:v>35000</c:v>
                </c:pt>
                <c:pt idx="33">
                  <c:v>35000</c:v>
                </c:pt>
                <c:pt idx="34">
                  <c:v>35000</c:v>
                </c:pt>
                <c:pt idx="35">
                  <c:v>35000</c:v>
                </c:pt>
                <c:pt idx="36">
                  <c:v>35000</c:v>
                </c:pt>
                <c:pt idx="37">
                  <c:v>35000</c:v>
                </c:pt>
                <c:pt idx="38">
                  <c:v>35000</c:v>
                </c:pt>
              </c:numCache>
            </c:numRef>
          </c:xVal>
          <c:yVal>
            <c:numRef>
              <c:f>Sheet1!$G$2:$G$40</c:f>
              <c:numCache>
                <c:formatCode>General</c:formatCode>
                <c:ptCount val="39"/>
                <c:pt idx="0">
                  <c:v>39</c:v>
                </c:pt>
                <c:pt idx="1">
                  <c:v>38</c:v>
                </c:pt>
                <c:pt idx="2">
                  <c:v>37</c:v>
                </c:pt>
                <c:pt idx="3">
                  <c:v>36</c:v>
                </c:pt>
                <c:pt idx="4">
                  <c:v>35</c:v>
                </c:pt>
                <c:pt idx="5">
                  <c:v>34</c:v>
                </c:pt>
                <c:pt idx="6">
                  <c:v>33</c:v>
                </c:pt>
                <c:pt idx="7">
                  <c:v>32</c:v>
                </c:pt>
                <c:pt idx="8">
                  <c:v>31</c:v>
                </c:pt>
                <c:pt idx="9">
                  <c:v>30</c:v>
                </c:pt>
                <c:pt idx="10">
                  <c:v>29</c:v>
                </c:pt>
                <c:pt idx="11">
                  <c:v>28</c:v>
                </c:pt>
                <c:pt idx="12">
                  <c:v>27</c:v>
                </c:pt>
                <c:pt idx="13">
                  <c:v>26</c:v>
                </c:pt>
                <c:pt idx="14">
                  <c:v>25</c:v>
                </c:pt>
                <c:pt idx="15">
                  <c:v>24</c:v>
                </c:pt>
                <c:pt idx="16">
                  <c:v>23</c:v>
                </c:pt>
                <c:pt idx="17">
                  <c:v>22</c:v>
                </c:pt>
                <c:pt idx="18">
                  <c:v>21</c:v>
                </c:pt>
                <c:pt idx="19">
                  <c:v>20</c:v>
                </c:pt>
                <c:pt idx="20">
                  <c:v>19</c:v>
                </c:pt>
                <c:pt idx="21">
                  <c:v>18</c:v>
                </c:pt>
                <c:pt idx="22">
                  <c:v>17</c:v>
                </c:pt>
                <c:pt idx="23">
                  <c:v>16</c:v>
                </c:pt>
                <c:pt idx="24">
                  <c:v>15</c:v>
                </c:pt>
                <c:pt idx="25">
                  <c:v>14</c:v>
                </c:pt>
                <c:pt idx="26">
                  <c:v>13</c:v>
                </c:pt>
                <c:pt idx="27">
                  <c:v>12</c:v>
                </c:pt>
                <c:pt idx="28">
                  <c:v>11</c:v>
                </c:pt>
                <c:pt idx="29">
                  <c:v>10</c:v>
                </c:pt>
                <c:pt idx="30">
                  <c:v>9</c:v>
                </c:pt>
                <c:pt idx="31">
                  <c:v>8</c:v>
                </c:pt>
                <c:pt idx="32">
                  <c:v>7</c:v>
                </c:pt>
                <c:pt idx="33">
                  <c:v>6</c:v>
                </c:pt>
                <c:pt idx="34">
                  <c:v>5</c:v>
                </c:pt>
                <c:pt idx="35">
                  <c:v>4</c:v>
                </c:pt>
                <c:pt idx="36">
                  <c:v>3</c:v>
                </c:pt>
                <c:pt idx="37">
                  <c:v>2</c:v>
                </c:pt>
                <c:pt idx="38">
                  <c:v>1</c:v>
                </c:pt>
              </c:numCache>
            </c:numRef>
          </c:yVal>
          <c:smooth val="0"/>
          <c:extLst>
            <c:ext xmlns:c15="http://schemas.microsoft.com/office/drawing/2012/chart" uri="{02D57815-91ED-43cb-92C2-25804820EDAC}">
              <c15:datalabelsRange>
                <c15:f>Sheet1!$J$2:$J$40</c15:f>
                <c15:dlblRangeCache>
                  <c:ptCount val="39"/>
                  <c:pt idx="1">
                    <c:v>$2,917 ± $3,548</c:v>
                  </c:pt>
                  <c:pt idx="2">
                    <c:v> ----------------------</c:v>
                  </c:pt>
                  <c:pt idx="3">
                    <c:v>-$1,181 ± $1,652</c:v>
                  </c:pt>
                  <c:pt idx="4">
                    <c:v>-$1,714 ± $2,751</c:v>
                  </c:pt>
                  <c:pt idx="5">
                    <c:v>-$11,371 ± $21,185</c:v>
                  </c:pt>
                  <c:pt idx="6">
                    <c:v>$316 ± $948</c:v>
                  </c:pt>
                  <c:pt idx="7">
                    <c:v>-$3,257 ± $2,693</c:v>
                  </c:pt>
                  <c:pt idx="8">
                    <c:v>-$1,689 ± $1,406</c:v>
                  </c:pt>
                  <c:pt idx="9">
                    <c:v> ----------------------</c:v>
                  </c:pt>
                  <c:pt idx="10">
                    <c:v>$5,029 ± $2,958</c:v>
                  </c:pt>
                  <c:pt idx="11">
                    <c:v>-$2,328 ± $7,399</c:v>
                  </c:pt>
                  <c:pt idx="12">
                    <c:v>$655 ± $14,925</c:v>
                  </c:pt>
                  <c:pt idx="13">
                    <c:v>-$509 ± $19,137</c:v>
                  </c:pt>
                  <c:pt idx="14">
                    <c:v>-$7,502 ± $6,581</c:v>
                  </c:pt>
                  <c:pt idx="15">
                    <c:v>-$2,835 ± $3,929</c:v>
                  </c:pt>
                  <c:pt idx="16">
                    <c:v>-$2,160 ± $2,944</c:v>
                  </c:pt>
                  <c:pt idx="17">
                    <c:v> ----------------------</c:v>
                  </c:pt>
                  <c:pt idx="18">
                    <c:v>$5,594 ± $2,705</c:v>
                  </c:pt>
                  <c:pt idx="19">
                    <c:v>-$4,381 ± $7,010</c:v>
                  </c:pt>
                  <c:pt idx="20">
                    <c:v>$396 ± $2,493</c:v>
                  </c:pt>
                  <c:pt idx="21">
                    <c:v>-$1,694 ± $4,374</c:v>
                  </c:pt>
                  <c:pt idx="22">
                    <c:v>-$3,328 ± $3,472</c:v>
                  </c:pt>
                  <c:pt idx="23">
                    <c:v>-$6,614 ± $6,029</c:v>
                  </c:pt>
                  <c:pt idx="24">
                    <c:v>$6,956 ± $8,374</c:v>
                  </c:pt>
                  <c:pt idx="25">
                    <c:v>$129 ± $1,237</c:v>
                  </c:pt>
                  <c:pt idx="26">
                    <c:v> ----------------------</c:v>
                  </c:pt>
                  <c:pt idx="27">
                    <c:v>$677 ± $1,574</c:v>
                  </c:pt>
                  <c:pt idx="28">
                    <c:v> ----------------------</c:v>
                  </c:pt>
                  <c:pt idx="29">
                    <c:v>$1,305 ± $4,352</c:v>
                  </c:pt>
                  <c:pt idx="30">
                    <c:v>-$424 ± $6,166</c:v>
                  </c:pt>
                  <c:pt idx="31">
                    <c:v>-$9,032 ± $5,886</c:v>
                  </c:pt>
                  <c:pt idx="32">
                    <c:v>$182 ± $2,489</c:v>
                  </c:pt>
                  <c:pt idx="33">
                    <c:v>$1,473 ± $3,871</c:v>
                  </c:pt>
                  <c:pt idx="34">
                    <c:v>-$2,033 ± $4,073</c:v>
                  </c:pt>
                  <c:pt idx="35">
                    <c:v>-$2,586 ± $2,418</c:v>
                  </c:pt>
                  <c:pt idx="36">
                    <c:v> ----------------------</c:v>
                  </c:pt>
                  <c:pt idx="37">
                    <c:v>-$7,907 ± $12,019</c:v>
                  </c:pt>
                  <c:pt idx="38">
                    <c:v>$1,363 ± $10,324</c:v>
                  </c:pt>
                </c15:dlblRangeCache>
              </c15:datalabelsRange>
            </c:ext>
            <c:ext xmlns:c16="http://schemas.microsoft.com/office/drawing/2014/chart" uri="{C3380CC4-5D6E-409C-BE32-E72D297353CC}">
              <c16:uniqueId val="{00000004-A099-4353-B4BA-56BF4BC621DE}"/>
            </c:ext>
          </c:extLst>
        </c:ser>
        <c:dLbls>
          <c:dLblPos val="r"/>
          <c:showLegendKey val="0"/>
          <c:showVal val="1"/>
          <c:showCatName val="0"/>
          <c:showSerName val="0"/>
          <c:showPercent val="0"/>
          <c:showBubbleSize val="0"/>
        </c:dLbls>
        <c:axId val="848893584"/>
        <c:axId val="848895664"/>
      </c:scatterChart>
      <c:valAx>
        <c:axId val="848893584"/>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Difference in NDIS expenditure</a:t>
                </a:r>
                <a:r>
                  <a:rPr lang="en-AU" sz="800" b="1" baseline="0">
                    <a:solidFill>
                      <a:sysClr val="windowText" lastClr="000000"/>
                    </a:solidFill>
                  </a:rPr>
                  <a:t> (ATE per month per participant)</a:t>
                </a:r>
                <a:endParaRPr lang="en-AU" sz="800" b="1">
                  <a:solidFill>
                    <a:sysClr val="windowText" lastClr="000000"/>
                  </a:solidFill>
                </a:endParaRPr>
              </a:p>
            </c:rich>
          </c:tx>
          <c:layout>
            <c:manualLayout>
              <c:xMode val="edge"/>
              <c:yMode val="edge"/>
              <c:x val="0.26495398918508678"/>
              <c:y val="0.9732510288065843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4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v>Control</c:v>
          </c:tx>
          <c:spPr>
            <a:ln w="28575" cap="rnd">
              <a:solidFill>
                <a:schemeClr val="bg2"/>
              </a:solidFill>
              <a:round/>
            </a:ln>
            <a:effectLst/>
          </c:spPr>
          <c:marker>
            <c:symbol val="circle"/>
            <c:size val="5"/>
            <c:spPr>
              <a:solidFill>
                <a:schemeClr val="bg2"/>
              </a:solidFill>
              <a:ln w="9525">
                <a:noFill/>
              </a:ln>
              <a:effectLst/>
            </c:spPr>
          </c:marker>
          <c:cat>
            <c:numRef>
              <c:f>Sheet1!$A$2:$A$13</c:f>
              <c:numCache>
                <c:formatCode>General</c:formatCode>
                <c:ptCount val="12"/>
                <c:pt idx="0">
                  <c:v>-10</c:v>
                </c:pt>
                <c:pt idx="1">
                  <c:v>-9</c:v>
                </c:pt>
                <c:pt idx="2">
                  <c:v>-8</c:v>
                </c:pt>
                <c:pt idx="3">
                  <c:v>-7</c:v>
                </c:pt>
                <c:pt idx="4">
                  <c:v>-6</c:v>
                </c:pt>
                <c:pt idx="5">
                  <c:v>-5</c:v>
                </c:pt>
                <c:pt idx="6">
                  <c:v>-4</c:v>
                </c:pt>
                <c:pt idx="7">
                  <c:v>-3</c:v>
                </c:pt>
                <c:pt idx="8">
                  <c:v>-2</c:v>
                </c:pt>
                <c:pt idx="9">
                  <c:v>-1</c:v>
                </c:pt>
                <c:pt idx="10">
                  <c:v>0</c:v>
                </c:pt>
              </c:numCache>
            </c:numRef>
          </c:cat>
          <c:val>
            <c:numRef>
              <c:f>Sheet1!$B$2:$B$12</c:f>
              <c:numCache>
                <c:formatCode>#,##0</c:formatCode>
                <c:ptCount val="11"/>
                <c:pt idx="0">
                  <c:v>13291.63665098039</c:v>
                </c:pt>
                <c:pt idx="1">
                  <c:v>13391.37939509954</c:v>
                </c:pt>
                <c:pt idx="2">
                  <c:v>13416.283427741469</c:v>
                </c:pt>
                <c:pt idx="3">
                  <c:v>14364.20467341949</c:v>
                </c:pt>
                <c:pt idx="4">
                  <c:v>14889.43782432433</c:v>
                </c:pt>
                <c:pt idx="5">
                  <c:v>13074.137188208621</c:v>
                </c:pt>
                <c:pt idx="6">
                  <c:v>15379.169244558259</c:v>
                </c:pt>
                <c:pt idx="7">
                  <c:v>14122.366251934391</c:v>
                </c:pt>
                <c:pt idx="8">
                  <c:v>14014.837363213041</c:v>
                </c:pt>
                <c:pt idx="9">
                  <c:v>14996.59841339555</c:v>
                </c:pt>
                <c:pt idx="10">
                  <c:v>14407.279949523279</c:v>
                </c:pt>
              </c:numCache>
            </c:numRef>
          </c:val>
          <c:smooth val="0"/>
          <c:extLst>
            <c:ext xmlns:c16="http://schemas.microsoft.com/office/drawing/2014/chart" uri="{C3380CC4-5D6E-409C-BE32-E72D297353CC}">
              <c16:uniqueId val="{00000002-4B6C-469F-AB8D-12D787F13C68}"/>
            </c:ext>
          </c:extLst>
        </c:ser>
        <c:ser>
          <c:idx val="3"/>
          <c:order val="1"/>
          <c:tx>
            <c:v>Treated</c:v>
          </c:tx>
          <c:spPr>
            <a:ln w="28575" cap="rnd">
              <a:solidFill>
                <a:schemeClr val="tx2"/>
              </a:solidFill>
              <a:round/>
            </a:ln>
            <a:effectLst/>
          </c:spPr>
          <c:marker>
            <c:symbol val="circle"/>
            <c:size val="5"/>
            <c:spPr>
              <a:solidFill>
                <a:schemeClr val="tx2"/>
              </a:solidFill>
              <a:ln w="9525">
                <a:noFill/>
              </a:ln>
              <a:effectLst/>
            </c:spPr>
          </c:marker>
          <c:cat>
            <c:numRef>
              <c:f>Sheet1!$A$2:$A$13</c:f>
              <c:numCache>
                <c:formatCode>General</c:formatCode>
                <c:ptCount val="12"/>
                <c:pt idx="0">
                  <c:v>-10</c:v>
                </c:pt>
                <c:pt idx="1">
                  <c:v>-9</c:v>
                </c:pt>
                <c:pt idx="2">
                  <c:v>-8</c:v>
                </c:pt>
                <c:pt idx="3">
                  <c:v>-7</c:v>
                </c:pt>
                <c:pt idx="4">
                  <c:v>-6</c:v>
                </c:pt>
                <c:pt idx="5">
                  <c:v>-5</c:v>
                </c:pt>
                <c:pt idx="6">
                  <c:v>-4</c:v>
                </c:pt>
                <c:pt idx="7">
                  <c:v>-3</c:v>
                </c:pt>
                <c:pt idx="8">
                  <c:v>-2</c:v>
                </c:pt>
                <c:pt idx="9">
                  <c:v>-1</c:v>
                </c:pt>
                <c:pt idx="10">
                  <c:v>0</c:v>
                </c:pt>
              </c:numCache>
            </c:numRef>
          </c:cat>
          <c:val>
            <c:numRef>
              <c:f>Sheet1!$C$2:$C$12</c:f>
              <c:numCache>
                <c:formatCode>#,##0</c:formatCode>
                <c:ptCount val="11"/>
                <c:pt idx="0">
                  <c:v>14442.828458692969</c:v>
                </c:pt>
                <c:pt idx="1">
                  <c:v>14027.35728654971</c:v>
                </c:pt>
                <c:pt idx="2">
                  <c:v>14537.45045810056</c:v>
                </c:pt>
                <c:pt idx="3">
                  <c:v>14470.616847710329</c:v>
                </c:pt>
                <c:pt idx="4">
                  <c:v>14827.80004032258</c:v>
                </c:pt>
                <c:pt idx="5">
                  <c:v>13490.044292589029</c:v>
                </c:pt>
                <c:pt idx="6">
                  <c:v>14965.63057513915</c:v>
                </c:pt>
                <c:pt idx="7">
                  <c:v>13231.20131118881</c:v>
                </c:pt>
                <c:pt idx="8">
                  <c:v>12114.73718801997</c:v>
                </c:pt>
                <c:pt idx="9">
                  <c:v>15953.40824378509</c:v>
                </c:pt>
                <c:pt idx="10">
                  <c:v>15563.26808669656</c:v>
                </c:pt>
              </c:numCache>
            </c:numRef>
          </c:val>
          <c:smooth val="0"/>
          <c:extLst>
            <c:ext xmlns:c16="http://schemas.microsoft.com/office/drawing/2014/chart" uri="{C3380CC4-5D6E-409C-BE32-E72D297353CC}">
              <c16:uniqueId val="{00000003-4B6C-469F-AB8D-12D787F13C68}"/>
            </c:ext>
          </c:extLst>
        </c:ser>
        <c:dLbls>
          <c:showLegendKey val="0"/>
          <c:showVal val="0"/>
          <c:showCatName val="0"/>
          <c:showSerName val="0"/>
          <c:showPercent val="0"/>
          <c:showBubbleSize val="0"/>
        </c:dLbls>
        <c:marker val="1"/>
        <c:smooth val="0"/>
        <c:axId val="1010721040"/>
        <c:axId val="1010723952"/>
      </c:lineChart>
      <c:catAx>
        <c:axId val="1010721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0723952"/>
        <c:crosses val="autoZero"/>
        <c:auto val="1"/>
        <c:lblAlgn val="ctr"/>
        <c:lblOffset val="100"/>
        <c:noMultiLvlLbl val="0"/>
      </c:catAx>
      <c:valAx>
        <c:axId val="1010723952"/>
        <c:scaling>
          <c:orientation val="minMax"/>
          <c:max val="20000"/>
          <c:min val="5000"/>
        </c:scaling>
        <c:delete val="0"/>
        <c:axPos val="l"/>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1072104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262765347102698"/>
          <c:y val="0"/>
          <c:w val="0.637273197993108"/>
          <c:h val="0.91144508266843571"/>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0-8F53-4434-B942-0A671BA829BD}"/>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1-8F53-4434-B942-0A671BA829BD}"/>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2-8F53-4434-B942-0A671BA829BD}"/>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3-8F53-4434-B942-0A671BA829BD}"/>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4-8F53-4434-B942-0A671BA829BD}"/>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5-8F53-4434-B942-0A671BA829BD}"/>
              </c:ext>
            </c:extLst>
          </c:dPt>
          <c:dPt>
            <c:idx val="8"/>
            <c:marker>
              <c:symbol val="circle"/>
              <c:size val="5"/>
              <c:spPr>
                <a:solidFill>
                  <a:schemeClr val="accent4"/>
                </a:solidFill>
                <a:ln w="9525">
                  <a:noFill/>
                </a:ln>
                <a:effectLst/>
              </c:spPr>
            </c:marker>
            <c:bubble3D val="0"/>
            <c:extLst>
              <c:ext xmlns:c16="http://schemas.microsoft.com/office/drawing/2014/chart" uri="{C3380CC4-5D6E-409C-BE32-E72D297353CC}">
                <c16:uniqueId val="{00000006-8F53-4434-B942-0A671BA829BD}"/>
              </c:ext>
            </c:extLst>
          </c:dPt>
          <c:dPt>
            <c:idx val="9"/>
            <c:marker>
              <c:symbol val="circle"/>
              <c:size val="5"/>
              <c:spPr>
                <a:solidFill>
                  <a:schemeClr val="accent4"/>
                </a:solidFill>
                <a:ln w="9525">
                  <a:noFill/>
                </a:ln>
                <a:effectLst/>
              </c:spPr>
            </c:marker>
            <c:bubble3D val="0"/>
            <c:extLst>
              <c:ext xmlns:c16="http://schemas.microsoft.com/office/drawing/2014/chart" uri="{C3380CC4-5D6E-409C-BE32-E72D297353CC}">
                <c16:uniqueId val="{00000069-8F53-4434-B942-0A671BA829BD}"/>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7-8F53-4434-B942-0A671BA829BD}"/>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8-8F53-4434-B942-0A671BA829BD}"/>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9-8F53-4434-B942-0A671BA829BD}"/>
              </c:ext>
            </c:extLst>
          </c:dPt>
          <c:dPt>
            <c:idx val="13"/>
            <c:marker>
              <c:symbol val="circle"/>
              <c:size val="5"/>
              <c:spPr>
                <a:solidFill>
                  <a:schemeClr val="accent6"/>
                </a:solidFill>
                <a:ln w="9525">
                  <a:noFill/>
                </a:ln>
                <a:effectLst/>
              </c:spPr>
            </c:marker>
            <c:bubble3D val="0"/>
            <c:extLst>
              <c:ext xmlns:c16="http://schemas.microsoft.com/office/drawing/2014/chart" uri="{C3380CC4-5D6E-409C-BE32-E72D297353CC}">
                <c16:uniqueId val="{0000000A-8F53-4434-B942-0A671BA829BD}"/>
              </c:ext>
            </c:extLst>
          </c:dPt>
          <c:dPt>
            <c:idx val="14"/>
            <c:marker>
              <c:symbol val="circle"/>
              <c:size val="5"/>
              <c:spPr>
                <a:solidFill>
                  <a:schemeClr val="accent6"/>
                </a:solidFill>
                <a:ln w="9525">
                  <a:noFill/>
                </a:ln>
                <a:effectLst/>
              </c:spPr>
            </c:marker>
            <c:bubble3D val="0"/>
            <c:extLst>
              <c:ext xmlns:c16="http://schemas.microsoft.com/office/drawing/2014/chart" uri="{C3380CC4-5D6E-409C-BE32-E72D297353CC}">
                <c16:uniqueId val="{0000000B-8F53-4434-B942-0A671BA829BD}"/>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C-8F53-4434-B942-0A671BA829BD}"/>
              </c:ext>
            </c:extLst>
          </c:dPt>
          <c:dPt>
            <c:idx val="16"/>
            <c:marker>
              <c:symbol val="circle"/>
              <c:size val="5"/>
              <c:spPr>
                <a:solidFill>
                  <a:schemeClr val="accent5"/>
                </a:solidFill>
                <a:ln w="9525">
                  <a:noFill/>
                </a:ln>
                <a:effectLst/>
              </c:spPr>
            </c:marker>
            <c:bubble3D val="0"/>
            <c:extLst>
              <c:ext xmlns:c16="http://schemas.microsoft.com/office/drawing/2014/chart" uri="{C3380CC4-5D6E-409C-BE32-E72D297353CC}">
                <c16:uniqueId val="{0000000D-8F53-4434-B942-0A671BA829BD}"/>
              </c:ext>
            </c:extLst>
          </c:dPt>
          <c:dPt>
            <c:idx val="17"/>
            <c:marker>
              <c:symbol val="circle"/>
              <c:size val="5"/>
              <c:spPr>
                <a:solidFill>
                  <a:schemeClr val="accent5"/>
                </a:solidFill>
                <a:ln w="9525">
                  <a:noFill/>
                </a:ln>
                <a:effectLst/>
              </c:spPr>
            </c:marker>
            <c:bubble3D val="0"/>
            <c:extLst>
              <c:ext xmlns:c16="http://schemas.microsoft.com/office/drawing/2014/chart" uri="{C3380CC4-5D6E-409C-BE32-E72D297353CC}">
                <c16:uniqueId val="{0000006A-8F53-4434-B942-0A671BA829BD}"/>
              </c:ext>
            </c:extLst>
          </c:dPt>
          <c:dPt>
            <c:idx val="19"/>
            <c:marker>
              <c:symbol val="circle"/>
              <c:size val="5"/>
              <c:spPr>
                <a:solidFill>
                  <a:schemeClr val="accent2"/>
                </a:solidFill>
                <a:ln w="9525">
                  <a:noFill/>
                </a:ln>
                <a:effectLst/>
              </c:spPr>
            </c:marker>
            <c:bubble3D val="0"/>
            <c:extLst>
              <c:ext xmlns:c16="http://schemas.microsoft.com/office/drawing/2014/chart" uri="{C3380CC4-5D6E-409C-BE32-E72D297353CC}">
                <c16:uniqueId val="{0000006B-8F53-4434-B942-0A671BA829BD}"/>
              </c:ext>
            </c:extLst>
          </c:dPt>
          <c:dPt>
            <c:idx val="20"/>
            <c:marker>
              <c:symbol val="circle"/>
              <c:size val="5"/>
              <c:spPr>
                <a:solidFill>
                  <a:schemeClr val="accent2"/>
                </a:solidFill>
                <a:ln w="9525">
                  <a:noFill/>
                </a:ln>
                <a:effectLst/>
              </c:spPr>
            </c:marker>
            <c:bubble3D val="0"/>
            <c:extLst>
              <c:ext xmlns:c16="http://schemas.microsoft.com/office/drawing/2014/chart" uri="{C3380CC4-5D6E-409C-BE32-E72D297353CC}">
                <c16:uniqueId val="{0000006C-8F53-4434-B942-0A671BA829BD}"/>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0E-8F53-4434-B942-0A671BA829BD}"/>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0F-8F53-4434-B942-0A671BA829BD}"/>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0-8F53-4434-B942-0A671BA829BD}"/>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1-8F53-4434-B942-0A671BA829BD}"/>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2-8F53-4434-B942-0A671BA829BD}"/>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3-8F53-4434-B942-0A671BA829BD}"/>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4-8F53-4434-B942-0A671BA829BD}"/>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5-8F53-4434-B942-0A671BA829BD}"/>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6-8F53-4434-B942-0A671BA829BD}"/>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7-8F53-4434-B942-0A671BA829BD}"/>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Sheet1!$F$2:$F$40</c:f>
                <c:numCache>
                  <c:formatCode>General</c:formatCode>
                  <c:ptCount val="39"/>
                  <c:pt idx="1">
                    <c:v>14750.96</c:v>
                  </c:pt>
                  <c:pt idx="3">
                    <c:v>2693.04</c:v>
                  </c:pt>
                  <c:pt idx="4">
                    <c:v>23155.439999999999</c:v>
                  </c:pt>
                  <c:pt idx="5">
                    <c:v>3088.96</c:v>
                  </c:pt>
                  <c:pt idx="6">
                    <c:v>1334.76</c:v>
                  </c:pt>
                  <c:pt idx="8">
                    <c:v>12838</c:v>
                  </c:pt>
                  <c:pt idx="9">
                    <c:v>7742</c:v>
                  </c:pt>
                  <c:pt idx="10">
                    <c:v>16126.88</c:v>
                  </c:pt>
                  <c:pt idx="11">
                    <c:v>23035.88</c:v>
                  </c:pt>
                  <c:pt idx="13">
                    <c:v>3479</c:v>
                  </c:pt>
                  <c:pt idx="14">
                    <c:v>10595.76</c:v>
                  </c:pt>
                  <c:pt idx="16">
                    <c:v>5145</c:v>
                  </c:pt>
                  <c:pt idx="17">
                    <c:v>5903.5199999999995</c:v>
                  </c:pt>
                  <c:pt idx="19">
                    <c:v>47992.56</c:v>
                  </c:pt>
                  <c:pt idx="20">
                    <c:v>30448.6</c:v>
                  </c:pt>
                </c:numCache>
              </c:numRef>
            </c:plus>
            <c:minus>
              <c:numRef>
                <c:f>Sheet1!$F$2:$F$40</c:f>
                <c:numCache>
                  <c:formatCode>General</c:formatCode>
                  <c:ptCount val="39"/>
                  <c:pt idx="1">
                    <c:v>14750.96</c:v>
                  </c:pt>
                  <c:pt idx="3">
                    <c:v>2693.04</c:v>
                  </c:pt>
                  <c:pt idx="4">
                    <c:v>23155.439999999999</c:v>
                  </c:pt>
                  <c:pt idx="5">
                    <c:v>3088.96</c:v>
                  </c:pt>
                  <c:pt idx="6">
                    <c:v>1334.76</c:v>
                  </c:pt>
                  <c:pt idx="8">
                    <c:v>12838</c:v>
                  </c:pt>
                  <c:pt idx="9">
                    <c:v>7742</c:v>
                  </c:pt>
                  <c:pt idx="10">
                    <c:v>16126.88</c:v>
                  </c:pt>
                  <c:pt idx="11">
                    <c:v>23035.88</c:v>
                  </c:pt>
                  <c:pt idx="13">
                    <c:v>3479</c:v>
                  </c:pt>
                  <c:pt idx="14">
                    <c:v>10595.76</c:v>
                  </c:pt>
                  <c:pt idx="16">
                    <c:v>5145</c:v>
                  </c:pt>
                  <c:pt idx="17">
                    <c:v>5903.5199999999995</c:v>
                  </c:pt>
                  <c:pt idx="19">
                    <c:v>47992.56</c:v>
                  </c:pt>
                  <c:pt idx="20">
                    <c:v>30448.6</c:v>
                  </c:pt>
                </c:numCache>
              </c:numRef>
            </c:minus>
            <c:spPr>
              <a:noFill/>
              <a:ln w="9525" cap="flat" cmpd="sng" algn="ctr">
                <a:solidFill>
                  <a:schemeClr val="tx1">
                    <a:lumMod val="65000"/>
                    <a:lumOff val="35000"/>
                  </a:schemeClr>
                </a:solidFill>
                <a:round/>
              </a:ln>
              <a:effectLst/>
            </c:spPr>
          </c:errBars>
          <c:xVal>
            <c:numRef>
              <c:f>Sheet1!$C$2:$C$40</c:f>
              <c:numCache>
                <c:formatCode>"$"#,##0</c:formatCode>
                <c:ptCount val="39"/>
                <c:pt idx="1">
                  <c:v>7483</c:v>
                </c:pt>
                <c:pt idx="3">
                  <c:v>-1949</c:v>
                </c:pt>
                <c:pt idx="4">
                  <c:v>-11675</c:v>
                </c:pt>
                <c:pt idx="5">
                  <c:v>-4315</c:v>
                </c:pt>
                <c:pt idx="6">
                  <c:v>-1377</c:v>
                </c:pt>
                <c:pt idx="8">
                  <c:v>11867</c:v>
                </c:pt>
                <c:pt idx="9">
                  <c:v>-2695</c:v>
                </c:pt>
                <c:pt idx="10">
                  <c:v>-219</c:v>
                </c:pt>
                <c:pt idx="11">
                  <c:v>-519</c:v>
                </c:pt>
                <c:pt idx="13">
                  <c:v>-3610</c:v>
                </c:pt>
                <c:pt idx="14">
                  <c:v>9784</c:v>
                </c:pt>
                <c:pt idx="16">
                  <c:v>-2183</c:v>
                </c:pt>
                <c:pt idx="17">
                  <c:v>362</c:v>
                </c:pt>
                <c:pt idx="19">
                  <c:v>7006</c:v>
                </c:pt>
                <c:pt idx="20">
                  <c:v>-14596</c:v>
                </c:pt>
              </c:numCache>
            </c:numRef>
          </c:xVal>
          <c:yVal>
            <c:numRef>
              <c:f>Sheet1!$G$2:$G$40</c:f>
              <c:numCache>
                <c:formatCode>General</c:formatCode>
                <c:ptCount val="39"/>
                <c:pt idx="0">
                  <c:v>21</c:v>
                </c:pt>
                <c:pt idx="1">
                  <c:v>20</c:v>
                </c:pt>
                <c:pt idx="2">
                  <c:v>19</c:v>
                </c:pt>
                <c:pt idx="3">
                  <c:v>18</c:v>
                </c:pt>
                <c:pt idx="4">
                  <c:v>17</c:v>
                </c:pt>
                <c:pt idx="5">
                  <c:v>16</c:v>
                </c:pt>
                <c:pt idx="6">
                  <c:v>15</c:v>
                </c:pt>
                <c:pt idx="7">
                  <c:v>14</c:v>
                </c:pt>
                <c:pt idx="8">
                  <c:v>13</c:v>
                </c:pt>
                <c:pt idx="9">
                  <c:v>12</c:v>
                </c:pt>
                <c:pt idx="10">
                  <c:v>11</c:v>
                </c:pt>
                <c:pt idx="11">
                  <c:v>10</c:v>
                </c:pt>
                <c:pt idx="12">
                  <c:v>9</c:v>
                </c:pt>
                <c:pt idx="13">
                  <c:v>8</c:v>
                </c:pt>
                <c:pt idx="14">
                  <c:v>7</c:v>
                </c:pt>
                <c:pt idx="15">
                  <c:v>6</c:v>
                </c:pt>
                <c:pt idx="16">
                  <c:v>5</c:v>
                </c:pt>
                <c:pt idx="17">
                  <c:v>4</c:v>
                </c:pt>
                <c:pt idx="18">
                  <c:v>3</c:v>
                </c:pt>
                <c:pt idx="19">
                  <c:v>2</c:v>
                </c:pt>
                <c:pt idx="20">
                  <c:v>1</c:v>
                </c:pt>
              </c:numCache>
            </c:numRef>
          </c:yVal>
          <c:smooth val="0"/>
          <c:extLst>
            <c:ext xmlns:c16="http://schemas.microsoft.com/office/drawing/2014/chart" uri="{C3380CC4-5D6E-409C-BE32-E72D297353CC}">
              <c16:uniqueId val="{00000018-8F53-4434-B942-0A671BA829BD}"/>
            </c:ext>
          </c:extLst>
        </c:ser>
        <c:ser>
          <c:idx val="0"/>
          <c:order val="1"/>
          <c:tx>
            <c:v>labels</c:v>
          </c:tx>
          <c:spPr>
            <a:ln w="25400" cap="rnd">
              <a:noFill/>
              <a:round/>
            </a:ln>
            <a:effectLst/>
          </c:spPr>
          <c:marker>
            <c:symbol val="none"/>
          </c:marker>
          <c:dLbls>
            <c:dLbl>
              <c:idx val="0"/>
              <c:tx>
                <c:rich>
                  <a:bodyPr/>
                  <a:lstStyle/>
                  <a:p>
                    <a:fld id="{81DBC4FD-801B-4881-A45B-F381B640E723}" type="CELLRANGE">
                      <a:rPr lang="en-US"/>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8F53-4434-B942-0A671BA829BD}"/>
                </c:ext>
              </c:extLst>
            </c:dLbl>
            <c:dLbl>
              <c:idx val="1"/>
              <c:layout>
                <c:manualLayout>
                  <c:x val="-8.4934021801491677E-2"/>
                  <c:y val="-9.4306180800148089E-18"/>
                </c:manualLayout>
              </c:layout>
              <c:tx>
                <c:rich>
                  <a:bodyPr/>
                  <a:lstStyle/>
                  <a:p>
                    <a:fld id="{DD63F550-6C13-40F8-B521-C24F10FEAFFF}"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8F53-4434-B942-0A671BA829BD}"/>
                </c:ext>
              </c:extLst>
            </c:dLbl>
            <c:dLbl>
              <c:idx val="2"/>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71AA90D6-D1AA-4DDB-97FE-ED5606C37F30}"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8F53-4434-B942-0A671BA829BD}"/>
                </c:ext>
              </c:extLst>
            </c:dLbl>
            <c:dLbl>
              <c:idx val="3"/>
              <c:tx>
                <c:rich>
                  <a:bodyPr/>
                  <a:lstStyle/>
                  <a:p>
                    <a:fld id="{5FA7ACC3-A688-4615-8ED7-51D4ECF33BF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8F53-4434-B942-0A671BA829BD}"/>
                </c:ext>
              </c:extLst>
            </c:dLbl>
            <c:dLbl>
              <c:idx val="4"/>
              <c:tx>
                <c:rich>
                  <a:bodyPr/>
                  <a:lstStyle/>
                  <a:p>
                    <a:fld id="{350EC710-5CA3-446E-9CDF-C81F31684CD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8F53-4434-B942-0A671BA829BD}"/>
                </c:ext>
              </c:extLst>
            </c:dLbl>
            <c:dLbl>
              <c:idx val="5"/>
              <c:tx>
                <c:rich>
                  <a:bodyPr/>
                  <a:lstStyle/>
                  <a:p>
                    <a:fld id="{16EBB9FF-98F1-4A3F-9950-9556D382EAA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8F53-4434-B942-0A671BA829BD}"/>
                </c:ext>
              </c:extLst>
            </c:dLbl>
            <c:dLbl>
              <c:idx val="6"/>
              <c:tx>
                <c:rich>
                  <a:bodyPr/>
                  <a:lstStyle/>
                  <a:p>
                    <a:fld id="{7B4C6C2A-DFEE-4579-AD8E-0299248562D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8F53-4434-B942-0A671BA829BD}"/>
                </c:ext>
              </c:extLst>
            </c:dLbl>
            <c:dLbl>
              <c:idx val="7"/>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11C57527-96C5-4AF1-A200-42538D8EA950}"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8F53-4434-B942-0A671BA829BD}"/>
                </c:ext>
              </c:extLst>
            </c:dLbl>
            <c:dLbl>
              <c:idx val="8"/>
              <c:tx>
                <c:rich>
                  <a:bodyPr/>
                  <a:lstStyle/>
                  <a:p>
                    <a:fld id="{7DDBD974-FE87-4E3F-82AE-B30E80EBAD0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8F53-4434-B942-0A671BA829BD}"/>
                </c:ext>
              </c:extLst>
            </c:dLbl>
            <c:dLbl>
              <c:idx val="9"/>
              <c:tx>
                <c:rich>
                  <a:bodyPr/>
                  <a:lstStyle/>
                  <a:p>
                    <a:fld id="{5638F193-7F09-422F-867B-8D58564FD39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8F53-4434-B942-0A671BA829BD}"/>
                </c:ext>
              </c:extLst>
            </c:dLbl>
            <c:dLbl>
              <c:idx val="10"/>
              <c:tx>
                <c:rich>
                  <a:bodyPr/>
                  <a:lstStyle/>
                  <a:p>
                    <a:fld id="{EA5D60E3-C4E2-4109-B1DD-3F80E93EF3B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8F53-4434-B942-0A671BA829BD}"/>
                </c:ext>
              </c:extLst>
            </c:dLbl>
            <c:dLbl>
              <c:idx val="11"/>
              <c:tx>
                <c:rich>
                  <a:bodyPr/>
                  <a:lstStyle/>
                  <a:p>
                    <a:fld id="{8A3BDD29-A784-455D-ABC6-AAC605F142C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8F53-4434-B942-0A671BA829BD}"/>
                </c:ext>
              </c:extLst>
            </c:dLbl>
            <c:dLbl>
              <c:idx val="12"/>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BE48250B-4459-4E44-827B-F77140E2C679}"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8F53-4434-B942-0A671BA829BD}"/>
                </c:ext>
              </c:extLst>
            </c:dLbl>
            <c:dLbl>
              <c:idx val="13"/>
              <c:tx>
                <c:rich>
                  <a:bodyPr/>
                  <a:lstStyle/>
                  <a:p>
                    <a:fld id="{A1665A36-CE85-410C-BD8F-5B741719C87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8F53-4434-B942-0A671BA829BD}"/>
                </c:ext>
              </c:extLst>
            </c:dLbl>
            <c:dLbl>
              <c:idx val="14"/>
              <c:tx>
                <c:rich>
                  <a:bodyPr/>
                  <a:lstStyle/>
                  <a:p>
                    <a:fld id="{C91703A4-6296-4B6C-8E1A-9A8F0B4721E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8F53-4434-B942-0A671BA829BD}"/>
                </c:ext>
              </c:extLst>
            </c:dLbl>
            <c:dLbl>
              <c:idx val="15"/>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4F8FECFF-DC9C-4E02-AA44-4A5E24D6926F}"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8F53-4434-B942-0A671BA829BD}"/>
                </c:ext>
              </c:extLst>
            </c:dLbl>
            <c:dLbl>
              <c:idx val="16"/>
              <c:tx>
                <c:rich>
                  <a:bodyPr/>
                  <a:lstStyle/>
                  <a:p>
                    <a:fld id="{29DA45E1-24EB-427A-BFD9-CA88620F091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8F53-4434-B942-0A671BA829BD}"/>
                </c:ext>
              </c:extLst>
            </c:dLbl>
            <c:dLbl>
              <c:idx val="17"/>
              <c:tx>
                <c:rich>
                  <a:bodyPr/>
                  <a:lstStyle/>
                  <a:p>
                    <a:fld id="{0CF7BEF8-FBB7-41E5-BA4B-5521C72C35E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8F53-4434-B942-0A671BA829BD}"/>
                </c:ext>
              </c:extLst>
            </c:dLbl>
            <c:dLbl>
              <c:idx val="1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07443C4A-98B5-4706-A413-C4FED6FA1233}"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8F53-4434-B942-0A671BA829BD}"/>
                </c:ext>
              </c:extLst>
            </c:dLbl>
            <c:dLbl>
              <c:idx val="19"/>
              <c:tx>
                <c:rich>
                  <a:bodyPr/>
                  <a:lstStyle/>
                  <a:p>
                    <a:fld id="{2F648C97-A98D-4D17-A7E0-41C36FFD246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8F53-4434-B942-0A671BA829BD}"/>
                </c:ext>
              </c:extLst>
            </c:dLbl>
            <c:dLbl>
              <c:idx val="20"/>
              <c:tx>
                <c:rich>
                  <a:bodyPr/>
                  <a:lstStyle/>
                  <a:p>
                    <a:fld id="{E2CE6250-6ACB-4044-9254-329877B3B5A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8F53-4434-B942-0A671BA829BD}"/>
                </c:ext>
              </c:extLst>
            </c:dLbl>
            <c:dLbl>
              <c:idx val="21"/>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E-8F53-4434-B942-0A671BA829BD}"/>
                </c:ext>
              </c:extLst>
            </c:dLbl>
            <c:dLbl>
              <c:idx val="22"/>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2F-8F53-4434-B942-0A671BA829BD}"/>
                </c:ext>
              </c:extLst>
            </c:dLbl>
            <c:dLbl>
              <c:idx val="23"/>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8F53-4434-B942-0A671BA829BD}"/>
                </c:ext>
              </c:extLst>
            </c:dLbl>
            <c:dLbl>
              <c:idx val="24"/>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8F53-4434-B942-0A671BA829BD}"/>
                </c:ext>
              </c:extLst>
            </c:dLbl>
            <c:dLbl>
              <c:idx val="25"/>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8F53-4434-B942-0A671BA829BD}"/>
                </c:ext>
              </c:extLst>
            </c:dLbl>
            <c:dLbl>
              <c:idx val="2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8F53-4434-B942-0A671BA829BD}"/>
                </c:ext>
              </c:extLst>
            </c:dLbl>
            <c:dLbl>
              <c:idx val="27"/>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8F53-4434-B942-0A671BA829BD}"/>
                </c:ext>
              </c:extLst>
            </c:dLbl>
            <c:dLbl>
              <c:idx val="2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8F53-4434-B942-0A671BA829BD}"/>
                </c:ext>
              </c:extLst>
            </c:dLbl>
            <c:dLbl>
              <c:idx val="29"/>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8F53-4434-B942-0A671BA829BD}"/>
                </c:ext>
              </c:extLst>
            </c:dLbl>
            <c:dLbl>
              <c:idx val="30"/>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8F53-4434-B942-0A671BA829BD}"/>
                </c:ext>
              </c:extLst>
            </c:dLbl>
            <c:dLbl>
              <c:idx val="31"/>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8F53-4434-B942-0A671BA829BD}"/>
                </c:ext>
              </c:extLst>
            </c:dLbl>
            <c:dLbl>
              <c:idx val="32"/>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8F53-4434-B942-0A671BA829BD}"/>
                </c:ext>
              </c:extLst>
            </c:dLbl>
            <c:dLbl>
              <c:idx val="33"/>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8F53-4434-B942-0A671BA829BD}"/>
                </c:ext>
              </c:extLst>
            </c:dLbl>
            <c:dLbl>
              <c:idx val="34"/>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8F53-4434-B942-0A671BA829BD}"/>
                </c:ext>
              </c:extLst>
            </c:dLbl>
            <c:dLbl>
              <c:idx val="35"/>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8F53-4434-B942-0A671BA829BD}"/>
                </c:ext>
              </c:extLst>
            </c:dLbl>
            <c:dLbl>
              <c:idx val="3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8F53-4434-B942-0A671BA829BD}"/>
                </c:ext>
              </c:extLst>
            </c:dLbl>
            <c:dLbl>
              <c:idx val="37"/>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8F53-4434-B942-0A671BA829BD}"/>
                </c:ext>
              </c:extLst>
            </c:dLbl>
            <c:dLbl>
              <c:idx val="38"/>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8F53-4434-B942-0A671BA829B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Sheet1!$H$2:$H$40</c:f>
              <c:numCache>
                <c:formatCode>General</c:formatCode>
                <c:ptCount val="39"/>
                <c:pt idx="0">
                  <c:v>-60000</c:v>
                </c:pt>
                <c:pt idx="1">
                  <c:v>-60000</c:v>
                </c:pt>
                <c:pt idx="2">
                  <c:v>-60000</c:v>
                </c:pt>
                <c:pt idx="3">
                  <c:v>-60000</c:v>
                </c:pt>
                <c:pt idx="4">
                  <c:v>-60000</c:v>
                </c:pt>
                <c:pt idx="5">
                  <c:v>-60000</c:v>
                </c:pt>
                <c:pt idx="6">
                  <c:v>-60000</c:v>
                </c:pt>
                <c:pt idx="7">
                  <c:v>-60000</c:v>
                </c:pt>
                <c:pt idx="8">
                  <c:v>-60000</c:v>
                </c:pt>
                <c:pt idx="9">
                  <c:v>-60000</c:v>
                </c:pt>
                <c:pt idx="10">
                  <c:v>-60000</c:v>
                </c:pt>
                <c:pt idx="11">
                  <c:v>-60000</c:v>
                </c:pt>
                <c:pt idx="12">
                  <c:v>-60000</c:v>
                </c:pt>
                <c:pt idx="13">
                  <c:v>-60000</c:v>
                </c:pt>
                <c:pt idx="14">
                  <c:v>-60000</c:v>
                </c:pt>
                <c:pt idx="15">
                  <c:v>-60000</c:v>
                </c:pt>
                <c:pt idx="16">
                  <c:v>-60000</c:v>
                </c:pt>
                <c:pt idx="17">
                  <c:v>-60000</c:v>
                </c:pt>
                <c:pt idx="18">
                  <c:v>-60000</c:v>
                </c:pt>
                <c:pt idx="19">
                  <c:v>-60000</c:v>
                </c:pt>
                <c:pt idx="20">
                  <c:v>-60000</c:v>
                </c:pt>
              </c:numCache>
            </c:numRef>
          </c:xVal>
          <c:yVal>
            <c:numRef>
              <c:f>Sheet1!$G$2:$G$40</c:f>
              <c:numCache>
                <c:formatCode>General</c:formatCode>
                <c:ptCount val="39"/>
                <c:pt idx="0">
                  <c:v>21</c:v>
                </c:pt>
                <c:pt idx="1">
                  <c:v>20</c:v>
                </c:pt>
                <c:pt idx="2">
                  <c:v>19</c:v>
                </c:pt>
                <c:pt idx="3">
                  <c:v>18</c:v>
                </c:pt>
                <c:pt idx="4">
                  <c:v>17</c:v>
                </c:pt>
                <c:pt idx="5">
                  <c:v>16</c:v>
                </c:pt>
                <c:pt idx="6">
                  <c:v>15</c:v>
                </c:pt>
                <c:pt idx="7">
                  <c:v>14</c:v>
                </c:pt>
                <c:pt idx="8">
                  <c:v>13</c:v>
                </c:pt>
                <c:pt idx="9">
                  <c:v>12</c:v>
                </c:pt>
                <c:pt idx="10">
                  <c:v>11</c:v>
                </c:pt>
                <c:pt idx="11">
                  <c:v>10</c:v>
                </c:pt>
                <c:pt idx="12">
                  <c:v>9</c:v>
                </c:pt>
                <c:pt idx="13">
                  <c:v>8</c:v>
                </c:pt>
                <c:pt idx="14">
                  <c:v>7</c:v>
                </c:pt>
                <c:pt idx="15">
                  <c:v>6</c:v>
                </c:pt>
                <c:pt idx="16">
                  <c:v>5</c:v>
                </c:pt>
                <c:pt idx="17">
                  <c:v>4</c:v>
                </c:pt>
                <c:pt idx="18">
                  <c:v>3</c:v>
                </c:pt>
                <c:pt idx="19">
                  <c:v>2</c:v>
                </c:pt>
                <c:pt idx="20">
                  <c:v>1</c:v>
                </c:pt>
              </c:numCache>
            </c:numRef>
          </c:yVal>
          <c:smooth val="0"/>
          <c:extLst>
            <c:ext xmlns:c15="http://schemas.microsoft.com/office/drawing/2012/chart" uri="{02D57815-91ED-43cb-92C2-25804820EDAC}">
              <c15:datalabelsRange>
                <c15:f>Sheet1!$A$2:$A$40</c15:f>
                <c15:dlblRangeCache>
                  <c:ptCount val="39"/>
                  <c:pt idx="1">
                    <c:v>Total</c:v>
                  </c:pt>
                  <c:pt idx="2">
                    <c:v>NSW ------------------</c:v>
                  </c:pt>
                  <c:pt idx="3">
                    <c:v>Bourke</c:v>
                  </c:pt>
                  <c:pt idx="4">
                    <c:v>Brewarrina</c:v>
                  </c:pt>
                  <c:pt idx="5">
                    <c:v>Walgett</c:v>
                  </c:pt>
                  <c:pt idx="6">
                    <c:v>Wentworth</c:v>
                  </c:pt>
                  <c:pt idx="7">
                    <c:v>NT -------------------</c:v>
                  </c:pt>
                  <c:pt idx="8">
                    <c:v>Alice Springs</c:v>
                  </c:pt>
                  <c:pt idx="9">
                    <c:v>Barkly</c:v>
                  </c:pt>
                  <c:pt idx="10">
                    <c:v>Central Desert</c:v>
                  </c:pt>
                  <c:pt idx="11">
                    <c:v>MacDonnell</c:v>
                  </c:pt>
                  <c:pt idx="12">
                    <c:v>QLD ------------------</c:v>
                  </c:pt>
                  <c:pt idx="13">
                    <c:v>Goondiwindi</c:v>
                  </c:pt>
                  <c:pt idx="14">
                    <c:v>Palm Island</c:v>
                  </c:pt>
                  <c:pt idx="15">
                    <c:v>VIC ------------------</c:v>
                  </c:pt>
                  <c:pt idx="16">
                    <c:v>Ararat</c:v>
                  </c:pt>
                  <c:pt idx="17">
                    <c:v>Latrobe</c:v>
                  </c:pt>
                  <c:pt idx="18">
                    <c:v>WA ------------------</c:v>
                  </c:pt>
                  <c:pt idx="19">
                    <c:v>Halls Creek</c:v>
                  </c:pt>
                  <c:pt idx="20">
                    <c:v>Wyndham-East Kimberley</c:v>
                  </c:pt>
                </c15:dlblRangeCache>
              </c15:datalabelsRange>
            </c:ext>
            <c:ext xmlns:c16="http://schemas.microsoft.com/office/drawing/2014/chart" uri="{C3380CC4-5D6E-409C-BE32-E72D297353CC}">
              <c16:uniqueId val="{00000040-8F53-4434-B942-0A671BA829BD}"/>
            </c:ext>
          </c:extLst>
        </c:ser>
        <c:ser>
          <c:idx val="1"/>
          <c:order val="2"/>
          <c:tx>
            <c:v>Right labels</c:v>
          </c:tx>
          <c:spPr>
            <a:ln w="25400" cap="rnd">
              <a:noFill/>
              <a:round/>
            </a:ln>
            <a:effectLst/>
          </c:spPr>
          <c:marker>
            <c:symbol val="none"/>
          </c:marker>
          <c:dLbls>
            <c:dLbl>
              <c:idx val="0"/>
              <c:tx>
                <c:rich>
                  <a:bodyPr/>
                  <a:lstStyle/>
                  <a:p>
                    <a:fld id="{F5817A56-AA5D-4B8C-B66E-0A03E98B4ED0}"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1-8F53-4434-B942-0A671BA829BD}"/>
                </c:ext>
              </c:extLst>
            </c:dLbl>
            <c:dLbl>
              <c:idx val="1"/>
              <c:tx>
                <c:rich>
                  <a:bodyPr/>
                  <a:lstStyle/>
                  <a:p>
                    <a:fld id="{575E2A65-A85E-4F37-B756-F6C024C27D9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8F53-4434-B942-0A671BA829BD}"/>
                </c:ext>
              </c:extLst>
            </c:dLbl>
            <c:dLbl>
              <c:idx val="2"/>
              <c:tx>
                <c:rich>
                  <a:bodyPr/>
                  <a:lstStyle/>
                  <a:p>
                    <a:fld id="{073F633A-D5BC-4EF5-9A85-1B277EFC20E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8F53-4434-B942-0A671BA829BD}"/>
                </c:ext>
              </c:extLst>
            </c:dLbl>
            <c:dLbl>
              <c:idx val="3"/>
              <c:tx>
                <c:rich>
                  <a:bodyPr/>
                  <a:lstStyle/>
                  <a:p>
                    <a:fld id="{8E72327C-DE09-42B6-91EA-75011D1DB35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8F53-4434-B942-0A671BA829BD}"/>
                </c:ext>
              </c:extLst>
            </c:dLbl>
            <c:dLbl>
              <c:idx val="4"/>
              <c:tx>
                <c:rich>
                  <a:bodyPr/>
                  <a:lstStyle/>
                  <a:p>
                    <a:fld id="{C8781B8E-79FA-4A88-B835-3AC9CA1D825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8F53-4434-B942-0A671BA829BD}"/>
                </c:ext>
              </c:extLst>
            </c:dLbl>
            <c:dLbl>
              <c:idx val="5"/>
              <c:tx>
                <c:rich>
                  <a:bodyPr/>
                  <a:lstStyle/>
                  <a:p>
                    <a:fld id="{2C584C9A-153A-4F1B-AA01-83B0498FDCB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8F53-4434-B942-0A671BA829BD}"/>
                </c:ext>
              </c:extLst>
            </c:dLbl>
            <c:dLbl>
              <c:idx val="6"/>
              <c:tx>
                <c:rich>
                  <a:bodyPr/>
                  <a:lstStyle/>
                  <a:p>
                    <a:fld id="{25991139-DF4B-496E-B975-1F324B3FEA1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8F53-4434-B942-0A671BA829BD}"/>
                </c:ext>
              </c:extLst>
            </c:dLbl>
            <c:dLbl>
              <c:idx val="7"/>
              <c:tx>
                <c:rich>
                  <a:bodyPr/>
                  <a:lstStyle/>
                  <a:p>
                    <a:fld id="{24F3FBAF-DBD4-48B9-98A3-15779CB7F37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8F53-4434-B942-0A671BA829BD}"/>
                </c:ext>
              </c:extLst>
            </c:dLbl>
            <c:dLbl>
              <c:idx val="8"/>
              <c:tx>
                <c:rich>
                  <a:bodyPr/>
                  <a:lstStyle/>
                  <a:p>
                    <a:fld id="{E32435E7-C60A-4A6A-A4DC-6B45452292D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8F53-4434-B942-0A671BA829BD}"/>
                </c:ext>
              </c:extLst>
            </c:dLbl>
            <c:dLbl>
              <c:idx val="9"/>
              <c:tx>
                <c:rich>
                  <a:bodyPr/>
                  <a:lstStyle/>
                  <a:p>
                    <a:fld id="{4DA9F09D-614F-494D-BCDC-3730AC39E6F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8F53-4434-B942-0A671BA829BD}"/>
                </c:ext>
              </c:extLst>
            </c:dLbl>
            <c:dLbl>
              <c:idx val="10"/>
              <c:tx>
                <c:rich>
                  <a:bodyPr/>
                  <a:lstStyle/>
                  <a:p>
                    <a:fld id="{C8C87178-9B2A-401D-B6F3-42DC8A90098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8F53-4434-B942-0A671BA829BD}"/>
                </c:ext>
              </c:extLst>
            </c:dLbl>
            <c:dLbl>
              <c:idx val="11"/>
              <c:tx>
                <c:rich>
                  <a:bodyPr/>
                  <a:lstStyle/>
                  <a:p>
                    <a:fld id="{7F3862F8-DBD6-47BD-B9C9-BEA64D18447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8F53-4434-B942-0A671BA829BD}"/>
                </c:ext>
              </c:extLst>
            </c:dLbl>
            <c:dLbl>
              <c:idx val="12"/>
              <c:tx>
                <c:rich>
                  <a:bodyPr/>
                  <a:lstStyle/>
                  <a:p>
                    <a:fld id="{448D734B-401B-4204-A12D-4F98D6873F4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8F53-4434-B942-0A671BA829BD}"/>
                </c:ext>
              </c:extLst>
            </c:dLbl>
            <c:dLbl>
              <c:idx val="13"/>
              <c:tx>
                <c:rich>
                  <a:bodyPr/>
                  <a:lstStyle/>
                  <a:p>
                    <a:fld id="{5E70528E-F5B1-404F-8E49-D598DE8BB33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8F53-4434-B942-0A671BA829BD}"/>
                </c:ext>
              </c:extLst>
            </c:dLbl>
            <c:dLbl>
              <c:idx val="14"/>
              <c:tx>
                <c:rich>
                  <a:bodyPr/>
                  <a:lstStyle/>
                  <a:p>
                    <a:fld id="{35C55C8A-A720-4CB5-BF78-EE35CBC3711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8F53-4434-B942-0A671BA829BD}"/>
                </c:ext>
              </c:extLst>
            </c:dLbl>
            <c:dLbl>
              <c:idx val="15"/>
              <c:tx>
                <c:rich>
                  <a:bodyPr/>
                  <a:lstStyle/>
                  <a:p>
                    <a:fld id="{43C5E089-24DD-4B28-BB7E-0D424E23536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8F53-4434-B942-0A671BA829BD}"/>
                </c:ext>
              </c:extLst>
            </c:dLbl>
            <c:dLbl>
              <c:idx val="16"/>
              <c:tx>
                <c:rich>
                  <a:bodyPr/>
                  <a:lstStyle/>
                  <a:p>
                    <a:fld id="{542FEB47-0308-4C83-B8A0-0842BD45531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8F53-4434-B942-0A671BA829BD}"/>
                </c:ext>
              </c:extLst>
            </c:dLbl>
            <c:dLbl>
              <c:idx val="17"/>
              <c:tx>
                <c:rich>
                  <a:bodyPr/>
                  <a:lstStyle/>
                  <a:p>
                    <a:fld id="{FFC1A946-338E-4030-8765-4F4DFB849D1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8F53-4434-B942-0A671BA829BD}"/>
                </c:ext>
              </c:extLst>
            </c:dLbl>
            <c:dLbl>
              <c:idx val="18"/>
              <c:tx>
                <c:rich>
                  <a:bodyPr/>
                  <a:lstStyle/>
                  <a:p>
                    <a:fld id="{60D016C9-9EAD-4D02-8BDE-710A8D97BD1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8F53-4434-B942-0A671BA829BD}"/>
                </c:ext>
              </c:extLst>
            </c:dLbl>
            <c:dLbl>
              <c:idx val="19"/>
              <c:tx>
                <c:rich>
                  <a:bodyPr/>
                  <a:lstStyle/>
                  <a:p>
                    <a:fld id="{B896CCAB-3D6E-4478-9294-93B81CC260A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8F53-4434-B942-0A671BA829BD}"/>
                </c:ext>
              </c:extLst>
            </c:dLbl>
            <c:dLbl>
              <c:idx val="20"/>
              <c:tx>
                <c:rich>
                  <a:bodyPr/>
                  <a:lstStyle/>
                  <a:p>
                    <a:fld id="{F778E082-627F-405A-9A97-046662B8502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8F53-4434-B942-0A671BA829BD}"/>
                </c:ext>
              </c:extLst>
            </c:dLbl>
            <c:dLbl>
              <c:idx val="2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6-8F53-4434-B942-0A671BA829BD}"/>
                </c:ext>
              </c:extLst>
            </c:dLbl>
            <c:dLbl>
              <c:idx val="2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7-8F53-4434-B942-0A671BA829BD}"/>
                </c:ext>
              </c:extLst>
            </c:dLbl>
            <c:dLbl>
              <c:idx val="2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8F53-4434-B942-0A671BA829BD}"/>
                </c:ext>
              </c:extLst>
            </c:dLbl>
            <c:dLbl>
              <c:idx val="2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8F53-4434-B942-0A671BA829BD}"/>
                </c:ext>
              </c:extLst>
            </c:dLbl>
            <c:dLbl>
              <c:idx val="2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8F53-4434-B942-0A671BA829BD}"/>
                </c:ext>
              </c:extLst>
            </c:dLbl>
            <c:dLbl>
              <c:idx val="2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8F53-4434-B942-0A671BA829BD}"/>
                </c:ext>
              </c:extLst>
            </c:dLbl>
            <c:dLbl>
              <c:idx val="2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8F53-4434-B942-0A671BA829BD}"/>
                </c:ext>
              </c:extLst>
            </c:dLbl>
            <c:dLbl>
              <c:idx val="2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8F53-4434-B942-0A671BA829BD}"/>
                </c:ext>
              </c:extLst>
            </c:dLbl>
            <c:dLbl>
              <c:idx val="2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8F53-4434-B942-0A671BA829BD}"/>
                </c:ext>
              </c:extLst>
            </c:dLbl>
            <c:dLbl>
              <c:idx val="3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8F53-4434-B942-0A671BA829BD}"/>
                </c:ext>
              </c:extLst>
            </c:dLbl>
            <c:dLbl>
              <c:idx val="3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8F53-4434-B942-0A671BA829BD}"/>
                </c:ext>
              </c:extLst>
            </c:dLbl>
            <c:dLbl>
              <c:idx val="3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8F53-4434-B942-0A671BA829BD}"/>
                </c:ext>
              </c:extLst>
            </c:dLbl>
            <c:dLbl>
              <c:idx val="3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8F53-4434-B942-0A671BA829BD}"/>
                </c:ext>
              </c:extLst>
            </c:dLbl>
            <c:dLbl>
              <c:idx val="3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8F53-4434-B942-0A671BA829BD}"/>
                </c:ext>
              </c:extLst>
            </c:dLbl>
            <c:dLbl>
              <c:idx val="3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8F53-4434-B942-0A671BA829BD}"/>
                </c:ext>
              </c:extLst>
            </c:dLbl>
            <c:dLbl>
              <c:idx val="3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8F53-4434-B942-0A671BA829BD}"/>
                </c:ext>
              </c:extLst>
            </c:dLbl>
            <c:dLbl>
              <c:idx val="3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8F53-4434-B942-0A671BA829BD}"/>
                </c:ext>
              </c:extLst>
            </c:dLbl>
            <c:dLbl>
              <c:idx val="3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8F53-4434-B942-0A671BA829B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Sheet1!$I$2:$I$40</c:f>
              <c:numCache>
                <c:formatCode>General</c:formatCode>
                <c:ptCount val="39"/>
                <c:pt idx="0">
                  <c:v>60000</c:v>
                </c:pt>
                <c:pt idx="1">
                  <c:v>60000</c:v>
                </c:pt>
                <c:pt idx="2">
                  <c:v>60000</c:v>
                </c:pt>
                <c:pt idx="3">
                  <c:v>60000</c:v>
                </c:pt>
                <c:pt idx="4">
                  <c:v>60000</c:v>
                </c:pt>
                <c:pt idx="5">
                  <c:v>60000</c:v>
                </c:pt>
                <c:pt idx="6">
                  <c:v>60000</c:v>
                </c:pt>
                <c:pt idx="7">
                  <c:v>60000</c:v>
                </c:pt>
                <c:pt idx="8">
                  <c:v>60000</c:v>
                </c:pt>
                <c:pt idx="9">
                  <c:v>60000</c:v>
                </c:pt>
                <c:pt idx="10">
                  <c:v>60000</c:v>
                </c:pt>
                <c:pt idx="11">
                  <c:v>60000</c:v>
                </c:pt>
                <c:pt idx="12">
                  <c:v>60000</c:v>
                </c:pt>
                <c:pt idx="13">
                  <c:v>60000</c:v>
                </c:pt>
                <c:pt idx="14">
                  <c:v>60000</c:v>
                </c:pt>
                <c:pt idx="15">
                  <c:v>60000</c:v>
                </c:pt>
                <c:pt idx="16">
                  <c:v>60000</c:v>
                </c:pt>
                <c:pt idx="17">
                  <c:v>60000</c:v>
                </c:pt>
                <c:pt idx="18">
                  <c:v>60000</c:v>
                </c:pt>
                <c:pt idx="19">
                  <c:v>60000</c:v>
                </c:pt>
                <c:pt idx="20">
                  <c:v>60000</c:v>
                </c:pt>
              </c:numCache>
            </c:numRef>
          </c:xVal>
          <c:yVal>
            <c:numRef>
              <c:f>Sheet1!$G$2:$G$40</c:f>
              <c:numCache>
                <c:formatCode>General</c:formatCode>
                <c:ptCount val="39"/>
                <c:pt idx="0">
                  <c:v>21</c:v>
                </c:pt>
                <c:pt idx="1">
                  <c:v>20</c:v>
                </c:pt>
                <c:pt idx="2">
                  <c:v>19</c:v>
                </c:pt>
                <c:pt idx="3">
                  <c:v>18</c:v>
                </c:pt>
                <c:pt idx="4">
                  <c:v>17</c:v>
                </c:pt>
                <c:pt idx="5">
                  <c:v>16</c:v>
                </c:pt>
                <c:pt idx="6">
                  <c:v>15</c:v>
                </c:pt>
                <c:pt idx="7">
                  <c:v>14</c:v>
                </c:pt>
                <c:pt idx="8">
                  <c:v>13</c:v>
                </c:pt>
                <c:pt idx="9">
                  <c:v>12</c:v>
                </c:pt>
                <c:pt idx="10">
                  <c:v>11</c:v>
                </c:pt>
                <c:pt idx="11">
                  <c:v>10</c:v>
                </c:pt>
                <c:pt idx="12">
                  <c:v>9</c:v>
                </c:pt>
                <c:pt idx="13">
                  <c:v>8</c:v>
                </c:pt>
                <c:pt idx="14">
                  <c:v>7</c:v>
                </c:pt>
                <c:pt idx="15">
                  <c:v>6</c:v>
                </c:pt>
                <c:pt idx="16">
                  <c:v>5</c:v>
                </c:pt>
                <c:pt idx="17">
                  <c:v>4</c:v>
                </c:pt>
                <c:pt idx="18">
                  <c:v>3</c:v>
                </c:pt>
                <c:pt idx="19">
                  <c:v>2</c:v>
                </c:pt>
                <c:pt idx="20">
                  <c:v>1</c:v>
                </c:pt>
              </c:numCache>
            </c:numRef>
          </c:yVal>
          <c:smooth val="0"/>
          <c:extLst>
            <c:ext xmlns:c15="http://schemas.microsoft.com/office/drawing/2012/chart" uri="{02D57815-91ED-43cb-92C2-25804820EDAC}">
              <c15:datalabelsRange>
                <c15:f>Sheet1!$J$2:$J$40</c15:f>
                <c15:dlblRangeCache>
                  <c:ptCount val="39"/>
                  <c:pt idx="1">
                    <c:v>$7,483 ± $14,751</c:v>
                  </c:pt>
                  <c:pt idx="2">
                    <c:v> ------------------------</c:v>
                  </c:pt>
                  <c:pt idx="3">
                    <c:v>-$1,949 ± $2,693</c:v>
                  </c:pt>
                  <c:pt idx="4">
                    <c:v>-$11,675 ± $23,155</c:v>
                  </c:pt>
                  <c:pt idx="5">
                    <c:v>-$4,315 ± $3,089</c:v>
                  </c:pt>
                  <c:pt idx="6">
                    <c:v>-$1,377 ± $1,335</c:v>
                  </c:pt>
                  <c:pt idx="7">
                    <c:v> ------------------------</c:v>
                  </c:pt>
                  <c:pt idx="8">
                    <c:v>$11,867 ± $12,838</c:v>
                  </c:pt>
                  <c:pt idx="9">
                    <c:v>-$2,695 ± $7,742</c:v>
                  </c:pt>
                  <c:pt idx="10">
                    <c:v>-$219 ± $16,127</c:v>
                  </c:pt>
                  <c:pt idx="11">
                    <c:v>-$519 ± $23,036</c:v>
                  </c:pt>
                  <c:pt idx="12">
                    <c:v> ------------------------</c:v>
                  </c:pt>
                  <c:pt idx="13">
                    <c:v>-$3,610 ± $3,479</c:v>
                  </c:pt>
                  <c:pt idx="14">
                    <c:v>$9,784 ± $10,596</c:v>
                  </c:pt>
                  <c:pt idx="15">
                    <c:v> ------------------------</c:v>
                  </c:pt>
                  <c:pt idx="16">
                    <c:v>-$2,183 ± $5,145</c:v>
                  </c:pt>
                  <c:pt idx="17">
                    <c:v>$362 ± $5,904</c:v>
                  </c:pt>
                  <c:pt idx="18">
                    <c:v> ------------------------</c:v>
                  </c:pt>
                  <c:pt idx="19">
                    <c:v>$7,006 ± $47,993</c:v>
                  </c:pt>
                  <c:pt idx="20">
                    <c:v>-$14,596 ± $30,449</c:v>
                  </c:pt>
                </c15:dlblRangeCache>
              </c15:datalabelsRange>
            </c:ext>
            <c:ext xmlns:c16="http://schemas.microsoft.com/office/drawing/2014/chart" uri="{C3380CC4-5D6E-409C-BE32-E72D297353CC}">
              <c16:uniqueId val="{00000068-8F53-4434-B942-0A671BA829BD}"/>
            </c:ext>
          </c:extLst>
        </c:ser>
        <c:dLbls>
          <c:dLblPos val="r"/>
          <c:showLegendKey val="0"/>
          <c:showVal val="1"/>
          <c:showCatName val="0"/>
          <c:showSerName val="0"/>
          <c:showPercent val="0"/>
          <c:showBubbleSize val="0"/>
        </c:dLbls>
        <c:axId val="848893584"/>
        <c:axId val="848895664"/>
      </c:scatterChart>
      <c:valAx>
        <c:axId val="848893584"/>
        <c:scaling>
          <c:orientation val="minMax"/>
          <c:max val="60000"/>
          <c:min val="-60000"/>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Difference in NDIS expenditure</a:t>
                </a:r>
                <a:r>
                  <a:rPr lang="en-AU" sz="800" b="1" baseline="0">
                    <a:solidFill>
                      <a:sysClr val="windowText" lastClr="000000"/>
                    </a:solidFill>
                  </a:rPr>
                  <a:t> (ATE per month per priority participant)</a:t>
                </a:r>
                <a:endParaRPr lang="en-AU" sz="800" b="1">
                  <a:solidFill>
                    <a:sysClr val="windowText" lastClr="000000"/>
                  </a:solidFill>
                </a:endParaRPr>
              </a:p>
            </c:rich>
          </c:tx>
          <c:layout>
            <c:manualLayout>
              <c:xMode val="edge"/>
              <c:yMode val="edge"/>
              <c:x val="0.19610717335031916"/>
              <c:y val="0.9699999031486378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21"/>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60126219162364"/>
          <c:y val="0"/>
          <c:w val="0.71193914013760329"/>
          <c:h val="0.89533878328903149"/>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0"/>
            <c:marker>
              <c:symbol val="circle"/>
              <c:size val="5"/>
              <c:spPr>
                <a:solidFill>
                  <a:srgbClr val="C4450C"/>
                </a:solidFill>
                <a:ln w="9525">
                  <a:noFill/>
                </a:ln>
                <a:effectLst/>
              </c:spPr>
            </c:marker>
            <c:bubble3D val="0"/>
            <c:extLst>
              <c:ext xmlns:c16="http://schemas.microsoft.com/office/drawing/2014/chart" uri="{C3380CC4-5D6E-409C-BE32-E72D297353CC}">
                <c16:uniqueId val="{0000006B-08F4-4AE6-9F69-8E8EC51E00DA}"/>
              </c:ext>
            </c:extLst>
          </c:dPt>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0-08F4-4AE6-9F69-8E8EC51E00DA}"/>
              </c:ext>
            </c:extLst>
          </c:dPt>
          <c:dPt>
            <c:idx val="2"/>
            <c:marker>
              <c:symbol val="circle"/>
              <c:size val="5"/>
              <c:spPr>
                <a:solidFill>
                  <a:schemeClr val="bg2"/>
                </a:solidFill>
                <a:ln w="9525">
                  <a:noFill/>
                </a:ln>
                <a:effectLst/>
              </c:spPr>
            </c:marker>
            <c:bubble3D val="0"/>
            <c:extLst>
              <c:ext xmlns:c16="http://schemas.microsoft.com/office/drawing/2014/chart" uri="{C3380CC4-5D6E-409C-BE32-E72D297353CC}">
                <c16:uniqueId val="{00000069-08F4-4AE6-9F69-8E8EC51E00DA}"/>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1-08F4-4AE6-9F69-8E8EC51E00DA}"/>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2-08F4-4AE6-9F69-8E8EC51E00DA}"/>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3-08F4-4AE6-9F69-8E8EC51E00DA}"/>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4-08F4-4AE6-9F69-8E8EC51E00DA}"/>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5-08F4-4AE6-9F69-8E8EC51E00DA}"/>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06-08F4-4AE6-9F69-8E8EC51E00DA}"/>
              </c:ext>
            </c:extLst>
          </c:dPt>
          <c:dPt>
            <c:idx val="9"/>
            <c:marker>
              <c:symbol val="circle"/>
              <c:size val="5"/>
              <c:spPr>
                <a:solidFill>
                  <a:schemeClr val="accent4"/>
                </a:solidFill>
                <a:ln w="9525">
                  <a:noFill/>
                </a:ln>
                <a:effectLst/>
              </c:spPr>
            </c:marker>
            <c:bubble3D val="0"/>
            <c:extLst>
              <c:ext xmlns:c16="http://schemas.microsoft.com/office/drawing/2014/chart" uri="{C3380CC4-5D6E-409C-BE32-E72D297353CC}">
                <c16:uniqueId val="{0000006A-08F4-4AE6-9F69-8E8EC51E00DA}"/>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7-08F4-4AE6-9F69-8E8EC51E00DA}"/>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8-08F4-4AE6-9F69-8E8EC51E00DA}"/>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9-08F4-4AE6-9F69-8E8EC51E00DA}"/>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0A-08F4-4AE6-9F69-8E8EC51E00DA}"/>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0B-08F4-4AE6-9F69-8E8EC51E00DA}"/>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C-08F4-4AE6-9F69-8E8EC51E00DA}"/>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0D-08F4-4AE6-9F69-8E8EC51E00DA}"/>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0E-08F4-4AE6-9F69-8E8EC51E00DA}"/>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0F-08F4-4AE6-9F69-8E8EC51E00DA}"/>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0-08F4-4AE6-9F69-8E8EC51E00DA}"/>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1-08F4-4AE6-9F69-8E8EC51E00DA}"/>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2-08F4-4AE6-9F69-8E8EC51E00DA}"/>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3-08F4-4AE6-9F69-8E8EC51E00DA}"/>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4-08F4-4AE6-9F69-8E8EC51E00DA}"/>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5-08F4-4AE6-9F69-8E8EC51E00DA}"/>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6-08F4-4AE6-9F69-8E8EC51E00DA}"/>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7-08F4-4AE6-9F69-8E8EC51E00DA}"/>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Sheet1!$F$2:$F$40</c:f>
                <c:numCache>
                  <c:formatCode>General</c:formatCode>
                  <c:ptCount val="39"/>
                  <c:pt idx="0">
                    <c:v>1519.0352800000001</c:v>
                  </c:pt>
                  <c:pt idx="2">
                    <c:v>1111.8786</c:v>
                  </c:pt>
                  <c:pt idx="3">
                    <c:v>3468.9295200000001</c:v>
                  </c:pt>
                  <c:pt idx="4">
                    <c:v>4157.6715599999998</c:v>
                  </c:pt>
                  <c:pt idx="5">
                    <c:v>659.34399999999994</c:v>
                  </c:pt>
                  <c:pt idx="6">
                    <c:v>2051.8279600000001</c:v>
                  </c:pt>
                  <c:pt idx="7">
                    <c:v>900.85127999999997</c:v>
                  </c:pt>
                  <c:pt idx="9">
                    <c:v>1590.42436</c:v>
                  </c:pt>
                  <c:pt idx="10">
                    <c:v>3318.45444</c:v>
                  </c:pt>
                  <c:pt idx="11">
                    <c:v>9483.0523200000007</c:v>
                  </c:pt>
                  <c:pt idx="12">
                    <c:v>11342.78656</c:v>
                  </c:pt>
                  <c:pt idx="13">
                    <c:v>4151.8425199999992</c:v>
                  </c:pt>
                  <c:pt idx="14">
                    <c:v>2706.5248000000001</c:v>
                  </c:pt>
                  <c:pt idx="15">
                    <c:v>5874.4982800000007</c:v>
                  </c:pt>
                  <c:pt idx="17">
                    <c:v>1838.1526799999999</c:v>
                  </c:pt>
                  <c:pt idx="18">
                    <c:v>2985.8933999999999</c:v>
                  </c:pt>
                  <c:pt idx="19">
                    <c:v>1505.03304</c:v>
                  </c:pt>
                  <c:pt idx="20">
                    <c:v>3018.0393600000002</c:v>
                  </c:pt>
                  <c:pt idx="21">
                    <c:v>2737.3320799999997</c:v>
                  </c:pt>
                  <c:pt idx="22">
                    <c:v>3653.3302399999998</c:v>
                  </c:pt>
                </c:numCache>
              </c:numRef>
            </c:plus>
            <c:minus>
              <c:numRef>
                <c:f>Sheet1!$F$2:$F$40</c:f>
                <c:numCache>
                  <c:formatCode>General</c:formatCode>
                  <c:ptCount val="39"/>
                  <c:pt idx="0">
                    <c:v>1519.0352800000001</c:v>
                  </c:pt>
                  <c:pt idx="2">
                    <c:v>1111.8786</c:v>
                  </c:pt>
                  <c:pt idx="3">
                    <c:v>3468.9295200000001</c:v>
                  </c:pt>
                  <c:pt idx="4">
                    <c:v>4157.6715599999998</c:v>
                  </c:pt>
                  <c:pt idx="5">
                    <c:v>659.34399999999994</c:v>
                  </c:pt>
                  <c:pt idx="6">
                    <c:v>2051.8279600000001</c:v>
                  </c:pt>
                  <c:pt idx="7">
                    <c:v>900.85127999999997</c:v>
                  </c:pt>
                  <c:pt idx="9">
                    <c:v>1590.42436</c:v>
                  </c:pt>
                  <c:pt idx="10">
                    <c:v>3318.45444</c:v>
                  </c:pt>
                  <c:pt idx="11">
                    <c:v>9483.0523200000007</c:v>
                  </c:pt>
                  <c:pt idx="12">
                    <c:v>11342.78656</c:v>
                  </c:pt>
                  <c:pt idx="13">
                    <c:v>4151.8425199999992</c:v>
                  </c:pt>
                  <c:pt idx="14">
                    <c:v>2706.5248000000001</c:v>
                  </c:pt>
                  <c:pt idx="15">
                    <c:v>5874.4982800000007</c:v>
                  </c:pt>
                  <c:pt idx="17">
                    <c:v>1838.1526799999999</c:v>
                  </c:pt>
                  <c:pt idx="18">
                    <c:v>2985.8933999999999</c:v>
                  </c:pt>
                  <c:pt idx="19">
                    <c:v>1505.03304</c:v>
                  </c:pt>
                  <c:pt idx="20">
                    <c:v>3018.0393600000002</c:v>
                  </c:pt>
                  <c:pt idx="21">
                    <c:v>2737.3320799999997</c:v>
                  </c:pt>
                  <c:pt idx="22">
                    <c:v>3653.3302399999998</c:v>
                  </c:pt>
                </c:numCache>
              </c:numRef>
            </c:minus>
            <c:spPr>
              <a:noFill/>
              <a:ln w="9525" cap="flat" cmpd="sng" algn="ctr">
                <a:solidFill>
                  <a:schemeClr val="tx1">
                    <a:lumMod val="65000"/>
                    <a:lumOff val="35000"/>
                  </a:schemeClr>
                </a:solidFill>
                <a:round/>
              </a:ln>
              <a:effectLst/>
            </c:spPr>
          </c:errBars>
          <c:xVal>
            <c:numRef>
              <c:f>Sheet1!$C$2:$C$40</c:f>
              <c:numCache>
                <c:formatCode>General</c:formatCode>
                <c:ptCount val="39"/>
                <c:pt idx="0" formatCode="&quot;$&quot;#,##0">
                  <c:v>-1042.76</c:v>
                </c:pt>
                <c:pt idx="2" formatCode="&quot;$&quot;#,##0">
                  <c:v>-674.73500000000001</c:v>
                </c:pt>
                <c:pt idx="3" formatCode="&quot;$&quot;#,##0">
                  <c:v>-690.90200000000004</c:v>
                </c:pt>
                <c:pt idx="4" formatCode="&quot;$&quot;#,##0">
                  <c:v>948.54300000000001</c:v>
                </c:pt>
                <c:pt idx="5" formatCode="&quot;$&quot;#,##0">
                  <c:v>209.441</c:v>
                </c:pt>
                <c:pt idx="6" formatCode="&quot;$&quot;#,##0">
                  <c:v>168.44900000000001</c:v>
                </c:pt>
                <c:pt idx="7" formatCode="&quot;$&quot;#,##0">
                  <c:v>-624.13900000000001</c:v>
                </c:pt>
                <c:pt idx="9" formatCode="&quot;$&quot;#,##0">
                  <c:v>-1488.86</c:v>
                </c:pt>
                <c:pt idx="10" formatCode="&quot;$&quot;#,##0">
                  <c:v>-1041.94</c:v>
                </c:pt>
                <c:pt idx="11" formatCode="&quot;$&quot;#,##0">
                  <c:v>-75.078999999999994</c:v>
                </c:pt>
                <c:pt idx="12" formatCode="&quot;$&quot;#,##0">
                  <c:v>-2985.05</c:v>
                </c:pt>
                <c:pt idx="13" formatCode="&quot;$&quot;#,##0">
                  <c:v>-2955.74</c:v>
                </c:pt>
                <c:pt idx="14" formatCode="&quot;$&quot;#,##0">
                  <c:v>-3083.46</c:v>
                </c:pt>
                <c:pt idx="15" formatCode="&quot;$&quot;#,##0">
                  <c:v>-2891.61</c:v>
                </c:pt>
                <c:pt idx="17" formatCode="&quot;$&quot;#,##0">
                  <c:v>3640.4070000000002</c:v>
                </c:pt>
                <c:pt idx="18" formatCode="&quot;$&quot;#,##0">
                  <c:v>-2664.49</c:v>
                </c:pt>
                <c:pt idx="19" formatCode="&quot;$&quot;#,##0">
                  <c:v>214.50899999999999</c:v>
                </c:pt>
                <c:pt idx="20" formatCode="&quot;$&quot;#,##0">
                  <c:v>-751.2</c:v>
                </c:pt>
                <c:pt idx="21" formatCode="&quot;$&quot;#,##0">
                  <c:v>1988.903</c:v>
                </c:pt>
                <c:pt idx="22" formatCode="&quot;$&quot;#,##0">
                  <c:v>439.87400000000002</c:v>
                </c:pt>
              </c:numCache>
            </c:numRef>
          </c:xVal>
          <c:yVal>
            <c:numRef>
              <c:f>Sheet1!$G$2:$G$40</c:f>
              <c:numCache>
                <c:formatCode>General</c:formatCode>
                <c:ptCount val="39"/>
                <c:pt idx="0">
                  <c:v>23</c:v>
                </c:pt>
                <c:pt idx="1">
                  <c:v>22</c:v>
                </c:pt>
                <c:pt idx="2">
                  <c:v>21</c:v>
                </c:pt>
                <c:pt idx="3">
                  <c:v>20</c:v>
                </c:pt>
                <c:pt idx="4">
                  <c:v>19</c:v>
                </c:pt>
                <c:pt idx="5">
                  <c:v>18</c:v>
                </c:pt>
                <c:pt idx="6">
                  <c:v>17</c:v>
                </c:pt>
                <c:pt idx="7">
                  <c:v>16</c:v>
                </c:pt>
                <c:pt idx="8">
                  <c:v>15</c:v>
                </c:pt>
                <c:pt idx="9">
                  <c:v>14</c:v>
                </c:pt>
                <c:pt idx="10">
                  <c:v>13</c:v>
                </c:pt>
                <c:pt idx="11">
                  <c:v>12</c:v>
                </c:pt>
                <c:pt idx="12">
                  <c:v>11</c:v>
                </c:pt>
                <c:pt idx="13">
                  <c:v>10</c:v>
                </c:pt>
                <c:pt idx="14">
                  <c:v>9</c:v>
                </c:pt>
                <c:pt idx="15">
                  <c:v>8</c:v>
                </c:pt>
                <c:pt idx="16">
                  <c:v>7</c:v>
                </c:pt>
                <c:pt idx="17">
                  <c:v>6</c:v>
                </c:pt>
                <c:pt idx="18">
                  <c:v>5</c:v>
                </c:pt>
                <c:pt idx="19">
                  <c:v>4</c:v>
                </c:pt>
                <c:pt idx="20">
                  <c:v>3</c:v>
                </c:pt>
                <c:pt idx="21">
                  <c:v>2</c:v>
                </c:pt>
                <c:pt idx="22">
                  <c:v>1</c:v>
                </c:pt>
              </c:numCache>
            </c:numRef>
          </c:yVal>
          <c:smooth val="0"/>
          <c:extLst>
            <c:ext xmlns:c16="http://schemas.microsoft.com/office/drawing/2014/chart" uri="{C3380CC4-5D6E-409C-BE32-E72D297353CC}">
              <c16:uniqueId val="{00000018-08F4-4AE6-9F69-8E8EC51E00DA}"/>
            </c:ext>
          </c:extLst>
        </c:ser>
        <c:ser>
          <c:idx val="0"/>
          <c:order val="1"/>
          <c:tx>
            <c:v>labels</c:v>
          </c:tx>
          <c:spPr>
            <a:ln w="25400" cap="rnd">
              <a:noFill/>
              <a:round/>
            </a:ln>
            <a:effectLst/>
          </c:spPr>
          <c:marker>
            <c:symbol val="none"/>
          </c:marker>
          <c:dLbls>
            <c:dLbl>
              <c:idx val="0"/>
              <c:tx>
                <c:rich>
                  <a:bodyPr/>
                  <a:lstStyle/>
                  <a:p>
                    <a:fld id="{305D6B5F-CF46-493D-9C57-F8BBD783609F}" type="CELLRANGE">
                      <a:rPr lang="en-US"/>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9-08F4-4AE6-9F69-8E8EC51E00DA}"/>
                </c:ext>
              </c:extLst>
            </c:dLbl>
            <c:dLbl>
              <c:idx val="1"/>
              <c:layout>
                <c:manualLayout>
                  <c:x val="-0.15607573149741824"/>
                  <c:y val="4.1152263374485505E-3"/>
                </c:manualLayout>
              </c:layout>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9684E163-28A5-4C5D-AEEB-04910D1E145D}" type="CELLRANGE">
                      <a:rPr lang="en-US"/>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A-08F4-4AE6-9F69-8E8EC51E00DA}"/>
                </c:ext>
              </c:extLst>
            </c:dLbl>
            <c:dLbl>
              <c:idx val="2"/>
              <c:tx>
                <c:rich>
                  <a:bodyPr/>
                  <a:lstStyle/>
                  <a:p>
                    <a:fld id="{3963983E-B573-4011-BB44-15066BA2377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08F4-4AE6-9F69-8E8EC51E00DA}"/>
                </c:ext>
              </c:extLst>
            </c:dLbl>
            <c:dLbl>
              <c:idx val="3"/>
              <c:tx>
                <c:rich>
                  <a:bodyPr/>
                  <a:lstStyle/>
                  <a:p>
                    <a:fld id="{CE7C940C-CAFD-4444-A271-F7EEFB209E3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08F4-4AE6-9F69-8E8EC51E00DA}"/>
                </c:ext>
              </c:extLst>
            </c:dLbl>
            <c:dLbl>
              <c:idx val="4"/>
              <c:tx>
                <c:rich>
                  <a:bodyPr/>
                  <a:lstStyle/>
                  <a:p>
                    <a:fld id="{2D761CB3-8559-41A4-93AA-17FBAAF35E6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08F4-4AE6-9F69-8E8EC51E00DA}"/>
                </c:ext>
              </c:extLst>
            </c:dLbl>
            <c:dLbl>
              <c:idx val="5"/>
              <c:tx>
                <c:rich>
                  <a:bodyPr/>
                  <a:lstStyle/>
                  <a:p>
                    <a:fld id="{C7708593-B668-4CC9-AFA9-8423CA7C7BA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08F4-4AE6-9F69-8E8EC51E00DA}"/>
                </c:ext>
              </c:extLst>
            </c:dLbl>
            <c:dLbl>
              <c:idx val="6"/>
              <c:tx>
                <c:rich>
                  <a:bodyPr/>
                  <a:lstStyle/>
                  <a:p>
                    <a:fld id="{4B8793DC-4128-4FD2-AE29-4139440F89D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08F4-4AE6-9F69-8E8EC51E00DA}"/>
                </c:ext>
              </c:extLst>
            </c:dLbl>
            <c:dLbl>
              <c:idx val="7"/>
              <c:tx>
                <c:rich>
                  <a:bodyPr/>
                  <a:lstStyle/>
                  <a:p>
                    <a:fld id="{B259C659-1C75-422F-BC6B-B392EB35289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08F4-4AE6-9F69-8E8EC51E00DA}"/>
                </c:ext>
              </c:extLst>
            </c:dLbl>
            <c:dLbl>
              <c:idx val="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BF8238E6-1D88-43BE-A505-8792E5F87C4E}"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08F4-4AE6-9F69-8E8EC51E00DA}"/>
                </c:ext>
              </c:extLst>
            </c:dLbl>
            <c:dLbl>
              <c:idx val="9"/>
              <c:tx>
                <c:rich>
                  <a:bodyPr/>
                  <a:lstStyle/>
                  <a:p>
                    <a:fld id="{7C813F57-FE66-46FD-8091-9F2283BBF9E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08F4-4AE6-9F69-8E8EC51E00DA}"/>
                </c:ext>
              </c:extLst>
            </c:dLbl>
            <c:dLbl>
              <c:idx val="10"/>
              <c:tx>
                <c:rich>
                  <a:bodyPr/>
                  <a:lstStyle/>
                  <a:p>
                    <a:fld id="{4A873EB7-18D3-463F-AEB6-6EDB2FA0534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08F4-4AE6-9F69-8E8EC51E00DA}"/>
                </c:ext>
              </c:extLst>
            </c:dLbl>
            <c:dLbl>
              <c:idx val="11"/>
              <c:tx>
                <c:rich>
                  <a:bodyPr/>
                  <a:lstStyle/>
                  <a:p>
                    <a:fld id="{CEC19A5B-FD5B-4EB4-BE0F-0A76530A55D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08F4-4AE6-9F69-8E8EC51E00DA}"/>
                </c:ext>
              </c:extLst>
            </c:dLbl>
            <c:dLbl>
              <c:idx val="12"/>
              <c:tx>
                <c:rich>
                  <a:bodyPr/>
                  <a:lstStyle/>
                  <a:p>
                    <a:fld id="{B6EC29A0-AAB9-4835-9A35-38794BC16EF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08F4-4AE6-9F69-8E8EC51E00DA}"/>
                </c:ext>
              </c:extLst>
            </c:dLbl>
            <c:dLbl>
              <c:idx val="13"/>
              <c:tx>
                <c:rich>
                  <a:bodyPr/>
                  <a:lstStyle/>
                  <a:p>
                    <a:fld id="{08404EB9-D43B-4417-81E3-FE0820B2C00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08F4-4AE6-9F69-8E8EC51E00DA}"/>
                </c:ext>
              </c:extLst>
            </c:dLbl>
            <c:dLbl>
              <c:idx val="14"/>
              <c:tx>
                <c:rich>
                  <a:bodyPr/>
                  <a:lstStyle/>
                  <a:p>
                    <a:fld id="{D6DB9659-439B-491F-AAA5-2B420D5390B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08F4-4AE6-9F69-8E8EC51E00DA}"/>
                </c:ext>
              </c:extLst>
            </c:dLbl>
            <c:dLbl>
              <c:idx val="15"/>
              <c:tx>
                <c:rich>
                  <a:bodyPr/>
                  <a:lstStyle/>
                  <a:p>
                    <a:fld id="{5A62D1C5-0A25-4219-8996-CBB7A588815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08F4-4AE6-9F69-8E8EC51E00DA}"/>
                </c:ext>
              </c:extLst>
            </c:dLbl>
            <c:dLbl>
              <c:idx val="1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E1B194CB-1D03-499E-8838-C760888C662E}"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08F4-4AE6-9F69-8E8EC51E00DA}"/>
                </c:ext>
              </c:extLst>
            </c:dLbl>
            <c:dLbl>
              <c:idx val="17"/>
              <c:tx>
                <c:rich>
                  <a:bodyPr/>
                  <a:lstStyle/>
                  <a:p>
                    <a:fld id="{8168D610-E851-4FFE-8890-38675F52927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08F4-4AE6-9F69-8E8EC51E00DA}"/>
                </c:ext>
              </c:extLst>
            </c:dLbl>
            <c:dLbl>
              <c:idx val="18"/>
              <c:tx>
                <c:rich>
                  <a:bodyPr/>
                  <a:lstStyle/>
                  <a:p>
                    <a:fld id="{9C3D198F-BEDB-4615-933A-B28E2DC0006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08F4-4AE6-9F69-8E8EC51E00DA}"/>
                </c:ext>
              </c:extLst>
            </c:dLbl>
            <c:dLbl>
              <c:idx val="19"/>
              <c:tx>
                <c:rich>
                  <a:bodyPr/>
                  <a:lstStyle/>
                  <a:p>
                    <a:fld id="{0C1F9491-6D63-4C75-820E-26B305D9573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08F4-4AE6-9F69-8E8EC51E00DA}"/>
                </c:ext>
              </c:extLst>
            </c:dLbl>
            <c:dLbl>
              <c:idx val="20"/>
              <c:tx>
                <c:rich>
                  <a:bodyPr/>
                  <a:lstStyle/>
                  <a:p>
                    <a:fld id="{ECCFA310-683F-47B0-B52F-438DD85C400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08F4-4AE6-9F69-8E8EC51E00DA}"/>
                </c:ext>
              </c:extLst>
            </c:dLbl>
            <c:dLbl>
              <c:idx val="21"/>
              <c:tx>
                <c:rich>
                  <a:bodyPr/>
                  <a:lstStyle/>
                  <a:p>
                    <a:fld id="{A55C75F1-E7AB-4F63-9407-424A1844D6F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08F4-4AE6-9F69-8E8EC51E00DA}"/>
                </c:ext>
              </c:extLst>
            </c:dLbl>
            <c:dLbl>
              <c:idx val="22"/>
              <c:tx>
                <c:rich>
                  <a:bodyPr/>
                  <a:lstStyle/>
                  <a:p>
                    <a:fld id="{47C275CE-5924-4EA9-A0F4-D01B7C6DDEC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08F4-4AE6-9F69-8E8EC51E00DA}"/>
                </c:ext>
              </c:extLst>
            </c:dLbl>
            <c:dLbl>
              <c:idx val="23"/>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0-08F4-4AE6-9F69-8E8EC51E00DA}"/>
                </c:ext>
              </c:extLst>
            </c:dLbl>
            <c:dLbl>
              <c:idx val="24"/>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1-08F4-4AE6-9F69-8E8EC51E00DA}"/>
                </c:ext>
              </c:extLst>
            </c:dLbl>
            <c:dLbl>
              <c:idx val="25"/>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2-08F4-4AE6-9F69-8E8EC51E00DA}"/>
                </c:ext>
              </c:extLst>
            </c:dLbl>
            <c:dLbl>
              <c:idx val="2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08F4-4AE6-9F69-8E8EC51E00DA}"/>
                </c:ext>
              </c:extLst>
            </c:dLbl>
            <c:dLbl>
              <c:idx val="27"/>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08F4-4AE6-9F69-8E8EC51E00DA}"/>
                </c:ext>
              </c:extLst>
            </c:dLbl>
            <c:dLbl>
              <c:idx val="2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08F4-4AE6-9F69-8E8EC51E00DA}"/>
                </c:ext>
              </c:extLst>
            </c:dLbl>
            <c:dLbl>
              <c:idx val="29"/>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08F4-4AE6-9F69-8E8EC51E00DA}"/>
                </c:ext>
              </c:extLst>
            </c:dLbl>
            <c:dLbl>
              <c:idx val="30"/>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08F4-4AE6-9F69-8E8EC51E00DA}"/>
                </c:ext>
              </c:extLst>
            </c:dLbl>
            <c:dLbl>
              <c:idx val="31"/>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08F4-4AE6-9F69-8E8EC51E00DA}"/>
                </c:ext>
              </c:extLst>
            </c:dLbl>
            <c:dLbl>
              <c:idx val="32"/>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08F4-4AE6-9F69-8E8EC51E00DA}"/>
                </c:ext>
              </c:extLst>
            </c:dLbl>
            <c:dLbl>
              <c:idx val="33"/>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08F4-4AE6-9F69-8E8EC51E00DA}"/>
                </c:ext>
              </c:extLst>
            </c:dLbl>
            <c:dLbl>
              <c:idx val="34"/>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08F4-4AE6-9F69-8E8EC51E00DA}"/>
                </c:ext>
              </c:extLst>
            </c:dLbl>
            <c:dLbl>
              <c:idx val="35"/>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08F4-4AE6-9F69-8E8EC51E00DA}"/>
                </c:ext>
              </c:extLst>
            </c:dLbl>
            <c:dLbl>
              <c:idx val="3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08F4-4AE6-9F69-8E8EC51E00DA}"/>
                </c:ext>
              </c:extLst>
            </c:dLbl>
            <c:dLbl>
              <c:idx val="37"/>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08F4-4AE6-9F69-8E8EC51E00DA}"/>
                </c:ext>
              </c:extLst>
            </c:dLbl>
            <c:dLbl>
              <c:idx val="38"/>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08F4-4AE6-9F69-8E8EC51E00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Sheet1!$H$2:$H$40</c:f>
              <c:numCache>
                <c:formatCode>General</c:formatCode>
                <c:ptCount val="39"/>
                <c:pt idx="0">
                  <c:v>-15000</c:v>
                </c:pt>
                <c:pt idx="1">
                  <c:v>-15000</c:v>
                </c:pt>
                <c:pt idx="2">
                  <c:v>-15000</c:v>
                </c:pt>
                <c:pt idx="3">
                  <c:v>-15000</c:v>
                </c:pt>
                <c:pt idx="4">
                  <c:v>-15000</c:v>
                </c:pt>
                <c:pt idx="5">
                  <c:v>-15000</c:v>
                </c:pt>
                <c:pt idx="6">
                  <c:v>-15000</c:v>
                </c:pt>
                <c:pt idx="7">
                  <c:v>-15000</c:v>
                </c:pt>
                <c:pt idx="8">
                  <c:v>-15000</c:v>
                </c:pt>
                <c:pt idx="9">
                  <c:v>-15000</c:v>
                </c:pt>
                <c:pt idx="10">
                  <c:v>-15000</c:v>
                </c:pt>
                <c:pt idx="11">
                  <c:v>-15000</c:v>
                </c:pt>
                <c:pt idx="12">
                  <c:v>-15000</c:v>
                </c:pt>
                <c:pt idx="13">
                  <c:v>-15000</c:v>
                </c:pt>
                <c:pt idx="14">
                  <c:v>-15000</c:v>
                </c:pt>
                <c:pt idx="15">
                  <c:v>-15000</c:v>
                </c:pt>
                <c:pt idx="16">
                  <c:v>-15000</c:v>
                </c:pt>
                <c:pt idx="17">
                  <c:v>-15000</c:v>
                </c:pt>
                <c:pt idx="18">
                  <c:v>-15000</c:v>
                </c:pt>
                <c:pt idx="19">
                  <c:v>-15000</c:v>
                </c:pt>
                <c:pt idx="20">
                  <c:v>-15000</c:v>
                </c:pt>
                <c:pt idx="21">
                  <c:v>-15000</c:v>
                </c:pt>
                <c:pt idx="22">
                  <c:v>-15000</c:v>
                </c:pt>
              </c:numCache>
            </c:numRef>
          </c:xVal>
          <c:yVal>
            <c:numRef>
              <c:f>Sheet1!$G$2:$G$40</c:f>
              <c:numCache>
                <c:formatCode>General</c:formatCode>
                <c:ptCount val="39"/>
                <c:pt idx="0">
                  <c:v>23</c:v>
                </c:pt>
                <c:pt idx="1">
                  <c:v>22</c:v>
                </c:pt>
                <c:pt idx="2">
                  <c:v>21</c:v>
                </c:pt>
                <c:pt idx="3">
                  <c:v>20</c:v>
                </c:pt>
                <c:pt idx="4">
                  <c:v>19</c:v>
                </c:pt>
                <c:pt idx="5">
                  <c:v>18</c:v>
                </c:pt>
                <c:pt idx="6">
                  <c:v>17</c:v>
                </c:pt>
                <c:pt idx="7">
                  <c:v>16</c:v>
                </c:pt>
                <c:pt idx="8">
                  <c:v>15</c:v>
                </c:pt>
                <c:pt idx="9">
                  <c:v>14</c:v>
                </c:pt>
                <c:pt idx="10">
                  <c:v>13</c:v>
                </c:pt>
                <c:pt idx="11">
                  <c:v>12</c:v>
                </c:pt>
                <c:pt idx="12">
                  <c:v>11</c:v>
                </c:pt>
                <c:pt idx="13">
                  <c:v>10</c:v>
                </c:pt>
                <c:pt idx="14">
                  <c:v>9</c:v>
                </c:pt>
                <c:pt idx="15">
                  <c:v>8</c:v>
                </c:pt>
                <c:pt idx="16">
                  <c:v>7</c:v>
                </c:pt>
                <c:pt idx="17">
                  <c:v>6</c:v>
                </c:pt>
                <c:pt idx="18">
                  <c:v>5</c:v>
                </c:pt>
                <c:pt idx="19">
                  <c:v>4</c:v>
                </c:pt>
                <c:pt idx="20">
                  <c:v>3</c:v>
                </c:pt>
                <c:pt idx="21">
                  <c:v>2</c:v>
                </c:pt>
                <c:pt idx="22">
                  <c:v>1</c:v>
                </c:pt>
              </c:numCache>
            </c:numRef>
          </c:yVal>
          <c:smooth val="0"/>
          <c:extLst>
            <c:ext xmlns:c15="http://schemas.microsoft.com/office/drawing/2012/chart" uri="{02D57815-91ED-43cb-92C2-25804820EDAC}">
              <c15:datalabelsRange>
                <c15:f>Sheet1!$A$2:$A$40</c15:f>
                <c15:dlblRangeCache>
                  <c:ptCount val="39"/>
                  <c:pt idx="0">
                    <c:v>Total</c:v>
                  </c:pt>
                  <c:pt idx="1">
                    <c:v>NSW -----------------</c:v>
                  </c:pt>
                  <c:pt idx="2">
                    <c:v>Bland</c:v>
                  </c:pt>
                  <c:pt idx="3">
                    <c:v>Bourke</c:v>
                  </c:pt>
                  <c:pt idx="4">
                    <c:v>Brewarrina</c:v>
                  </c:pt>
                  <c:pt idx="5">
                    <c:v>Junee</c:v>
                  </c:pt>
                  <c:pt idx="6">
                    <c:v>Walgett</c:v>
                  </c:pt>
                  <c:pt idx="7">
                    <c:v>Wentworth</c:v>
                  </c:pt>
                  <c:pt idx="8">
                    <c:v>NT ------------------</c:v>
                  </c:pt>
                  <c:pt idx="9">
                    <c:v>Alice Springs</c:v>
                  </c:pt>
                  <c:pt idx="10">
                    <c:v>Barkly</c:v>
                  </c:pt>
                  <c:pt idx="11">
                    <c:v>Central Desert</c:v>
                  </c:pt>
                  <c:pt idx="12">
                    <c:v>MacDonnell</c:v>
                  </c:pt>
                  <c:pt idx="13">
                    <c:v>Tiwi Islands</c:v>
                  </c:pt>
                  <c:pt idx="14">
                    <c:v>West Arnhem</c:v>
                  </c:pt>
                  <c:pt idx="15">
                    <c:v>West Daly</c:v>
                  </c:pt>
                  <c:pt idx="16">
                    <c:v>QLD -----------------</c:v>
                  </c:pt>
                  <c:pt idx="17">
                    <c:v>Aurukun</c:v>
                  </c:pt>
                  <c:pt idx="18">
                    <c:v>Carpentaria</c:v>
                  </c:pt>
                  <c:pt idx="19">
                    <c:v>Cloncurry</c:v>
                  </c:pt>
                  <c:pt idx="20">
                    <c:v>Doomadgee</c:v>
                  </c:pt>
                  <c:pt idx="21">
                    <c:v>Mornington</c:v>
                  </c:pt>
                  <c:pt idx="22">
                    <c:v>Woorabinda</c:v>
                  </c:pt>
                </c15:dlblRangeCache>
              </c15:datalabelsRange>
            </c:ext>
            <c:ext xmlns:c16="http://schemas.microsoft.com/office/drawing/2014/chart" uri="{C3380CC4-5D6E-409C-BE32-E72D297353CC}">
              <c16:uniqueId val="{00000040-08F4-4AE6-9F69-8E8EC51E00DA}"/>
            </c:ext>
          </c:extLst>
        </c:ser>
        <c:ser>
          <c:idx val="1"/>
          <c:order val="2"/>
          <c:tx>
            <c:v>Right labels</c:v>
          </c:tx>
          <c:spPr>
            <a:ln w="25400" cap="rnd">
              <a:noFill/>
              <a:round/>
            </a:ln>
            <a:effectLst/>
          </c:spPr>
          <c:marker>
            <c:symbol val="none"/>
          </c:marker>
          <c:dLbls>
            <c:dLbl>
              <c:idx val="0"/>
              <c:tx>
                <c:rich>
                  <a:bodyPr/>
                  <a:lstStyle/>
                  <a:p>
                    <a:fld id="{2E24D29B-BBDB-4F57-BC8A-EDC49F73CCA5}"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1-08F4-4AE6-9F69-8E8EC51E00DA}"/>
                </c:ext>
              </c:extLst>
            </c:dLbl>
            <c:dLbl>
              <c:idx val="1"/>
              <c:tx>
                <c:rich>
                  <a:bodyPr/>
                  <a:lstStyle/>
                  <a:p>
                    <a:fld id="{B99CF01C-FF80-4D4D-8769-EBEE86D5C76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08F4-4AE6-9F69-8E8EC51E00DA}"/>
                </c:ext>
              </c:extLst>
            </c:dLbl>
            <c:dLbl>
              <c:idx val="2"/>
              <c:tx>
                <c:rich>
                  <a:bodyPr/>
                  <a:lstStyle/>
                  <a:p>
                    <a:fld id="{EBF6E2C0-682F-444A-8C31-37CB18FA15A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08F4-4AE6-9F69-8E8EC51E00DA}"/>
                </c:ext>
              </c:extLst>
            </c:dLbl>
            <c:dLbl>
              <c:idx val="3"/>
              <c:tx>
                <c:rich>
                  <a:bodyPr/>
                  <a:lstStyle/>
                  <a:p>
                    <a:fld id="{CD2E37C6-783B-4F85-B0F9-F0954ADC325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08F4-4AE6-9F69-8E8EC51E00DA}"/>
                </c:ext>
              </c:extLst>
            </c:dLbl>
            <c:dLbl>
              <c:idx val="4"/>
              <c:tx>
                <c:rich>
                  <a:bodyPr/>
                  <a:lstStyle/>
                  <a:p>
                    <a:fld id="{0FB0D426-88A4-40BD-BA37-D1957A4C88F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08F4-4AE6-9F69-8E8EC51E00DA}"/>
                </c:ext>
              </c:extLst>
            </c:dLbl>
            <c:dLbl>
              <c:idx val="5"/>
              <c:tx>
                <c:rich>
                  <a:bodyPr/>
                  <a:lstStyle/>
                  <a:p>
                    <a:fld id="{D46091A1-AD84-437B-A69E-C1E1D33A0BF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08F4-4AE6-9F69-8E8EC51E00DA}"/>
                </c:ext>
              </c:extLst>
            </c:dLbl>
            <c:dLbl>
              <c:idx val="6"/>
              <c:tx>
                <c:rich>
                  <a:bodyPr/>
                  <a:lstStyle/>
                  <a:p>
                    <a:fld id="{0515A685-6E2E-4854-90FA-D9F9BF0C81F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08F4-4AE6-9F69-8E8EC51E00DA}"/>
                </c:ext>
              </c:extLst>
            </c:dLbl>
            <c:dLbl>
              <c:idx val="7"/>
              <c:tx>
                <c:rich>
                  <a:bodyPr/>
                  <a:lstStyle/>
                  <a:p>
                    <a:fld id="{5525A004-FD6F-47C2-A2FD-B655E029A9A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08F4-4AE6-9F69-8E8EC51E00DA}"/>
                </c:ext>
              </c:extLst>
            </c:dLbl>
            <c:dLbl>
              <c:idx val="8"/>
              <c:tx>
                <c:rich>
                  <a:bodyPr/>
                  <a:lstStyle/>
                  <a:p>
                    <a:fld id="{EE2020F7-8868-46E5-A0D5-615AC4EAD82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08F4-4AE6-9F69-8E8EC51E00DA}"/>
                </c:ext>
              </c:extLst>
            </c:dLbl>
            <c:dLbl>
              <c:idx val="9"/>
              <c:tx>
                <c:rich>
                  <a:bodyPr/>
                  <a:lstStyle/>
                  <a:p>
                    <a:fld id="{EB4C15B2-DA37-4313-8BE2-546D5A420E6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08F4-4AE6-9F69-8E8EC51E00DA}"/>
                </c:ext>
              </c:extLst>
            </c:dLbl>
            <c:dLbl>
              <c:idx val="10"/>
              <c:tx>
                <c:rich>
                  <a:bodyPr/>
                  <a:lstStyle/>
                  <a:p>
                    <a:fld id="{92937DEE-85BF-46CF-9DE6-8606F2C6378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08F4-4AE6-9F69-8E8EC51E00DA}"/>
                </c:ext>
              </c:extLst>
            </c:dLbl>
            <c:dLbl>
              <c:idx val="11"/>
              <c:tx>
                <c:rich>
                  <a:bodyPr/>
                  <a:lstStyle/>
                  <a:p>
                    <a:fld id="{FFD83936-8E49-47A3-AFF7-9391412287B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08F4-4AE6-9F69-8E8EC51E00DA}"/>
                </c:ext>
              </c:extLst>
            </c:dLbl>
            <c:dLbl>
              <c:idx val="12"/>
              <c:tx>
                <c:rich>
                  <a:bodyPr/>
                  <a:lstStyle/>
                  <a:p>
                    <a:fld id="{E8FBEFE0-B0DD-4E1F-BB59-21CB7568984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08F4-4AE6-9F69-8E8EC51E00DA}"/>
                </c:ext>
              </c:extLst>
            </c:dLbl>
            <c:dLbl>
              <c:idx val="13"/>
              <c:tx>
                <c:rich>
                  <a:bodyPr/>
                  <a:lstStyle/>
                  <a:p>
                    <a:fld id="{426D8825-365B-4ED1-A14D-8528AD7E2CE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08F4-4AE6-9F69-8E8EC51E00DA}"/>
                </c:ext>
              </c:extLst>
            </c:dLbl>
            <c:dLbl>
              <c:idx val="14"/>
              <c:tx>
                <c:rich>
                  <a:bodyPr/>
                  <a:lstStyle/>
                  <a:p>
                    <a:fld id="{D4153A5A-B197-427C-9A7C-98241F835E8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08F4-4AE6-9F69-8E8EC51E00DA}"/>
                </c:ext>
              </c:extLst>
            </c:dLbl>
            <c:dLbl>
              <c:idx val="15"/>
              <c:tx>
                <c:rich>
                  <a:bodyPr/>
                  <a:lstStyle/>
                  <a:p>
                    <a:fld id="{CA6F28AB-0976-473A-9A1A-AC7E00AB582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08F4-4AE6-9F69-8E8EC51E00DA}"/>
                </c:ext>
              </c:extLst>
            </c:dLbl>
            <c:dLbl>
              <c:idx val="16"/>
              <c:tx>
                <c:rich>
                  <a:bodyPr/>
                  <a:lstStyle/>
                  <a:p>
                    <a:fld id="{0E73719D-8B77-4508-807A-BF7E719F100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08F4-4AE6-9F69-8E8EC51E00DA}"/>
                </c:ext>
              </c:extLst>
            </c:dLbl>
            <c:dLbl>
              <c:idx val="17"/>
              <c:tx>
                <c:rich>
                  <a:bodyPr/>
                  <a:lstStyle/>
                  <a:p>
                    <a:fld id="{F7DDA5FF-315C-4B4D-8FD0-53A706C4894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08F4-4AE6-9F69-8E8EC51E00DA}"/>
                </c:ext>
              </c:extLst>
            </c:dLbl>
            <c:dLbl>
              <c:idx val="18"/>
              <c:tx>
                <c:rich>
                  <a:bodyPr/>
                  <a:lstStyle/>
                  <a:p>
                    <a:fld id="{76A832FC-5F32-4327-A868-5F5643404DE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08F4-4AE6-9F69-8E8EC51E00DA}"/>
                </c:ext>
              </c:extLst>
            </c:dLbl>
            <c:dLbl>
              <c:idx val="19"/>
              <c:tx>
                <c:rich>
                  <a:bodyPr/>
                  <a:lstStyle/>
                  <a:p>
                    <a:fld id="{A71ECA41-EF23-425F-886B-A08B5551513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08F4-4AE6-9F69-8E8EC51E00DA}"/>
                </c:ext>
              </c:extLst>
            </c:dLbl>
            <c:dLbl>
              <c:idx val="20"/>
              <c:tx>
                <c:rich>
                  <a:bodyPr/>
                  <a:lstStyle/>
                  <a:p>
                    <a:fld id="{18F11EA9-56FD-4922-A042-0D8C4DF707C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08F4-4AE6-9F69-8E8EC51E00DA}"/>
                </c:ext>
              </c:extLst>
            </c:dLbl>
            <c:dLbl>
              <c:idx val="21"/>
              <c:tx>
                <c:rich>
                  <a:bodyPr/>
                  <a:lstStyle/>
                  <a:p>
                    <a:fld id="{A3EA24F1-9411-46A3-A481-B3D77598C62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08F4-4AE6-9F69-8E8EC51E00DA}"/>
                </c:ext>
              </c:extLst>
            </c:dLbl>
            <c:dLbl>
              <c:idx val="22"/>
              <c:tx>
                <c:rich>
                  <a:bodyPr/>
                  <a:lstStyle/>
                  <a:p>
                    <a:fld id="{DC86529C-81AB-42AB-8555-722A41958AF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08F4-4AE6-9F69-8E8EC51E00DA}"/>
                </c:ext>
              </c:extLst>
            </c:dLbl>
            <c:dLbl>
              <c:idx val="2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8-08F4-4AE6-9F69-8E8EC51E00DA}"/>
                </c:ext>
              </c:extLst>
            </c:dLbl>
            <c:dLbl>
              <c:idx val="2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9-08F4-4AE6-9F69-8E8EC51E00DA}"/>
                </c:ext>
              </c:extLst>
            </c:dLbl>
            <c:dLbl>
              <c:idx val="2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A-08F4-4AE6-9F69-8E8EC51E00DA}"/>
                </c:ext>
              </c:extLst>
            </c:dLbl>
            <c:dLbl>
              <c:idx val="2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08F4-4AE6-9F69-8E8EC51E00DA}"/>
                </c:ext>
              </c:extLst>
            </c:dLbl>
            <c:dLbl>
              <c:idx val="2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08F4-4AE6-9F69-8E8EC51E00DA}"/>
                </c:ext>
              </c:extLst>
            </c:dLbl>
            <c:dLbl>
              <c:idx val="2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08F4-4AE6-9F69-8E8EC51E00DA}"/>
                </c:ext>
              </c:extLst>
            </c:dLbl>
            <c:dLbl>
              <c:idx val="2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08F4-4AE6-9F69-8E8EC51E00DA}"/>
                </c:ext>
              </c:extLst>
            </c:dLbl>
            <c:dLbl>
              <c:idx val="3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08F4-4AE6-9F69-8E8EC51E00DA}"/>
                </c:ext>
              </c:extLst>
            </c:dLbl>
            <c:dLbl>
              <c:idx val="3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08F4-4AE6-9F69-8E8EC51E00DA}"/>
                </c:ext>
              </c:extLst>
            </c:dLbl>
            <c:dLbl>
              <c:idx val="3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08F4-4AE6-9F69-8E8EC51E00DA}"/>
                </c:ext>
              </c:extLst>
            </c:dLbl>
            <c:dLbl>
              <c:idx val="3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08F4-4AE6-9F69-8E8EC51E00DA}"/>
                </c:ext>
              </c:extLst>
            </c:dLbl>
            <c:dLbl>
              <c:idx val="3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08F4-4AE6-9F69-8E8EC51E00DA}"/>
                </c:ext>
              </c:extLst>
            </c:dLbl>
            <c:dLbl>
              <c:idx val="3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08F4-4AE6-9F69-8E8EC51E00DA}"/>
                </c:ext>
              </c:extLst>
            </c:dLbl>
            <c:dLbl>
              <c:idx val="3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08F4-4AE6-9F69-8E8EC51E00DA}"/>
                </c:ext>
              </c:extLst>
            </c:dLbl>
            <c:dLbl>
              <c:idx val="3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08F4-4AE6-9F69-8E8EC51E00DA}"/>
                </c:ext>
              </c:extLst>
            </c:dLbl>
            <c:dLbl>
              <c:idx val="3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08F4-4AE6-9F69-8E8EC51E00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Sheet1!$I$2:$I$40</c:f>
              <c:numCache>
                <c:formatCode>General</c:formatCode>
                <c:ptCount val="39"/>
                <c:pt idx="0">
                  <c:v>15000</c:v>
                </c:pt>
                <c:pt idx="1">
                  <c:v>15000</c:v>
                </c:pt>
                <c:pt idx="2">
                  <c:v>15000</c:v>
                </c:pt>
                <c:pt idx="3">
                  <c:v>15000</c:v>
                </c:pt>
                <c:pt idx="4">
                  <c:v>15000</c:v>
                </c:pt>
                <c:pt idx="5">
                  <c:v>15000</c:v>
                </c:pt>
                <c:pt idx="6">
                  <c:v>15000</c:v>
                </c:pt>
                <c:pt idx="7">
                  <c:v>15000</c:v>
                </c:pt>
                <c:pt idx="8">
                  <c:v>15000</c:v>
                </c:pt>
                <c:pt idx="9">
                  <c:v>15000</c:v>
                </c:pt>
                <c:pt idx="10">
                  <c:v>15000</c:v>
                </c:pt>
                <c:pt idx="11">
                  <c:v>15000</c:v>
                </c:pt>
                <c:pt idx="12">
                  <c:v>15000</c:v>
                </c:pt>
                <c:pt idx="13">
                  <c:v>15000</c:v>
                </c:pt>
                <c:pt idx="14">
                  <c:v>15000</c:v>
                </c:pt>
                <c:pt idx="15">
                  <c:v>15000</c:v>
                </c:pt>
                <c:pt idx="16">
                  <c:v>15000</c:v>
                </c:pt>
                <c:pt idx="17">
                  <c:v>15000</c:v>
                </c:pt>
                <c:pt idx="18">
                  <c:v>15000</c:v>
                </c:pt>
                <c:pt idx="19">
                  <c:v>15000</c:v>
                </c:pt>
                <c:pt idx="20">
                  <c:v>15000</c:v>
                </c:pt>
                <c:pt idx="21">
                  <c:v>15000</c:v>
                </c:pt>
                <c:pt idx="22">
                  <c:v>15000</c:v>
                </c:pt>
              </c:numCache>
            </c:numRef>
          </c:xVal>
          <c:yVal>
            <c:numRef>
              <c:f>Sheet1!$G$2:$G$40</c:f>
              <c:numCache>
                <c:formatCode>General</c:formatCode>
                <c:ptCount val="39"/>
                <c:pt idx="0">
                  <c:v>23</c:v>
                </c:pt>
                <c:pt idx="1">
                  <c:v>22</c:v>
                </c:pt>
                <c:pt idx="2">
                  <c:v>21</c:v>
                </c:pt>
                <c:pt idx="3">
                  <c:v>20</c:v>
                </c:pt>
                <c:pt idx="4">
                  <c:v>19</c:v>
                </c:pt>
                <c:pt idx="5">
                  <c:v>18</c:v>
                </c:pt>
                <c:pt idx="6">
                  <c:v>17</c:v>
                </c:pt>
                <c:pt idx="7">
                  <c:v>16</c:v>
                </c:pt>
                <c:pt idx="8">
                  <c:v>15</c:v>
                </c:pt>
                <c:pt idx="9">
                  <c:v>14</c:v>
                </c:pt>
                <c:pt idx="10">
                  <c:v>13</c:v>
                </c:pt>
                <c:pt idx="11">
                  <c:v>12</c:v>
                </c:pt>
                <c:pt idx="12">
                  <c:v>11</c:v>
                </c:pt>
                <c:pt idx="13">
                  <c:v>10</c:v>
                </c:pt>
                <c:pt idx="14">
                  <c:v>9</c:v>
                </c:pt>
                <c:pt idx="15">
                  <c:v>8</c:v>
                </c:pt>
                <c:pt idx="16">
                  <c:v>7</c:v>
                </c:pt>
                <c:pt idx="17">
                  <c:v>6</c:v>
                </c:pt>
                <c:pt idx="18">
                  <c:v>5</c:v>
                </c:pt>
                <c:pt idx="19">
                  <c:v>4</c:v>
                </c:pt>
                <c:pt idx="20">
                  <c:v>3</c:v>
                </c:pt>
                <c:pt idx="21">
                  <c:v>2</c:v>
                </c:pt>
                <c:pt idx="22">
                  <c:v>1</c:v>
                </c:pt>
              </c:numCache>
            </c:numRef>
          </c:yVal>
          <c:smooth val="0"/>
          <c:extLst>
            <c:ext xmlns:c15="http://schemas.microsoft.com/office/drawing/2012/chart" uri="{02D57815-91ED-43cb-92C2-25804820EDAC}">
              <c15:datalabelsRange>
                <c15:f>Sheet1!$J$2:$J$40</c15:f>
                <c15:dlblRangeCache>
                  <c:ptCount val="39"/>
                  <c:pt idx="0">
                    <c:v>-$1,043 ± $1,519</c:v>
                  </c:pt>
                  <c:pt idx="1">
                    <c:v> ------------------------</c:v>
                  </c:pt>
                  <c:pt idx="2">
                    <c:v>-$675 ± $1,112</c:v>
                  </c:pt>
                  <c:pt idx="3">
                    <c:v>-$691 ± $3,469</c:v>
                  </c:pt>
                  <c:pt idx="4">
                    <c:v>$949 ± $4,158</c:v>
                  </c:pt>
                  <c:pt idx="5">
                    <c:v>$209 ± $659</c:v>
                  </c:pt>
                  <c:pt idx="6">
                    <c:v>$168 ± $2,052</c:v>
                  </c:pt>
                  <c:pt idx="7">
                    <c:v>-$624 ± $901</c:v>
                  </c:pt>
                  <c:pt idx="8">
                    <c:v> ------------------------</c:v>
                  </c:pt>
                  <c:pt idx="9">
                    <c:v>-$1,489 ± $1,590</c:v>
                  </c:pt>
                  <c:pt idx="10">
                    <c:v>-$1,042 ± $3,318</c:v>
                  </c:pt>
                  <c:pt idx="11">
                    <c:v>-$75 ± $9,483</c:v>
                  </c:pt>
                  <c:pt idx="12">
                    <c:v>-$2,985 ± $11,343</c:v>
                  </c:pt>
                  <c:pt idx="13">
                    <c:v>-$2,956 ± $4,152</c:v>
                  </c:pt>
                  <c:pt idx="14">
                    <c:v>-$3,083 ± $2,707</c:v>
                  </c:pt>
                  <c:pt idx="15">
                    <c:v>-$2,892 ± $5,874</c:v>
                  </c:pt>
                  <c:pt idx="16">
                    <c:v> ------------------------</c:v>
                  </c:pt>
                  <c:pt idx="17">
                    <c:v>$3,640 ± $1,838</c:v>
                  </c:pt>
                  <c:pt idx="18">
                    <c:v>-$2,664 ± $2,986</c:v>
                  </c:pt>
                  <c:pt idx="19">
                    <c:v>$215 ± $1,505</c:v>
                  </c:pt>
                  <c:pt idx="20">
                    <c:v>-$751 ± $3,018</c:v>
                  </c:pt>
                  <c:pt idx="21">
                    <c:v>$1,989 ± $2,737</c:v>
                  </c:pt>
                  <c:pt idx="22">
                    <c:v>$440 ± $3,653</c:v>
                  </c:pt>
                </c15:dlblRangeCache>
              </c15:datalabelsRange>
            </c:ext>
            <c:ext xmlns:c16="http://schemas.microsoft.com/office/drawing/2014/chart" uri="{C3380CC4-5D6E-409C-BE32-E72D297353CC}">
              <c16:uniqueId val="{00000068-08F4-4AE6-9F69-8E8EC51E00DA}"/>
            </c:ext>
          </c:extLst>
        </c:ser>
        <c:dLbls>
          <c:dLblPos val="r"/>
          <c:showLegendKey val="0"/>
          <c:showVal val="1"/>
          <c:showCatName val="0"/>
          <c:showSerName val="0"/>
          <c:showPercent val="0"/>
          <c:showBubbleSize val="0"/>
        </c:dLbls>
        <c:axId val="848893584"/>
        <c:axId val="848895664"/>
      </c:scatterChart>
      <c:valAx>
        <c:axId val="848893584"/>
        <c:scaling>
          <c:orientation val="minMax"/>
          <c:max val="15000"/>
          <c:min val="-15000"/>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Difference in NDIS expenditure</a:t>
                </a:r>
                <a:r>
                  <a:rPr lang="en-AU" sz="800" b="1" baseline="0">
                    <a:solidFill>
                      <a:sysClr val="windowText" lastClr="000000"/>
                    </a:solidFill>
                  </a:rPr>
                  <a:t> (ATE per month per participant)</a:t>
                </a:r>
                <a:endParaRPr lang="en-AU" sz="800" b="1">
                  <a:solidFill>
                    <a:sysClr val="windowText" lastClr="000000"/>
                  </a:solidFill>
                </a:endParaRPr>
              </a:p>
            </c:rich>
          </c:tx>
          <c:layout>
            <c:manualLayout>
              <c:xMode val="edge"/>
              <c:yMode val="edge"/>
              <c:x val="0.26495398918508678"/>
              <c:y val="0.9732510288065843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24"/>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60126219162364"/>
          <c:y val="0"/>
          <c:w val="0.71193914013760329"/>
          <c:h val="0.89932862419043258"/>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0"/>
            <c:marker>
              <c:symbol val="circle"/>
              <c:size val="5"/>
              <c:spPr>
                <a:solidFill>
                  <a:srgbClr val="C4450C"/>
                </a:solidFill>
                <a:ln w="9525">
                  <a:noFill/>
                </a:ln>
                <a:effectLst/>
              </c:spPr>
            </c:marker>
            <c:bubble3D val="0"/>
            <c:extLst>
              <c:ext xmlns:c16="http://schemas.microsoft.com/office/drawing/2014/chart" uri="{C3380CC4-5D6E-409C-BE32-E72D297353CC}">
                <c16:uniqueId val="{00000000-C9A2-4AEB-8DB9-8E388877152C}"/>
              </c:ext>
            </c:extLst>
          </c:dPt>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1-C9A2-4AEB-8DB9-8E388877152C}"/>
              </c:ext>
            </c:extLst>
          </c:dPt>
          <c:dPt>
            <c:idx val="2"/>
            <c:marker>
              <c:symbol val="circle"/>
              <c:size val="5"/>
              <c:spPr>
                <a:solidFill>
                  <a:schemeClr val="bg2"/>
                </a:solidFill>
                <a:ln w="9525">
                  <a:noFill/>
                </a:ln>
                <a:effectLst/>
              </c:spPr>
            </c:marker>
            <c:bubble3D val="0"/>
            <c:extLst>
              <c:ext xmlns:c16="http://schemas.microsoft.com/office/drawing/2014/chart" uri="{C3380CC4-5D6E-409C-BE32-E72D297353CC}">
                <c16:uniqueId val="{00000002-C9A2-4AEB-8DB9-8E388877152C}"/>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3-C9A2-4AEB-8DB9-8E388877152C}"/>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4-C9A2-4AEB-8DB9-8E388877152C}"/>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5-C9A2-4AEB-8DB9-8E388877152C}"/>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6-C9A2-4AEB-8DB9-8E388877152C}"/>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7-C9A2-4AEB-8DB9-8E388877152C}"/>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08-C9A2-4AEB-8DB9-8E388877152C}"/>
              </c:ext>
            </c:extLst>
          </c:dPt>
          <c:dPt>
            <c:idx val="9"/>
            <c:marker>
              <c:symbol val="circle"/>
              <c:size val="5"/>
              <c:spPr>
                <a:solidFill>
                  <a:schemeClr val="accent4"/>
                </a:solidFill>
                <a:ln w="9525">
                  <a:noFill/>
                </a:ln>
                <a:effectLst/>
              </c:spPr>
            </c:marker>
            <c:bubble3D val="0"/>
            <c:extLst>
              <c:ext xmlns:c16="http://schemas.microsoft.com/office/drawing/2014/chart" uri="{C3380CC4-5D6E-409C-BE32-E72D297353CC}">
                <c16:uniqueId val="{00000009-C9A2-4AEB-8DB9-8E388877152C}"/>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A-C9A2-4AEB-8DB9-8E388877152C}"/>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B-C9A2-4AEB-8DB9-8E388877152C}"/>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C-C9A2-4AEB-8DB9-8E388877152C}"/>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0D-C9A2-4AEB-8DB9-8E388877152C}"/>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0E-C9A2-4AEB-8DB9-8E388877152C}"/>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F-C9A2-4AEB-8DB9-8E388877152C}"/>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10-C9A2-4AEB-8DB9-8E388877152C}"/>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11-C9A2-4AEB-8DB9-8E388877152C}"/>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12-C9A2-4AEB-8DB9-8E388877152C}"/>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3-C9A2-4AEB-8DB9-8E388877152C}"/>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4-C9A2-4AEB-8DB9-8E388877152C}"/>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5-C9A2-4AEB-8DB9-8E388877152C}"/>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6-C9A2-4AEB-8DB9-8E388877152C}"/>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7-C9A2-4AEB-8DB9-8E388877152C}"/>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8-C9A2-4AEB-8DB9-8E388877152C}"/>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9-C9A2-4AEB-8DB9-8E388877152C}"/>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A-C9A2-4AEB-8DB9-8E388877152C}"/>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Sheet1!$F$2:$F$40</c:f>
                <c:numCache>
                  <c:formatCode>General</c:formatCode>
                  <c:ptCount val="39"/>
                  <c:pt idx="0">
                    <c:v>178.19928000000002</c:v>
                  </c:pt>
                  <c:pt idx="2">
                    <c:v>211.40951999999999</c:v>
                  </c:pt>
                  <c:pt idx="3">
                    <c:v>371.12011999999999</c:v>
                  </c:pt>
                  <c:pt idx="4">
                    <c:v>1178.6989199999998</c:v>
                  </c:pt>
                  <c:pt idx="5">
                    <c:v>129.01112000000001</c:v>
                  </c:pt>
                  <c:pt idx="6">
                    <c:v>305.06811999999996</c:v>
                  </c:pt>
                  <c:pt idx="7">
                    <c:v>214.16528</c:v>
                  </c:pt>
                  <c:pt idx="9">
                    <c:v>186.60571999999999</c:v>
                  </c:pt>
                  <c:pt idx="10">
                    <c:v>466.65247999999997</c:v>
                  </c:pt>
                  <c:pt idx="11">
                    <c:v>1626.94308</c:v>
                  </c:pt>
                  <c:pt idx="12">
                    <c:v>1306.1322399999999</c:v>
                  </c:pt>
                  <c:pt idx="13">
                    <c:v>622.6626</c:v>
                  </c:pt>
                  <c:pt idx="14">
                    <c:v>512.44004000000007</c:v>
                  </c:pt>
                  <c:pt idx="15">
                    <c:v>854.82263999999998</c:v>
                  </c:pt>
                  <c:pt idx="17">
                    <c:v>204.88468</c:v>
                  </c:pt>
                  <c:pt idx="18">
                    <c:v>627.35876000000007</c:v>
                  </c:pt>
                  <c:pt idx="19">
                    <c:v>628.68959999999993</c:v>
                  </c:pt>
                  <c:pt idx="20">
                    <c:v>785.47195999999997</c:v>
                  </c:pt>
                  <c:pt idx="21">
                    <c:v>1889.17932</c:v>
                  </c:pt>
                  <c:pt idx="22">
                    <c:v>473.54187999999999</c:v>
                  </c:pt>
                </c:numCache>
              </c:numRef>
            </c:plus>
            <c:minus>
              <c:numRef>
                <c:f>Sheet1!$F$2:$F$40</c:f>
                <c:numCache>
                  <c:formatCode>General</c:formatCode>
                  <c:ptCount val="39"/>
                  <c:pt idx="0">
                    <c:v>178.19928000000002</c:v>
                  </c:pt>
                  <c:pt idx="2">
                    <c:v>211.40951999999999</c:v>
                  </c:pt>
                  <c:pt idx="3">
                    <c:v>371.12011999999999</c:v>
                  </c:pt>
                  <c:pt idx="4">
                    <c:v>1178.6989199999998</c:v>
                  </c:pt>
                  <c:pt idx="5">
                    <c:v>129.01112000000001</c:v>
                  </c:pt>
                  <c:pt idx="6">
                    <c:v>305.06811999999996</c:v>
                  </c:pt>
                  <c:pt idx="7">
                    <c:v>214.16528</c:v>
                  </c:pt>
                  <c:pt idx="9">
                    <c:v>186.60571999999999</c:v>
                  </c:pt>
                  <c:pt idx="10">
                    <c:v>466.65247999999997</c:v>
                  </c:pt>
                  <c:pt idx="11">
                    <c:v>1626.94308</c:v>
                  </c:pt>
                  <c:pt idx="12">
                    <c:v>1306.1322399999999</c:v>
                  </c:pt>
                  <c:pt idx="13">
                    <c:v>622.6626</c:v>
                  </c:pt>
                  <c:pt idx="14">
                    <c:v>512.44004000000007</c:v>
                  </c:pt>
                  <c:pt idx="15">
                    <c:v>854.82263999999998</c:v>
                  </c:pt>
                  <c:pt idx="17">
                    <c:v>204.88468</c:v>
                  </c:pt>
                  <c:pt idx="18">
                    <c:v>627.35876000000007</c:v>
                  </c:pt>
                  <c:pt idx="19">
                    <c:v>628.68959999999993</c:v>
                  </c:pt>
                  <c:pt idx="20">
                    <c:v>785.47195999999997</c:v>
                  </c:pt>
                  <c:pt idx="21">
                    <c:v>1889.17932</c:v>
                  </c:pt>
                  <c:pt idx="22">
                    <c:v>473.54187999999999</c:v>
                  </c:pt>
                </c:numCache>
              </c:numRef>
            </c:minus>
            <c:spPr>
              <a:noFill/>
              <a:ln w="9525" cap="flat" cmpd="sng" algn="ctr">
                <a:solidFill>
                  <a:schemeClr val="tx1">
                    <a:lumMod val="65000"/>
                    <a:lumOff val="35000"/>
                  </a:schemeClr>
                </a:solidFill>
                <a:round/>
              </a:ln>
              <a:effectLst/>
            </c:spPr>
          </c:errBars>
          <c:xVal>
            <c:numRef>
              <c:f>Sheet1!$C$2:$C$40</c:f>
              <c:numCache>
                <c:formatCode>General</c:formatCode>
                <c:ptCount val="39"/>
                <c:pt idx="0" formatCode="&quot;$&quot;#,##0">
                  <c:v>-93.965999999999994</c:v>
                </c:pt>
                <c:pt idx="2" formatCode="&quot;$&quot;#,##0">
                  <c:v>-76.551000000000002</c:v>
                </c:pt>
                <c:pt idx="3" formatCode="&quot;$&quot;#,##0">
                  <c:v>-233.89500000000001</c:v>
                </c:pt>
                <c:pt idx="4" formatCode="&quot;$&quot;#,##0">
                  <c:v>-70.117999999999995</c:v>
                </c:pt>
                <c:pt idx="5" formatCode="&quot;$&quot;#,##0">
                  <c:v>145.45099999999999</c:v>
                </c:pt>
                <c:pt idx="6" formatCode="&quot;$&quot;#,##0">
                  <c:v>225.11500000000001</c:v>
                </c:pt>
                <c:pt idx="7" formatCode="&quot;$&quot;#,##0">
                  <c:v>-45.284999999999997</c:v>
                </c:pt>
                <c:pt idx="9" formatCode="&quot;$&quot;#,##0">
                  <c:v>-65.180000000000007</c:v>
                </c:pt>
                <c:pt idx="10" formatCode="&quot;$&quot;#,##0">
                  <c:v>-233.30799999999999</c:v>
                </c:pt>
                <c:pt idx="11" formatCode="&quot;$&quot;#,##0">
                  <c:v>-1123.25</c:v>
                </c:pt>
                <c:pt idx="12" formatCode="&quot;$&quot;#,##0">
                  <c:v>70.552000000000007</c:v>
                </c:pt>
                <c:pt idx="13" formatCode="&quot;$&quot;#,##0">
                  <c:v>-531.31500000000005</c:v>
                </c:pt>
                <c:pt idx="14" formatCode="&quot;$&quot;#,##0">
                  <c:v>-662.81299999999999</c:v>
                </c:pt>
                <c:pt idx="15" formatCode="&quot;$&quot;#,##0">
                  <c:v>-679.73500000000001</c:v>
                </c:pt>
                <c:pt idx="17" formatCode="&quot;$&quot;#,##0">
                  <c:v>142.792</c:v>
                </c:pt>
                <c:pt idx="18" formatCode="&quot;$&quot;#,##0">
                  <c:v>-116.84699999999999</c:v>
                </c:pt>
                <c:pt idx="19" formatCode="&quot;$&quot;#,##0">
                  <c:v>628.18700000000001</c:v>
                </c:pt>
                <c:pt idx="20" formatCode="&quot;$&quot;#,##0">
                  <c:v>-539.30899999999997</c:v>
                </c:pt>
                <c:pt idx="21" formatCode="&quot;$&quot;#,##0">
                  <c:v>-934.37199999999996</c:v>
                </c:pt>
                <c:pt idx="22" formatCode="&quot;$&quot;#,##0">
                  <c:v>-362.12299999999999</c:v>
                </c:pt>
              </c:numCache>
            </c:numRef>
          </c:xVal>
          <c:yVal>
            <c:numRef>
              <c:f>Sheet1!$G$2:$G$40</c:f>
              <c:numCache>
                <c:formatCode>General</c:formatCode>
                <c:ptCount val="39"/>
                <c:pt idx="0">
                  <c:v>23</c:v>
                </c:pt>
                <c:pt idx="1">
                  <c:v>22</c:v>
                </c:pt>
                <c:pt idx="2">
                  <c:v>21</c:v>
                </c:pt>
                <c:pt idx="3">
                  <c:v>20</c:v>
                </c:pt>
                <c:pt idx="4">
                  <c:v>19</c:v>
                </c:pt>
                <c:pt idx="5">
                  <c:v>18</c:v>
                </c:pt>
                <c:pt idx="6">
                  <c:v>17</c:v>
                </c:pt>
                <c:pt idx="7">
                  <c:v>16</c:v>
                </c:pt>
                <c:pt idx="8">
                  <c:v>15</c:v>
                </c:pt>
                <c:pt idx="9">
                  <c:v>14</c:v>
                </c:pt>
                <c:pt idx="10">
                  <c:v>13</c:v>
                </c:pt>
                <c:pt idx="11">
                  <c:v>12</c:v>
                </c:pt>
                <c:pt idx="12">
                  <c:v>11</c:v>
                </c:pt>
                <c:pt idx="13">
                  <c:v>10</c:v>
                </c:pt>
                <c:pt idx="14">
                  <c:v>9</c:v>
                </c:pt>
                <c:pt idx="15">
                  <c:v>8</c:v>
                </c:pt>
                <c:pt idx="16">
                  <c:v>7</c:v>
                </c:pt>
                <c:pt idx="17">
                  <c:v>6</c:v>
                </c:pt>
                <c:pt idx="18">
                  <c:v>5</c:v>
                </c:pt>
                <c:pt idx="19">
                  <c:v>4</c:v>
                </c:pt>
                <c:pt idx="20">
                  <c:v>3</c:v>
                </c:pt>
                <c:pt idx="21">
                  <c:v>2</c:v>
                </c:pt>
                <c:pt idx="22">
                  <c:v>1</c:v>
                </c:pt>
              </c:numCache>
            </c:numRef>
          </c:yVal>
          <c:smooth val="0"/>
          <c:extLst>
            <c:ext xmlns:c16="http://schemas.microsoft.com/office/drawing/2014/chart" uri="{C3380CC4-5D6E-409C-BE32-E72D297353CC}">
              <c16:uniqueId val="{0000001B-C9A2-4AEB-8DB9-8E388877152C}"/>
            </c:ext>
          </c:extLst>
        </c:ser>
        <c:ser>
          <c:idx val="0"/>
          <c:order val="1"/>
          <c:tx>
            <c:v>labels</c:v>
          </c:tx>
          <c:spPr>
            <a:ln w="25400" cap="rnd">
              <a:noFill/>
              <a:round/>
            </a:ln>
            <a:effectLst/>
          </c:spPr>
          <c:marker>
            <c:symbol val="none"/>
          </c:marker>
          <c:dLbls>
            <c:dLbl>
              <c:idx val="0"/>
              <c:tx>
                <c:rich>
                  <a:bodyPr/>
                  <a:lstStyle/>
                  <a:p>
                    <a:fld id="{62C8FF29-E5F0-45AC-83AD-DED4E4B0CD74}" type="CELLRANGE">
                      <a:rPr lang="en-US"/>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C-C9A2-4AEB-8DB9-8E388877152C}"/>
                </c:ext>
              </c:extLst>
            </c:dLbl>
            <c:dLbl>
              <c:idx val="1"/>
              <c:layout>
                <c:manualLayout>
                  <c:x val="-0.15607573149741824"/>
                  <c:y val="4.1152263374485505E-3"/>
                </c:manualLayout>
              </c:layout>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203778E4-304C-462D-95DC-A5BFE6858903}" type="CELLRANGE">
                      <a:rPr lang="en-US"/>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D-C9A2-4AEB-8DB9-8E388877152C}"/>
                </c:ext>
              </c:extLst>
            </c:dLbl>
            <c:dLbl>
              <c:idx val="2"/>
              <c:tx>
                <c:rich>
                  <a:bodyPr/>
                  <a:lstStyle/>
                  <a:p>
                    <a:fld id="{D208BF3A-168F-41D2-9734-8C036D881D7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C9A2-4AEB-8DB9-8E388877152C}"/>
                </c:ext>
              </c:extLst>
            </c:dLbl>
            <c:dLbl>
              <c:idx val="3"/>
              <c:tx>
                <c:rich>
                  <a:bodyPr/>
                  <a:lstStyle/>
                  <a:p>
                    <a:fld id="{5A24B216-CD0A-437C-A99C-3347A50E0C4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C9A2-4AEB-8DB9-8E388877152C}"/>
                </c:ext>
              </c:extLst>
            </c:dLbl>
            <c:dLbl>
              <c:idx val="4"/>
              <c:tx>
                <c:rich>
                  <a:bodyPr/>
                  <a:lstStyle/>
                  <a:p>
                    <a:fld id="{A9F32FBD-00D2-44B7-879F-D100C368174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C9A2-4AEB-8DB9-8E388877152C}"/>
                </c:ext>
              </c:extLst>
            </c:dLbl>
            <c:dLbl>
              <c:idx val="5"/>
              <c:tx>
                <c:rich>
                  <a:bodyPr/>
                  <a:lstStyle/>
                  <a:p>
                    <a:fld id="{B7279083-622F-4FC0-ACF6-131E802FA963}"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C9A2-4AEB-8DB9-8E388877152C}"/>
                </c:ext>
              </c:extLst>
            </c:dLbl>
            <c:dLbl>
              <c:idx val="6"/>
              <c:tx>
                <c:rich>
                  <a:bodyPr/>
                  <a:lstStyle/>
                  <a:p>
                    <a:fld id="{B44D8058-4AB7-4806-B481-62EF5AF504C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C9A2-4AEB-8DB9-8E388877152C}"/>
                </c:ext>
              </c:extLst>
            </c:dLbl>
            <c:dLbl>
              <c:idx val="7"/>
              <c:tx>
                <c:rich>
                  <a:bodyPr/>
                  <a:lstStyle/>
                  <a:p>
                    <a:fld id="{61C5A7F9-92B6-4098-BEFF-A3DC388A91E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C9A2-4AEB-8DB9-8E388877152C}"/>
                </c:ext>
              </c:extLst>
            </c:dLbl>
            <c:dLbl>
              <c:idx val="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8A6A1710-3BF4-4B1F-8041-BCEDA8AFFB63}"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C9A2-4AEB-8DB9-8E388877152C}"/>
                </c:ext>
              </c:extLst>
            </c:dLbl>
            <c:dLbl>
              <c:idx val="9"/>
              <c:tx>
                <c:rich>
                  <a:bodyPr/>
                  <a:lstStyle/>
                  <a:p>
                    <a:fld id="{7D5A0883-CE8F-4666-915B-239540490C4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C9A2-4AEB-8DB9-8E388877152C}"/>
                </c:ext>
              </c:extLst>
            </c:dLbl>
            <c:dLbl>
              <c:idx val="10"/>
              <c:tx>
                <c:rich>
                  <a:bodyPr/>
                  <a:lstStyle/>
                  <a:p>
                    <a:fld id="{593E9FBD-A801-4EC8-B88D-B5F871DBD300}"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C9A2-4AEB-8DB9-8E388877152C}"/>
                </c:ext>
              </c:extLst>
            </c:dLbl>
            <c:dLbl>
              <c:idx val="11"/>
              <c:tx>
                <c:rich>
                  <a:bodyPr/>
                  <a:lstStyle/>
                  <a:p>
                    <a:fld id="{A0CF0387-4A39-487A-AA76-F0D1F34273D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C9A2-4AEB-8DB9-8E388877152C}"/>
                </c:ext>
              </c:extLst>
            </c:dLbl>
            <c:dLbl>
              <c:idx val="12"/>
              <c:tx>
                <c:rich>
                  <a:bodyPr/>
                  <a:lstStyle/>
                  <a:p>
                    <a:fld id="{0FAA750E-B3A7-4ACC-A6CB-5C4B955A3A1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C9A2-4AEB-8DB9-8E388877152C}"/>
                </c:ext>
              </c:extLst>
            </c:dLbl>
            <c:dLbl>
              <c:idx val="13"/>
              <c:tx>
                <c:rich>
                  <a:bodyPr/>
                  <a:lstStyle/>
                  <a:p>
                    <a:fld id="{18D236EA-DE24-487E-B7BD-9A34B90886A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C9A2-4AEB-8DB9-8E388877152C}"/>
                </c:ext>
              </c:extLst>
            </c:dLbl>
            <c:dLbl>
              <c:idx val="14"/>
              <c:tx>
                <c:rich>
                  <a:bodyPr/>
                  <a:lstStyle/>
                  <a:p>
                    <a:fld id="{3A6764EE-F462-4FD7-B1C5-82B911DD860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C9A2-4AEB-8DB9-8E388877152C}"/>
                </c:ext>
              </c:extLst>
            </c:dLbl>
            <c:dLbl>
              <c:idx val="15"/>
              <c:tx>
                <c:rich>
                  <a:bodyPr/>
                  <a:lstStyle/>
                  <a:p>
                    <a:fld id="{FF907C14-13D6-4986-8B33-98ECED733BA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C9A2-4AEB-8DB9-8E388877152C}"/>
                </c:ext>
              </c:extLst>
            </c:dLbl>
            <c:dLbl>
              <c:idx val="1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fld id="{2A92AEAB-D801-48AF-A2C9-4E38C4F4D4B7}" type="CELLRANGE">
                      <a:rPr lang="en-AU"/>
                      <a:pPr>
                        <a:defRPr sz="800" b="1">
                          <a:solidFill>
                            <a:sysClr val="windowText" lastClr="000000"/>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C9A2-4AEB-8DB9-8E388877152C}"/>
                </c:ext>
              </c:extLst>
            </c:dLbl>
            <c:dLbl>
              <c:idx val="17"/>
              <c:tx>
                <c:rich>
                  <a:bodyPr/>
                  <a:lstStyle/>
                  <a:p>
                    <a:fld id="{0A71251D-486D-4BFA-A4BA-8C095900E27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C9A2-4AEB-8DB9-8E388877152C}"/>
                </c:ext>
              </c:extLst>
            </c:dLbl>
            <c:dLbl>
              <c:idx val="18"/>
              <c:tx>
                <c:rich>
                  <a:bodyPr/>
                  <a:lstStyle/>
                  <a:p>
                    <a:fld id="{6B3498E0-DC85-4D62-AFB9-12BB539B6A7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C9A2-4AEB-8DB9-8E388877152C}"/>
                </c:ext>
              </c:extLst>
            </c:dLbl>
            <c:dLbl>
              <c:idx val="19"/>
              <c:tx>
                <c:rich>
                  <a:bodyPr/>
                  <a:lstStyle/>
                  <a:p>
                    <a:fld id="{180E4241-33BF-4004-862C-AE316B352AA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C9A2-4AEB-8DB9-8E388877152C}"/>
                </c:ext>
              </c:extLst>
            </c:dLbl>
            <c:dLbl>
              <c:idx val="20"/>
              <c:tx>
                <c:rich>
                  <a:bodyPr/>
                  <a:lstStyle/>
                  <a:p>
                    <a:fld id="{CC1DA154-008E-4B74-BD90-D3962814A09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C9A2-4AEB-8DB9-8E388877152C}"/>
                </c:ext>
              </c:extLst>
            </c:dLbl>
            <c:dLbl>
              <c:idx val="21"/>
              <c:tx>
                <c:rich>
                  <a:bodyPr/>
                  <a:lstStyle/>
                  <a:p>
                    <a:fld id="{1862179E-F00E-4FDE-A97B-C04081B79E5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C9A2-4AEB-8DB9-8E388877152C}"/>
                </c:ext>
              </c:extLst>
            </c:dLbl>
            <c:dLbl>
              <c:idx val="22"/>
              <c:tx>
                <c:rich>
                  <a:bodyPr/>
                  <a:lstStyle/>
                  <a:p>
                    <a:fld id="{B732F467-4B2E-4767-A997-C8E0606AAF68}"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C9A2-4AEB-8DB9-8E388877152C}"/>
                </c:ext>
              </c:extLst>
            </c:dLbl>
            <c:dLbl>
              <c:idx val="23"/>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3-C9A2-4AEB-8DB9-8E388877152C}"/>
                </c:ext>
              </c:extLst>
            </c:dLbl>
            <c:dLbl>
              <c:idx val="24"/>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4-C9A2-4AEB-8DB9-8E388877152C}"/>
                </c:ext>
              </c:extLst>
            </c:dLbl>
            <c:dLbl>
              <c:idx val="25"/>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5-C9A2-4AEB-8DB9-8E388877152C}"/>
                </c:ext>
              </c:extLst>
            </c:dLbl>
            <c:dLbl>
              <c:idx val="2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6-C9A2-4AEB-8DB9-8E388877152C}"/>
                </c:ext>
              </c:extLst>
            </c:dLbl>
            <c:dLbl>
              <c:idx val="27"/>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7-C9A2-4AEB-8DB9-8E388877152C}"/>
                </c:ext>
              </c:extLst>
            </c:dLbl>
            <c:dLbl>
              <c:idx val="28"/>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8-C9A2-4AEB-8DB9-8E388877152C}"/>
                </c:ext>
              </c:extLst>
            </c:dLbl>
            <c:dLbl>
              <c:idx val="29"/>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9-C9A2-4AEB-8DB9-8E388877152C}"/>
                </c:ext>
              </c:extLst>
            </c:dLbl>
            <c:dLbl>
              <c:idx val="30"/>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A-C9A2-4AEB-8DB9-8E388877152C}"/>
                </c:ext>
              </c:extLst>
            </c:dLbl>
            <c:dLbl>
              <c:idx val="31"/>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B-C9A2-4AEB-8DB9-8E388877152C}"/>
                </c:ext>
              </c:extLst>
            </c:dLbl>
            <c:dLbl>
              <c:idx val="32"/>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C-C9A2-4AEB-8DB9-8E388877152C}"/>
                </c:ext>
              </c:extLst>
            </c:dLbl>
            <c:dLbl>
              <c:idx val="33"/>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D-C9A2-4AEB-8DB9-8E388877152C}"/>
                </c:ext>
              </c:extLst>
            </c:dLbl>
            <c:dLbl>
              <c:idx val="34"/>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E-C9A2-4AEB-8DB9-8E388877152C}"/>
                </c:ext>
              </c:extLst>
            </c:dLbl>
            <c:dLbl>
              <c:idx val="35"/>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3F-C9A2-4AEB-8DB9-8E388877152C}"/>
                </c:ext>
              </c:extLst>
            </c:dLbl>
            <c:dLbl>
              <c:idx val="36"/>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0-C9A2-4AEB-8DB9-8E388877152C}"/>
                </c:ext>
              </c:extLst>
            </c:dLbl>
            <c:dLbl>
              <c:idx val="37"/>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1-C9A2-4AEB-8DB9-8E388877152C}"/>
                </c:ext>
              </c:extLst>
            </c:dLbl>
            <c:dLbl>
              <c:idx val="38"/>
              <c:tx>
                <c:rich>
                  <a:bodyPr/>
                  <a:lstStyle/>
                  <a:p>
                    <a:endParaRPr lang="en-AU"/>
                  </a:p>
                </c:rich>
              </c:tx>
              <c:dLblPos val="l"/>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42-C9A2-4AEB-8DB9-8E388877152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Sheet1!$H$2:$H$40</c:f>
              <c:numCache>
                <c:formatCode>General</c:formatCode>
                <c:ptCount val="39"/>
                <c:pt idx="0">
                  <c:v>-3000</c:v>
                </c:pt>
                <c:pt idx="1">
                  <c:v>-3000</c:v>
                </c:pt>
                <c:pt idx="2">
                  <c:v>-3000</c:v>
                </c:pt>
                <c:pt idx="3">
                  <c:v>-3000</c:v>
                </c:pt>
                <c:pt idx="4">
                  <c:v>-3000</c:v>
                </c:pt>
                <c:pt idx="5">
                  <c:v>-3000</c:v>
                </c:pt>
                <c:pt idx="6">
                  <c:v>-3000</c:v>
                </c:pt>
                <c:pt idx="7">
                  <c:v>-3000</c:v>
                </c:pt>
                <c:pt idx="8">
                  <c:v>-3000</c:v>
                </c:pt>
                <c:pt idx="9">
                  <c:v>-3000</c:v>
                </c:pt>
                <c:pt idx="10">
                  <c:v>-3000</c:v>
                </c:pt>
                <c:pt idx="11">
                  <c:v>-3000</c:v>
                </c:pt>
                <c:pt idx="12">
                  <c:v>-3000</c:v>
                </c:pt>
                <c:pt idx="13">
                  <c:v>-3000</c:v>
                </c:pt>
                <c:pt idx="14">
                  <c:v>-3000</c:v>
                </c:pt>
                <c:pt idx="15">
                  <c:v>-3000</c:v>
                </c:pt>
                <c:pt idx="16">
                  <c:v>-3000</c:v>
                </c:pt>
                <c:pt idx="17">
                  <c:v>-3000</c:v>
                </c:pt>
                <c:pt idx="18">
                  <c:v>-3000</c:v>
                </c:pt>
                <c:pt idx="19">
                  <c:v>-3000</c:v>
                </c:pt>
                <c:pt idx="20">
                  <c:v>-3000</c:v>
                </c:pt>
                <c:pt idx="21">
                  <c:v>-3000</c:v>
                </c:pt>
                <c:pt idx="22">
                  <c:v>-3000</c:v>
                </c:pt>
              </c:numCache>
            </c:numRef>
          </c:xVal>
          <c:yVal>
            <c:numRef>
              <c:f>Sheet1!$G$2:$G$40</c:f>
              <c:numCache>
                <c:formatCode>General</c:formatCode>
                <c:ptCount val="39"/>
                <c:pt idx="0">
                  <c:v>23</c:v>
                </c:pt>
                <c:pt idx="1">
                  <c:v>22</c:v>
                </c:pt>
                <c:pt idx="2">
                  <c:v>21</c:v>
                </c:pt>
                <c:pt idx="3">
                  <c:v>20</c:v>
                </c:pt>
                <c:pt idx="4">
                  <c:v>19</c:v>
                </c:pt>
                <c:pt idx="5">
                  <c:v>18</c:v>
                </c:pt>
                <c:pt idx="6">
                  <c:v>17</c:v>
                </c:pt>
                <c:pt idx="7">
                  <c:v>16</c:v>
                </c:pt>
                <c:pt idx="8">
                  <c:v>15</c:v>
                </c:pt>
                <c:pt idx="9">
                  <c:v>14</c:v>
                </c:pt>
                <c:pt idx="10">
                  <c:v>13</c:v>
                </c:pt>
                <c:pt idx="11">
                  <c:v>12</c:v>
                </c:pt>
                <c:pt idx="12">
                  <c:v>11</c:v>
                </c:pt>
                <c:pt idx="13">
                  <c:v>10</c:v>
                </c:pt>
                <c:pt idx="14">
                  <c:v>9</c:v>
                </c:pt>
                <c:pt idx="15">
                  <c:v>8</c:v>
                </c:pt>
                <c:pt idx="16">
                  <c:v>7</c:v>
                </c:pt>
                <c:pt idx="17">
                  <c:v>6</c:v>
                </c:pt>
                <c:pt idx="18">
                  <c:v>5</c:v>
                </c:pt>
                <c:pt idx="19">
                  <c:v>4</c:v>
                </c:pt>
                <c:pt idx="20">
                  <c:v>3</c:v>
                </c:pt>
                <c:pt idx="21">
                  <c:v>2</c:v>
                </c:pt>
                <c:pt idx="22">
                  <c:v>1</c:v>
                </c:pt>
              </c:numCache>
            </c:numRef>
          </c:yVal>
          <c:smooth val="0"/>
          <c:extLst>
            <c:ext xmlns:c15="http://schemas.microsoft.com/office/drawing/2012/chart" uri="{02D57815-91ED-43cb-92C2-25804820EDAC}">
              <c15:datalabelsRange>
                <c15:f>Sheet1!$A$2:$A$40</c15:f>
                <c15:dlblRangeCache>
                  <c:ptCount val="39"/>
                  <c:pt idx="0">
                    <c:v>Total</c:v>
                  </c:pt>
                  <c:pt idx="1">
                    <c:v>NSW -----------------</c:v>
                  </c:pt>
                  <c:pt idx="2">
                    <c:v>Bland</c:v>
                  </c:pt>
                  <c:pt idx="3">
                    <c:v>Bourke</c:v>
                  </c:pt>
                  <c:pt idx="4">
                    <c:v>Brewarrina</c:v>
                  </c:pt>
                  <c:pt idx="5">
                    <c:v>Junee</c:v>
                  </c:pt>
                  <c:pt idx="6">
                    <c:v>Walgett</c:v>
                  </c:pt>
                  <c:pt idx="7">
                    <c:v>Wentworth</c:v>
                  </c:pt>
                  <c:pt idx="8">
                    <c:v>NT ------------------</c:v>
                  </c:pt>
                  <c:pt idx="9">
                    <c:v>Alice Springs</c:v>
                  </c:pt>
                  <c:pt idx="10">
                    <c:v>Barkly</c:v>
                  </c:pt>
                  <c:pt idx="11">
                    <c:v>Central Desert</c:v>
                  </c:pt>
                  <c:pt idx="12">
                    <c:v>MacDonnell</c:v>
                  </c:pt>
                  <c:pt idx="13">
                    <c:v>Tiwi Islands</c:v>
                  </c:pt>
                  <c:pt idx="14">
                    <c:v>West Arnhem</c:v>
                  </c:pt>
                  <c:pt idx="15">
                    <c:v>West Daly</c:v>
                  </c:pt>
                  <c:pt idx="16">
                    <c:v>QLD -----------------</c:v>
                  </c:pt>
                  <c:pt idx="17">
                    <c:v>Aurukun</c:v>
                  </c:pt>
                  <c:pt idx="18">
                    <c:v>Carpentaria</c:v>
                  </c:pt>
                  <c:pt idx="19">
                    <c:v>Cloncurry</c:v>
                  </c:pt>
                  <c:pt idx="20">
                    <c:v>Doomadgee</c:v>
                  </c:pt>
                  <c:pt idx="21">
                    <c:v>Mornington</c:v>
                  </c:pt>
                  <c:pt idx="22">
                    <c:v>Woorabinda</c:v>
                  </c:pt>
                </c15:dlblRangeCache>
              </c15:datalabelsRange>
            </c:ext>
            <c:ext xmlns:c16="http://schemas.microsoft.com/office/drawing/2014/chart" uri="{C3380CC4-5D6E-409C-BE32-E72D297353CC}">
              <c16:uniqueId val="{00000043-C9A2-4AEB-8DB9-8E388877152C}"/>
            </c:ext>
          </c:extLst>
        </c:ser>
        <c:ser>
          <c:idx val="1"/>
          <c:order val="2"/>
          <c:tx>
            <c:v>Right labels</c:v>
          </c:tx>
          <c:spPr>
            <a:ln w="25400" cap="rnd">
              <a:noFill/>
              <a:round/>
            </a:ln>
            <a:effectLst/>
          </c:spPr>
          <c:marker>
            <c:symbol val="none"/>
          </c:marker>
          <c:dLbls>
            <c:dLbl>
              <c:idx val="0"/>
              <c:tx>
                <c:rich>
                  <a:bodyPr/>
                  <a:lstStyle/>
                  <a:p>
                    <a:fld id="{CC72BE87-655B-46D7-A868-6474FCEA2C6C}" type="CELLRANGE">
                      <a:rPr lang="en-US"/>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44-C9A2-4AEB-8DB9-8E388877152C}"/>
                </c:ext>
              </c:extLst>
            </c:dLbl>
            <c:dLbl>
              <c:idx val="1"/>
              <c:tx>
                <c:rich>
                  <a:bodyPr/>
                  <a:lstStyle/>
                  <a:p>
                    <a:fld id="{8046BCB3-0941-4924-941F-451C5043B17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C9A2-4AEB-8DB9-8E388877152C}"/>
                </c:ext>
              </c:extLst>
            </c:dLbl>
            <c:dLbl>
              <c:idx val="2"/>
              <c:tx>
                <c:rich>
                  <a:bodyPr/>
                  <a:lstStyle/>
                  <a:p>
                    <a:fld id="{0315C659-7D30-4D03-8D04-F898EB2369F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C9A2-4AEB-8DB9-8E388877152C}"/>
                </c:ext>
              </c:extLst>
            </c:dLbl>
            <c:dLbl>
              <c:idx val="3"/>
              <c:tx>
                <c:rich>
                  <a:bodyPr/>
                  <a:lstStyle/>
                  <a:p>
                    <a:fld id="{100F96EB-D776-40B9-9756-6F94A33AB93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C9A2-4AEB-8DB9-8E388877152C}"/>
                </c:ext>
              </c:extLst>
            </c:dLbl>
            <c:dLbl>
              <c:idx val="4"/>
              <c:tx>
                <c:rich>
                  <a:bodyPr/>
                  <a:lstStyle/>
                  <a:p>
                    <a:fld id="{120905EE-E8F7-4B69-A424-5B2FEDCB255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C9A2-4AEB-8DB9-8E388877152C}"/>
                </c:ext>
              </c:extLst>
            </c:dLbl>
            <c:dLbl>
              <c:idx val="5"/>
              <c:tx>
                <c:rich>
                  <a:bodyPr/>
                  <a:lstStyle/>
                  <a:p>
                    <a:fld id="{68CD92A8-C6A5-47DE-9BCC-CC4628D85EB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C9A2-4AEB-8DB9-8E388877152C}"/>
                </c:ext>
              </c:extLst>
            </c:dLbl>
            <c:dLbl>
              <c:idx val="6"/>
              <c:tx>
                <c:rich>
                  <a:bodyPr/>
                  <a:lstStyle/>
                  <a:p>
                    <a:fld id="{6A3AE4A0-B7D3-48C5-BD83-3A7C33E10F6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C9A2-4AEB-8DB9-8E388877152C}"/>
                </c:ext>
              </c:extLst>
            </c:dLbl>
            <c:dLbl>
              <c:idx val="7"/>
              <c:tx>
                <c:rich>
                  <a:bodyPr/>
                  <a:lstStyle/>
                  <a:p>
                    <a:fld id="{6B6D24DC-178E-4294-A943-ED9A6E5409B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C9A2-4AEB-8DB9-8E388877152C}"/>
                </c:ext>
              </c:extLst>
            </c:dLbl>
            <c:dLbl>
              <c:idx val="8"/>
              <c:tx>
                <c:rich>
                  <a:bodyPr/>
                  <a:lstStyle/>
                  <a:p>
                    <a:fld id="{587BFA79-F1EC-46FE-83EC-8D7A4762E13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C9A2-4AEB-8DB9-8E388877152C}"/>
                </c:ext>
              </c:extLst>
            </c:dLbl>
            <c:dLbl>
              <c:idx val="9"/>
              <c:tx>
                <c:rich>
                  <a:bodyPr/>
                  <a:lstStyle/>
                  <a:p>
                    <a:fld id="{1BF15E66-F4E4-4C74-AD60-F973076C4C7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C9A2-4AEB-8DB9-8E388877152C}"/>
                </c:ext>
              </c:extLst>
            </c:dLbl>
            <c:dLbl>
              <c:idx val="10"/>
              <c:tx>
                <c:rich>
                  <a:bodyPr/>
                  <a:lstStyle/>
                  <a:p>
                    <a:fld id="{CD0AAD62-AEAD-4682-88F1-C242465C251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C9A2-4AEB-8DB9-8E388877152C}"/>
                </c:ext>
              </c:extLst>
            </c:dLbl>
            <c:dLbl>
              <c:idx val="11"/>
              <c:tx>
                <c:rich>
                  <a:bodyPr/>
                  <a:lstStyle/>
                  <a:p>
                    <a:fld id="{47A2DEE2-3BE1-4DEB-9BE8-84AE0DF151F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C9A2-4AEB-8DB9-8E388877152C}"/>
                </c:ext>
              </c:extLst>
            </c:dLbl>
            <c:dLbl>
              <c:idx val="12"/>
              <c:tx>
                <c:rich>
                  <a:bodyPr/>
                  <a:lstStyle/>
                  <a:p>
                    <a:fld id="{A37758FD-8386-4B48-956F-BC668F441B8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C9A2-4AEB-8DB9-8E388877152C}"/>
                </c:ext>
              </c:extLst>
            </c:dLbl>
            <c:dLbl>
              <c:idx val="13"/>
              <c:tx>
                <c:rich>
                  <a:bodyPr/>
                  <a:lstStyle/>
                  <a:p>
                    <a:fld id="{8E13C541-3D6F-4097-89CD-9F72E5DB42A9}"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C9A2-4AEB-8DB9-8E388877152C}"/>
                </c:ext>
              </c:extLst>
            </c:dLbl>
            <c:dLbl>
              <c:idx val="14"/>
              <c:tx>
                <c:rich>
                  <a:bodyPr/>
                  <a:lstStyle/>
                  <a:p>
                    <a:fld id="{94CFF9F9-E8F6-47C3-BCCA-D69D773DABF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C9A2-4AEB-8DB9-8E388877152C}"/>
                </c:ext>
              </c:extLst>
            </c:dLbl>
            <c:dLbl>
              <c:idx val="15"/>
              <c:tx>
                <c:rich>
                  <a:bodyPr/>
                  <a:lstStyle/>
                  <a:p>
                    <a:fld id="{BDF965EF-DC47-46FD-95CD-7009C5628107}"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C9A2-4AEB-8DB9-8E388877152C}"/>
                </c:ext>
              </c:extLst>
            </c:dLbl>
            <c:dLbl>
              <c:idx val="16"/>
              <c:tx>
                <c:rich>
                  <a:bodyPr/>
                  <a:lstStyle/>
                  <a:p>
                    <a:fld id="{199FA4CB-7E74-435A-8A4D-685DA3354BB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C9A2-4AEB-8DB9-8E388877152C}"/>
                </c:ext>
              </c:extLst>
            </c:dLbl>
            <c:dLbl>
              <c:idx val="17"/>
              <c:tx>
                <c:rich>
                  <a:bodyPr/>
                  <a:lstStyle/>
                  <a:p>
                    <a:fld id="{2A2FD209-A12B-4257-AF24-C7E66F3F25A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C9A2-4AEB-8DB9-8E388877152C}"/>
                </c:ext>
              </c:extLst>
            </c:dLbl>
            <c:dLbl>
              <c:idx val="18"/>
              <c:tx>
                <c:rich>
                  <a:bodyPr/>
                  <a:lstStyle/>
                  <a:p>
                    <a:fld id="{8EE9B9AA-4425-45F2-B0BE-32634E633BF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C9A2-4AEB-8DB9-8E388877152C}"/>
                </c:ext>
              </c:extLst>
            </c:dLbl>
            <c:dLbl>
              <c:idx val="19"/>
              <c:tx>
                <c:rich>
                  <a:bodyPr/>
                  <a:lstStyle/>
                  <a:p>
                    <a:fld id="{3BD4EEB0-81BA-4955-AC4F-25C0A09FA43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C9A2-4AEB-8DB9-8E388877152C}"/>
                </c:ext>
              </c:extLst>
            </c:dLbl>
            <c:dLbl>
              <c:idx val="20"/>
              <c:tx>
                <c:rich>
                  <a:bodyPr/>
                  <a:lstStyle/>
                  <a:p>
                    <a:fld id="{8C8341D2-DD54-4E4F-A9C6-61D307F017A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C9A2-4AEB-8DB9-8E388877152C}"/>
                </c:ext>
              </c:extLst>
            </c:dLbl>
            <c:dLbl>
              <c:idx val="21"/>
              <c:tx>
                <c:rich>
                  <a:bodyPr/>
                  <a:lstStyle/>
                  <a:p>
                    <a:fld id="{80B6E2B3-DAAE-453E-A18B-C607FB9A5B6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C9A2-4AEB-8DB9-8E388877152C}"/>
                </c:ext>
              </c:extLst>
            </c:dLbl>
            <c:dLbl>
              <c:idx val="22"/>
              <c:tx>
                <c:rich>
                  <a:bodyPr/>
                  <a:lstStyle/>
                  <a:p>
                    <a:fld id="{87E7D74F-DFE3-4D9A-A18E-3E6641233AC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C9A2-4AEB-8DB9-8E388877152C}"/>
                </c:ext>
              </c:extLst>
            </c:dLbl>
            <c:dLbl>
              <c:idx val="2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B-C9A2-4AEB-8DB9-8E388877152C}"/>
                </c:ext>
              </c:extLst>
            </c:dLbl>
            <c:dLbl>
              <c:idx val="2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C-C9A2-4AEB-8DB9-8E388877152C}"/>
                </c:ext>
              </c:extLst>
            </c:dLbl>
            <c:dLbl>
              <c:idx val="2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D-C9A2-4AEB-8DB9-8E388877152C}"/>
                </c:ext>
              </c:extLst>
            </c:dLbl>
            <c:dLbl>
              <c:idx val="2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E-C9A2-4AEB-8DB9-8E388877152C}"/>
                </c:ext>
              </c:extLst>
            </c:dLbl>
            <c:dLbl>
              <c:idx val="2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5F-C9A2-4AEB-8DB9-8E388877152C}"/>
                </c:ext>
              </c:extLst>
            </c:dLbl>
            <c:dLbl>
              <c:idx val="2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0-C9A2-4AEB-8DB9-8E388877152C}"/>
                </c:ext>
              </c:extLst>
            </c:dLbl>
            <c:dLbl>
              <c:idx val="29"/>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1-C9A2-4AEB-8DB9-8E388877152C}"/>
                </c:ext>
              </c:extLst>
            </c:dLbl>
            <c:dLbl>
              <c:idx val="30"/>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2-C9A2-4AEB-8DB9-8E388877152C}"/>
                </c:ext>
              </c:extLst>
            </c:dLbl>
            <c:dLbl>
              <c:idx val="31"/>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3-C9A2-4AEB-8DB9-8E388877152C}"/>
                </c:ext>
              </c:extLst>
            </c:dLbl>
            <c:dLbl>
              <c:idx val="32"/>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4-C9A2-4AEB-8DB9-8E388877152C}"/>
                </c:ext>
              </c:extLst>
            </c:dLbl>
            <c:dLbl>
              <c:idx val="33"/>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5-C9A2-4AEB-8DB9-8E388877152C}"/>
                </c:ext>
              </c:extLst>
            </c:dLbl>
            <c:dLbl>
              <c:idx val="34"/>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6-C9A2-4AEB-8DB9-8E388877152C}"/>
                </c:ext>
              </c:extLst>
            </c:dLbl>
            <c:dLbl>
              <c:idx val="35"/>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7-C9A2-4AEB-8DB9-8E388877152C}"/>
                </c:ext>
              </c:extLst>
            </c:dLbl>
            <c:dLbl>
              <c:idx val="36"/>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8-C9A2-4AEB-8DB9-8E388877152C}"/>
                </c:ext>
              </c:extLst>
            </c:dLbl>
            <c:dLbl>
              <c:idx val="37"/>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9-C9A2-4AEB-8DB9-8E388877152C}"/>
                </c:ext>
              </c:extLst>
            </c:dLbl>
            <c:dLbl>
              <c:idx val="38"/>
              <c:tx>
                <c:rich>
                  <a:bodyPr/>
                  <a:lstStyle/>
                  <a:p>
                    <a:endParaRPr lang="en-AU"/>
                  </a:p>
                </c:rich>
              </c:tx>
              <c:dLblPos val="r"/>
              <c:showLegendKey val="0"/>
              <c:showVal val="0"/>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6A-C9A2-4AEB-8DB9-8E388877152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Sheet1!$I$2:$I$40</c:f>
              <c:numCache>
                <c:formatCode>General</c:formatCode>
                <c:ptCount val="39"/>
                <c:pt idx="0">
                  <c:v>3000</c:v>
                </c:pt>
                <c:pt idx="1">
                  <c:v>3000</c:v>
                </c:pt>
                <c:pt idx="2">
                  <c:v>3000</c:v>
                </c:pt>
                <c:pt idx="3">
                  <c:v>3000</c:v>
                </c:pt>
                <c:pt idx="4">
                  <c:v>3000</c:v>
                </c:pt>
                <c:pt idx="5">
                  <c:v>3000</c:v>
                </c:pt>
                <c:pt idx="6">
                  <c:v>3000</c:v>
                </c:pt>
                <c:pt idx="7">
                  <c:v>3000</c:v>
                </c:pt>
                <c:pt idx="8">
                  <c:v>3000</c:v>
                </c:pt>
                <c:pt idx="9">
                  <c:v>3000</c:v>
                </c:pt>
                <c:pt idx="10">
                  <c:v>3000</c:v>
                </c:pt>
                <c:pt idx="11">
                  <c:v>3000</c:v>
                </c:pt>
                <c:pt idx="12">
                  <c:v>3000</c:v>
                </c:pt>
                <c:pt idx="13">
                  <c:v>3000</c:v>
                </c:pt>
                <c:pt idx="14">
                  <c:v>3000</c:v>
                </c:pt>
                <c:pt idx="15">
                  <c:v>3000</c:v>
                </c:pt>
                <c:pt idx="16">
                  <c:v>3000</c:v>
                </c:pt>
                <c:pt idx="17">
                  <c:v>3000</c:v>
                </c:pt>
                <c:pt idx="18">
                  <c:v>3000</c:v>
                </c:pt>
                <c:pt idx="19">
                  <c:v>3000</c:v>
                </c:pt>
                <c:pt idx="20">
                  <c:v>3000</c:v>
                </c:pt>
                <c:pt idx="21">
                  <c:v>3000</c:v>
                </c:pt>
                <c:pt idx="22">
                  <c:v>3000</c:v>
                </c:pt>
              </c:numCache>
            </c:numRef>
          </c:xVal>
          <c:yVal>
            <c:numRef>
              <c:f>Sheet1!$G$2:$G$40</c:f>
              <c:numCache>
                <c:formatCode>General</c:formatCode>
                <c:ptCount val="39"/>
                <c:pt idx="0">
                  <c:v>23</c:v>
                </c:pt>
                <c:pt idx="1">
                  <c:v>22</c:v>
                </c:pt>
                <c:pt idx="2">
                  <c:v>21</c:v>
                </c:pt>
                <c:pt idx="3">
                  <c:v>20</c:v>
                </c:pt>
                <c:pt idx="4">
                  <c:v>19</c:v>
                </c:pt>
                <c:pt idx="5">
                  <c:v>18</c:v>
                </c:pt>
                <c:pt idx="6">
                  <c:v>17</c:v>
                </c:pt>
                <c:pt idx="7">
                  <c:v>16</c:v>
                </c:pt>
                <c:pt idx="8">
                  <c:v>15</c:v>
                </c:pt>
                <c:pt idx="9">
                  <c:v>14</c:v>
                </c:pt>
                <c:pt idx="10">
                  <c:v>13</c:v>
                </c:pt>
                <c:pt idx="11">
                  <c:v>12</c:v>
                </c:pt>
                <c:pt idx="12">
                  <c:v>11</c:v>
                </c:pt>
                <c:pt idx="13">
                  <c:v>10</c:v>
                </c:pt>
                <c:pt idx="14">
                  <c:v>9</c:v>
                </c:pt>
                <c:pt idx="15">
                  <c:v>8</c:v>
                </c:pt>
                <c:pt idx="16">
                  <c:v>7</c:v>
                </c:pt>
                <c:pt idx="17">
                  <c:v>6</c:v>
                </c:pt>
                <c:pt idx="18">
                  <c:v>5</c:v>
                </c:pt>
                <c:pt idx="19">
                  <c:v>4</c:v>
                </c:pt>
                <c:pt idx="20">
                  <c:v>3</c:v>
                </c:pt>
                <c:pt idx="21">
                  <c:v>2</c:v>
                </c:pt>
                <c:pt idx="22">
                  <c:v>1</c:v>
                </c:pt>
              </c:numCache>
            </c:numRef>
          </c:yVal>
          <c:smooth val="0"/>
          <c:extLst>
            <c:ext xmlns:c15="http://schemas.microsoft.com/office/drawing/2012/chart" uri="{02D57815-91ED-43cb-92C2-25804820EDAC}">
              <c15:datalabelsRange>
                <c15:f>Sheet1!$J$2:$J$40</c15:f>
                <c15:dlblRangeCache>
                  <c:ptCount val="39"/>
                  <c:pt idx="0">
                    <c:v>-$94 ± $178</c:v>
                  </c:pt>
                  <c:pt idx="1">
                    <c:v> ------------------------</c:v>
                  </c:pt>
                  <c:pt idx="2">
                    <c:v>-$77 ± $211</c:v>
                  </c:pt>
                  <c:pt idx="3">
                    <c:v>-$234 ± $371</c:v>
                  </c:pt>
                  <c:pt idx="4">
                    <c:v>-$70 ± $1,179</c:v>
                  </c:pt>
                  <c:pt idx="5">
                    <c:v>$145 ± $129</c:v>
                  </c:pt>
                  <c:pt idx="6">
                    <c:v>$225 ± $305</c:v>
                  </c:pt>
                  <c:pt idx="7">
                    <c:v>-$45 ± $214</c:v>
                  </c:pt>
                  <c:pt idx="8">
                    <c:v> ------------------------</c:v>
                  </c:pt>
                  <c:pt idx="9">
                    <c:v>-$65 ± $187</c:v>
                  </c:pt>
                  <c:pt idx="10">
                    <c:v>-$233 ± $467</c:v>
                  </c:pt>
                  <c:pt idx="11">
                    <c:v>-$1,123 ± $1,627</c:v>
                  </c:pt>
                  <c:pt idx="12">
                    <c:v>$71 ± $1,306</c:v>
                  </c:pt>
                  <c:pt idx="13">
                    <c:v>-$531 ± $623</c:v>
                  </c:pt>
                  <c:pt idx="14">
                    <c:v>-$663 ± $512</c:v>
                  </c:pt>
                  <c:pt idx="15">
                    <c:v>-$680 ± $855</c:v>
                  </c:pt>
                  <c:pt idx="16">
                    <c:v> ------------------------</c:v>
                  </c:pt>
                  <c:pt idx="17">
                    <c:v>$143 ± $205</c:v>
                  </c:pt>
                  <c:pt idx="18">
                    <c:v>-$117 ± $627</c:v>
                  </c:pt>
                  <c:pt idx="19">
                    <c:v>$628 ± $629</c:v>
                  </c:pt>
                  <c:pt idx="20">
                    <c:v>-$539 ± $785</c:v>
                  </c:pt>
                  <c:pt idx="21">
                    <c:v>-$934 ± $1,889</c:v>
                  </c:pt>
                  <c:pt idx="22">
                    <c:v>-$362 ± $474</c:v>
                  </c:pt>
                </c15:dlblRangeCache>
              </c15:datalabelsRange>
            </c:ext>
            <c:ext xmlns:c16="http://schemas.microsoft.com/office/drawing/2014/chart" uri="{C3380CC4-5D6E-409C-BE32-E72D297353CC}">
              <c16:uniqueId val="{0000006B-C9A2-4AEB-8DB9-8E388877152C}"/>
            </c:ext>
          </c:extLst>
        </c:ser>
        <c:dLbls>
          <c:dLblPos val="r"/>
          <c:showLegendKey val="0"/>
          <c:showVal val="1"/>
          <c:showCatName val="0"/>
          <c:showSerName val="0"/>
          <c:showPercent val="0"/>
          <c:showBubbleSize val="0"/>
        </c:dLbls>
        <c:axId val="848893584"/>
        <c:axId val="848895664"/>
      </c:scatterChart>
      <c:valAx>
        <c:axId val="848893584"/>
        <c:scaling>
          <c:orientation val="minMax"/>
          <c:max val="3000"/>
          <c:min val="-3000"/>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Difference in NDIS expenditure</a:t>
                </a:r>
                <a:r>
                  <a:rPr lang="en-AU" sz="800" b="1" baseline="0">
                    <a:solidFill>
                      <a:sysClr val="windowText" lastClr="000000"/>
                    </a:solidFill>
                  </a:rPr>
                  <a:t> (ATE per month per participant)</a:t>
                </a:r>
                <a:endParaRPr lang="en-AU" sz="800" b="1">
                  <a:solidFill>
                    <a:sysClr val="windowText" lastClr="000000"/>
                  </a:solidFill>
                </a:endParaRPr>
              </a:p>
            </c:rich>
          </c:tx>
          <c:layout>
            <c:manualLayout>
              <c:xMode val="edge"/>
              <c:yMode val="edge"/>
              <c:x val="0.26495398918508678"/>
              <c:y val="0.9732510288065843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24"/>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Mean</c:v>
                </c:pt>
              </c:strCache>
            </c:strRef>
          </c:tx>
          <c:spPr>
            <a:ln w="19050" cap="rnd">
              <a:noFill/>
              <a:round/>
            </a:ln>
            <a:effectLst/>
          </c:spPr>
          <c:marker>
            <c:symbol val="circle"/>
            <c:size val="5"/>
            <c:spPr>
              <a:solidFill>
                <a:schemeClr val="bg2"/>
              </a:solidFill>
              <a:ln w="9525">
                <a:noFill/>
              </a:ln>
              <a:effectLst/>
            </c:spPr>
          </c:marker>
          <c:errBars>
            <c:errDir val="y"/>
            <c:errBarType val="both"/>
            <c:errValType val="cust"/>
            <c:noEndCap val="0"/>
            <c:plus>
              <c:numRef>
                <c:f>Sheet1!$C$2:$C$21</c:f>
                <c:numCache>
                  <c:formatCode>General</c:formatCode>
                  <c:ptCount val="20"/>
                  <c:pt idx="0">
                    <c:v>9148.9380000000001</c:v>
                  </c:pt>
                  <c:pt idx="1">
                    <c:v>6270.9970000000003</c:v>
                  </c:pt>
                  <c:pt idx="2">
                    <c:v>6453.1639999999998</c:v>
                  </c:pt>
                  <c:pt idx="3">
                    <c:v>8001.8280000000004</c:v>
                  </c:pt>
                  <c:pt idx="4">
                    <c:v>6266.2619999999997</c:v>
                  </c:pt>
                  <c:pt idx="5">
                    <c:v>8800.1239999999998</c:v>
                  </c:pt>
                  <c:pt idx="6">
                    <c:v>8399.7690000000002</c:v>
                  </c:pt>
                  <c:pt idx="7">
                    <c:v>6246.4430000000002</c:v>
                  </c:pt>
                  <c:pt idx="8">
                    <c:v>9014.7260000000006</c:v>
                  </c:pt>
                  <c:pt idx="9">
                    <c:v>8847.6540000000005</c:v>
                  </c:pt>
                  <c:pt idx="10">
                    <c:v>7132.0290000000005</c:v>
                  </c:pt>
                  <c:pt idx="11">
                    <c:v>7557.9340000000002</c:v>
                  </c:pt>
                  <c:pt idx="12">
                    <c:v>7066.5469999999996</c:v>
                  </c:pt>
                  <c:pt idx="13">
                    <c:v>6097.3379999999997</c:v>
                  </c:pt>
                  <c:pt idx="14">
                    <c:v>6449.2250000000004</c:v>
                  </c:pt>
                  <c:pt idx="15">
                    <c:v>5625.9639999999999</c:v>
                  </c:pt>
                  <c:pt idx="16">
                    <c:v>7582.9539999999997</c:v>
                  </c:pt>
                  <c:pt idx="17">
                    <c:v>6604.5879999999997</c:v>
                  </c:pt>
                  <c:pt idx="18">
                    <c:v>7402.5219999999999</c:v>
                  </c:pt>
                  <c:pt idx="19">
                    <c:v>7150.64</c:v>
                  </c:pt>
                </c:numCache>
              </c:numRef>
            </c:plus>
            <c:minus>
              <c:numRef>
                <c:f>Sheet1!$C$2:$C$21</c:f>
                <c:numCache>
                  <c:formatCode>General</c:formatCode>
                  <c:ptCount val="20"/>
                  <c:pt idx="0">
                    <c:v>9148.9380000000001</c:v>
                  </c:pt>
                  <c:pt idx="1">
                    <c:v>6270.9970000000003</c:v>
                  </c:pt>
                  <c:pt idx="2">
                    <c:v>6453.1639999999998</c:v>
                  </c:pt>
                  <c:pt idx="3">
                    <c:v>8001.8280000000004</c:v>
                  </c:pt>
                  <c:pt idx="4">
                    <c:v>6266.2619999999997</c:v>
                  </c:pt>
                  <c:pt idx="5">
                    <c:v>8800.1239999999998</c:v>
                  </c:pt>
                  <c:pt idx="6">
                    <c:v>8399.7690000000002</c:v>
                  </c:pt>
                  <c:pt idx="7">
                    <c:v>6246.4430000000002</c:v>
                  </c:pt>
                  <c:pt idx="8">
                    <c:v>9014.7260000000006</c:v>
                  </c:pt>
                  <c:pt idx="9">
                    <c:v>8847.6540000000005</c:v>
                  </c:pt>
                  <c:pt idx="10">
                    <c:v>7132.0290000000005</c:v>
                  </c:pt>
                  <c:pt idx="11">
                    <c:v>7557.9340000000002</c:v>
                  </c:pt>
                  <c:pt idx="12">
                    <c:v>7066.5469999999996</c:v>
                  </c:pt>
                  <c:pt idx="13">
                    <c:v>6097.3379999999997</c:v>
                  </c:pt>
                  <c:pt idx="14">
                    <c:v>6449.2250000000004</c:v>
                  </c:pt>
                  <c:pt idx="15">
                    <c:v>5625.9639999999999</c:v>
                  </c:pt>
                  <c:pt idx="16">
                    <c:v>7582.9539999999997</c:v>
                  </c:pt>
                  <c:pt idx="17">
                    <c:v>6604.5879999999997</c:v>
                  </c:pt>
                  <c:pt idx="18">
                    <c:v>7402.5219999999999</c:v>
                  </c:pt>
                  <c:pt idx="19">
                    <c:v>7150.64</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noFill/>
                <a:round/>
              </a:ln>
              <a:effectLst/>
            </c:spPr>
          </c:errBars>
          <c:xVal>
            <c:numRef>
              <c:f>Sheet1!$A$2:$A$21</c:f>
              <c:numCache>
                <c:formatCode>General</c:formatCode>
                <c:ptCount val="20"/>
                <c:pt idx="0">
                  <c:v>-9</c:v>
                </c:pt>
                <c:pt idx="1">
                  <c:v>-8</c:v>
                </c:pt>
                <c:pt idx="2">
                  <c:v>-7</c:v>
                </c:pt>
                <c:pt idx="3">
                  <c:v>-6</c:v>
                </c:pt>
                <c:pt idx="4">
                  <c:v>-5</c:v>
                </c:pt>
                <c:pt idx="5">
                  <c:v>-4</c:v>
                </c:pt>
                <c:pt idx="6">
                  <c:v>-3</c:v>
                </c:pt>
                <c:pt idx="7">
                  <c:v>-2</c:v>
                </c:pt>
                <c:pt idx="8">
                  <c:v>-1</c:v>
                </c:pt>
                <c:pt idx="9">
                  <c:v>0</c:v>
                </c:pt>
                <c:pt idx="10">
                  <c:v>1</c:v>
                </c:pt>
                <c:pt idx="11">
                  <c:v>2</c:v>
                </c:pt>
                <c:pt idx="12">
                  <c:v>3</c:v>
                </c:pt>
                <c:pt idx="13">
                  <c:v>4</c:v>
                </c:pt>
                <c:pt idx="14">
                  <c:v>5</c:v>
                </c:pt>
                <c:pt idx="15">
                  <c:v>6</c:v>
                </c:pt>
                <c:pt idx="16">
                  <c:v>7</c:v>
                </c:pt>
                <c:pt idx="17">
                  <c:v>8</c:v>
                </c:pt>
                <c:pt idx="18">
                  <c:v>9</c:v>
                </c:pt>
                <c:pt idx="19">
                  <c:v>10</c:v>
                </c:pt>
              </c:numCache>
            </c:numRef>
          </c:xVal>
          <c:yVal>
            <c:numRef>
              <c:f>Sheet1!$B$2:$B$21</c:f>
              <c:numCache>
                <c:formatCode>"$"#,##0</c:formatCode>
                <c:ptCount val="20"/>
                <c:pt idx="0">
                  <c:v>9960.83</c:v>
                </c:pt>
                <c:pt idx="1">
                  <c:v>1462.982</c:v>
                </c:pt>
                <c:pt idx="2">
                  <c:v>5753.9480000000003</c:v>
                </c:pt>
                <c:pt idx="3">
                  <c:v>8693.6119999999992</c:v>
                </c:pt>
                <c:pt idx="4">
                  <c:v>4025.6030000000001</c:v>
                </c:pt>
                <c:pt idx="5">
                  <c:v>17926.59</c:v>
                </c:pt>
                <c:pt idx="6">
                  <c:v>8516.6540000000005</c:v>
                </c:pt>
                <c:pt idx="7">
                  <c:v>2062.4499999999998</c:v>
                </c:pt>
                <c:pt idx="8">
                  <c:v>23474.240000000002</c:v>
                </c:pt>
                <c:pt idx="9">
                  <c:v>25394.62</c:v>
                </c:pt>
                <c:pt idx="10">
                  <c:v>27538.14</c:v>
                </c:pt>
                <c:pt idx="11">
                  <c:v>19667.240000000002</c:v>
                </c:pt>
                <c:pt idx="12">
                  <c:v>11776</c:v>
                </c:pt>
                <c:pt idx="13">
                  <c:v>14692.99</c:v>
                </c:pt>
                <c:pt idx="14">
                  <c:v>2878.2919999999999</c:v>
                </c:pt>
                <c:pt idx="15">
                  <c:v>7240.3860000000004</c:v>
                </c:pt>
                <c:pt idx="16">
                  <c:v>15258.79</c:v>
                </c:pt>
                <c:pt idx="17">
                  <c:v>-915.53700000000003</c:v>
                </c:pt>
                <c:pt idx="18">
                  <c:v>9995.9110000000001</c:v>
                </c:pt>
                <c:pt idx="19">
                  <c:v>-804.76</c:v>
                </c:pt>
              </c:numCache>
            </c:numRef>
          </c:yVal>
          <c:smooth val="0"/>
          <c:extLst>
            <c:ext xmlns:c16="http://schemas.microsoft.com/office/drawing/2014/chart" uri="{C3380CC4-5D6E-409C-BE32-E72D297353CC}">
              <c16:uniqueId val="{00000000-A79D-4CAC-859F-B72B9DA9EB28}"/>
            </c:ext>
          </c:extLst>
        </c:ser>
        <c:ser>
          <c:idx val="2"/>
          <c:order val="2"/>
          <c:tx>
            <c:strRef>
              <c:f>Sheet1!$D$1</c:f>
              <c:strCache>
                <c:ptCount val="1"/>
                <c:pt idx="0">
                  <c:v>LAB</c:v>
                </c:pt>
              </c:strCache>
            </c:strRef>
          </c:tx>
          <c:spPr>
            <a:ln w="25400" cap="rnd">
              <a:noFill/>
              <a:round/>
            </a:ln>
            <a:effectLst/>
          </c:spPr>
          <c:marker>
            <c:symbol val="circle"/>
            <c:size val="5"/>
            <c:spPr>
              <a:solidFill>
                <a:schemeClr val="accent3"/>
              </a:solidFill>
              <a:ln w="9525">
                <a:solidFill>
                  <a:schemeClr val="accent3"/>
                </a:solidFill>
              </a:ln>
              <a:effectLst/>
            </c:spPr>
          </c:marker>
          <c:dPt>
            <c:idx val="9"/>
            <c:marker>
              <c:symbol val="none"/>
            </c:marker>
            <c:bubble3D val="0"/>
            <c:extLst>
              <c:ext xmlns:c16="http://schemas.microsoft.com/office/drawing/2014/chart" uri="{C3380CC4-5D6E-409C-BE32-E72D297353CC}">
                <c16:uniqueId val="{00000000-112D-4B7F-B0CE-03A54C3F3753}"/>
              </c:ext>
            </c:extLst>
          </c:dPt>
          <c:errBars>
            <c:errDir val="y"/>
            <c:errBarType val="both"/>
            <c:errValType val="fixedVal"/>
            <c:noEndCap val="1"/>
            <c:val val="10000000"/>
            <c:spPr>
              <a:noFill/>
              <a:ln w="444500" cap="flat" cmpd="sng" algn="ctr">
                <a:solidFill>
                  <a:schemeClr val="accent1">
                    <a:alpha val="50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Sheet1!$A$2:$A$21</c:f>
              <c:numCache>
                <c:formatCode>General</c:formatCode>
                <c:ptCount val="20"/>
                <c:pt idx="0">
                  <c:v>-9</c:v>
                </c:pt>
                <c:pt idx="1">
                  <c:v>-8</c:v>
                </c:pt>
                <c:pt idx="2">
                  <c:v>-7</c:v>
                </c:pt>
                <c:pt idx="3">
                  <c:v>-6</c:v>
                </c:pt>
                <c:pt idx="4">
                  <c:v>-5</c:v>
                </c:pt>
                <c:pt idx="5">
                  <c:v>-4</c:v>
                </c:pt>
                <c:pt idx="6">
                  <c:v>-3</c:v>
                </c:pt>
                <c:pt idx="7">
                  <c:v>-2</c:v>
                </c:pt>
                <c:pt idx="8">
                  <c:v>-1</c:v>
                </c:pt>
                <c:pt idx="9">
                  <c:v>0</c:v>
                </c:pt>
                <c:pt idx="10">
                  <c:v>1</c:v>
                </c:pt>
                <c:pt idx="11">
                  <c:v>2</c:v>
                </c:pt>
                <c:pt idx="12">
                  <c:v>3</c:v>
                </c:pt>
                <c:pt idx="13">
                  <c:v>4</c:v>
                </c:pt>
                <c:pt idx="14">
                  <c:v>5</c:v>
                </c:pt>
                <c:pt idx="15">
                  <c:v>6</c:v>
                </c:pt>
                <c:pt idx="16">
                  <c:v>7</c:v>
                </c:pt>
                <c:pt idx="17">
                  <c:v>8</c:v>
                </c:pt>
                <c:pt idx="18">
                  <c:v>9</c:v>
                </c:pt>
                <c:pt idx="19">
                  <c:v>10</c:v>
                </c:pt>
              </c:numCache>
            </c:numRef>
          </c:xVal>
          <c:yVal>
            <c:numRef>
              <c:f>Sheet1!$D$2:$D$21</c:f>
              <c:numCache>
                <c:formatCode>General</c:formatCode>
                <c:ptCount val="20"/>
                <c:pt idx="9">
                  <c:v>0</c:v>
                </c:pt>
              </c:numCache>
            </c:numRef>
          </c:yVal>
          <c:smooth val="0"/>
          <c:extLst>
            <c:ext xmlns:c16="http://schemas.microsoft.com/office/drawing/2014/chart" uri="{C3380CC4-5D6E-409C-BE32-E72D297353CC}">
              <c16:uniqueId val="{00000002-A79D-4CAC-859F-B72B9DA9EB28}"/>
            </c:ext>
          </c:extLst>
        </c:ser>
        <c:dLbls>
          <c:showLegendKey val="0"/>
          <c:showVal val="0"/>
          <c:showCatName val="0"/>
          <c:showSerName val="0"/>
          <c:showPercent val="0"/>
          <c:showBubbleSize val="0"/>
        </c:dLbls>
        <c:axId val="1661031823"/>
        <c:axId val="1661019759"/>
        <c:extLst>
          <c:ext xmlns:c15="http://schemas.microsoft.com/office/drawing/2012/chart" uri="{02D57815-91ED-43cb-92C2-25804820EDAC}">
            <c15:filteredScatterSeries>
              <c15:ser>
                <c:idx val="1"/>
                <c:order val="1"/>
                <c:tx>
                  <c:strRef>
                    <c:extLst>
                      <c:ext uri="{02D57815-91ED-43cb-92C2-25804820EDAC}">
                        <c15:formulaRef>
                          <c15:sqref>Sheet1!$C$1</c15:sqref>
                        </c15:formulaRef>
                      </c:ext>
                    </c:extLst>
                    <c:strCache>
                      <c:ptCount val="1"/>
                      <c:pt idx="0">
                        <c:v>SD</c:v>
                      </c:pt>
                    </c:strCache>
                  </c:strRef>
                </c:tx>
                <c:spPr>
                  <a:ln w="25400" cap="rnd">
                    <a:no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Sheet1!$A$2:$A$21</c15:sqref>
                        </c15:formulaRef>
                      </c:ext>
                    </c:extLst>
                    <c:numCache>
                      <c:formatCode>General</c:formatCode>
                      <c:ptCount val="20"/>
                      <c:pt idx="0">
                        <c:v>-9</c:v>
                      </c:pt>
                      <c:pt idx="1">
                        <c:v>-8</c:v>
                      </c:pt>
                      <c:pt idx="2">
                        <c:v>-7</c:v>
                      </c:pt>
                      <c:pt idx="3">
                        <c:v>-6</c:v>
                      </c:pt>
                      <c:pt idx="4">
                        <c:v>-5</c:v>
                      </c:pt>
                      <c:pt idx="5">
                        <c:v>-4</c:v>
                      </c:pt>
                      <c:pt idx="6">
                        <c:v>-3</c:v>
                      </c:pt>
                      <c:pt idx="7">
                        <c:v>-2</c:v>
                      </c:pt>
                      <c:pt idx="8">
                        <c:v>-1</c:v>
                      </c:pt>
                      <c:pt idx="9">
                        <c:v>0</c:v>
                      </c:pt>
                      <c:pt idx="10">
                        <c:v>1</c:v>
                      </c:pt>
                      <c:pt idx="11">
                        <c:v>2</c:v>
                      </c:pt>
                      <c:pt idx="12">
                        <c:v>3</c:v>
                      </c:pt>
                      <c:pt idx="13">
                        <c:v>4</c:v>
                      </c:pt>
                      <c:pt idx="14">
                        <c:v>5</c:v>
                      </c:pt>
                      <c:pt idx="15">
                        <c:v>6</c:v>
                      </c:pt>
                      <c:pt idx="16">
                        <c:v>7</c:v>
                      </c:pt>
                      <c:pt idx="17">
                        <c:v>8</c:v>
                      </c:pt>
                      <c:pt idx="18">
                        <c:v>9</c:v>
                      </c:pt>
                      <c:pt idx="19">
                        <c:v>10</c:v>
                      </c:pt>
                    </c:numCache>
                  </c:numRef>
                </c:xVal>
                <c:yVal>
                  <c:numRef>
                    <c:extLst>
                      <c:ext uri="{02D57815-91ED-43cb-92C2-25804820EDAC}">
                        <c15:formulaRef>
                          <c15:sqref>Sheet1!$C$2:$C$21</c15:sqref>
                        </c15:formulaRef>
                      </c:ext>
                    </c:extLst>
                    <c:numCache>
                      <c:formatCode>"$"#,##0</c:formatCode>
                      <c:ptCount val="20"/>
                      <c:pt idx="0">
                        <c:v>9148.9380000000001</c:v>
                      </c:pt>
                      <c:pt idx="1">
                        <c:v>6270.9970000000003</c:v>
                      </c:pt>
                      <c:pt idx="2">
                        <c:v>6453.1639999999998</c:v>
                      </c:pt>
                      <c:pt idx="3">
                        <c:v>8001.8280000000004</c:v>
                      </c:pt>
                      <c:pt idx="4">
                        <c:v>6266.2619999999997</c:v>
                      </c:pt>
                      <c:pt idx="5">
                        <c:v>8800.1239999999998</c:v>
                      </c:pt>
                      <c:pt idx="6">
                        <c:v>8399.7690000000002</c:v>
                      </c:pt>
                      <c:pt idx="7">
                        <c:v>6246.4430000000002</c:v>
                      </c:pt>
                      <c:pt idx="8">
                        <c:v>9014.7260000000006</c:v>
                      </c:pt>
                      <c:pt idx="9">
                        <c:v>8847.6540000000005</c:v>
                      </c:pt>
                      <c:pt idx="10">
                        <c:v>7132.0290000000005</c:v>
                      </c:pt>
                      <c:pt idx="11">
                        <c:v>7557.9340000000002</c:v>
                      </c:pt>
                      <c:pt idx="12">
                        <c:v>7066.5469999999996</c:v>
                      </c:pt>
                      <c:pt idx="13">
                        <c:v>6097.3379999999997</c:v>
                      </c:pt>
                      <c:pt idx="14">
                        <c:v>6449.2250000000004</c:v>
                      </c:pt>
                      <c:pt idx="15">
                        <c:v>5625.9639999999999</c:v>
                      </c:pt>
                      <c:pt idx="16">
                        <c:v>7582.9539999999997</c:v>
                      </c:pt>
                      <c:pt idx="17">
                        <c:v>6604.5879999999997</c:v>
                      </c:pt>
                      <c:pt idx="18">
                        <c:v>7402.5219999999999</c:v>
                      </c:pt>
                      <c:pt idx="19">
                        <c:v>7150.64</c:v>
                      </c:pt>
                    </c:numCache>
                  </c:numRef>
                </c:yVal>
                <c:smooth val="0"/>
                <c:extLst>
                  <c:ext xmlns:c16="http://schemas.microsoft.com/office/drawing/2014/chart" uri="{C3380CC4-5D6E-409C-BE32-E72D297353CC}">
                    <c16:uniqueId val="{00000001-A79D-4CAC-859F-B72B9DA9EB28}"/>
                  </c:ext>
                </c:extLst>
              </c15:ser>
            </c15:filteredScatterSeries>
          </c:ext>
        </c:extLst>
      </c:scatterChart>
      <c:valAx>
        <c:axId val="1661031823"/>
        <c:scaling>
          <c:orientation val="minMax"/>
          <c:max val="10.5"/>
          <c:min val="-1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AU" sz="900" b="1">
                    <a:solidFill>
                      <a:schemeClr val="tx1"/>
                    </a:solidFill>
                  </a:rPr>
                  <a:t>Months</a:t>
                </a:r>
                <a:r>
                  <a:rPr lang="en-AU" sz="900" b="1" baseline="0">
                    <a:solidFill>
                      <a:schemeClr val="tx1"/>
                    </a:solidFill>
                  </a:rPr>
                  <a:t> prior/post MF implementation</a:t>
                </a:r>
                <a:endParaRPr lang="en-AU" sz="900" b="1">
                  <a:solidFill>
                    <a:schemeClr val="tx1"/>
                  </a:solidFill>
                </a:endParaRPr>
              </a:p>
            </c:rich>
          </c:tx>
          <c:layout>
            <c:manualLayout>
              <c:xMode val="edge"/>
              <c:yMode val="edge"/>
              <c:x val="0.33673319480898223"/>
              <c:y val="0.9265873015873016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61019759"/>
        <c:crosses val="autoZero"/>
        <c:crossBetween val="midCat"/>
        <c:majorUnit val="1"/>
      </c:valAx>
      <c:valAx>
        <c:axId val="1661019759"/>
        <c:scaling>
          <c:orientation val="minMax"/>
          <c:max val="40000"/>
          <c:min val="-10000"/>
        </c:scaling>
        <c:delete val="0"/>
        <c:axPos val="l"/>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AU" sz="900" b="1" i="0" baseline="0">
                    <a:solidFill>
                      <a:schemeClr val="tx1"/>
                    </a:solidFill>
                    <a:effectLst/>
                  </a:rPr>
                  <a:t>ATE - Difference in total NDIS spend (per month per participant) </a:t>
                </a:r>
                <a:endParaRPr lang="en-AU" sz="900" b="1">
                  <a:solidFill>
                    <a:schemeClr val="tx1"/>
                  </a:solidFill>
                  <a:effectLst/>
                </a:endParaRPr>
              </a:p>
            </c:rich>
          </c:tx>
          <c:layout>
            <c:manualLayout>
              <c:xMode val="edge"/>
              <c:yMode val="edge"/>
              <c:x val="1.3888888888888888E-2"/>
              <c:y val="0.1113788901387326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title>
        <c:numFmt formatCode="&quot;$&quot;#,##0"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6103182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9679050185841"/>
          <c:y val="2.0401166862939791E-2"/>
          <c:w val="0.60222233965720728"/>
          <c:h val="0.89496355477559442"/>
        </c:manualLayout>
      </c:layout>
      <c:barChart>
        <c:barDir val="bar"/>
        <c:grouping val="clustered"/>
        <c:varyColors val="0"/>
        <c:ser>
          <c:idx val="3"/>
          <c:order val="3"/>
          <c:tx>
            <c:strRef>
              <c:f>Sheet1!$E$1</c:f>
              <c:strCache>
                <c:ptCount val="1"/>
                <c:pt idx="0">
                  <c:v>Change</c:v>
                </c:pt>
              </c:strCache>
            </c:strRef>
          </c:tx>
          <c:spPr>
            <a:solidFill>
              <a:schemeClr val="accent4"/>
            </a:solidFill>
            <a:ln>
              <a:noFill/>
            </a:ln>
            <a:effectLst/>
          </c:spPr>
          <c:invertIfNegative val="0"/>
          <c:dPt>
            <c:idx val="1"/>
            <c:invertIfNegative val="0"/>
            <c:bubble3D val="0"/>
            <c:spPr>
              <a:solidFill>
                <a:srgbClr val="822E08"/>
              </a:solidFill>
              <a:ln>
                <a:noFill/>
              </a:ln>
              <a:effectLst/>
            </c:spPr>
            <c:extLst>
              <c:ext xmlns:c16="http://schemas.microsoft.com/office/drawing/2014/chart" uri="{C3380CC4-5D6E-409C-BE32-E72D297353CC}">
                <c16:uniqueId val="{00000001-72EA-451C-A92A-CCC04CD7F8ED}"/>
              </c:ext>
            </c:extLst>
          </c:dPt>
          <c:dPt>
            <c:idx val="3"/>
            <c:invertIfNegative val="0"/>
            <c:bubble3D val="0"/>
            <c:spPr>
              <a:solidFill>
                <a:schemeClr val="bg2"/>
              </a:solidFill>
              <a:ln>
                <a:noFill/>
              </a:ln>
              <a:effectLst/>
            </c:spPr>
            <c:extLst>
              <c:ext xmlns:c16="http://schemas.microsoft.com/office/drawing/2014/chart" uri="{C3380CC4-5D6E-409C-BE32-E72D297353CC}">
                <c16:uniqueId val="{00000003-72EA-451C-A92A-CCC04CD7F8ED}"/>
              </c:ext>
            </c:extLst>
          </c:dPt>
          <c:dPt>
            <c:idx val="4"/>
            <c:invertIfNegative val="0"/>
            <c:bubble3D val="0"/>
            <c:spPr>
              <a:solidFill>
                <a:schemeClr val="bg2"/>
              </a:solidFill>
              <a:ln>
                <a:noFill/>
              </a:ln>
              <a:effectLst/>
            </c:spPr>
            <c:extLst>
              <c:ext xmlns:c16="http://schemas.microsoft.com/office/drawing/2014/chart" uri="{C3380CC4-5D6E-409C-BE32-E72D297353CC}">
                <c16:uniqueId val="{00000005-72EA-451C-A92A-CCC04CD7F8ED}"/>
              </c:ext>
            </c:extLst>
          </c:dPt>
          <c:dPt>
            <c:idx val="5"/>
            <c:invertIfNegative val="0"/>
            <c:bubble3D val="0"/>
            <c:spPr>
              <a:solidFill>
                <a:schemeClr val="bg2"/>
              </a:solidFill>
              <a:ln>
                <a:noFill/>
              </a:ln>
              <a:effectLst/>
            </c:spPr>
            <c:extLst>
              <c:ext xmlns:c16="http://schemas.microsoft.com/office/drawing/2014/chart" uri="{C3380CC4-5D6E-409C-BE32-E72D297353CC}">
                <c16:uniqueId val="{00000007-72EA-451C-A92A-CCC04CD7F8ED}"/>
              </c:ext>
            </c:extLst>
          </c:dPt>
          <c:dPt>
            <c:idx val="6"/>
            <c:invertIfNegative val="0"/>
            <c:bubble3D val="0"/>
            <c:spPr>
              <a:solidFill>
                <a:schemeClr val="bg2"/>
              </a:solidFill>
              <a:ln>
                <a:noFill/>
              </a:ln>
              <a:effectLst/>
            </c:spPr>
            <c:extLst>
              <c:ext xmlns:c16="http://schemas.microsoft.com/office/drawing/2014/chart" uri="{C3380CC4-5D6E-409C-BE32-E72D297353CC}">
                <c16:uniqueId val="{00000034-72EA-451C-A92A-CCC04CD7F8ED}"/>
              </c:ext>
            </c:extLst>
          </c:dPt>
          <c:dPt>
            <c:idx val="7"/>
            <c:invertIfNegative val="0"/>
            <c:bubble3D val="0"/>
            <c:spPr>
              <a:solidFill>
                <a:schemeClr val="bg2"/>
              </a:solidFill>
              <a:ln>
                <a:noFill/>
              </a:ln>
              <a:effectLst/>
            </c:spPr>
            <c:extLst>
              <c:ext xmlns:c16="http://schemas.microsoft.com/office/drawing/2014/chart" uri="{C3380CC4-5D6E-409C-BE32-E72D297353CC}">
                <c16:uniqueId val="{00000009-72EA-451C-A92A-CCC04CD7F8ED}"/>
              </c:ext>
            </c:extLst>
          </c:dPt>
          <c:dPt>
            <c:idx val="8"/>
            <c:invertIfNegative val="0"/>
            <c:bubble3D val="0"/>
            <c:spPr>
              <a:solidFill>
                <a:schemeClr val="bg2"/>
              </a:solidFill>
              <a:ln>
                <a:noFill/>
              </a:ln>
              <a:effectLst/>
            </c:spPr>
            <c:extLst>
              <c:ext xmlns:c16="http://schemas.microsoft.com/office/drawing/2014/chart" uri="{C3380CC4-5D6E-409C-BE32-E72D297353CC}">
                <c16:uniqueId val="{0000000B-72EA-451C-A92A-CCC04CD7F8ED}"/>
              </c:ext>
            </c:extLst>
          </c:dPt>
          <c:dPt>
            <c:idx val="18"/>
            <c:invertIfNegative val="0"/>
            <c:bubble3D val="0"/>
            <c:spPr>
              <a:solidFill>
                <a:schemeClr val="accent6"/>
              </a:solidFill>
              <a:ln>
                <a:noFill/>
              </a:ln>
              <a:effectLst/>
            </c:spPr>
            <c:extLst>
              <c:ext xmlns:c16="http://schemas.microsoft.com/office/drawing/2014/chart" uri="{C3380CC4-5D6E-409C-BE32-E72D297353CC}">
                <c16:uniqueId val="{0000000D-72EA-451C-A92A-CCC04CD7F8ED}"/>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0F-72EA-451C-A92A-CCC04CD7F8ED}"/>
              </c:ext>
            </c:extLst>
          </c:dPt>
          <c:dPt>
            <c:idx val="20"/>
            <c:invertIfNegative val="0"/>
            <c:bubble3D val="0"/>
            <c:spPr>
              <a:solidFill>
                <a:schemeClr val="accent6"/>
              </a:solidFill>
              <a:ln>
                <a:noFill/>
              </a:ln>
              <a:effectLst/>
            </c:spPr>
            <c:extLst>
              <c:ext xmlns:c16="http://schemas.microsoft.com/office/drawing/2014/chart" uri="{C3380CC4-5D6E-409C-BE32-E72D297353CC}">
                <c16:uniqueId val="{00000011-72EA-451C-A92A-CCC04CD7F8ED}"/>
              </c:ext>
            </c:extLst>
          </c:dPt>
          <c:dPt>
            <c:idx val="21"/>
            <c:invertIfNegative val="0"/>
            <c:bubble3D val="0"/>
            <c:spPr>
              <a:solidFill>
                <a:schemeClr val="accent6"/>
              </a:solidFill>
              <a:ln>
                <a:noFill/>
              </a:ln>
              <a:effectLst/>
            </c:spPr>
            <c:extLst>
              <c:ext xmlns:c16="http://schemas.microsoft.com/office/drawing/2014/chart" uri="{C3380CC4-5D6E-409C-BE32-E72D297353CC}">
                <c16:uniqueId val="{00000013-72EA-451C-A92A-CCC04CD7F8ED}"/>
              </c:ext>
            </c:extLst>
          </c:dPt>
          <c:dPt>
            <c:idx val="22"/>
            <c:invertIfNegative val="0"/>
            <c:bubble3D val="0"/>
            <c:spPr>
              <a:solidFill>
                <a:schemeClr val="accent6"/>
              </a:solidFill>
              <a:ln>
                <a:noFill/>
              </a:ln>
              <a:effectLst/>
            </c:spPr>
            <c:extLst>
              <c:ext xmlns:c16="http://schemas.microsoft.com/office/drawing/2014/chart" uri="{C3380CC4-5D6E-409C-BE32-E72D297353CC}">
                <c16:uniqueId val="{00000015-72EA-451C-A92A-CCC04CD7F8ED}"/>
              </c:ext>
            </c:extLst>
          </c:dPt>
          <c:dPt>
            <c:idx val="23"/>
            <c:invertIfNegative val="0"/>
            <c:bubble3D val="0"/>
            <c:spPr>
              <a:solidFill>
                <a:schemeClr val="accent6"/>
              </a:solidFill>
              <a:ln>
                <a:noFill/>
              </a:ln>
              <a:effectLst/>
            </c:spPr>
            <c:extLst>
              <c:ext xmlns:c16="http://schemas.microsoft.com/office/drawing/2014/chart" uri="{C3380CC4-5D6E-409C-BE32-E72D297353CC}">
                <c16:uniqueId val="{00000017-72EA-451C-A92A-CCC04CD7F8ED}"/>
              </c:ext>
            </c:extLst>
          </c:dPt>
          <c:dPt>
            <c:idx val="24"/>
            <c:invertIfNegative val="0"/>
            <c:bubble3D val="0"/>
            <c:spPr>
              <a:solidFill>
                <a:schemeClr val="accent6"/>
              </a:solidFill>
              <a:ln>
                <a:noFill/>
              </a:ln>
              <a:effectLst/>
            </c:spPr>
            <c:extLst>
              <c:ext xmlns:c16="http://schemas.microsoft.com/office/drawing/2014/chart" uri="{C3380CC4-5D6E-409C-BE32-E72D297353CC}">
                <c16:uniqueId val="{00000019-72EA-451C-A92A-CCC04CD7F8ED}"/>
              </c:ext>
            </c:extLst>
          </c:dPt>
          <c:dPt>
            <c:idx val="25"/>
            <c:invertIfNegative val="0"/>
            <c:bubble3D val="0"/>
            <c:spPr>
              <a:solidFill>
                <a:schemeClr val="accent6"/>
              </a:solidFill>
              <a:ln>
                <a:noFill/>
              </a:ln>
              <a:effectLst/>
            </c:spPr>
            <c:extLst>
              <c:ext xmlns:c16="http://schemas.microsoft.com/office/drawing/2014/chart" uri="{C3380CC4-5D6E-409C-BE32-E72D297353CC}">
                <c16:uniqueId val="{0000001B-72EA-451C-A92A-CCC04CD7F8ED}"/>
              </c:ext>
            </c:extLst>
          </c:dPt>
          <c:dPt>
            <c:idx val="27"/>
            <c:invertIfNegative val="0"/>
            <c:bubble3D val="0"/>
            <c:spPr>
              <a:solidFill>
                <a:schemeClr val="tx1"/>
              </a:solidFill>
              <a:ln>
                <a:noFill/>
              </a:ln>
              <a:effectLst/>
            </c:spPr>
            <c:extLst>
              <c:ext xmlns:c16="http://schemas.microsoft.com/office/drawing/2014/chart" uri="{C3380CC4-5D6E-409C-BE32-E72D297353CC}">
                <c16:uniqueId val="{0000001D-72EA-451C-A92A-CCC04CD7F8ED}"/>
              </c:ext>
            </c:extLst>
          </c:dPt>
          <c:dPt>
            <c:idx val="29"/>
            <c:invertIfNegative val="0"/>
            <c:bubble3D val="0"/>
            <c:spPr>
              <a:solidFill>
                <a:schemeClr val="accent5"/>
              </a:solidFill>
              <a:ln>
                <a:noFill/>
              </a:ln>
              <a:effectLst/>
            </c:spPr>
            <c:extLst>
              <c:ext xmlns:c16="http://schemas.microsoft.com/office/drawing/2014/chart" uri="{C3380CC4-5D6E-409C-BE32-E72D297353CC}">
                <c16:uniqueId val="{0000001F-72EA-451C-A92A-CCC04CD7F8ED}"/>
              </c:ext>
            </c:extLst>
          </c:dPt>
          <c:dPt>
            <c:idx val="30"/>
            <c:invertIfNegative val="0"/>
            <c:bubble3D val="0"/>
            <c:spPr>
              <a:solidFill>
                <a:schemeClr val="accent5"/>
              </a:solidFill>
              <a:ln>
                <a:noFill/>
              </a:ln>
              <a:effectLst/>
            </c:spPr>
            <c:extLst>
              <c:ext xmlns:c16="http://schemas.microsoft.com/office/drawing/2014/chart" uri="{C3380CC4-5D6E-409C-BE32-E72D297353CC}">
                <c16:uniqueId val="{00000021-72EA-451C-A92A-CCC04CD7F8ED}"/>
              </c:ext>
            </c:extLst>
          </c:dPt>
          <c:dPt>
            <c:idx val="31"/>
            <c:invertIfNegative val="0"/>
            <c:bubble3D val="0"/>
            <c:spPr>
              <a:solidFill>
                <a:schemeClr val="accent5"/>
              </a:solidFill>
              <a:ln>
                <a:noFill/>
              </a:ln>
              <a:effectLst/>
            </c:spPr>
            <c:extLst>
              <c:ext xmlns:c16="http://schemas.microsoft.com/office/drawing/2014/chart" uri="{C3380CC4-5D6E-409C-BE32-E72D297353CC}">
                <c16:uniqueId val="{00000023-72EA-451C-A92A-CCC04CD7F8ED}"/>
              </c:ext>
            </c:extLst>
          </c:dPt>
          <c:dPt>
            <c:idx val="32"/>
            <c:invertIfNegative val="0"/>
            <c:bubble3D val="0"/>
            <c:spPr>
              <a:solidFill>
                <a:schemeClr val="accent5"/>
              </a:solidFill>
              <a:ln>
                <a:noFill/>
              </a:ln>
              <a:effectLst/>
            </c:spPr>
            <c:extLst>
              <c:ext xmlns:c16="http://schemas.microsoft.com/office/drawing/2014/chart" uri="{C3380CC4-5D6E-409C-BE32-E72D297353CC}">
                <c16:uniqueId val="{00000025-72EA-451C-A92A-CCC04CD7F8ED}"/>
              </c:ext>
            </c:extLst>
          </c:dPt>
          <c:dPt>
            <c:idx val="33"/>
            <c:invertIfNegative val="0"/>
            <c:bubble3D val="0"/>
            <c:spPr>
              <a:solidFill>
                <a:schemeClr val="accent5"/>
              </a:solidFill>
              <a:ln>
                <a:noFill/>
              </a:ln>
              <a:effectLst/>
            </c:spPr>
            <c:extLst>
              <c:ext xmlns:c16="http://schemas.microsoft.com/office/drawing/2014/chart" uri="{C3380CC4-5D6E-409C-BE32-E72D297353CC}">
                <c16:uniqueId val="{00000027-72EA-451C-A92A-CCC04CD7F8ED}"/>
              </c:ext>
            </c:extLst>
          </c:dPt>
          <c:dPt>
            <c:idx val="34"/>
            <c:invertIfNegative val="0"/>
            <c:bubble3D val="0"/>
            <c:spPr>
              <a:solidFill>
                <a:schemeClr val="accent5"/>
              </a:solidFill>
              <a:ln>
                <a:noFill/>
              </a:ln>
              <a:effectLst/>
            </c:spPr>
            <c:extLst>
              <c:ext xmlns:c16="http://schemas.microsoft.com/office/drawing/2014/chart" uri="{C3380CC4-5D6E-409C-BE32-E72D297353CC}">
                <c16:uniqueId val="{00000029-72EA-451C-A92A-CCC04CD7F8ED}"/>
              </c:ext>
            </c:extLst>
          </c:dPt>
          <c:dPt>
            <c:idx val="35"/>
            <c:invertIfNegative val="0"/>
            <c:bubble3D val="0"/>
            <c:spPr>
              <a:solidFill>
                <a:schemeClr val="accent5"/>
              </a:solidFill>
              <a:ln>
                <a:noFill/>
              </a:ln>
              <a:effectLst/>
            </c:spPr>
            <c:extLst>
              <c:ext xmlns:c16="http://schemas.microsoft.com/office/drawing/2014/chart" uri="{C3380CC4-5D6E-409C-BE32-E72D297353CC}">
                <c16:uniqueId val="{0000002B-72EA-451C-A92A-CCC04CD7F8ED}"/>
              </c:ext>
            </c:extLst>
          </c:dPt>
          <c:dPt>
            <c:idx val="37"/>
            <c:invertIfNegative val="0"/>
            <c:bubble3D val="0"/>
            <c:spPr>
              <a:solidFill>
                <a:schemeClr val="accent2"/>
              </a:solidFill>
              <a:ln>
                <a:noFill/>
              </a:ln>
              <a:effectLst/>
            </c:spPr>
            <c:extLst>
              <c:ext xmlns:c16="http://schemas.microsoft.com/office/drawing/2014/chart" uri="{C3380CC4-5D6E-409C-BE32-E72D297353CC}">
                <c16:uniqueId val="{0000002D-72EA-451C-A92A-CCC04CD7F8ED}"/>
              </c:ext>
            </c:extLst>
          </c:dPt>
          <c:dPt>
            <c:idx val="38"/>
            <c:invertIfNegative val="0"/>
            <c:bubble3D val="0"/>
            <c:spPr>
              <a:solidFill>
                <a:schemeClr val="accent2"/>
              </a:solidFill>
              <a:ln>
                <a:noFill/>
              </a:ln>
              <a:effectLst/>
            </c:spPr>
            <c:extLst>
              <c:ext xmlns:c16="http://schemas.microsoft.com/office/drawing/2014/chart" uri="{C3380CC4-5D6E-409C-BE32-E72D297353CC}">
                <c16:uniqueId val="{0000002F-72EA-451C-A92A-CCC04CD7F8ED}"/>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Sheet1!$A$2:$A$40</c:f>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f>Sheet1!$E$2:$E$40</c:f>
              <c:numCache>
                <c:formatCode>#,##0</c:formatCode>
                <c:ptCount val="39"/>
                <c:pt idx="1">
                  <c:v>2</c:v>
                </c:pt>
                <c:pt idx="3" formatCode="General">
                  <c:v>0</c:v>
                </c:pt>
                <c:pt idx="4" formatCode="General">
                  <c:v>1</c:v>
                </c:pt>
                <c:pt idx="5" formatCode="General">
                  <c:v>2</c:v>
                </c:pt>
                <c:pt idx="6" formatCode="General">
                  <c:v>-3</c:v>
                </c:pt>
                <c:pt idx="7" formatCode="General">
                  <c:v>-4</c:v>
                </c:pt>
                <c:pt idx="8" formatCode="General">
                  <c:v>3</c:v>
                </c:pt>
                <c:pt idx="10" formatCode="General">
                  <c:v>7</c:v>
                </c:pt>
                <c:pt idx="11" formatCode="General">
                  <c:v>9</c:v>
                </c:pt>
                <c:pt idx="12" formatCode="General">
                  <c:v>6</c:v>
                </c:pt>
                <c:pt idx="13" formatCode="General">
                  <c:v>13</c:v>
                </c:pt>
                <c:pt idx="14" formatCode="General">
                  <c:v>3</c:v>
                </c:pt>
                <c:pt idx="15" formatCode="General">
                  <c:v>2</c:v>
                </c:pt>
                <c:pt idx="16" formatCode="General">
                  <c:v>1</c:v>
                </c:pt>
                <c:pt idx="18" formatCode="General">
                  <c:v>-1</c:v>
                </c:pt>
                <c:pt idx="19" formatCode="General">
                  <c:v>2</c:v>
                </c:pt>
                <c:pt idx="20" formatCode="General">
                  <c:v>4</c:v>
                </c:pt>
                <c:pt idx="21" formatCode="General">
                  <c:v>-1</c:v>
                </c:pt>
                <c:pt idx="22" formatCode="General">
                  <c:v>-1</c:v>
                </c:pt>
                <c:pt idx="23" formatCode="General">
                  <c:v>0</c:v>
                </c:pt>
                <c:pt idx="24" formatCode="General">
                  <c:v>-1</c:v>
                </c:pt>
                <c:pt idx="25" formatCode="General">
                  <c:v>1</c:v>
                </c:pt>
                <c:pt idx="27" formatCode="General">
                  <c:v>5</c:v>
                </c:pt>
                <c:pt idx="29" formatCode="General">
                  <c:v>2</c:v>
                </c:pt>
                <c:pt idx="30" formatCode="General">
                  <c:v>0</c:v>
                </c:pt>
                <c:pt idx="31" formatCode="General">
                  <c:v>2</c:v>
                </c:pt>
                <c:pt idx="32" formatCode="General">
                  <c:v>4</c:v>
                </c:pt>
                <c:pt idx="33" formatCode="General">
                  <c:v>4</c:v>
                </c:pt>
                <c:pt idx="34" formatCode="General">
                  <c:v>1</c:v>
                </c:pt>
                <c:pt idx="35" formatCode="General">
                  <c:v>4</c:v>
                </c:pt>
                <c:pt idx="37" formatCode="General">
                  <c:v>0</c:v>
                </c:pt>
                <c:pt idx="38" formatCode="General">
                  <c:v>3</c:v>
                </c:pt>
              </c:numCache>
            </c:numRef>
          </c:val>
          <c:extLst>
            <c:ext xmlns:c16="http://schemas.microsoft.com/office/drawing/2014/chart" uri="{C3380CC4-5D6E-409C-BE32-E72D297353CC}">
              <c16:uniqueId val="{00000030-72EA-451C-A92A-CCC04CD7F8ED}"/>
            </c:ext>
          </c:extLst>
        </c:ser>
        <c:dLbls>
          <c:dLblPos val="outEnd"/>
          <c:showLegendKey val="0"/>
          <c:showVal val="1"/>
          <c:showCatName val="0"/>
          <c:showSerName val="0"/>
          <c:showPercent val="0"/>
          <c:showBubbleSize val="0"/>
        </c:dLbls>
        <c:gapWidth val="50"/>
        <c:axId val="266110400"/>
        <c:axId val="266110816"/>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STATE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Sheet1!$A$2:$A$40</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c:ext uri="{02D57815-91ED-43cb-92C2-25804820EDAC}">
                        <c15:formulaRef>
                          <c15:sqref>Sheet1!$B$2:$B$40</c15:sqref>
                        </c15:formulaRef>
                      </c:ext>
                    </c:extLst>
                    <c:numCache>
                      <c:formatCode>General</c:formatCode>
                      <c:ptCount val="39"/>
                      <c:pt idx="3">
                        <c:v>0</c:v>
                      </c:pt>
                      <c:pt idx="4">
                        <c:v>0</c:v>
                      </c:pt>
                      <c:pt idx="5">
                        <c:v>0</c:v>
                      </c:pt>
                      <c:pt idx="6">
                        <c:v>0</c:v>
                      </c:pt>
                      <c:pt idx="7">
                        <c:v>0</c:v>
                      </c:pt>
                      <c:pt idx="8">
                        <c:v>0</c:v>
                      </c:pt>
                      <c:pt idx="10">
                        <c:v>0</c:v>
                      </c:pt>
                      <c:pt idx="11">
                        <c:v>0</c:v>
                      </c:pt>
                      <c:pt idx="12">
                        <c:v>0</c:v>
                      </c:pt>
                      <c:pt idx="13">
                        <c:v>0</c:v>
                      </c:pt>
                      <c:pt idx="14">
                        <c:v>0</c:v>
                      </c:pt>
                      <c:pt idx="15">
                        <c:v>0</c:v>
                      </c:pt>
                      <c:pt idx="16">
                        <c:v>0</c:v>
                      </c:pt>
                      <c:pt idx="18">
                        <c:v>0</c:v>
                      </c:pt>
                      <c:pt idx="19">
                        <c:v>0</c:v>
                      </c:pt>
                      <c:pt idx="20">
                        <c:v>0</c:v>
                      </c:pt>
                      <c:pt idx="21">
                        <c:v>0</c:v>
                      </c:pt>
                      <c:pt idx="22">
                        <c:v>0</c:v>
                      </c:pt>
                      <c:pt idx="23">
                        <c:v>0</c:v>
                      </c:pt>
                      <c:pt idx="24">
                        <c:v>0</c:v>
                      </c:pt>
                      <c:pt idx="25">
                        <c:v>0</c:v>
                      </c:pt>
                      <c:pt idx="27">
                        <c:v>0</c:v>
                      </c:pt>
                      <c:pt idx="29">
                        <c:v>0</c:v>
                      </c:pt>
                      <c:pt idx="30">
                        <c:v>0</c:v>
                      </c:pt>
                      <c:pt idx="31">
                        <c:v>0</c:v>
                      </c:pt>
                      <c:pt idx="32">
                        <c:v>0</c:v>
                      </c:pt>
                      <c:pt idx="33">
                        <c:v>0</c:v>
                      </c:pt>
                      <c:pt idx="34">
                        <c:v>0</c:v>
                      </c:pt>
                      <c:pt idx="35">
                        <c:v>0</c:v>
                      </c:pt>
                      <c:pt idx="37">
                        <c:v>0</c:v>
                      </c:pt>
                      <c:pt idx="38">
                        <c:v>0</c:v>
                      </c:pt>
                    </c:numCache>
                  </c:numRef>
                </c:val>
                <c:extLst>
                  <c:ext xmlns:c16="http://schemas.microsoft.com/office/drawing/2014/chart" uri="{C3380CC4-5D6E-409C-BE32-E72D297353CC}">
                    <c16:uniqueId val="{00000031-72EA-451C-A92A-CCC04CD7F8ED}"/>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Sheet1!$A$2:$A$40</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xmlns:c15="http://schemas.microsoft.com/office/drawing/2012/chart">
                      <c:ext xmlns:c15="http://schemas.microsoft.com/office/drawing/2012/chart" uri="{02D57815-91ED-43cb-92C2-25804820EDAC}">
                        <c15:formulaRef>
                          <c15:sqref>Sheet1!$C$2:$C$40</c15:sqref>
                        </c15:formulaRef>
                      </c:ext>
                    </c:extLst>
                    <c:numCache>
                      <c:formatCode>#,##0</c:formatCode>
                      <c:ptCount val="39"/>
                      <c:pt idx="1">
                        <c:v>16</c:v>
                      </c:pt>
                      <c:pt idx="3" formatCode="General">
                        <c:v>21</c:v>
                      </c:pt>
                      <c:pt idx="4" formatCode="General">
                        <c:v>20</c:v>
                      </c:pt>
                      <c:pt idx="5" formatCode="General">
                        <c:v>9</c:v>
                      </c:pt>
                      <c:pt idx="6" formatCode="General">
                        <c:v>40</c:v>
                      </c:pt>
                      <c:pt idx="7" formatCode="General">
                        <c:v>19</c:v>
                      </c:pt>
                      <c:pt idx="8" formatCode="General">
                        <c:v>28</c:v>
                      </c:pt>
                      <c:pt idx="10" formatCode="General">
                        <c:v>80</c:v>
                      </c:pt>
                      <c:pt idx="11" formatCode="General">
                        <c:v>34</c:v>
                      </c:pt>
                      <c:pt idx="12" formatCode="General">
                        <c:v>17</c:v>
                      </c:pt>
                      <c:pt idx="13" formatCode="General">
                        <c:v>27</c:v>
                      </c:pt>
                      <c:pt idx="14" formatCode="General">
                        <c:v>12</c:v>
                      </c:pt>
                      <c:pt idx="15" formatCode="General">
                        <c:v>25</c:v>
                      </c:pt>
                      <c:pt idx="16" formatCode="General">
                        <c:v>10</c:v>
                      </c:pt>
                      <c:pt idx="18" formatCode="General">
                        <c:v>6</c:v>
                      </c:pt>
                      <c:pt idx="19" formatCode="General">
                        <c:v>8</c:v>
                      </c:pt>
                      <c:pt idx="20" formatCode="General">
                        <c:v>9</c:v>
                      </c:pt>
                      <c:pt idx="21" formatCode="General">
                        <c:v>5</c:v>
                      </c:pt>
                      <c:pt idx="22" formatCode="General">
                        <c:v>12</c:v>
                      </c:pt>
                      <c:pt idx="23" formatCode="General">
                        <c:v>3</c:v>
                      </c:pt>
                      <c:pt idx="24" formatCode="General">
                        <c:v>2</c:v>
                      </c:pt>
                      <c:pt idx="25" formatCode="General">
                        <c:v>3</c:v>
                      </c:pt>
                      <c:pt idx="27" formatCode="General">
                        <c:v>18</c:v>
                      </c:pt>
                      <c:pt idx="29" formatCode="General">
                        <c:v>7</c:v>
                      </c:pt>
                      <c:pt idx="30" formatCode="General">
                        <c:v>7</c:v>
                      </c:pt>
                      <c:pt idx="31" formatCode="General">
                        <c:v>12</c:v>
                      </c:pt>
                      <c:pt idx="32" formatCode="General">
                        <c:v>9</c:v>
                      </c:pt>
                      <c:pt idx="33" formatCode="General">
                        <c:v>20</c:v>
                      </c:pt>
                      <c:pt idx="34" formatCode="General">
                        <c:v>5</c:v>
                      </c:pt>
                      <c:pt idx="35" formatCode="General">
                        <c:v>8</c:v>
                      </c:pt>
                      <c:pt idx="37" formatCode="General">
                        <c:v>4</c:v>
                      </c:pt>
                      <c:pt idx="38" formatCode="General">
                        <c:v>9</c:v>
                      </c:pt>
                    </c:numCache>
                  </c:numRef>
                </c:val>
                <c:extLst xmlns:c15="http://schemas.microsoft.com/office/drawing/2012/chart">
                  <c:ext xmlns:c16="http://schemas.microsoft.com/office/drawing/2014/chart" uri="{C3380CC4-5D6E-409C-BE32-E72D297353CC}">
                    <c16:uniqueId val="{00000032-72EA-451C-A92A-CCC04CD7F8E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Before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Sheet1!$A$2:$A$40</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xmlns:c15="http://schemas.microsoft.com/office/drawing/2012/chart">
                      <c:ext xmlns:c15="http://schemas.microsoft.com/office/drawing/2012/chart" uri="{02D57815-91ED-43cb-92C2-25804820EDAC}">
                        <c15:formulaRef>
                          <c15:sqref>Sheet1!$D$2:$D$40</c15:sqref>
                        </c15:formulaRef>
                      </c:ext>
                    </c:extLst>
                    <c:numCache>
                      <c:formatCode>#,##0</c:formatCode>
                      <c:ptCount val="39"/>
                      <c:pt idx="1">
                        <c:v>14</c:v>
                      </c:pt>
                      <c:pt idx="3" formatCode="General">
                        <c:v>21</c:v>
                      </c:pt>
                      <c:pt idx="4" formatCode="General">
                        <c:v>19</c:v>
                      </c:pt>
                      <c:pt idx="5" formatCode="General">
                        <c:v>7</c:v>
                      </c:pt>
                      <c:pt idx="6" formatCode="General">
                        <c:v>43</c:v>
                      </c:pt>
                      <c:pt idx="7" formatCode="General">
                        <c:v>23</c:v>
                      </c:pt>
                      <c:pt idx="8" formatCode="General">
                        <c:v>25</c:v>
                      </c:pt>
                      <c:pt idx="10" formatCode="General">
                        <c:v>73</c:v>
                      </c:pt>
                      <c:pt idx="11" formatCode="General">
                        <c:v>25</c:v>
                      </c:pt>
                      <c:pt idx="12" formatCode="General">
                        <c:v>11</c:v>
                      </c:pt>
                      <c:pt idx="13" formatCode="General">
                        <c:v>14</c:v>
                      </c:pt>
                      <c:pt idx="14" formatCode="General">
                        <c:v>9</c:v>
                      </c:pt>
                      <c:pt idx="15" formatCode="General">
                        <c:v>23</c:v>
                      </c:pt>
                      <c:pt idx="16" formatCode="General">
                        <c:v>9</c:v>
                      </c:pt>
                      <c:pt idx="18" formatCode="General">
                        <c:v>7</c:v>
                      </c:pt>
                      <c:pt idx="19" formatCode="General">
                        <c:v>6</c:v>
                      </c:pt>
                      <c:pt idx="20" formatCode="General">
                        <c:v>5</c:v>
                      </c:pt>
                      <c:pt idx="21" formatCode="General">
                        <c:v>6</c:v>
                      </c:pt>
                      <c:pt idx="22" formatCode="General">
                        <c:v>13</c:v>
                      </c:pt>
                      <c:pt idx="23" formatCode="General">
                        <c:v>3</c:v>
                      </c:pt>
                      <c:pt idx="24" formatCode="General">
                        <c:v>3</c:v>
                      </c:pt>
                      <c:pt idx="25" formatCode="General">
                        <c:v>2</c:v>
                      </c:pt>
                      <c:pt idx="27" formatCode="General">
                        <c:v>13</c:v>
                      </c:pt>
                      <c:pt idx="29" formatCode="General">
                        <c:v>5</c:v>
                      </c:pt>
                      <c:pt idx="30" formatCode="General">
                        <c:v>7</c:v>
                      </c:pt>
                      <c:pt idx="31" formatCode="General">
                        <c:v>10</c:v>
                      </c:pt>
                      <c:pt idx="32" formatCode="General">
                        <c:v>5</c:v>
                      </c:pt>
                      <c:pt idx="33" formatCode="General">
                        <c:v>16</c:v>
                      </c:pt>
                      <c:pt idx="34" formatCode="General">
                        <c:v>4</c:v>
                      </c:pt>
                      <c:pt idx="35" formatCode="General">
                        <c:v>4</c:v>
                      </c:pt>
                      <c:pt idx="37" formatCode="General">
                        <c:v>4</c:v>
                      </c:pt>
                      <c:pt idx="38" formatCode="General">
                        <c:v>6</c:v>
                      </c:pt>
                    </c:numCache>
                  </c:numRef>
                </c:val>
                <c:extLst xmlns:c15="http://schemas.microsoft.com/office/drawing/2012/chart">
                  <c:ext xmlns:c16="http://schemas.microsoft.com/office/drawing/2014/chart" uri="{C3380CC4-5D6E-409C-BE32-E72D297353CC}">
                    <c16:uniqueId val="{00000033-72EA-451C-A92A-CCC04CD7F8ED}"/>
                  </c:ext>
                </c:extLst>
              </c15:ser>
            </c15:filteredBarSeries>
          </c:ext>
        </c:extLst>
      </c:barChart>
      <c:catAx>
        <c:axId val="266110400"/>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6110816"/>
        <c:crosses val="autoZero"/>
        <c:auto val="1"/>
        <c:lblAlgn val="ctr"/>
        <c:lblOffset val="100"/>
        <c:noMultiLvlLbl val="0"/>
      </c:catAx>
      <c:valAx>
        <c:axId val="266110816"/>
        <c:scaling>
          <c:orientation val="minMax"/>
        </c:scaling>
        <c:delete val="0"/>
        <c:axPos val="t"/>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sz="900" b="1" i="0" baseline="0">
                    <a:solidFill>
                      <a:schemeClr val="tx1"/>
                    </a:solidFill>
                    <a:effectLst/>
                  </a:rPr>
                  <a:t>Change in monthly average number of providers </a:t>
                </a:r>
                <a:r>
                  <a:rPr lang="en-AU" sz="800" b="1" i="0" baseline="0">
                    <a:solidFill>
                      <a:schemeClr val="tx1"/>
                    </a:solidFill>
                    <a:effectLst/>
                  </a:rPr>
                  <a:t>(10 months before MF trial versus 10 months after)</a:t>
                </a:r>
                <a:endParaRPr lang="en-AU" sz="900" b="1">
                  <a:solidFill>
                    <a:schemeClr val="tx1"/>
                  </a:solidFill>
                  <a:effectLst/>
                </a:endParaRPr>
              </a:p>
            </c:rich>
          </c:tx>
          <c:layout>
            <c:manualLayout>
              <c:xMode val="edge"/>
              <c:yMode val="edge"/>
              <c:x val="0.22861741495696597"/>
              <c:y val="0.951043604050423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6110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820424555364315"/>
          <c:y val="0"/>
          <c:w val="0.63850253658051781"/>
          <c:h val="0.92950277048702246"/>
        </c:manualLayout>
      </c:layout>
      <c:scatterChart>
        <c:scatterStyle val="lineMarker"/>
        <c:varyColors val="0"/>
        <c:ser>
          <c:idx val="5"/>
          <c:order val="0"/>
          <c:tx>
            <c:strRef>
              <c:f>Sheet1!$G$1</c:f>
              <c:strCache>
                <c:ptCount val="1"/>
                <c:pt idx="0">
                  <c:v>Y values</c:v>
                </c:pt>
              </c:strCache>
            </c:strRef>
          </c:tx>
          <c:spPr>
            <a:ln w="25400" cap="rnd">
              <a:noFill/>
              <a:round/>
            </a:ln>
            <a:effectLst/>
          </c:spPr>
          <c:marker>
            <c:symbol val="circle"/>
            <c:size val="5"/>
            <c:spPr>
              <a:solidFill>
                <a:schemeClr val="accent6"/>
              </a:solidFill>
              <a:ln w="9525">
                <a:noFill/>
              </a:ln>
              <a:effectLst/>
            </c:spPr>
          </c:marker>
          <c:dPt>
            <c:idx val="1"/>
            <c:marker>
              <c:symbol val="circle"/>
              <c:size val="5"/>
              <c:spPr>
                <a:solidFill>
                  <a:srgbClr val="C4450C"/>
                </a:solidFill>
                <a:ln w="9525">
                  <a:noFill/>
                </a:ln>
                <a:effectLst/>
              </c:spPr>
            </c:marker>
            <c:bubble3D val="0"/>
            <c:extLst>
              <c:ext xmlns:c16="http://schemas.microsoft.com/office/drawing/2014/chart" uri="{C3380CC4-5D6E-409C-BE32-E72D297353CC}">
                <c16:uniqueId val="{00000000-2246-4FCA-876F-E8A72901AD17}"/>
              </c:ext>
            </c:extLst>
          </c:dPt>
          <c:dPt>
            <c:idx val="2"/>
            <c:marker>
              <c:symbol val="circle"/>
              <c:size val="5"/>
              <c:spPr>
                <a:solidFill>
                  <a:schemeClr val="bg2"/>
                </a:solidFill>
                <a:ln w="9525">
                  <a:noFill/>
                </a:ln>
                <a:effectLst/>
              </c:spPr>
            </c:marker>
            <c:bubble3D val="0"/>
            <c:extLst>
              <c:ext xmlns:c16="http://schemas.microsoft.com/office/drawing/2014/chart" uri="{C3380CC4-5D6E-409C-BE32-E72D297353CC}">
                <c16:uniqueId val="{00000001-2246-4FCA-876F-E8A72901AD17}"/>
              </c:ext>
            </c:extLst>
          </c:dPt>
          <c:dPt>
            <c:idx val="3"/>
            <c:marker>
              <c:symbol val="circle"/>
              <c:size val="5"/>
              <c:spPr>
                <a:solidFill>
                  <a:schemeClr val="bg2"/>
                </a:solidFill>
                <a:ln w="9525">
                  <a:noFill/>
                </a:ln>
                <a:effectLst/>
              </c:spPr>
            </c:marker>
            <c:bubble3D val="0"/>
            <c:extLst>
              <c:ext xmlns:c16="http://schemas.microsoft.com/office/drawing/2014/chart" uri="{C3380CC4-5D6E-409C-BE32-E72D297353CC}">
                <c16:uniqueId val="{00000002-2246-4FCA-876F-E8A72901AD17}"/>
              </c:ext>
            </c:extLst>
          </c:dPt>
          <c:dPt>
            <c:idx val="4"/>
            <c:marker>
              <c:symbol val="circle"/>
              <c:size val="5"/>
              <c:spPr>
                <a:solidFill>
                  <a:schemeClr val="bg2"/>
                </a:solidFill>
                <a:ln w="9525">
                  <a:noFill/>
                </a:ln>
                <a:effectLst/>
              </c:spPr>
            </c:marker>
            <c:bubble3D val="0"/>
            <c:extLst>
              <c:ext xmlns:c16="http://schemas.microsoft.com/office/drawing/2014/chart" uri="{C3380CC4-5D6E-409C-BE32-E72D297353CC}">
                <c16:uniqueId val="{00000003-2246-4FCA-876F-E8A72901AD17}"/>
              </c:ext>
            </c:extLst>
          </c:dPt>
          <c:dPt>
            <c:idx val="5"/>
            <c:marker>
              <c:symbol val="circle"/>
              <c:size val="5"/>
              <c:spPr>
                <a:solidFill>
                  <a:schemeClr val="bg2"/>
                </a:solidFill>
                <a:ln w="9525">
                  <a:noFill/>
                </a:ln>
                <a:effectLst/>
              </c:spPr>
            </c:marker>
            <c:bubble3D val="0"/>
            <c:extLst>
              <c:ext xmlns:c16="http://schemas.microsoft.com/office/drawing/2014/chart" uri="{C3380CC4-5D6E-409C-BE32-E72D297353CC}">
                <c16:uniqueId val="{00000004-2246-4FCA-876F-E8A72901AD17}"/>
              </c:ext>
            </c:extLst>
          </c:dPt>
          <c:dPt>
            <c:idx val="6"/>
            <c:marker>
              <c:symbol val="circle"/>
              <c:size val="5"/>
              <c:spPr>
                <a:solidFill>
                  <a:schemeClr val="bg2"/>
                </a:solidFill>
                <a:ln w="9525">
                  <a:noFill/>
                </a:ln>
                <a:effectLst/>
              </c:spPr>
            </c:marker>
            <c:bubble3D val="0"/>
            <c:extLst>
              <c:ext xmlns:c16="http://schemas.microsoft.com/office/drawing/2014/chart" uri="{C3380CC4-5D6E-409C-BE32-E72D297353CC}">
                <c16:uniqueId val="{00000005-2246-4FCA-876F-E8A72901AD17}"/>
              </c:ext>
            </c:extLst>
          </c:dPt>
          <c:dPt>
            <c:idx val="7"/>
            <c:marker>
              <c:symbol val="circle"/>
              <c:size val="5"/>
              <c:spPr>
                <a:solidFill>
                  <a:schemeClr val="bg2"/>
                </a:solidFill>
                <a:ln w="9525">
                  <a:noFill/>
                </a:ln>
                <a:effectLst/>
              </c:spPr>
            </c:marker>
            <c:bubble3D val="0"/>
            <c:extLst>
              <c:ext xmlns:c16="http://schemas.microsoft.com/office/drawing/2014/chart" uri="{C3380CC4-5D6E-409C-BE32-E72D297353CC}">
                <c16:uniqueId val="{00000006-2246-4FCA-876F-E8A72901AD17}"/>
              </c:ext>
            </c:extLst>
          </c:dPt>
          <c:dPt>
            <c:idx val="8"/>
            <c:marker>
              <c:symbol val="circle"/>
              <c:size val="5"/>
              <c:spPr>
                <a:solidFill>
                  <a:schemeClr val="bg2"/>
                </a:solidFill>
                <a:ln w="9525">
                  <a:noFill/>
                </a:ln>
                <a:effectLst/>
              </c:spPr>
            </c:marker>
            <c:bubble3D val="0"/>
            <c:extLst>
              <c:ext xmlns:c16="http://schemas.microsoft.com/office/drawing/2014/chart" uri="{C3380CC4-5D6E-409C-BE32-E72D297353CC}">
                <c16:uniqueId val="{00000007-2246-4FCA-876F-E8A72901AD17}"/>
              </c:ext>
            </c:extLst>
          </c:dPt>
          <c:dPt>
            <c:idx val="9"/>
            <c:marker>
              <c:symbol val="circle"/>
              <c:size val="5"/>
              <c:spPr>
                <a:solidFill>
                  <a:schemeClr val="accent4"/>
                </a:solidFill>
                <a:ln w="9525">
                  <a:noFill/>
                </a:ln>
                <a:effectLst/>
              </c:spPr>
            </c:marker>
            <c:bubble3D val="0"/>
            <c:extLst>
              <c:ext xmlns:c16="http://schemas.microsoft.com/office/drawing/2014/chart" uri="{C3380CC4-5D6E-409C-BE32-E72D297353CC}">
                <c16:uniqueId val="{00000008-2246-4FCA-876F-E8A72901AD17}"/>
              </c:ext>
            </c:extLst>
          </c:dPt>
          <c:dPt>
            <c:idx val="10"/>
            <c:marker>
              <c:symbol val="circle"/>
              <c:size val="5"/>
              <c:spPr>
                <a:solidFill>
                  <a:schemeClr val="accent4"/>
                </a:solidFill>
                <a:ln w="9525">
                  <a:noFill/>
                </a:ln>
                <a:effectLst/>
              </c:spPr>
            </c:marker>
            <c:bubble3D val="0"/>
            <c:extLst>
              <c:ext xmlns:c16="http://schemas.microsoft.com/office/drawing/2014/chart" uri="{C3380CC4-5D6E-409C-BE32-E72D297353CC}">
                <c16:uniqueId val="{00000009-2246-4FCA-876F-E8A72901AD17}"/>
              </c:ext>
            </c:extLst>
          </c:dPt>
          <c:dPt>
            <c:idx val="11"/>
            <c:marker>
              <c:symbol val="circle"/>
              <c:size val="5"/>
              <c:spPr>
                <a:solidFill>
                  <a:schemeClr val="accent4"/>
                </a:solidFill>
                <a:ln w="9525">
                  <a:noFill/>
                </a:ln>
                <a:effectLst/>
              </c:spPr>
            </c:marker>
            <c:bubble3D val="0"/>
            <c:extLst>
              <c:ext xmlns:c16="http://schemas.microsoft.com/office/drawing/2014/chart" uri="{C3380CC4-5D6E-409C-BE32-E72D297353CC}">
                <c16:uniqueId val="{0000000A-2246-4FCA-876F-E8A72901AD17}"/>
              </c:ext>
            </c:extLst>
          </c:dPt>
          <c:dPt>
            <c:idx val="12"/>
            <c:marker>
              <c:symbol val="circle"/>
              <c:size val="5"/>
              <c:spPr>
                <a:solidFill>
                  <a:schemeClr val="accent4"/>
                </a:solidFill>
                <a:ln w="9525">
                  <a:noFill/>
                </a:ln>
                <a:effectLst/>
              </c:spPr>
            </c:marker>
            <c:bubble3D val="0"/>
            <c:extLst>
              <c:ext xmlns:c16="http://schemas.microsoft.com/office/drawing/2014/chart" uri="{C3380CC4-5D6E-409C-BE32-E72D297353CC}">
                <c16:uniqueId val="{0000000B-2246-4FCA-876F-E8A72901AD17}"/>
              </c:ext>
            </c:extLst>
          </c:dPt>
          <c:dPt>
            <c:idx val="13"/>
            <c:marker>
              <c:symbol val="circle"/>
              <c:size val="5"/>
              <c:spPr>
                <a:solidFill>
                  <a:schemeClr val="accent4"/>
                </a:solidFill>
                <a:ln w="9525">
                  <a:noFill/>
                </a:ln>
                <a:effectLst/>
              </c:spPr>
            </c:marker>
            <c:bubble3D val="0"/>
            <c:extLst>
              <c:ext xmlns:c16="http://schemas.microsoft.com/office/drawing/2014/chart" uri="{C3380CC4-5D6E-409C-BE32-E72D297353CC}">
                <c16:uniqueId val="{0000000C-2246-4FCA-876F-E8A72901AD17}"/>
              </c:ext>
            </c:extLst>
          </c:dPt>
          <c:dPt>
            <c:idx val="14"/>
            <c:marker>
              <c:symbol val="circle"/>
              <c:size val="5"/>
              <c:spPr>
                <a:solidFill>
                  <a:schemeClr val="accent4"/>
                </a:solidFill>
                <a:ln w="9525">
                  <a:noFill/>
                </a:ln>
                <a:effectLst/>
              </c:spPr>
            </c:marker>
            <c:bubble3D val="0"/>
            <c:extLst>
              <c:ext xmlns:c16="http://schemas.microsoft.com/office/drawing/2014/chart" uri="{C3380CC4-5D6E-409C-BE32-E72D297353CC}">
                <c16:uniqueId val="{0000000D-2246-4FCA-876F-E8A72901AD17}"/>
              </c:ext>
            </c:extLst>
          </c:dPt>
          <c:dPt>
            <c:idx val="15"/>
            <c:marker>
              <c:symbol val="circle"/>
              <c:size val="5"/>
              <c:spPr>
                <a:solidFill>
                  <a:schemeClr val="accent4"/>
                </a:solidFill>
                <a:ln w="9525">
                  <a:noFill/>
                </a:ln>
                <a:effectLst/>
              </c:spPr>
            </c:marker>
            <c:bubble3D val="0"/>
            <c:extLst>
              <c:ext xmlns:c16="http://schemas.microsoft.com/office/drawing/2014/chart" uri="{C3380CC4-5D6E-409C-BE32-E72D297353CC}">
                <c16:uniqueId val="{0000000E-2246-4FCA-876F-E8A72901AD17}"/>
              </c:ext>
            </c:extLst>
          </c:dPt>
          <c:dPt>
            <c:idx val="16"/>
            <c:marker>
              <c:symbol val="circle"/>
              <c:size val="5"/>
              <c:spPr>
                <a:solidFill>
                  <a:schemeClr val="accent4"/>
                </a:solidFill>
                <a:ln w="9525">
                  <a:noFill/>
                </a:ln>
                <a:effectLst/>
              </c:spPr>
            </c:marker>
            <c:bubble3D val="0"/>
            <c:extLst>
              <c:ext xmlns:c16="http://schemas.microsoft.com/office/drawing/2014/chart" uri="{C3380CC4-5D6E-409C-BE32-E72D297353CC}">
                <c16:uniqueId val="{0000000F-2246-4FCA-876F-E8A72901AD17}"/>
              </c:ext>
            </c:extLst>
          </c:dPt>
          <c:dPt>
            <c:idx val="26"/>
            <c:marker>
              <c:symbol val="circle"/>
              <c:size val="5"/>
              <c:spPr>
                <a:solidFill>
                  <a:schemeClr val="tx1"/>
                </a:solidFill>
                <a:ln w="9525">
                  <a:noFill/>
                </a:ln>
                <a:effectLst/>
              </c:spPr>
            </c:marker>
            <c:bubble3D val="0"/>
            <c:extLst>
              <c:ext xmlns:c16="http://schemas.microsoft.com/office/drawing/2014/chart" uri="{C3380CC4-5D6E-409C-BE32-E72D297353CC}">
                <c16:uniqueId val="{00000010-2246-4FCA-876F-E8A72901AD17}"/>
              </c:ext>
            </c:extLst>
          </c:dPt>
          <c:dPt>
            <c:idx val="27"/>
            <c:marker>
              <c:symbol val="circle"/>
              <c:size val="5"/>
              <c:spPr>
                <a:solidFill>
                  <a:schemeClr val="tx1"/>
                </a:solidFill>
                <a:ln w="9525">
                  <a:noFill/>
                </a:ln>
                <a:effectLst/>
              </c:spPr>
            </c:marker>
            <c:bubble3D val="0"/>
            <c:extLst>
              <c:ext xmlns:c16="http://schemas.microsoft.com/office/drawing/2014/chart" uri="{C3380CC4-5D6E-409C-BE32-E72D297353CC}">
                <c16:uniqueId val="{00000011-2246-4FCA-876F-E8A72901AD17}"/>
              </c:ext>
            </c:extLst>
          </c:dPt>
          <c:dPt>
            <c:idx val="28"/>
            <c:marker>
              <c:symbol val="circle"/>
              <c:size val="5"/>
              <c:spPr>
                <a:solidFill>
                  <a:schemeClr val="accent5"/>
                </a:solidFill>
                <a:ln w="9525">
                  <a:noFill/>
                </a:ln>
                <a:effectLst/>
              </c:spPr>
            </c:marker>
            <c:bubble3D val="0"/>
            <c:extLst>
              <c:ext xmlns:c16="http://schemas.microsoft.com/office/drawing/2014/chart" uri="{C3380CC4-5D6E-409C-BE32-E72D297353CC}">
                <c16:uniqueId val="{00000012-2246-4FCA-876F-E8A72901AD17}"/>
              </c:ext>
            </c:extLst>
          </c:dPt>
          <c:dPt>
            <c:idx val="29"/>
            <c:marker>
              <c:symbol val="circle"/>
              <c:size val="5"/>
              <c:spPr>
                <a:solidFill>
                  <a:schemeClr val="accent5"/>
                </a:solidFill>
                <a:ln w="9525">
                  <a:noFill/>
                </a:ln>
                <a:effectLst/>
              </c:spPr>
            </c:marker>
            <c:bubble3D val="0"/>
            <c:extLst>
              <c:ext xmlns:c16="http://schemas.microsoft.com/office/drawing/2014/chart" uri="{C3380CC4-5D6E-409C-BE32-E72D297353CC}">
                <c16:uniqueId val="{00000013-2246-4FCA-876F-E8A72901AD17}"/>
              </c:ext>
            </c:extLst>
          </c:dPt>
          <c:dPt>
            <c:idx val="30"/>
            <c:marker>
              <c:symbol val="circle"/>
              <c:size val="5"/>
              <c:spPr>
                <a:solidFill>
                  <a:schemeClr val="accent5"/>
                </a:solidFill>
                <a:ln w="9525">
                  <a:noFill/>
                </a:ln>
                <a:effectLst/>
              </c:spPr>
            </c:marker>
            <c:bubble3D val="0"/>
            <c:extLst>
              <c:ext xmlns:c16="http://schemas.microsoft.com/office/drawing/2014/chart" uri="{C3380CC4-5D6E-409C-BE32-E72D297353CC}">
                <c16:uniqueId val="{00000014-2246-4FCA-876F-E8A72901AD17}"/>
              </c:ext>
            </c:extLst>
          </c:dPt>
          <c:dPt>
            <c:idx val="31"/>
            <c:marker>
              <c:symbol val="circle"/>
              <c:size val="5"/>
              <c:spPr>
                <a:solidFill>
                  <a:schemeClr val="accent5"/>
                </a:solidFill>
                <a:ln w="9525">
                  <a:noFill/>
                </a:ln>
                <a:effectLst/>
              </c:spPr>
            </c:marker>
            <c:bubble3D val="0"/>
            <c:extLst>
              <c:ext xmlns:c16="http://schemas.microsoft.com/office/drawing/2014/chart" uri="{C3380CC4-5D6E-409C-BE32-E72D297353CC}">
                <c16:uniqueId val="{00000015-2246-4FCA-876F-E8A72901AD17}"/>
              </c:ext>
            </c:extLst>
          </c:dPt>
          <c:dPt>
            <c:idx val="32"/>
            <c:marker>
              <c:symbol val="circle"/>
              <c:size val="5"/>
              <c:spPr>
                <a:solidFill>
                  <a:schemeClr val="accent5"/>
                </a:solidFill>
                <a:ln w="9525">
                  <a:noFill/>
                </a:ln>
                <a:effectLst/>
              </c:spPr>
            </c:marker>
            <c:bubble3D val="0"/>
            <c:extLst>
              <c:ext xmlns:c16="http://schemas.microsoft.com/office/drawing/2014/chart" uri="{C3380CC4-5D6E-409C-BE32-E72D297353CC}">
                <c16:uniqueId val="{00000016-2246-4FCA-876F-E8A72901AD17}"/>
              </c:ext>
            </c:extLst>
          </c:dPt>
          <c:dPt>
            <c:idx val="33"/>
            <c:marker>
              <c:symbol val="circle"/>
              <c:size val="5"/>
              <c:spPr>
                <a:solidFill>
                  <a:schemeClr val="accent5"/>
                </a:solidFill>
                <a:ln w="9525">
                  <a:noFill/>
                </a:ln>
                <a:effectLst/>
              </c:spPr>
            </c:marker>
            <c:bubble3D val="0"/>
            <c:extLst>
              <c:ext xmlns:c16="http://schemas.microsoft.com/office/drawing/2014/chart" uri="{C3380CC4-5D6E-409C-BE32-E72D297353CC}">
                <c16:uniqueId val="{00000017-2246-4FCA-876F-E8A72901AD17}"/>
              </c:ext>
            </c:extLst>
          </c:dPt>
          <c:dPt>
            <c:idx val="34"/>
            <c:marker>
              <c:symbol val="circle"/>
              <c:size val="5"/>
              <c:spPr>
                <a:solidFill>
                  <a:schemeClr val="accent5"/>
                </a:solidFill>
                <a:ln w="9525">
                  <a:noFill/>
                </a:ln>
                <a:effectLst/>
              </c:spPr>
            </c:marker>
            <c:bubble3D val="0"/>
            <c:extLst>
              <c:ext xmlns:c16="http://schemas.microsoft.com/office/drawing/2014/chart" uri="{C3380CC4-5D6E-409C-BE32-E72D297353CC}">
                <c16:uniqueId val="{00000018-2246-4FCA-876F-E8A72901AD17}"/>
              </c:ext>
            </c:extLst>
          </c:dPt>
          <c:dPt>
            <c:idx val="35"/>
            <c:marker>
              <c:symbol val="circle"/>
              <c:size val="5"/>
              <c:spPr>
                <a:solidFill>
                  <a:schemeClr val="accent5"/>
                </a:solidFill>
                <a:ln w="9525">
                  <a:noFill/>
                </a:ln>
                <a:effectLst/>
              </c:spPr>
            </c:marker>
            <c:bubble3D val="0"/>
            <c:extLst>
              <c:ext xmlns:c16="http://schemas.microsoft.com/office/drawing/2014/chart" uri="{C3380CC4-5D6E-409C-BE32-E72D297353CC}">
                <c16:uniqueId val="{00000019-2246-4FCA-876F-E8A72901AD17}"/>
              </c:ext>
            </c:extLst>
          </c:dPt>
          <c:dPt>
            <c:idx val="36"/>
            <c:marker>
              <c:symbol val="circle"/>
              <c:size val="5"/>
              <c:spPr>
                <a:solidFill>
                  <a:schemeClr val="accent2"/>
                </a:solidFill>
                <a:ln w="9525">
                  <a:noFill/>
                </a:ln>
                <a:effectLst/>
              </c:spPr>
            </c:marker>
            <c:bubble3D val="0"/>
            <c:extLst>
              <c:ext xmlns:c16="http://schemas.microsoft.com/office/drawing/2014/chart" uri="{C3380CC4-5D6E-409C-BE32-E72D297353CC}">
                <c16:uniqueId val="{0000001A-2246-4FCA-876F-E8A72901AD17}"/>
              </c:ext>
            </c:extLst>
          </c:dPt>
          <c:dPt>
            <c:idx val="37"/>
            <c:marker>
              <c:symbol val="circle"/>
              <c:size val="5"/>
              <c:spPr>
                <a:solidFill>
                  <a:schemeClr val="accent2"/>
                </a:solidFill>
                <a:ln w="9525">
                  <a:noFill/>
                </a:ln>
                <a:effectLst/>
              </c:spPr>
            </c:marker>
            <c:bubble3D val="0"/>
            <c:extLst>
              <c:ext xmlns:c16="http://schemas.microsoft.com/office/drawing/2014/chart" uri="{C3380CC4-5D6E-409C-BE32-E72D297353CC}">
                <c16:uniqueId val="{0000001B-2246-4FCA-876F-E8A72901AD17}"/>
              </c:ext>
            </c:extLst>
          </c:dPt>
          <c:dPt>
            <c:idx val="38"/>
            <c:marker>
              <c:symbol val="circle"/>
              <c:size val="5"/>
              <c:spPr>
                <a:solidFill>
                  <a:schemeClr val="accent2"/>
                </a:solidFill>
                <a:ln w="9525">
                  <a:noFill/>
                </a:ln>
                <a:effectLst/>
              </c:spPr>
            </c:marker>
            <c:bubble3D val="0"/>
            <c:extLst>
              <c:ext xmlns:c16="http://schemas.microsoft.com/office/drawing/2014/chart" uri="{C3380CC4-5D6E-409C-BE32-E72D297353CC}">
                <c16:uniqueId val="{0000001C-2246-4FCA-876F-E8A72901AD17}"/>
              </c:ext>
            </c:extLst>
          </c:dPt>
          <c:dLbls>
            <c:delete val="1"/>
          </c:dLbls>
          <c:errBars>
            <c:errDir val="y"/>
            <c:errBarType val="both"/>
            <c:errValType val="fixedVal"/>
            <c:noEndCap val="0"/>
            <c:val val="0"/>
            <c:spPr>
              <a:noFill/>
              <a:ln w="9525" cap="flat" cmpd="sng" algn="ctr">
                <a:solidFill>
                  <a:schemeClr val="tx1">
                    <a:lumMod val="65000"/>
                    <a:lumOff val="35000"/>
                  </a:schemeClr>
                </a:solidFill>
                <a:round/>
              </a:ln>
              <a:effectLst/>
            </c:spPr>
          </c:errBars>
          <c:errBars>
            <c:errDir val="x"/>
            <c:errBarType val="both"/>
            <c:errValType val="cust"/>
            <c:noEndCap val="0"/>
            <c:plus>
              <c:numRef>
                <c:f>Sheet1!$F$2:$F$39</c:f>
                <c:numCache>
                  <c:formatCode>General</c:formatCode>
                  <c:ptCount val="38"/>
                  <c:pt idx="2">
                    <c:v>5.7805</c:v>
                  </c:pt>
                  <c:pt idx="3">
                    <c:v>5.8260000000000005</c:v>
                  </c:pt>
                  <c:pt idx="4">
                    <c:v>5.8150000000000004</c:v>
                  </c:pt>
                  <c:pt idx="5">
                    <c:v>7.0854999999999997</c:v>
                  </c:pt>
                  <c:pt idx="6">
                    <c:v>8.0180000000000007</c:v>
                  </c:pt>
                  <c:pt idx="7">
                    <c:v>4.807500000000001</c:v>
                  </c:pt>
                  <c:pt idx="9">
                    <c:v>14.106000000000002</c:v>
                  </c:pt>
                  <c:pt idx="10">
                    <c:v>7.7005000000000008</c:v>
                  </c:pt>
                  <c:pt idx="11">
                    <c:v>7.0469999999999997</c:v>
                  </c:pt>
                  <c:pt idx="12">
                    <c:v>8.8464999999999989</c:v>
                  </c:pt>
                  <c:pt idx="13">
                    <c:v>5.7689999999999984</c:v>
                  </c:pt>
                  <c:pt idx="14">
                    <c:v>5.8235000000000001</c:v>
                  </c:pt>
                  <c:pt idx="15">
                    <c:v>5.6304999999999996</c:v>
                  </c:pt>
                  <c:pt idx="17">
                    <c:v>4.26</c:v>
                  </c:pt>
                  <c:pt idx="18">
                    <c:v>4.4349999999999996</c:v>
                  </c:pt>
                  <c:pt idx="19">
                    <c:v>6.5019999999999989</c:v>
                  </c:pt>
                  <c:pt idx="20">
                    <c:v>4.552999999999999</c:v>
                  </c:pt>
                  <c:pt idx="21">
                    <c:v>4.9504999999999999</c:v>
                  </c:pt>
                  <c:pt idx="22">
                    <c:v>5.0214999999999987</c:v>
                  </c:pt>
                  <c:pt idx="23">
                    <c:v>3.5810000000000008</c:v>
                  </c:pt>
                  <c:pt idx="24">
                    <c:v>4.2544999999999993</c:v>
                  </c:pt>
                  <c:pt idx="26">
                    <c:v>5.5700000000000012</c:v>
                  </c:pt>
                  <c:pt idx="28">
                    <c:v>5.3630000000000013</c:v>
                  </c:pt>
                  <c:pt idx="29">
                    <c:v>6.0319999999999991</c:v>
                  </c:pt>
                  <c:pt idx="30">
                    <c:v>7.3869999999999987</c:v>
                  </c:pt>
                  <c:pt idx="31">
                    <c:v>4.7910000000000004</c:v>
                  </c:pt>
                  <c:pt idx="32">
                    <c:v>7.7194999999999991</c:v>
                  </c:pt>
                  <c:pt idx="33">
                    <c:v>4.9219999999999988</c:v>
                  </c:pt>
                  <c:pt idx="34">
                    <c:v>5.1724999999999994</c:v>
                  </c:pt>
                  <c:pt idx="36">
                    <c:v>4.0625</c:v>
                  </c:pt>
                  <c:pt idx="37">
                    <c:v>5.0130000000000008</c:v>
                  </c:pt>
                </c:numCache>
              </c:numRef>
            </c:plus>
            <c:minus>
              <c:numRef>
                <c:f>Sheet1!$F$2:$F$39</c:f>
                <c:numCache>
                  <c:formatCode>General</c:formatCode>
                  <c:ptCount val="38"/>
                  <c:pt idx="2">
                    <c:v>5.7805</c:v>
                  </c:pt>
                  <c:pt idx="3">
                    <c:v>5.8260000000000005</c:v>
                  </c:pt>
                  <c:pt idx="4">
                    <c:v>5.8150000000000004</c:v>
                  </c:pt>
                  <c:pt idx="5">
                    <c:v>7.0854999999999997</c:v>
                  </c:pt>
                  <c:pt idx="6">
                    <c:v>8.0180000000000007</c:v>
                  </c:pt>
                  <c:pt idx="7">
                    <c:v>4.807500000000001</c:v>
                  </c:pt>
                  <c:pt idx="9">
                    <c:v>14.106000000000002</c:v>
                  </c:pt>
                  <c:pt idx="10">
                    <c:v>7.7005000000000008</c:v>
                  </c:pt>
                  <c:pt idx="11">
                    <c:v>7.0469999999999997</c:v>
                  </c:pt>
                  <c:pt idx="12">
                    <c:v>8.8464999999999989</c:v>
                  </c:pt>
                  <c:pt idx="13">
                    <c:v>5.7689999999999984</c:v>
                  </c:pt>
                  <c:pt idx="14">
                    <c:v>5.8235000000000001</c:v>
                  </c:pt>
                  <c:pt idx="15">
                    <c:v>5.6304999999999996</c:v>
                  </c:pt>
                  <c:pt idx="17">
                    <c:v>4.26</c:v>
                  </c:pt>
                  <c:pt idx="18">
                    <c:v>4.4349999999999996</c:v>
                  </c:pt>
                  <c:pt idx="19">
                    <c:v>6.5019999999999989</c:v>
                  </c:pt>
                  <c:pt idx="20">
                    <c:v>4.552999999999999</c:v>
                  </c:pt>
                  <c:pt idx="21">
                    <c:v>4.9504999999999999</c:v>
                  </c:pt>
                  <c:pt idx="22">
                    <c:v>5.0214999999999987</c:v>
                  </c:pt>
                  <c:pt idx="23">
                    <c:v>3.5810000000000008</c:v>
                  </c:pt>
                  <c:pt idx="24">
                    <c:v>4.2544999999999993</c:v>
                  </c:pt>
                  <c:pt idx="26">
                    <c:v>5.5700000000000012</c:v>
                  </c:pt>
                  <c:pt idx="28">
                    <c:v>5.3630000000000013</c:v>
                  </c:pt>
                  <c:pt idx="29">
                    <c:v>6.0319999999999991</c:v>
                  </c:pt>
                  <c:pt idx="30">
                    <c:v>7.3869999999999987</c:v>
                  </c:pt>
                  <c:pt idx="31">
                    <c:v>4.7910000000000004</c:v>
                  </c:pt>
                  <c:pt idx="32">
                    <c:v>7.7194999999999991</c:v>
                  </c:pt>
                  <c:pt idx="33">
                    <c:v>4.9219999999999988</c:v>
                  </c:pt>
                  <c:pt idx="34">
                    <c:v>5.1724999999999994</c:v>
                  </c:pt>
                  <c:pt idx="36">
                    <c:v>4.0625</c:v>
                  </c:pt>
                  <c:pt idx="37">
                    <c:v>5.0130000000000008</c:v>
                  </c:pt>
                </c:numCache>
              </c:numRef>
            </c:minus>
            <c:spPr>
              <a:noFill/>
              <a:ln w="9525" cap="flat" cmpd="sng" algn="ctr">
                <a:solidFill>
                  <a:schemeClr val="tx1">
                    <a:lumMod val="65000"/>
                    <a:lumOff val="35000"/>
                  </a:schemeClr>
                </a:solidFill>
                <a:round/>
              </a:ln>
              <a:effectLst/>
            </c:spPr>
          </c:errBars>
          <c:xVal>
            <c:numRef>
              <c:f>Sheet1!$C$2:$C$39</c:f>
              <c:numCache>
                <c:formatCode>General</c:formatCode>
                <c:ptCount val="38"/>
                <c:pt idx="2">
                  <c:v>0.27300000000000002</c:v>
                </c:pt>
                <c:pt idx="3">
                  <c:v>0.91100000000000003</c:v>
                </c:pt>
                <c:pt idx="4">
                  <c:v>2.5390000000000001</c:v>
                </c:pt>
                <c:pt idx="5">
                  <c:v>1.2529999999999999</c:v>
                </c:pt>
                <c:pt idx="6">
                  <c:v>-5.508</c:v>
                </c:pt>
                <c:pt idx="7">
                  <c:v>7.3999999999999996E-2</c:v>
                </c:pt>
                <c:pt idx="9">
                  <c:v>3.9940000000000002</c:v>
                </c:pt>
                <c:pt idx="10">
                  <c:v>3.0379999999999998</c:v>
                </c:pt>
                <c:pt idx="11">
                  <c:v>2.3069999999999999</c:v>
                </c:pt>
                <c:pt idx="12">
                  <c:v>7.0419999999999998</c:v>
                </c:pt>
                <c:pt idx="13">
                  <c:v>2.6829999999999998</c:v>
                </c:pt>
                <c:pt idx="14">
                  <c:v>3.0259999999999998</c:v>
                </c:pt>
                <c:pt idx="15">
                  <c:v>-0.77700000000000002</c:v>
                </c:pt>
                <c:pt idx="17">
                  <c:v>4.3999999999999997E-2</c:v>
                </c:pt>
                <c:pt idx="18">
                  <c:v>2.012</c:v>
                </c:pt>
                <c:pt idx="19">
                  <c:v>-1.833</c:v>
                </c:pt>
                <c:pt idx="20">
                  <c:v>-0.56299999999999994</c:v>
                </c:pt>
                <c:pt idx="21">
                  <c:v>-0.94599999999999995</c:v>
                </c:pt>
                <c:pt idx="22">
                  <c:v>-9.7000000000000003E-2</c:v>
                </c:pt>
                <c:pt idx="23">
                  <c:v>-0.49099999999999999</c:v>
                </c:pt>
                <c:pt idx="24">
                  <c:v>-0.49199999999999999</c:v>
                </c:pt>
                <c:pt idx="26">
                  <c:v>3.972</c:v>
                </c:pt>
                <c:pt idx="28">
                  <c:v>2E-3</c:v>
                </c:pt>
                <c:pt idx="29">
                  <c:v>1.018</c:v>
                </c:pt>
                <c:pt idx="30">
                  <c:v>1.4610000000000001</c:v>
                </c:pt>
                <c:pt idx="31">
                  <c:v>2.2629999999999999</c:v>
                </c:pt>
                <c:pt idx="32">
                  <c:v>3.1110000000000002</c:v>
                </c:pt>
                <c:pt idx="33">
                  <c:v>-1.038</c:v>
                </c:pt>
                <c:pt idx="34">
                  <c:v>4.1719999999999997</c:v>
                </c:pt>
                <c:pt idx="36">
                  <c:v>0.41199999999999998</c:v>
                </c:pt>
                <c:pt idx="37">
                  <c:v>0.48799999999999999</c:v>
                </c:pt>
              </c:numCache>
            </c:numRef>
          </c:xVal>
          <c:yVal>
            <c:numRef>
              <c:f>Sheet1!$G$2:$G$39</c:f>
              <c:numCache>
                <c:formatCode>General</c:formatCode>
                <c:ptCount val="38"/>
                <c:pt idx="1">
                  <c:v>37</c:v>
                </c:pt>
                <c:pt idx="2">
                  <c:v>36</c:v>
                </c:pt>
                <c:pt idx="3">
                  <c:v>35</c:v>
                </c:pt>
                <c:pt idx="4">
                  <c:v>34</c:v>
                </c:pt>
                <c:pt idx="5">
                  <c:v>33</c:v>
                </c:pt>
                <c:pt idx="6">
                  <c:v>32</c:v>
                </c:pt>
                <c:pt idx="7">
                  <c:v>31</c:v>
                </c:pt>
                <c:pt idx="8">
                  <c:v>30</c:v>
                </c:pt>
                <c:pt idx="9">
                  <c:v>29</c:v>
                </c:pt>
                <c:pt idx="10">
                  <c:v>28</c:v>
                </c:pt>
                <c:pt idx="11">
                  <c:v>27</c:v>
                </c:pt>
                <c:pt idx="12">
                  <c:v>26</c:v>
                </c:pt>
                <c:pt idx="13">
                  <c:v>25</c:v>
                </c:pt>
                <c:pt idx="14">
                  <c:v>24</c:v>
                </c:pt>
                <c:pt idx="15">
                  <c:v>23</c:v>
                </c:pt>
                <c:pt idx="16">
                  <c:v>22</c:v>
                </c:pt>
                <c:pt idx="17">
                  <c:v>21</c:v>
                </c:pt>
                <c:pt idx="18">
                  <c:v>20</c:v>
                </c:pt>
                <c:pt idx="19">
                  <c:v>19</c:v>
                </c:pt>
                <c:pt idx="20">
                  <c:v>18</c:v>
                </c:pt>
                <c:pt idx="21">
                  <c:v>17</c:v>
                </c:pt>
                <c:pt idx="22">
                  <c:v>16</c:v>
                </c:pt>
                <c:pt idx="23">
                  <c:v>15</c:v>
                </c:pt>
                <c:pt idx="24">
                  <c:v>14</c:v>
                </c:pt>
                <c:pt idx="25">
                  <c:v>13</c:v>
                </c:pt>
                <c:pt idx="26">
                  <c:v>12</c:v>
                </c:pt>
                <c:pt idx="27">
                  <c:v>11</c:v>
                </c:pt>
                <c:pt idx="28">
                  <c:v>10</c:v>
                </c:pt>
                <c:pt idx="29">
                  <c:v>9</c:v>
                </c:pt>
                <c:pt idx="30">
                  <c:v>8</c:v>
                </c:pt>
                <c:pt idx="31">
                  <c:v>7</c:v>
                </c:pt>
                <c:pt idx="32">
                  <c:v>6</c:v>
                </c:pt>
                <c:pt idx="33">
                  <c:v>5</c:v>
                </c:pt>
                <c:pt idx="34">
                  <c:v>4</c:v>
                </c:pt>
                <c:pt idx="35">
                  <c:v>3</c:v>
                </c:pt>
                <c:pt idx="36">
                  <c:v>2</c:v>
                </c:pt>
                <c:pt idx="37">
                  <c:v>1</c:v>
                </c:pt>
              </c:numCache>
            </c:numRef>
          </c:yVal>
          <c:smooth val="0"/>
          <c:extLst>
            <c:ext xmlns:c16="http://schemas.microsoft.com/office/drawing/2014/chart" uri="{C3380CC4-5D6E-409C-BE32-E72D297353CC}">
              <c16:uniqueId val="{0000001D-2246-4FCA-876F-E8A72901AD17}"/>
            </c:ext>
          </c:extLst>
        </c:ser>
        <c:ser>
          <c:idx val="0"/>
          <c:order val="1"/>
          <c:tx>
            <c:v>labels</c:v>
          </c:tx>
          <c:spPr>
            <a:ln w="25400" cap="rnd">
              <a:noFill/>
              <a:round/>
            </a:ln>
            <a:effectLst/>
          </c:spPr>
          <c:marker>
            <c:symbol val="none"/>
          </c:marker>
          <c:dLbls>
            <c:dLbl>
              <c:idx val="0"/>
              <c:tx>
                <c:rich>
                  <a:bodyPr/>
                  <a:lstStyle/>
                  <a:p>
                    <a:endParaRPr lang="en-US"/>
                  </a:p>
                </c:rich>
              </c:tx>
              <c:dLblPos val="l"/>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E-2246-4FCA-876F-E8A72901AD17}"/>
                </c:ext>
              </c:extLst>
            </c:dLbl>
            <c:dLbl>
              <c:idx val="1"/>
              <c:layout>
                <c:manualLayout>
                  <c:x val="-0.16525530694205393"/>
                  <c:y val="0"/>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fld id="{C332FBF8-AEE8-4EDE-9057-8FA5CC897F74}" type="CELLRANGE">
                      <a:rPr lang="en-US" sz="800">
                        <a:solidFill>
                          <a:schemeClr val="tx1"/>
                        </a:solidFill>
                      </a:rPr>
                      <a:pPr>
                        <a:defRPr sz="800" b="1">
                          <a:solidFill>
                            <a:schemeClr val="tx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F-2246-4FCA-876F-E8A72901AD17}"/>
                </c:ext>
              </c:extLst>
            </c:dLbl>
            <c:dLbl>
              <c:idx val="2"/>
              <c:tx>
                <c:rich>
                  <a:bodyPr/>
                  <a:lstStyle/>
                  <a:p>
                    <a:fld id="{5BE71D49-6675-427B-B24B-287AB1A04E1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2246-4FCA-876F-E8A72901AD17}"/>
                </c:ext>
              </c:extLst>
            </c:dLbl>
            <c:dLbl>
              <c:idx val="3"/>
              <c:tx>
                <c:rich>
                  <a:bodyPr/>
                  <a:lstStyle/>
                  <a:p>
                    <a:fld id="{FEC1CB66-02A3-488C-A064-DA3815B34B5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2246-4FCA-876F-E8A72901AD17}"/>
                </c:ext>
              </c:extLst>
            </c:dLbl>
            <c:dLbl>
              <c:idx val="4"/>
              <c:tx>
                <c:rich>
                  <a:bodyPr/>
                  <a:lstStyle/>
                  <a:p>
                    <a:fld id="{E1F154F2-9A9F-4E2E-AC71-86B6CF75D87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2246-4FCA-876F-E8A72901AD17}"/>
                </c:ext>
              </c:extLst>
            </c:dLbl>
            <c:dLbl>
              <c:idx val="5"/>
              <c:tx>
                <c:rich>
                  <a:bodyPr/>
                  <a:lstStyle/>
                  <a:p>
                    <a:fld id="{51FA62DC-7657-4A0F-9896-5077B1A3B48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2246-4FCA-876F-E8A72901AD17}"/>
                </c:ext>
              </c:extLst>
            </c:dLbl>
            <c:dLbl>
              <c:idx val="6"/>
              <c:tx>
                <c:rich>
                  <a:bodyPr/>
                  <a:lstStyle/>
                  <a:p>
                    <a:fld id="{8C91B1E8-CF1B-4642-A82D-0CF56DE54C8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2246-4FCA-876F-E8A72901AD17}"/>
                </c:ext>
              </c:extLst>
            </c:dLbl>
            <c:dLbl>
              <c:idx val="7"/>
              <c:tx>
                <c:rich>
                  <a:bodyPr/>
                  <a:lstStyle/>
                  <a:p>
                    <a:fld id="{B6522D98-656E-41C5-82F5-2A96DB7F86F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2246-4FCA-876F-E8A72901AD17}"/>
                </c:ext>
              </c:extLst>
            </c:dLbl>
            <c:dLbl>
              <c:idx val="8"/>
              <c:tx>
                <c:rich>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fld id="{F3260E7B-2C9B-4D00-8E9E-2C20BD40A593}" type="CELLRANGE">
                      <a:rPr lang="en-AU"/>
                      <a:pPr>
                        <a:defRPr sz="800" b="1">
                          <a:solidFill>
                            <a:schemeClr val="tx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2246-4FCA-876F-E8A72901AD17}"/>
                </c:ext>
              </c:extLst>
            </c:dLbl>
            <c:dLbl>
              <c:idx val="9"/>
              <c:tx>
                <c:rich>
                  <a:bodyPr/>
                  <a:lstStyle/>
                  <a:p>
                    <a:fld id="{E6D5E1E5-479D-46AB-9086-A7A3C6A0CA8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2246-4FCA-876F-E8A72901AD17}"/>
                </c:ext>
              </c:extLst>
            </c:dLbl>
            <c:dLbl>
              <c:idx val="10"/>
              <c:tx>
                <c:rich>
                  <a:bodyPr/>
                  <a:lstStyle/>
                  <a:p>
                    <a:fld id="{55D3631A-0016-4F41-A38D-BA14A8DB3752}"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2246-4FCA-876F-E8A72901AD17}"/>
                </c:ext>
              </c:extLst>
            </c:dLbl>
            <c:dLbl>
              <c:idx val="11"/>
              <c:tx>
                <c:rich>
                  <a:bodyPr/>
                  <a:lstStyle/>
                  <a:p>
                    <a:fld id="{5B81FA8C-2356-448D-947D-8760C5CB147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2246-4FCA-876F-E8A72901AD17}"/>
                </c:ext>
              </c:extLst>
            </c:dLbl>
            <c:dLbl>
              <c:idx val="12"/>
              <c:tx>
                <c:rich>
                  <a:bodyPr/>
                  <a:lstStyle/>
                  <a:p>
                    <a:fld id="{4B108F1F-C313-4236-BA5C-B169EFD1D38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2246-4FCA-876F-E8A72901AD17}"/>
                </c:ext>
              </c:extLst>
            </c:dLbl>
            <c:dLbl>
              <c:idx val="13"/>
              <c:tx>
                <c:rich>
                  <a:bodyPr/>
                  <a:lstStyle/>
                  <a:p>
                    <a:fld id="{B11D4112-F0D8-4081-BAE5-88305CD7AB3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2246-4FCA-876F-E8A72901AD17}"/>
                </c:ext>
              </c:extLst>
            </c:dLbl>
            <c:dLbl>
              <c:idx val="14"/>
              <c:tx>
                <c:rich>
                  <a:bodyPr/>
                  <a:lstStyle/>
                  <a:p>
                    <a:fld id="{BAF1B7AB-0664-4355-A96F-8575EB9134A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2246-4FCA-876F-E8A72901AD17}"/>
                </c:ext>
              </c:extLst>
            </c:dLbl>
            <c:dLbl>
              <c:idx val="15"/>
              <c:tx>
                <c:rich>
                  <a:bodyPr/>
                  <a:lstStyle/>
                  <a:p>
                    <a:fld id="{6CA1EC06-FEC4-4EC2-9C0F-C1B8A7C1664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2246-4FCA-876F-E8A72901AD17}"/>
                </c:ext>
              </c:extLst>
            </c:dLbl>
            <c:dLbl>
              <c:idx val="16"/>
              <c:tx>
                <c:rich>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fld id="{E2C06411-F1FC-4137-8EA3-8EE2EA315ADD}" type="CELLRANGE">
                      <a:rPr lang="en-AU"/>
                      <a:pPr>
                        <a:defRPr sz="800" b="1">
                          <a:solidFill>
                            <a:schemeClr val="tx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2246-4FCA-876F-E8A72901AD17}"/>
                </c:ext>
              </c:extLst>
            </c:dLbl>
            <c:dLbl>
              <c:idx val="17"/>
              <c:tx>
                <c:rich>
                  <a:bodyPr/>
                  <a:lstStyle/>
                  <a:p>
                    <a:fld id="{35FCFF57-3DCE-4303-893C-128C1BD8379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2246-4FCA-876F-E8A72901AD17}"/>
                </c:ext>
              </c:extLst>
            </c:dLbl>
            <c:dLbl>
              <c:idx val="18"/>
              <c:tx>
                <c:rich>
                  <a:bodyPr/>
                  <a:lstStyle/>
                  <a:p>
                    <a:fld id="{54877918-115B-4836-B089-648D6FBECE27}"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2246-4FCA-876F-E8A72901AD17}"/>
                </c:ext>
              </c:extLst>
            </c:dLbl>
            <c:dLbl>
              <c:idx val="19"/>
              <c:tx>
                <c:rich>
                  <a:bodyPr/>
                  <a:lstStyle/>
                  <a:p>
                    <a:fld id="{7A1719D9-BBDF-43F7-91A7-6641330C64BD}"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2246-4FCA-876F-E8A72901AD17}"/>
                </c:ext>
              </c:extLst>
            </c:dLbl>
            <c:dLbl>
              <c:idx val="20"/>
              <c:tx>
                <c:rich>
                  <a:bodyPr/>
                  <a:lstStyle/>
                  <a:p>
                    <a:fld id="{5E0C7C22-9715-4CD5-A292-198A3B6BCCF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2246-4FCA-876F-E8A72901AD17}"/>
                </c:ext>
              </c:extLst>
            </c:dLbl>
            <c:dLbl>
              <c:idx val="21"/>
              <c:tx>
                <c:rich>
                  <a:bodyPr/>
                  <a:lstStyle/>
                  <a:p>
                    <a:fld id="{1A5C311E-D6EB-4D82-9550-D1878ED2B3AC}"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2246-4FCA-876F-E8A72901AD17}"/>
                </c:ext>
              </c:extLst>
            </c:dLbl>
            <c:dLbl>
              <c:idx val="22"/>
              <c:tx>
                <c:rich>
                  <a:bodyPr/>
                  <a:lstStyle/>
                  <a:p>
                    <a:fld id="{B7FBCEB0-9234-45FA-99BB-995FB3BBBDC6}"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2246-4FCA-876F-E8A72901AD17}"/>
                </c:ext>
              </c:extLst>
            </c:dLbl>
            <c:dLbl>
              <c:idx val="23"/>
              <c:tx>
                <c:rich>
                  <a:bodyPr/>
                  <a:lstStyle/>
                  <a:p>
                    <a:fld id="{A0001B4C-453D-43EE-BD15-8ED02F80401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2246-4FCA-876F-E8A72901AD17}"/>
                </c:ext>
              </c:extLst>
            </c:dLbl>
            <c:dLbl>
              <c:idx val="24"/>
              <c:tx>
                <c:rich>
                  <a:bodyPr/>
                  <a:lstStyle/>
                  <a:p>
                    <a:fld id="{654BC272-F432-442E-8AD3-D9694FD05B2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2246-4FCA-876F-E8A72901AD17}"/>
                </c:ext>
              </c:extLst>
            </c:dLbl>
            <c:dLbl>
              <c:idx val="25"/>
              <c:tx>
                <c:rich>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fld id="{5587AF5E-2B50-4CC9-AB52-A7A02F61BD23}" type="CELLRANGE">
                      <a:rPr lang="en-AU"/>
                      <a:pPr>
                        <a:defRPr sz="800" b="1">
                          <a:solidFill>
                            <a:schemeClr val="tx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2246-4FCA-876F-E8A72901AD17}"/>
                </c:ext>
              </c:extLst>
            </c:dLbl>
            <c:dLbl>
              <c:idx val="26"/>
              <c:tx>
                <c:rich>
                  <a:bodyPr/>
                  <a:lstStyle/>
                  <a:p>
                    <a:fld id="{C90A9452-5091-4BEE-A6E1-A77C9184513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2246-4FCA-876F-E8A72901AD17}"/>
                </c:ext>
              </c:extLst>
            </c:dLbl>
            <c:dLbl>
              <c:idx val="27"/>
              <c:tx>
                <c:rich>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fld id="{7614D27C-FA3E-4AA4-A309-5122D89F0E1B}" type="CELLRANGE">
                      <a:rPr lang="en-AU"/>
                      <a:pPr>
                        <a:defRPr sz="800" b="1">
                          <a:solidFill>
                            <a:schemeClr val="tx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2246-4FCA-876F-E8A72901AD17}"/>
                </c:ext>
              </c:extLst>
            </c:dLbl>
            <c:dLbl>
              <c:idx val="28"/>
              <c:tx>
                <c:rich>
                  <a:bodyPr/>
                  <a:lstStyle/>
                  <a:p>
                    <a:fld id="{0A0BF80E-9CE9-427A-ADB6-FAA9A74ECBB4}"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2246-4FCA-876F-E8A72901AD17}"/>
                </c:ext>
              </c:extLst>
            </c:dLbl>
            <c:dLbl>
              <c:idx val="29"/>
              <c:tx>
                <c:rich>
                  <a:bodyPr/>
                  <a:lstStyle/>
                  <a:p>
                    <a:fld id="{23B0C7F9-BC13-4235-94A3-4D23368C268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2246-4FCA-876F-E8A72901AD17}"/>
                </c:ext>
              </c:extLst>
            </c:dLbl>
            <c:dLbl>
              <c:idx val="30"/>
              <c:tx>
                <c:rich>
                  <a:bodyPr/>
                  <a:lstStyle/>
                  <a:p>
                    <a:fld id="{BB1AD877-48C5-4D90-B2EB-4C4CFAA1608A}"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2246-4FCA-876F-E8A72901AD17}"/>
                </c:ext>
              </c:extLst>
            </c:dLbl>
            <c:dLbl>
              <c:idx val="31"/>
              <c:tx>
                <c:rich>
                  <a:bodyPr/>
                  <a:lstStyle/>
                  <a:p>
                    <a:fld id="{E8D7D12F-ABB3-4AF3-8D15-047299007439}"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2246-4FCA-876F-E8A72901AD17}"/>
                </c:ext>
              </c:extLst>
            </c:dLbl>
            <c:dLbl>
              <c:idx val="32"/>
              <c:tx>
                <c:rich>
                  <a:bodyPr/>
                  <a:lstStyle/>
                  <a:p>
                    <a:fld id="{F1DFC474-7AE2-41C8-9DB5-7340D9B4F1FB}"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2246-4FCA-876F-E8A72901AD17}"/>
                </c:ext>
              </c:extLst>
            </c:dLbl>
            <c:dLbl>
              <c:idx val="33"/>
              <c:tx>
                <c:rich>
                  <a:bodyPr/>
                  <a:lstStyle/>
                  <a:p>
                    <a:fld id="{FE3E4B46-48E4-4394-97B1-555F099A0931}"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2246-4FCA-876F-E8A72901AD17}"/>
                </c:ext>
              </c:extLst>
            </c:dLbl>
            <c:dLbl>
              <c:idx val="34"/>
              <c:tx>
                <c:rich>
                  <a:bodyPr/>
                  <a:lstStyle/>
                  <a:p>
                    <a:fld id="{6A7B683B-4EF2-4817-82D1-73A56C5B28EF}"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2246-4FCA-876F-E8A72901AD17}"/>
                </c:ext>
              </c:extLst>
            </c:dLbl>
            <c:dLbl>
              <c:idx val="35"/>
              <c:tx>
                <c:rich>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fld id="{84436E6E-626C-4FEB-BF00-E6764298BD70}" type="CELLRANGE">
                      <a:rPr lang="en-AU"/>
                      <a:pPr>
                        <a:defRPr sz="800" b="1">
                          <a:solidFill>
                            <a:schemeClr val="tx1"/>
                          </a:solidFill>
                        </a:defRPr>
                      </a:pPr>
                      <a:t>[CELLRANGE]</a:t>
                    </a:fld>
                    <a:endParaRPr lang="en-AU"/>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1-2246-4FCA-876F-E8A72901AD17}"/>
                </c:ext>
              </c:extLst>
            </c:dLbl>
            <c:dLbl>
              <c:idx val="36"/>
              <c:tx>
                <c:rich>
                  <a:bodyPr/>
                  <a:lstStyle/>
                  <a:p>
                    <a:fld id="{3DEA8CC6-A9E6-4945-9FE3-B61B727998FE}"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2246-4FCA-876F-E8A72901AD17}"/>
                </c:ext>
              </c:extLst>
            </c:dLbl>
            <c:dLbl>
              <c:idx val="37"/>
              <c:tx>
                <c:rich>
                  <a:bodyPr/>
                  <a:lstStyle/>
                  <a:p>
                    <a:fld id="{2F168334-AFDA-461E-B8CF-335DBDA67085}" type="CELLRANGE">
                      <a:rPr lang="en-AU"/>
                      <a:pPr/>
                      <a:t>[CELLRANGE]</a:t>
                    </a:fld>
                    <a:endParaRPr lang="en-AU"/>
                  </a:p>
                </c:rich>
              </c:tx>
              <c:dLblPos val="l"/>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2246-4FCA-876F-E8A72901AD1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l"/>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xVal>
            <c:numRef>
              <c:f>Sheet1!$H$2:$H$39</c:f>
              <c:numCache>
                <c:formatCode>General</c:formatCode>
                <c:ptCount val="38"/>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-20</c:v>
                </c:pt>
                <c:pt idx="24">
                  <c:v>-20</c:v>
                </c:pt>
                <c:pt idx="25">
                  <c:v>-20</c:v>
                </c:pt>
                <c:pt idx="26">
                  <c:v>-20</c:v>
                </c:pt>
                <c:pt idx="27">
                  <c:v>-20</c:v>
                </c:pt>
                <c:pt idx="28">
                  <c:v>-20</c:v>
                </c:pt>
                <c:pt idx="29">
                  <c:v>-20</c:v>
                </c:pt>
                <c:pt idx="30">
                  <c:v>-20</c:v>
                </c:pt>
                <c:pt idx="31">
                  <c:v>-20</c:v>
                </c:pt>
                <c:pt idx="32">
                  <c:v>-20</c:v>
                </c:pt>
                <c:pt idx="33">
                  <c:v>-20</c:v>
                </c:pt>
                <c:pt idx="34">
                  <c:v>-20</c:v>
                </c:pt>
                <c:pt idx="35">
                  <c:v>-20</c:v>
                </c:pt>
                <c:pt idx="36">
                  <c:v>-20</c:v>
                </c:pt>
                <c:pt idx="37">
                  <c:v>-20</c:v>
                </c:pt>
              </c:numCache>
            </c:numRef>
          </c:xVal>
          <c:yVal>
            <c:numRef>
              <c:f>Sheet1!$G$2:$G$39</c:f>
              <c:numCache>
                <c:formatCode>General</c:formatCode>
                <c:ptCount val="38"/>
                <c:pt idx="1">
                  <c:v>37</c:v>
                </c:pt>
                <c:pt idx="2">
                  <c:v>36</c:v>
                </c:pt>
                <c:pt idx="3">
                  <c:v>35</c:v>
                </c:pt>
                <c:pt idx="4">
                  <c:v>34</c:v>
                </c:pt>
                <c:pt idx="5">
                  <c:v>33</c:v>
                </c:pt>
                <c:pt idx="6">
                  <c:v>32</c:v>
                </c:pt>
                <c:pt idx="7">
                  <c:v>31</c:v>
                </c:pt>
                <c:pt idx="8">
                  <c:v>30</c:v>
                </c:pt>
                <c:pt idx="9">
                  <c:v>29</c:v>
                </c:pt>
                <c:pt idx="10">
                  <c:v>28</c:v>
                </c:pt>
                <c:pt idx="11">
                  <c:v>27</c:v>
                </c:pt>
                <c:pt idx="12">
                  <c:v>26</c:v>
                </c:pt>
                <c:pt idx="13">
                  <c:v>25</c:v>
                </c:pt>
                <c:pt idx="14">
                  <c:v>24</c:v>
                </c:pt>
                <c:pt idx="15">
                  <c:v>23</c:v>
                </c:pt>
                <c:pt idx="16">
                  <c:v>22</c:v>
                </c:pt>
                <c:pt idx="17">
                  <c:v>21</c:v>
                </c:pt>
                <c:pt idx="18">
                  <c:v>20</c:v>
                </c:pt>
                <c:pt idx="19">
                  <c:v>19</c:v>
                </c:pt>
                <c:pt idx="20">
                  <c:v>18</c:v>
                </c:pt>
                <c:pt idx="21">
                  <c:v>17</c:v>
                </c:pt>
                <c:pt idx="22">
                  <c:v>16</c:v>
                </c:pt>
                <c:pt idx="23">
                  <c:v>15</c:v>
                </c:pt>
                <c:pt idx="24">
                  <c:v>14</c:v>
                </c:pt>
                <c:pt idx="25">
                  <c:v>13</c:v>
                </c:pt>
                <c:pt idx="26">
                  <c:v>12</c:v>
                </c:pt>
                <c:pt idx="27">
                  <c:v>11</c:v>
                </c:pt>
                <c:pt idx="28">
                  <c:v>10</c:v>
                </c:pt>
                <c:pt idx="29">
                  <c:v>9</c:v>
                </c:pt>
                <c:pt idx="30">
                  <c:v>8</c:v>
                </c:pt>
                <c:pt idx="31">
                  <c:v>7</c:v>
                </c:pt>
                <c:pt idx="32">
                  <c:v>6</c:v>
                </c:pt>
                <c:pt idx="33">
                  <c:v>5</c:v>
                </c:pt>
                <c:pt idx="34">
                  <c:v>4</c:v>
                </c:pt>
                <c:pt idx="35">
                  <c:v>3</c:v>
                </c:pt>
                <c:pt idx="36">
                  <c:v>2</c:v>
                </c:pt>
                <c:pt idx="37">
                  <c:v>1</c:v>
                </c:pt>
              </c:numCache>
            </c:numRef>
          </c:yVal>
          <c:smooth val="0"/>
          <c:extLst>
            <c:ext xmlns:c15="http://schemas.microsoft.com/office/drawing/2012/chart" uri="{02D57815-91ED-43cb-92C2-25804820EDAC}">
              <c15:datalabelsRange>
                <c15:f>Sheet1!$A$2:$A$39</c15:f>
                <c15:dlblRangeCache>
                  <c:ptCount val="38"/>
                  <c:pt idx="1">
                    <c:v>NSW ---------------</c:v>
                  </c:pt>
                  <c:pt idx="2">
                    <c:v>Bland</c:v>
                  </c:pt>
                  <c:pt idx="3">
                    <c:v>Bourke</c:v>
                  </c:pt>
                  <c:pt idx="4">
                    <c:v>Brewarrina</c:v>
                  </c:pt>
                  <c:pt idx="5">
                    <c:v>Junee</c:v>
                  </c:pt>
                  <c:pt idx="6">
                    <c:v>Walgett</c:v>
                  </c:pt>
                  <c:pt idx="7">
                    <c:v>Wentworth</c:v>
                  </c:pt>
                  <c:pt idx="8">
                    <c:v>NT ---------------</c:v>
                  </c:pt>
                  <c:pt idx="9">
                    <c:v>Alice Springs</c:v>
                  </c:pt>
                  <c:pt idx="10">
                    <c:v>Barkly</c:v>
                  </c:pt>
                  <c:pt idx="11">
                    <c:v>Central Desert</c:v>
                  </c:pt>
                  <c:pt idx="12">
                    <c:v>MacDonnell</c:v>
                  </c:pt>
                  <c:pt idx="13">
                    <c:v>Tiwi Islands</c:v>
                  </c:pt>
                  <c:pt idx="14">
                    <c:v>West Arnhem</c:v>
                  </c:pt>
                  <c:pt idx="15">
                    <c:v>West Daly</c:v>
                  </c:pt>
                  <c:pt idx="16">
                    <c:v>QLD ---------------</c:v>
                  </c:pt>
                  <c:pt idx="17">
                    <c:v>Aurukun</c:v>
                  </c:pt>
                  <c:pt idx="18">
                    <c:v>Carpentaria</c:v>
                  </c:pt>
                  <c:pt idx="19">
                    <c:v>Cloncurry</c:v>
                  </c:pt>
                  <c:pt idx="20">
                    <c:v>Doomadgee</c:v>
                  </c:pt>
                  <c:pt idx="21">
                    <c:v>Goondiwindi</c:v>
                  </c:pt>
                  <c:pt idx="22">
                    <c:v>Mornington</c:v>
                  </c:pt>
                  <c:pt idx="23">
                    <c:v>Palm Island</c:v>
                  </c:pt>
                  <c:pt idx="24">
                    <c:v>Woorabinda</c:v>
                  </c:pt>
                  <c:pt idx="25">
                    <c:v>SA ---------------</c:v>
                  </c:pt>
                  <c:pt idx="26">
                    <c:v>Berri and Barmera</c:v>
                  </c:pt>
                  <c:pt idx="27">
                    <c:v>VIC ---------------</c:v>
                  </c:pt>
                  <c:pt idx="28">
                    <c:v>Ararat</c:v>
                  </c:pt>
                  <c:pt idx="29">
                    <c:v>Bass Coast</c:v>
                  </c:pt>
                  <c:pt idx="30">
                    <c:v>Baw Baw</c:v>
                  </c:pt>
                  <c:pt idx="31">
                    <c:v>East Gippsland</c:v>
                  </c:pt>
                  <c:pt idx="32">
                    <c:v>Latrobe</c:v>
                  </c:pt>
                  <c:pt idx="33">
                    <c:v>South Gippsland</c:v>
                  </c:pt>
                  <c:pt idx="34">
                    <c:v>Wellington</c:v>
                  </c:pt>
                  <c:pt idx="35">
                    <c:v>WA ---------------</c:v>
                  </c:pt>
                  <c:pt idx="36">
                    <c:v>Halls Creek</c:v>
                  </c:pt>
                  <c:pt idx="37">
                    <c:v>Wyndham-East Kimberley</c:v>
                  </c:pt>
                </c15:dlblRangeCache>
              </c15:datalabelsRange>
            </c:ext>
            <c:ext xmlns:c16="http://schemas.microsoft.com/office/drawing/2014/chart" uri="{C3380CC4-5D6E-409C-BE32-E72D297353CC}">
              <c16:uniqueId val="{00000044-2246-4FCA-876F-E8A72901AD17}"/>
            </c:ext>
          </c:extLst>
        </c:ser>
        <c:ser>
          <c:idx val="1"/>
          <c:order val="2"/>
          <c:tx>
            <c:v>Right labels</c:v>
          </c:tx>
          <c:spPr>
            <a:ln w="25400" cap="rnd">
              <a:noFill/>
              <a:round/>
            </a:ln>
            <a:effectLst/>
          </c:spPr>
          <c:marker>
            <c:symbol val="none"/>
          </c:marker>
          <c:dLbls>
            <c:dLbl>
              <c:idx val="0"/>
              <c:tx>
                <c:rich>
                  <a:bodyPr/>
                  <a:lstStyle/>
                  <a:p>
                    <a:endParaRPr lang="en-US"/>
                  </a:p>
                </c:rich>
              </c:tx>
              <c:dLblPos val="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45-2246-4FCA-876F-E8A72901AD17}"/>
                </c:ext>
              </c:extLst>
            </c:dLbl>
            <c:dLbl>
              <c:idx val="1"/>
              <c:tx>
                <c:rich>
                  <a:bodyPr/>
                  <a:lstStyle/>
                  <a:p>
                    <a:fld id="{CFE8FF78-D36A-4E19-971E-DC1FF945DA4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2246-4FCA-876F-E8A72901AD17}"/>
                </c:ext>
              </c:extLst>
            </c:dLbl>
            <c:dLbl>
              <c:idx val="2"/>
              <c:tx>
                <c:rich>
                  <a:bodyPr/>
                  <a:lstStyle/>
                  <a:p>
                    <a:fld id="{A2A9409F-8307-4233-8051-61CE813B723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2246-4FCA-876F-E8A72901AD17}"/>
                </c:ext>
              </c:extLst>
            </c:dLbl>
            <c:dLbl>
              <c:idx val="3"/>
              <c:tx>
                <c:rich>
                  <a:bodyPr/>
                  <a:lstStyle/>
                  <a:p>
                    <a:fld id="{734981E9-3B37-4625-822D-B991843B34C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2246-4FCA-876F-E8A72901AD17}"/>
                </c:ext>
              </c:extLst>
            </c:dLbl>
            <c:dLbl>
              <c:idx val="4"/>
              <c:tx>
                <c:rich>
                  <a:bodyPr/>
                  <a:lstStyle/>
                  <a:p>
                    <a:fld id="{166F6E13-447A-4562-AA15-34B5F3BA224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2246-4FCA-876F-E8A72901AD17}"/>
                </c:ext>
              </c:extLst>
            </c:dLbl>
            <c:dLbl>
              <c:idx val="5"/>
              <c:tx>
                <c:rich>
                  <a:bodyPr/>
                  <a:lstStyle/>
                  <a:p>
                    <a:fld id="{9A4A6636-9EBC-4CC6-B9CE-A8A1AC2FD6D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2246-4FCA-876F-E8A72901AD17}"/>
                </c:ext>
              </c:extLst>
            </c:dLbl>
            <c:dLbl>
              <c:idx val="6"/>
              <c:tx>
                <c:rich>
                  <a:bodyPr/>
                  <a:lstStyle/>
                  <a:p>
                    <a:fld id="{73CFACEB-A4C2-4607-96A6-3A261931269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2246-4FCA-876F-E8A72901AD17}"/>
                </c:ext>
              </c:extLst>
            </c:dLbl>
            <c:dLbl>
              <c:idx val="7"/>
              <c:tx>
                <c:rich>
                  <a:bodyPr/>
                  <a:lstStyle/>
                  <a:p>
                    <a:fld id="{11153406-B464-4075-868F-EE4A0B60C07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2246-4FCA-876F-E8A72901AD17}"/>
                </c:ext>
              </c:extLst>
            </c:dLbl>
            <c:dLbl>
              <c:idx val="8"/>
              <c:tx>
                <c:rich>
                  <a:bodyPr/>
                  <a:lstStyle/>
                  <a:p>
                    <a:fld id="{E90DF6E4-4E34-4B97-A967-BD8267A0073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2246-4FCA-876F-E8A72901AD17}"/>
                </c:ext>
              </c:extLst>
            </c:dLbl>
            <c:dLbl>
              <c:idx val="9"/>
              <c:tx>
                <c:rich>
                  <a:bodyPr/>
                  <a:lstStyle/>
                  <a:p>
                    <a:fld id="{5988452C-2E1F-4D57-ABBF-79D7846F9AB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2246-4FCA-876F-E8A72901AD17}"/>
                </c:ext>
              </c:extLst>
            </c:dLbl>
            <c:dLbl>
              <c:idx val="10"/>
              <c:tx>
                <c:rich>
                  <a:bodyPr/>
                  <a:lstStyle/>
                  <a:p>
                    <a:fld id="{6E4AFA87-691A-415C-8A7C-F33B6CD1CAB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2246-4FCA-876F-E8A72901AD17}"/>
                </c:ext>
              </c:extLst>
            </c:dLbl>
            <c:dLbl>
              <c:idx val="11"/>
              <c:tx>
                <c:rich>
                  <a:bodyPr/>
                  <a:lstStyle/>
                  <a:p>
                    <a:fld id="{619F914F-7989-4254-9C75-858FFE9B67B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2246-4FCA-876F-E8A72901AD17}"/>
                </c:ext>
              </c:extLst>
            </c:dLbl>
            <c:dLbl>
              <c:idx val="12"/>
              <c:tx>
                <c:rich>
                  <a:bodyPr/>
                  <a:lstStyle/>
                  <a:p>
                    <a:fld id="{C8A56F04-2D8E-4091-8014-97F152F580F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2246-4FCA-876F-E8A72901AD17}"/>
                </c:ext>
              </c:extLst>
            </c:dLbl>
            <c:dLbl>
              <c:idx val="13"/>
              <c:tx>
                <c:rich>
                  <a:bodyPr/>
                  <a:lstStyle/>
                  <a:p>
                    <a:fld id="{0DC83A9A-4633-44BF-AAD5-4F3332F9EE9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2246-4FCA-876F-E8A72901AD17}"/>
                </c:ext>
              </c:extLst>
            </c:dLbl>
            <c:dLbl>
              <c:idx val="14"/>
              <c:tx>
                <c:rich>
                  <a:bodyPr/>
                  <a:lstStyle/>
                  <a:p>
                    <a:fld id="{2D626075-8288-4EAE-8813-8BE4E248829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2246-4FCA-876F-E8A72901AD17}"/>
                </c:ext>
              </c:extLst>
            </c:dLbl>
            <c:dLbl>
              <c:idx val="15"/>
              <c:tx>
                <c:rich>
                  <a:bodyPr/>
                  <a:lstStyle/>
                  <a:p>
                    <a:fld id="{5333D899-A4AF-4D4E-BF18-2A98FDCDD89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2246-4FCA-876F-E8A72901AD17}"/>
                </c:ext>
              </c:extLst>
            </c:dLbl>
            <c:dLbl>
              <c:idx val="16"/>
              <c:tx>
                <c:rich>
                  <a:bodyPr/>
                  <a:lstStyle/>
                  <a:p>
                    <a:fld id="{4F2B8653-D835-4CEA-89F3-6AE01F9128B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2246-4FCA-876F-E8A72901AD17}"/>
                </c:ext>
              </c:extLst>
            </c:dLbl>
            <c:dLbl>
              <c:idx val="17"/>
              <c:tx>
                <c:rich>
                  <a:bodyPr/>
                  <a:lstStyle/>
                  <a:p>
                    <a:fld id="{25276D6E-79B5-4244-88D1-3C13D10C96E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2246-4FCA-876F-E8A72901AD17}"/>
                </c:ext>
              </c:extLst>
            </c:dLbl>
            <c:dLbl>
              <c:idx val="18"/>
              <c:tx>
                <c:rich>
                  <a:bodyPr/>
                  <a:lstStyle/>
                  <a:p>
                    <a:fld id="{D133C317-6092-4391-860B-D2341BDDB92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2246-4FCA-876F-E8A72901AD17}"/>
                </c:ext>
              </c:extLst>
            </c:dLbl>
            <c:dLbl>
              <c:idx val="19"/>
              <c:tx>
                <c:rich>
                  <a:bodyPr/>
                  <a:lstStyle/>
                  <a:p>
                    <a:fld id="{65B1A443-5250-4BBE-9443-EB92021E053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2246-4FCA-876F-E8A72901AD17}"/>
                </c:ext>
              </c:extLst>
            </c:dLbl>
            <c:dLbl>
              <c:idx val="20"/>
              <c:tx>
                <c:rich>
                  <a:bodyPr/>
                  <a:lstStyle/>
                  <a:p>
                    <a:fld id="{DD3C471F-5517-4E8C-9B9E-6E030F5A3B33}"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2246-4FCA-876F-E8A72901AD17}"/>
                </c:ext>
              </c:extLst>
            </c:dLbl>
            <c:dLbl>
              <c:idx val="21"/>
              <c:tx>
                <c:rich>
                  <a:bodyPr/>
                  <a:lstStyle/>
                  <a:p>
                    <a:fld id="{599B0EF2-38CA-48EC-A4A3-1A87DAE91F5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2246-4FCA-876F-E8A72901AD17}"/>
                </c:ext>
              </c:extLst>
            </c:dLbl>
            <c:dLbl>
              <c:idx val="22"/>
              <c:tx>
                <c:rich>
                  <a:bodyPr/>
                  <a:lstStyle/>
                  <a:p>
                    <a:fld id="{1BC814FA-2FBD-42C5-B8E2-B7B0F2871462}"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2246-4FCA-876F-E8A72901AD17}"/>
                </c:ext>
              </c:extLst>
            </c:dLbl>
            <c:dLbl>
              <c:idx val="23"/>
              <c:tx>
                <c:rich>
                  <a:bodyPr/>
                  <a:lstStyle/>
                  <a:p>
                    <a:fld id="{A1820B51-99F0-4835-91EC-1FB41AF7C4D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2246-4FCA-876F-E8A72901AD17}"/>
                </c:ext>
              </c:extLst>
            </c:dLbl>
            <c:dLbl>
              <c:idx val="24"/>
              <c:tx>
                <c:rich>
                  <a:bodyPr/>
                  <a:lstStyle/>
                  <a:p>
                    <a:fld id="{DA5C50ED-3F22-44E6-90BC-E296AEC5FA5C}"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2246-4FCA-876F-E8A72901AD17}"/>
                </c:ext>
              </c:extLst>
            </c:dLbl>
            <c:dLbl>
              <c:idx val="25"/>
              <c:tx>
                <c:rich>
                  <a:bodyPr/>
                  <a:lstStyle/>
                  <a:p>
                    <a:fld id="{7314A7B8-750B-48C7-B0D0-BDF5DA707F3A}"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2246-4FCA-876F-E8A72901AD17}"/>
                </c:ext>
              </c:extLst>
            </c:dLbl>
            <c:dLbl>
              <c:idx val="26"/>
              <c:tx>
                <c:rich>
                  <a:bodyPr/>
                  <a:lstStyle/>
                  <a:p>
                    <a:fld id="{F5329485-4B4D-4EB3-814B-9E356E3AE616}"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2246-4FCA-876F-E8A72901AD17}"/>
                </c:ext>
              </c:extLst>
            </c:dLbl>
            <c:dLbl>
              <c:idx val="27"/>
              <c:tx>
                <c:rich>
                  <a:bodyPr/>
                  <a:lstStyle/>
                  <a:p>
                    <a:fld id="{9CBBF0FE-389B-4724-9B69-D594FE65705E}"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2246-4FCA-876F-E8A72901AD17}"/>
                </c:ext>
              </c:extLst>
            </c:dLbl>
            <c:dLbl>
              <c:idx val="28"/>
              <c:tx>
                <c:rich>
                  <a:bodyPr/>
                  <a:lstStyle/>
                  <a:p>
                    <a:fld id="{DC9121E9-A83A-46FB-96A6-215E95BB6B9B}"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2246-4FCA-876F-E8A72901AD17}"/>
                </c:ext>
              </c:extLst>
            </c:dLbl>
            <c:dLbl>
              <c:idx val="29"/>
              <c:tx>
                <c:rich>
                  <a:bodyPr/>
                  <a:lstStyle/>
                  <a:p>
                    <a:fld id="{1F6C553D-600A-4BB0-941E-49919302296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2246-4FCA-876F-E8A72901AD17}"/>
                </c:ext>
              </c:extLst>
            </c:dLbl>
            <c:dLbl>
              <c:idx val="30"/>
              <c:tx>
                <c:rich>
                  <a:bodyPr/>
                  <a:lstStyle/>
                  <a:p>
                    <a:fld id="{452184C3-5881-41C8-8813-4F9BC520446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2246-4FCA-876F-E8A72901AD17}"/>
                </c:ext>
              </c:extLst>
            </c:dLbl>
            <c:dLbl>
              <c:idx val="31"/>
              <c:tx>
                <c:rich>
                  <a:bodyPr/>
                  <a:lstStyle/>
                  <a:p>
                    <a:fld id="{480CA1B9-2017-4485-87E7-C902E1EA57A0}"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4-2246-4FCA-876F-E8A72901AD17}"/>
                </c:ext>
              </c:extLst>
            </c:dLbl>
            <c:dLbl>
              <c:idx val="32"/>
              <c:tx>
                <c:rich>
                  <a:bodyPr/>
                  <a:lstStyle/>
                  <a:p>
                    <a:fld id="{0069F8FD-14C7-4A82-86B5-4461FC3D9E91}"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5-2246-4FCA-876F-E8A72901AD17}"/>
                </c:ext>
              </c:extLst>
            </c:dLbl>
            <c:dLbl>
              <c:idx val="33"/>
              <c:tx>
                <c:rich>
                  <a:bodyPr/>
                  <a:lstStyle/>
                  <a:p>
                    <a:fld id="{173F76F2-7008-46BB-AEF8-8E6162797FB8}"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2246-4FCA-876F-E8A72901AD17}"/>
                </c:ext>
              </c:extLst>
            </c:dLbl>
            <c:dLbl>
              <c:idx val="34"/>
              <c:tx>
                <c:rich>
                  <a:bodyPr/>
                  <a:lstStyle/>
                  <a:p>
                    <a:fld id="{E6F8EB00-B47C-4CE1-87C0-170969BBF53D}"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2246-4FCA-876F-E8A72901AD17}"/>
                </c:ext>
              </c:extLst>
            </c:dLbl>
            <c:dLbl>
              <c:idx val="35"/>
              <c:tx>
                <c:rich>
                  <a:bodyPr/>
                  <a:lstStyle/>
                  <a:p>
                    <a:fld id="{2451FCD2-962C-48C1-805A-3EAD41530244}"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8-2246-4FCA-876F-E8A72901AD17}"/>
                </c:ext>
              </c:extLst>
            </c:dLbl>
            <c:dLbl>
              <c:idx val="36"/>
              <c:tx>
                <c:rich>
                  <a:bodyPr/>
                  <a:lstStyle/>
                  <a:p>
                    <a:fld id="{47DD486C-02B5-4127-899E-58062CFAD885}"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9-2246-4FCA-876F-E8A72901AD17}"/>
                </c:ext>
              </c:extLst>
            </c:dLbl>
            <c:dLbl>
              <c:idx val="37"/>
              <c:tx>
                <c:rich>
                  <a:bodyPr/>
                  <a:lstStyle/>
                  <a:p>
                    <a:fld id="{4510DADD-B2B4-47C2-98C3-1038C729999F}" type="CELLRANGE">
                      <a:rPr lang="en-AU"/>
                      <a:pPr/>
                      <a:t>[CELLRANGE]</a:t>
                    </a:fld>
                    <a:endParaRPr lang="en-AU"/>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A-2246-4FCA-876F-E8A72901AD1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Sheet1!$I$2:$I$39</c:f>
              <c:numCache>
                <c:formatCode>General</c:formatCode>
                <c:ptCount val="38"/>
                <c:pt idx="0">
                  <c:v>0</c:v>
                </c:pt>
                <c:pt idx="1">
                  <c:v>20</c:v>
                </c:pt>
                <c:pt idx="2">
                  <c:v>20</c:v>
                </c:pt>
                <c:pt idx="3">
                  <c:v>20</c:v>
                </c:pt>
                <c:pt idx="4">
                  <c:v>20</c:v>
                </c:pt>
                <c:pt idx="5">
                  <c:v>20</c:v>
                </c:pt>
                <c:pt idx="6">
                  <c:v>20</c:v>
                </c:pt>
                <c:pt idx="7">
                  <c:v>20</c:v>
                </c:pt>
                <c:pt idx="8">
                  <c:v>20</c:v>
                </c:pt>
                <c:pt idx="9">
                  <c:v>20</c:v>
                </c:pt>
                <c:pt idx="10">
                  <c:v>20</c:v>
                </c:pt>
                <c:pt idx="11">
                  <c:v>20</c:v>
                </c:pt>
                <c:pt idx="12">
                  <c:v>20</c:v>
                </c:pt>
                <c:pt idx="13">
                  <c:v>20</c:v>
                </c:pt>
                <c:pt idx="14">
                  <c:v>20</c:v>
                </c:pt>
                <c:pt idx="15">
                  <c:v>20</c:v>
                </c:pt>
                <c:pt idx="16">
                  <c:v>20</c:v>
                </c:pt>
                <c:pt idx="17">
                  <c:v>20</c:v>
                </c:pt>
                <c:pt idx="18">
                  <c:v>20</c:v>
                </c:pt>
                <c:pt idx="19">
                  <c:v>20</c:v>
                </c:pt>
                <c:pt idx="20">
                  <c:v>20</c:v>
                </c:pt>
                <c:pt idx="21">
                  <c:v>20</c:v>
                </c:pt>
                <c:pt idx="22">
                  <c:v>20</c:v>
                </c:pt>
                <c:pt idx="23">
                  <c:v>20</c:v>
                </c:pt>
                <c:pt idx="24">
                  <c:v>20</c:v>
                </c:pt>
                <c:pt idx="25">
                  <c:v>20</c:v>
                </c:pt>
                <c:pt idx="26">
                  <c:v>20</c:v>
                </c:pt>
                <c:pt idx="27">
                  <c:v>20</c:v>
                </c:pt>
                <c:pt idx="28">
                  <c:v>20</c:v>
                </c:pt>
                <c:pt idx="29">
                  <c:v>20</c:v>
                </c:pt>
                <c:pt idx="30">
                  <c:v>20</c:v>
                </c:pt>
                <c:pt idx="31">
                  <c:v>20</c:v>
                </c:pt>
                <c:pt idx="32">
                  <c:v>20</c:v>
                </c:pt>
                <c:pt idx="33">
                  <c:v>20</c:v>
                </c:pt>
                <c:pt idx="34">
                  <c:v>20</c:v>
                </c:pt>
                <c:pt idx="35">
                  <c:v>20</c:v>
                </c:pt>
                <c:pt idx="36">
                  <c:v>20</c:v>
                </c:pt>
                <c:pt idx="37">
                  <c:v>20</c:v>
                </c:pt>
              </c:numCache>
            </c:numRef>
          </c:xVal>
          <c:yVal>
            <c:numRef>
              <c:f>Sheet1!$G$2:$G$39</c:f>
              <c:numCache>
                <c:formatCode>General</c:formatCode>
                <c:ptCount val="38"/>
                <c:pt idx="1">
                  <c:v>37</c:v>
                </c:pt>
                <c:pt idx="2">
                  <c:v>36</c:v>
                </c:pt>
                <c:pt idx="3">
                  <c:v>35</c:v>
                </c:pt>
                <c:pt idx="4">
                  <c:v>34</c:v>
                </c:pt>
                <c:pt idx="5">
                  <c:v>33</c:v>
                </c:pt>
                <c:pt idx="6">
                  <c:v>32</c:v>
                </c:pt>
                <c:pt idx="7">
                  <c:v>31</c:v>
                </c:pt>
                <c:pt idx="8">
                  <c:v>30</c:v>
                </c:pt>
                <c:pt idx="9">
                  <c:v>29</c:v>
                </c:pt>
                <c:pt idx="10">
                  <c:v>28</c:v>
                </c:pt>
                <c:pt idx="11">
                  <c:v>27</c:v>
                </c:pt>
                <c:pt idx="12">
                  <c:v>26</c:v>
                </c:pt>
                <c:pt idx="13">
                  <c:v>25</c:v>
                </c:pt>
                <c:pt idx="14">
                  <c:v>24</c:v>
                </c:pt>
                <c:pt idx="15">
                  <c:v>23</c:v>
                </c:pt>
                <c:pt idx="16">
                  <c:v>22</c:v>
                </c:pt>
                <c:pt idx="17">
                  <c:v>21</c:v>
                </c:pt>
                <c:pt idx="18">
                  <c:v>20</c:v>
                </c:pt>
                <c:pt idx="19">
                  <c:v>19</c:v>
                </c:pt>
                <c:pt idx="20">
                  <c:v>18</c:v>
                </c:pt>
                <c:pt idx="21">
                  <c:v>17</c:v>
                </c:pt>
                <c:pt idx="22">
                  <c:v>16</c:v>
                </c:pt>
                <c:pt idx="23">
                  <c:v>15</c:v>
                </c:pt>
                <c:pt idx="24">
                  <c:v>14</c:v>
                </c:pt>
                <c:pt idx="25">
                  <c:v>13</c:v>
                </c:pt>
                <c:pt idx="26">
                  <c:v>12</c:v>
                </c:pt>
                <c:pt idx="27">
                  <c:v>11</c:v>
                </c:pt>
                <c:pt idx="28">
                  <c:v>10</c:v>
                </c:pt>
                <c:pt idx="29">
                  <c:v>9</c:v>
                </c:pt>
                <c:pt idx="30">
                  <c:v>8</c:v>
                </c:pt>
                <c:pt idx="31">
                  <c:v>7</c:v>
                </c:pt>
                <c:pt idx="32">
                  <c:v>6</c:v>
                </c:pt>
                <c:pt idx="33">
                  <c:v>5</c:v>
                </c:pt>
                <c:pt idx="34">
                  <c:v>4</c:v>
                </c:pt>
                <c:pt idx="35">
                  <c:v>3</c:v>
                </c:pt>
                <c:pt idx="36">
                  <c:v>2</c:v>
                </c:pt>
                <c:pt idx="37">
                  <c:v>1</c:v>
                </c:pt>
              </c:numCache>
            </c:numRef>
          </c:yVal>
          <c:smooth val="0"/>
          <c:extLst>
            <c:ext xmlns:c15="http://schemas.microsoft.com/office/drawing/2012/chart" uri="{02D57815-91ED-43cb-92C2-25804820EDAC}">
              <c15:datalabelsRange>
                <c15:f>Sheet1!$J$2:$J$39</c15:f>
                <c15:dlblRangeCache>
                  <c:ptCount val="38"/>
                  <c:pt idx="1">
                    <c:v> ----------------------</c:v>
                  </c:pt>
                  <c:pt idx="2">
                    <c:v>0.27 ± 5.78</c:v>
                  </c:pt>
                  <c:pt idx="3">
                    <c:v>0.91 ± 5.83</c:v>
                  </c:pt>
                  <c:pt idx="4">
                    <c:v>2.54 ± 5.82</c:v>
                  </c:pt>
                  <c:pt idx="5">
                    <c:v>1.25 ± 7.09</c:v>
                  </c:pt>
                  <c:pt idx="6">
                    <c:v>-5.51 ± 8.02</c:v>
                  </c:pt>
                  <c:pt idx="7">
                    <c:v>0.07 ± 4.81</c:v>
                  </c:pt>
                  <c:pt idx="8">
                    <c:v> ----------------------</c:v>
                  </c:pt>
                  <c:pt idx="9">
                    <c:v>3.99 ± 14.11</c:v>
                  </c:pt>
                  <c:pt idx="10">
                    <c:v>3.04 ± 7.7</c:v>
                  </c:pt>
                  <c:pt idx="11">
                    <c:v>2.31 ± 7.05</c:v>
                  </c:pt>
                  <c:pt idx="12">
                    <c:v>7.04 ± 8.85</c:v>
                  </c:pt>
                  <c:pt idx="13">
                    <c:v>2.68 ± 5.77</c:v>
                  </c:pt>
                  <c:pt idx="14">
                    <c:v>3.03 ± 5.82</c:v>
                  </c:pt>
                  <c:pt idx="15">
                    <c:v>-0.78 ± 5.63</c:v>
                  </c:pt>
                  <c:pt idx="16">
                    <c:v> ----------------------</c:v>
                  </c:pt>
                  <c:pt idx="17">
                    <c:v>0.04 ± 4.26</c:v>
                  </c:pt>
                  <c:pt idx="18">
                    <c:v>2.01 ± 4.44</c:v>
                  </c:pt>
                  <c:pt idx="19">
                    <c:v>-1.83 ± 6.5</c:v>
                  </c:pt>
                  <c:pt idx="20">
                    <c:v>-0.56 ± 4.55</c:v>
                  </c:pt>
                  <c:pt idx="21">
                    <c:v>-0.95 ± 4.95</c:v>
                  </c:pt>
                  <c:pt idx="22">
                    <c:v>-0.1 ± 5.02</c:v>
                  </c:pt>
                  <c:pt idx="23">
                    <c:v>-0.49 ± 3.58</c:v>
                  </c:pt>
                  <c:pt idx="24">
                    <c:v>-0.49 ± 4.25</c:v>
                  </c:pt>
                  <c:pt idx="25">
                    <c:v> ----------------------</c:v>
                  </c:pt>
                  <c:pt idx="26">
                    <c:v>3.97 ± 5.57</c:v>
                  </c:pt>
                  <c:pt idx="27">
                    <c:v> ----------------------</c:v>
                  </c:pt>
                  <c:pt idx="28">
                    <c:v>0 ± 5.36</c:v>
                  </c:pt>
                  <c:pt idx="29">
                    <c:v>1.02 ± 6.03</c:v>
                  </c:pt>
                  <c:pt idx="30">
                    <c:v>1.46 ± 7.39</c:v>
                  </c:pt>
                  <c:pt idx="31">
                    <c:v>2.26 ± 4.79</c:v>
                  </c:pt>
                  <c:pt idx="32">
                    <c:v>3.11 ± 7.72</c:v>
                  </c:pt>
                  <c:pt idx="33">
                    <c:v>-1.04 ± 4.92</c:v>
                  </c:pt>
                  <c:pt idx="34">
                    <c:v>4.17 ± 5.17</c:v>
                  </c:pt>
                  <c:pt idx="35">
                    <c:v> ----------------------</c:v>
                  </c:pt>
                  <c:pt idx="36">
                    <c:v>0.41 ± 4.06</c:v>
                  </c:pt>
                  <c:pt idx="37">
                    <c:v>0.49 ± 5.01</c:v>
                  </c:pt>
                </c15:dlblRangeCache>
              </c15:datalabelsRange>
            </c:ext>
            <c:ext xmlns:c16="http://schemas.microsoft.com/office/drawing/2014/chart" uri="{C3380CC4-5D6E-409C-BE32-E72D297353CC}">
              <c16:uniqueId val="{0000006B-2246-4FCA-876F-E8A72901AD17}"/>
            </c:ext>
          </c:extLst>
        </c:ser>
        <c:dLbls>
          <c:dLblPos val="r"/>
          <c:showLegendKey val="0"/>
          <c:showVal val="1"/>
          <c:showCatName val="0"/>
          <c:showSerName val="0"/>
          <c:showPercent val="0"/>
          <c:showBubbleSize val="0"/>
        </c:dLbls>
        <c:axId val="848893584"/>
        <c:axId val="848895664"/>
      </c:scatterChart>
      <c:valAx>
        <c:axId val="848893584"/>
        <c:scaling>
          <c:orientation val="minMax"/>
          <c:max val="20"/>
          <c:min val="-20"/>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r>
                  <a:rPr lang="en-AU" sz="800" b="1">
                    <a:solidFill>
                      <a:sysClr val="windowText" lastClr="000000"/>
                    </a:solidFill>
                  </a:rPr>
                  <a:t>Change in number of of providers</a:t>
                </a:r>
              </a:p>
            </c:rich>
          </c:tx>
          <c:layout>
            <c:manualLayout>
              <c:xMode val="edge"/>
              <c:yMode val="edge"/>
              <c:x val="0.34757016818680797"/>
              <c:y val="0.96913580246913578"/>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n-US"/>
            </a:p>
          </c:txPr>
        </c:title>
        <c:numFmt formatCode="&quot;$&quot;#,##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848895664"/>
        <c:crosses val="autoZero"/>
        <c:crossBetween val="midCat"/>
      </c:valAx>
      <c:valAx>
        <c:axId val="848895664"/>
        <c:scaling>
          <c:orientation val="minMax"/>
          <c:max val="38"/>
          <c:min val="0"/>
        </c:scaling>
        <c:delete val="0"/>
        <c:axPos val="l"/>
        <c:numFmt formatCode="General"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8893584"/>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9679050185841"/>
          <c:y val="2.0401166862939791E-2"/>
          <c:w val="0.60222233965720728"/>
          <c:h val="0.89496355477559442"/>
        </c:manualLayout>
      </c:layout>
      <c:barChart>
        <c:barDir val="bar"/>
        <c:grouping val="clustered"/>
        <c:varyColors val="0"/>
        <c:ser>
          <c:idx val="3"/>
          <c:order val="3"/>
          <c:tx>
            <c:strRef>
              <c:f>Sheet1!$E$1</c:f>
              <c:strCache>
                <c:ptCount val="1"/>
                <c:pt idx="0">
                  <c:v>Change</c:v>
                </c:pt>
              </c:strCache>
            </c:strRef>
          </c:tx>
          <c:spPr>
            <a:solidFill>
              <a:schemeClr val="accent4"/>
            </a:solidFill>
            <a:ln>
              <a:noFill/>
            </a:ln>
            <a:effectLst/>
          </c:spPr>
          <c:invertIfNegative val="0"/>
          <c:dPt>
            <c:idx val="1"/>
            <c:invertIfNegative val="0"/>
            <c:bubble3D val="0"/>
            <c:spPr>
              <a:solidFill>
                <a:srgbClr val="822E08"/>
              </a:solidFill>
              <a:ln>
                <a:noFill/>
              </a:ln>
              <a:effectLst/>
            </c:spPr>
            <c:extLst>
              <c:ext xmlns:c16="http://schemas.microsoft.com/office/drawing/2014/chart" uri="{C3380CC4-5D6E-409C-BE32-E72D297353CC}">
                <c16:uniqueId val="{00000001-4C1C-4227-9C48-691B5AEA7681}"/>
              </c:ext>
            </c:extLst>
          </c:dPt>
          <c:dPt>
            <c:idx val="3"/>
            <c:invertIfNegative val="0"/>
            <c:bubble3D val="0"/>
            <c:spPr>
              <a:solidFill>
                <a:schemeClr val="bg2"/>
              </a:solidFill>
              <a:ln>
                <a:noFill/>
              </a:ln>
              <a:effectLst/>
            </c:spPr>
            <c:extLst>
              <c:ext xmlns:c16="http://schemas.microsoft.com/office/drawing/2014/chart" uri="{C3380CC4-5D6E-409C-BE32-E72D297353CC}">
                <c16:uniqueId val="{00000003-4C1C-4227-9C48-691B5AEA7681}"/>
              </c:ext>
            </c:extLst>
          </c:dPt>
          <c:dPt>
            <c:idx val="4"/>
            <c:invertIfNegative val="0"/>
            <c:bubble3D val="0"/>
            <c:spPr>
              <a:solidFill>
                <a:schemeClr val="bg2"/>
              </a:solidFill>
              <a:ln>
                <a:noFill/>
              </a:ln>
              <a:effectLst/>
            </c:spPr>
            <c:extLst>
              <c:ext xmlns:c16="http://schemas.microsoft.com/office/drawing/2014/chart" uri="{C3380CC4-5D6E-409C-BE32-E72D297353CC}">
                <c16:uniqueId val="{00000005-4C1C-4227-9C48-691B5AEA7681}"/>
              </c:ext>
            </c:extLst>
          </c:dPt>
          <c:dPt>
            <c:idx val="5"/>
            <c:invertIfNegative val="0"/>
            <c:bubble3D val="0"/>
            <c:spPr>
              <a:solidFill>
                <a:schemeClr val="bg2"/>
              </a:solidFill>
              <a:ln>
                <a:noFill/>
              </a:ln>
              <a:effectLst/>
            </c:spPr>
            <c:extLst>
              <c:ext xmlns:c16="http://schemas.microsoft.com/office/drawing/2014/chart" uri="{C3380CC4-5D6E-409C-BE32-E72D297353CC}">
                <c16:uniqueId val="{00000007-4C1C-4227-9C48-691B5AEA7681}"/>
              </c:ext>
            </c:extLst>
          </c:dPt>
          <c:dPt>
            <c:idx val="6"/>
            <c:invertIfNegative val="0"/>
            <c:bubble3D val="0"/>
            <c:spPr>
              <a:solidFill>
                <a:schemeClr val="bg2"/>
              </a:solidFill>
              <a:ln>
                <a:noFill/>
              </a:ln>
              <a:effectLst/>
            </c:spPr>
            <c:extLst>
              <c:ext xmlns:c16="http://schemas.microsoft.com/office/drawing/2014/chart" uri="{C3380CC4-5D6E-409C-BE32-E72D297353CC}">
                <c16:uniqueId val="{00000009-4C1C-4227-9C48-691B5AEA7681}"/>
              </c:ext>
            </c:extLst>
          </c:dPt>
          <c:dPt>
            <c:idx val="7"/>
            <c:invertIfNegative val="0"/>
            <c:bubble3D val="0"/>
            <c:spPr>
              <a:solidFill>
                <a:schemeClr val="bg2"/>
              </a:solidFill>
              <a:ln>
                <a:noFill/>
              </a:ln>
              <a:effectLst/>
            </c:spPr>
            <c:extLst>
              <c:ext xmlns:c16="http://schemas.microsoft.com/office/drawing/2014/chart" uri="{C3380CC4-5D6E-409C-BE32-E72D297353CC}">
                <c16:uniqueId val="{0000000B-4C1C-4227-9C48-691B5AEA7681}"/>
              </c:ext>
            </c:extLst>
          </c:dPt>
          <c:dPt>
            <c:idx val="8"/>
            <c:invertIfNegative val="0"/>
            <c:bubble3D val="0"/>
            <c:spPr>
              <a:solidFill>
                <a:schemeClr val="bg2"/>
              </a:solidFill>
              <a:ln>
                <a:noFill/>
              </a:ln>
              <a:effectLst/>
            </c:spPr>
            <c:extLst>
              <c:ext xmlns:c16="http://schemas.microsoft.com/office/drawing/2014/chart" uri="{C3380CC4-5D6E-409C-BE32-E72D297353CC}">
                <c16:uniqueId val="{0000000D-4C1C-4227-9C48-691B5AEA7681}"/>
              </c:ext>
            </c:extLst>
          </c:dPt>
          <c:dPt>
            <c:idx val="18"/>
            <c:invertIfNegative val="0"/>
            <c:bubble3D val="0"/>
            <c:spPr>
              <a:solidFill>
                <a:schemeClr val="accent6"/>
              </a:solidFill>
              <a:ln>
                <a:noFill/>
              </a:ln>
              <a:effectLst/>
            </c:spPr>
            <c:extLst>
              <c:ext xmlns:c16="http://schemas.microsoft.com/office/drawing/2014/chart" uri="{C3380CC4-5D6E-409C-BE32-E72D297353CC}">
                <c16:uniqueId val="{0000000F-4C1C-4227-9C48-691B5AEA7681}"/>
              </c:ext>
            </c:extLst>
          </c:dPt>
          <c:dPt>
            <c:idx val="19"/>
            <c:invertIfNegative val="0"/>
            <c:bubble3D val="0"/>
            <c:spPr>
              <a:solidFill>
                <a:schemeClr val="accent6"/>
              </a:solidFill>
              <a:ln>
                <a:noFill/>
              </a:ln>
              <a:effectLst/>
            </c:spPr>
            <c:extLst>
              <c:ext xmlns:c16="http://schemas.microsoft.com/office/drawing/2014/chart" uri="{C3380CC4-5D6E-409C-BE32-E72D297353CC}">
                <c16:uniqueId val="{00000011-4C1C-4227-9C48-691B5AEA7681}"/>
              </c:ext>
            </c:extLst>
          </c:dPt>
          <c:dPt>
            <c:idx val="20"/>
            <c:invertIfNegative val="0"/>
            <c:bubble3D val="0"/>
            <c:spPr>
              <a:solidFill>
                <a:schemeClr val="accent6"/>
              </a:solidFill>
              <a:ln>
                <a:noFill/>
              </a:ln>
              <a:effectLst/>
            </c:spPr>
            <c:extLst>
              <c:ext xmlns:c16="http://schemas.microsoft.com/office/drawing/2014/chart" uri="{C3380CC4-5D6E-409C-BE32-E72D297353CC}">
                <c16:uniqueId val="{00000013-4C1C-4227-9C48-691B5AEA7681}"/>
              </c:ext>
            </c:extLst>
          </c:dPt>
          <c:dPt>
            <c:idx val="21"/>
            <c:invertIfNegative val="0"/>
            <c:bubble3D val="0"/>
            <c:spPr>
              <a:solidFill>
                <a:schemeClr val="accent6"/>
              </a:solidFill>
              <a:ln>
                <a:noFill/>
              </a:ln>
              <a:effectLst/>
            </c:spPr>
            <c:extLst>
              <c:ext xmlns:c16="http://schemas.microsoft.com/office/drawing/2014/chart" uri="{C3380CC4-5D6E-409C-BE32-E72D297353CC}">
                <c16:uniqueId val="{00000015-4C1C-4227-9C48-691B5AEA7681}"/>
              </c:ext>
            </c:extLst>
          </c:dPt>
          <c:dPt>
            <c:idx val="22"/>
            <c:invertIfNegative val="0"/>
            <c:bubble3D val="0"/>
            <c:spPr>
              <a:solidFill>
                <a:schemeClr val="accent6"/>
              </a:solidFill>
              <a:ln>
                <a:noFill/>
              </a:ln>
              <a:effectLst/>
            </c:spPr>
            <c:extLst>
              <c:ext xmlns:c16="http://schemas.microsoft.com/office/drawing/2014/chart" uri="{C3380CC4-5D6E-409C-BE32-E72D297353CC}">
                <c16:uniqueId val="{00000017-4C1C-4227-9C48-691B5AEA7681}"/>
              </c:ext>
            </c:extLst>
          </c:dPt>
          <c:dPt>
            <c:idx val="23"/>
            <c:invertIfNegative val="0"/>
            <c:bubble3D val="0"/>
            <c:spPr>
              <a:solidFill>
                <a:schemeClr val="accent6"/>
              </a:solidFill>
              <a:ln>
                <a:noFill/>
              </a:ln>
              <a:effectLst/>
            </c:spPr>
            <c:extLst>
              <c:ext xmlns:c16="http://schemas.microsoft.com/office/drawing/2014/chart" uri="{C3380CC4-5D6E-409C-BE32-E72D297353CC}">
                <c16:uniqueId val="{00000019-4C1C-4227-9C48-691B5AEA7681}"/>
              </c:ext>
            </c:extLst>
          </c:dPt>
          <c:dPt>
            <c:idx val="24"/>
            <c:invertIfNegative val="0"/>
            <c:bubble3D val="0"/>
            <c:spPr>
              <a:solidFill>
                <a:schemeClr val="accent6"/>
              </a:solidFill>
              <a:ln>
                <a:noFill/>
              </a:ln>
              <a:effectLst/>
            </c:spPr>
            <c:extLst>
              <c:ext xmlns:c16="http://schemas.microsoft.com/office/drawing/2014/chart" uri="{C3380CC4-5D6E-409C-BE32-E72D297353CC}">
                <c16:uniqueId val="{0000001B-4C1C-4227-9C48-691B5AEA7681}"/>
              </c:ext>
            </c:extLst>
          </c:dPt>
          <c:dPt>
            <c:idx val="25"/>
            <c:invertIfNegative val="0"/>
            <c:bubble3D val="0"/>
            <c:spPr>
              <a:solidFill>
                <a:schemeClr val="accent6"/>
              </a:solidFill>
              <a:ln>
                <a:noFill/>
              </a:ln>
              <a:effectLst/>
            </c:spPr>
            <c:extLst>
              <c:ext xmlns:c16="http://schemas.microsoft.com/office/drawing/2014/chart" uri="{C3380CC4-5D6E-409C-BE32-E72D297353CC}">
                <c16:uniqueId val="{0000001D-4C1C-4227-9C48-691B5AEA7681}"/>
              </c:ext>
            </c:extLst>
          </c:dPt>
          <c:dPt>
            <c:idx val="27"/>
            <c:invertIfNegative val="0"/>
            <c:bubble3D val="0"/>
            <c:spPr>
              <a:solidFill>
                <a:schemeClr val="tx1"/>
              </a:solidFill>
              <a:ln>
                <a:noFill/>
              </a:ln>
              <a:effectLst/>
            </c:spPr>
            <c:extLst>
              <c:ext xmlns:c16="http://schemas.microsoft.com/office/drawing/2014/chart" uri="{C3380CC4-5D6E-409C-BE32-E72D297353CC}">
                <c16:uniqueId val="{0000001F-4C1C-4227-9C48-691B5AEA7681}"/>
              </c:ext>
            </c:extLst>
          </c:dPt>
          <c:dPt>
            <c:idx val="29"/>
            <c:invertIfNegative val="0"/>
            <c:bubble3D val="0"/>
            <c:spPr>
              <a:solidFill>
                <a:schemeClr val="accent5"/>
              </a:solidFill>
              <a:ln>
                <a:noFill/>
              </a:ln>
              <a:effectLst/>
            </c:spPr>
            <c:extLst>
              <c:ext xmlns:c16="http://schemas.microsoft.com/office/drawing/2014/chart" uri="{C3380CC4-5D6E-409C-BE32-E72D297353CC}">
                <c16:uniqueId val="{00000021-4C1C-4227-9C48-691B5AEA7681}"/>
              </c:ext>
            </c:extLst>
          </c:dPt>
          <c:dPt>
            <c:idx val="30"/>
            <c:invertIfNegative val="0"/>
            <c:bubble3D val="0"/>
            <c:spPr>
              <a:solidFill>
                <a:schemeClr val="accent5"/>
              </a:solidFill>
              <a:ln>
                <a:noFill/>
              </a:ln>
              <a:effectLst/>
            </c:spPr>
            <c:extLst>
              <c:ext xmlns:c16="http://schemas.microsoft.com/office/drawing/2014/chart" uri="{C3380CC4-5D6E-409C-BE32-E72D297353CC}">
                <c16:uniqueId val="{00000023-4C1C-4227-9C48-691B5AEA7681}"/>
              </c:ext>
            </c:extLst>
          </c:dPt>
          <c:dPt>
            <c:idx val="31"/>
            <c:invertIfNegative val="0"/>
            <c:bubble3D val="0"/>
            <c:spPr>
              <a:solidFill>
                <a:schemeClr val="accent5"/>
              </a:solidFill>
              <a:ln>
                <a:noFill/>
              </a:ln>
              <a:effectLst/>
            </c:spPr>
            <c:extLst>
              <c:ext xmlns:c16="http://schemas.microsoft.com/office/drawing/2014/chart" uri="{C3380CC4-5D6E-409C-BE32-E72D297353CC}">
                <c16:uniqueId val="{00000025-4C1C-4227-9C48-691B5AEA7681}"/>
              </c:ext>
            </c:extLst>
          </c:dPt>
          <c:dPt>
            <c:idx val="32"/>
            <c:invertIfNegative val="0"/>
            <c:bubble3D val="0"/>
            <c:spPr>
              <a:solidFill>
                <a:schemeClr val="accent5"/>
              </a:solidFill>
              <a:ln>
                <a:noFill/>
              </a:ln>
              <a:effectLst/>
            </c:spPr>
            <c:extLst>
              <c:ext xmlns:c16="http://schemas.microsoft.com/office/drawing/2014/chart" uri="{C3380CC4-5D6E-409C-BE32-E72D297353CC}">
                <c16:uniqueId val="{00000027-4C1C-4227-9C48-691B5AEA7681}"/>
              </c:ext>
            </c:extLst>
          </c:dPt>
          <c:dPt>
            <c:idx val="33"/>
            <c:invertIfNegative val="0"/>
            <c:bubble3D val="0"/>
            <c:spPr>
              <a:solidFill>
                <a:schemeClr val="accent5"/>
              </a:solidFill>
              <a:ln>
                <a:noFill/>
              </a:ln>
              <a:effectLst/>
            </c:spPr>
            <c:extLst>
              <c:ext xmlns:c16="http://schemas.microsoft.com/office/drawing/2014/chart" uri="{C3380CC4-5D6E-409C-BE32-E72D297353CC}">
                <c16:uniqueId val="{00000029-4C1C-4227-9C48-691B5AEA7681}"/>
              </c:ext>
            </c:extLst>
          </c:dPt>
          <c:dPt>
            <c:idx val="34"/>
            <c:invertIfNegative val="0"/>
            <c:bubble3D val="0"/>
            <c:spPr>
              <a:solidFill>
                <a:schemeClr val="accent5"/>
              </a:solidFill>
              <a:ln>
                <a:noFill/>
              </a:ln>
              <a:effectLst/>
            </c:spPr>
            <c:extLst>
              <c:ext xmlns:c16="http://schemas.microsoft.com/office/drawing/2014/chart" uri="{C3380CC4-5D6E-409C-BE32-E72D297353CC}">
                <c16:uniqueId val="{0000002B-4C1C-4227-9C48-691B5AEA7681}"/>
              </c:ext>
            </c:extLst>
          </c:dPt>
          <c:dPt>
            <c:idx val="35"/>
            <c:invertIfNegative val="0"/>
            <c:bubble3D val="0"/>
            <c:spPr>
              <a:solidFill>
                <a:schemeClr val="accent5"/>
              </a:solidFill>
              <a:ln>
                <a:noFill/>
              </a:ln>
              <a:effectLst/>
            </c:spPr>
            <c:extLst>
              <c:ext xmlns:c16="http://schemas.microsoft.com/office/drawing/2014/chart" uri="{C3380CC4-5D6E-409C-BE32-E72D297353CC}">
                <c16:uniqueId val="{0000002D-4C1C-4227-9C48-691B5AEA7681}"/>
              </c:ext>
            </c:extLst>
          </c:dPt>
          <c:dPt>
            <c:idx val="37"/>
            <c:invertIfNegative val="0"/>
            <c:bubble3D val="0"/>
            <c:spPr>
              <a:solidFill>
                <a:schemeClr val="accent2"/>
              </a:solidFill>
              <a:ln>
                <a:noFill/>
              </a:ln>
              <a:effectLst/>
            </c:spPr>
            <c:extLst>
              <c:ext xmlns:c16="http://schemas.microsoft.com/office/drawing/2014/chart" uri="{C3380CC4-5D6E-409C-BE32-E72D297353CC}">
                <c16:uniqueId val="{0000002F-4C1C-4227-9C48-691B5AEA7681}"/>
              </c:ext>
            </c:extLst>
          </c:dPt>
          <c:dPt>
            <c:idx val="38"/>
            <c:invertIfNegative val="0"/>
            <c:bubble3D val="0"/>
            <c:spPr>
              <a:solidFill>
                <a:schemeClr val="accent2"/>
              </a:solidFill>
              <a:ln>
                <a:noFill/>
              </a:ln>
              <a:effectLst/>
            </c:spPr>
            <c:extLst>
              <c:ext xmlns:c16="http://schemas.microsoft.com/office/drawing/2014/chart" uri="{C3380CC4-5D6E-409C-BE32-E72D297353CC}">
                <c16:uniqueId val="{00000031-4C1C-4227-9C48-691B5AEA7681}"/>
              </c:ext>
            </c:extLst>
          </c:dPt>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Sheet1!$A$2:$A$41</c:f>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f>Sheet1!$E$2:$E$41</c:f>
              <c:numCache>
                <c:formatCode>General</c:formatCode>
                <c:ptCount val="40"/>
                <c:pt idx="1">
                  <c:v>0.61</c:v>
                </c:pt>
                <c:pt idx="3">
                  <c:v>0.23</c:v>
                </c:pt>
                <c:pt idx="4">
                  <c:v>0.67</c:v>
                </c:pt>
                <c:pt idx="5">
                  <c:v>-0.18</c:v>
                </c:pt>
                <c:pt idx="6">
                  <c:v>0.32</c:v>
                </c:pt>
                <c:pt idx="7">
                  <c:v>0.98</c:v>
                </c:pt>
                <c:pt idx="8">
                  <c:v>0.26</c:v>
                </c:pt>
                <c:pt idx="10">
                  <c:v>0.96</c:v>
                </c:pt>
                <c:pt idx="11">
                  <c:v>0.01</c:v>
                </c:pt>
                <c:pt idx="12">
                  <c:v>0.85</c:v>
                </c:pt>
                <c:pt idx="13">
                  <c:v>0.42</c:v>
                </c:pt>
                <c:pt idx="14">
                  <c:v>2.0299999999999998</c:v>
                </c:pt>
                <c:pt idx="15">
                  <c:v>1.1399999999999999</c:v>
                </c:pt>
                <c:pt idx="16">
                  <c:v>0.8</c:v>
                </c:pt>
                <c:pt idx="18">
                  <c:v>0.67</c:v>
                </c:pt>
                <c:pt idx="19">
                  <c:v>-0.12</c:v>
                </c:pt>
                <c:pt idx="20">
                  <c:v>0.28999999999999998</c:v>
                </c:pt>
                <c:pt idx="21">
                  <c:v>3.2</c:v>
                </c:pt>
                <c:pt idx="22">
                  <c:v>0.75</c:v>
                </c:pt>
                <c:pt idx="23">
                  <c:v>3</c:v>
                </c:pt>
                <c:pt idx="24">
                  <c:v>1.17</c:v>
                </c:pt>
                <c:pt idx="25">
                  <c:v>4.83</c:v>
                </c:pt>
                <c:pt idx="27">
                  <c:v>0.41</c:v>
                </c:pt>
                <c:pt idx="29">
                  <c:v>0.03</c:v>
                </c:pt>
                <c:pt idx="30">
                  <c:v>0.56999999999999995</c:v>
                </c:pt>
                <c:pt idx="31">
                  <c:v>0.35</c:v>
                </c:pt>
                <c:pt idx="32">
                  <c:v>0.47</c:v>
                </c:pt>
                <c:pt idx="33">
                  <c:v>0.11</c:v>
                </c:pt>
                <c:pt idx="34">
                  <c:v>0.35</c:v>
                </c:pt>
                <c:pt idx="35">
                  <c:v>0.75</c:v>
                </c:pt>
                <c:pt idx="37">
                  <c:v>0.75</c:v>
                </c:pt>
                <c:pt idx="38">
                  <c:v>0.06</c:v>
                </c:pt>
              </c:numCache>
            </c:numRef>
          </c:val>
          <c:extLst>
            <c:ext xmlns:c16="http://schemas.microsoft.com/office/drawing/2014/chart" uri="{C3380CC4-5D6E-409C-BE32-E72D297353CC}">
              <c16:uniqueId val="{00000032-4C1C-4227-9C48-691B5AEA7681}"/>
            </c:ext>
          </c:extLst>
        </c:ser>
        <c:dLbls>
          <c:dLblPos val="outEnd"/>
          <c:showLegendKey val="0"/>
          <c:showVal val="1"/>
          <c:showCatName val="0"/>
          <c:showSerName val="0"/>
          <c:showPercent val="0"/>
          <c:showBubbleSize val="0"/>
        </c:dLbls>
        <c:gapWidth val="50"/>
        <c:axId val="266110400"/>
        <c:axId val="266110816"/>
        <c:extLst>
          <c:ext xmlns:c15="http://schemas.microsoft.com/office/drawing/2012/chart" uri="{02D57815-91ED-43cb-92C2-25804820EDAC}">
            <c15:filteredBarSeries>
              <c15:ser>
                <c:idx val="0"/>
                <c:order val="0"/>
                <c:tx>
                  <c:strRef>
                    <c:extLst>
                      <c:ext uri="{02D57815-91ED-43cb-92C2-25804820EDAC}">
                        <c15:formulaRef>
                          <c15:sqref>Sheet1!$B$1</c15:sqref>
                        </c15:formulaRef>
                      </c:ext>
                    </c:extLst>
                    <c:strCache>
                      <c:ptCount val="1"/>
                      <c:pt idx="0">
                        <c:v>STATE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Sheet1!$A$2:$A$41</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c:ext uri="{02D57815-91ED-43cb-92C2-25804820EDAC}">
                        <c15:formulaRef>
                          <c15:sqref>Sheet1!$B$2:$B$41</c15:sqref>
                        </c15:formulaRef>
                      </c:ext>
                    </c:extLst>
                    <c:numCache>
                      <c:formatCode>General</c:formatCode>
                      <c:ptCount val="40"/>
                      <c:pt idx="3">
                        <c:v>0</c:v>
                      </c:pt>
                      <c:pt idx="4">
                        <c:v>0</c:v>
                      </c:pt>
                      <c:pt idx="5">
                        <c:v>0</c:v>
                      </c:pt>
                      <c:pt idx="6">
                        <c:v>0</c:v>
                      </c:pt>
                      <c:pt idx="7">
                        <c:v>0</c:v>
                      </c:pt>
                      <c:pt idx="8">
                        <c:v>0</c:v>
                      </c:pt>
                      <c:pt idx="10">
                        <c:v>0</c:v>
                      </c:pt>
                      <c:pt idx="11">
                        <c:v>0</c:v>
                      </c:pt>
                      <c:pt idx="12">
                        <c:v>0</c:v>
                      </c:pt>
                      <c:pt idx="13">
                        <c:v>0</c:v>
                      </c:pt>
                      <c:pt idx="14">
                        <c:v>0</c:v>
                      </c:pt>
                      <c:pt idx="15">
                        <c:v>0</c:v>
                      </c:pt>
                      <c:pt idx="16">
                        <c:v>0</c:v>
                      </c:pt>
                      <c:pt idx="18">
                        <c:v>0</c:v>
                      </c:pt>
                      <c:pt idx="19">
                        <c:v>0</c:v>
                      </c:pt>
                      <c:pt idx="20">
                        <c:v>0</c:v>
                      </c:pt>
                      <c:pt idx="21">
                        <c:v>0</c:v>
                      </c:pt>
                      <c:pt idx="22">
                        <c:v>0</c:v>
                      </c:pt>
                      <c:pt idx="23">
                        <c:v>0</c:v>
                      </c:pt>
                      <c:pt idx="24">
                        <c:v>0</c:v>
                      </c:pt>
                      <c:pt idx="25">
                        <c:v>0</c:v>
                      </c:pt>
                      <c:pt idx="27">
                        <c:v>0</c:v>
                      </c:pt>
                      <c:pt idx="29">
                        <c:v>0</c:v>
                      </c:pt>
                      <c:pt idx="30">
                        <c:v>0</c:v>
                      </c:pt>
                      <c:pt idx="31">
                        <c:v>0</c:v>
                      </c:pt>
                      <c:pt idx="32">
                        <c:v>0</c:v>
                      </c:pt>
                      <c:pt idx="33">
                        <c:v>0</c:v>
                      </c:pt>
                      <c:pt idx="34">
                        <c:v>0</c:v>
                      </c:pt>
                      <c:pt idx="35">
                        <c:v>0</c:v>
                      </c:pt>
                      <c:pt idx="37">
                        <c:v>0</c:v>
                      </c:pt>
                      <c:pt idx="38">
                        <c:v>0</c:v>
                      </c:pt>
                    </c:numCache>
                  </c:numRef>
                </c:val>
                <c:extLst>
                  <c:ext xmlns:c16="http://schemas.microsoft.com/office/drawing/2014/chart" uri="{C3380CC4-5D6E-409C-BE32-E72D297353CC}">
                    <c16:uniqueId val="{00000033-4C1C-4227-9C48-691B5AEA7681}"/>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Sheet1!$C$1</c15:sqref>
                        </c15:formulaRef>
                      </c:ext>
                    </c:extLst>
                    <c:strCache>
                      <c:ptCount val="1"/>
                      <c:pt idx="0">
                        <c:v>After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Sheet1!$A$2:$A$41</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xmlns:c15="http://schemas.microsoft.com/office/drawing/2012/chart">
                      <c:ext xmlns:c15="http://schemas.microsoft.com/office/drawing/2012/chart" uri="{02D57815-91ED-43cb-92C2-25804820EDAC}">
                        <c15:formulaRef>
                          <c15:sqref>Sheet1!$C$2:$C$41</c15:sqref>
                        </c15:formulaRef>
                      </c:ext>
                    </c:extLst>
                    <c:numCache>
                      <c:formatCode>General</c:formatCode>
                      <c:ptCount val="40"/>
                      <c:pt idx="1">
                        <c:v>3.25</c:v>
                      </c:pt>
                      <c:pt idx="3">
                        <c:v>2.71</c:v>
                      </c:pt>
                      <c:pt idx="4">
                        <c:v>2.2999999999999998</c:v>
                      </c:pt>
                      <c:pt idx="5">
                        <c:v>1.1100000000000001</c:v>
                      </c:pt>
                      <c:pt idx="6">
                        <c:v>2.72</c:v>
                      </c:pt>
                      <c:pt idx="7">
                        <c:v>3.11</c:v>
                      </c:pt>
                      <c:pt idx="8">
                        <c:v>3.18</c:v>
                      </c:pt>
                      <c:pt idx="10">
                        <c:v>4.8499999999999996</c:v>
                      </c:pt>
                      <c:pt idx="11">
                        <c:v>3.29</c:v>
                      </c:pt>
                      <c:pt idx="12">
                        <c:v>1.94</c:v>
                      </c:pt>
                      <c:pt idx="13">
                        <c:v>1.56</c:v>
                      </c:pt>
                      <c:pt idx="14">
                        <c:v>5.92</c:v>
                      </c:pt>
                      <c:pt idx="15">
                        <c:v>4.4400000000000004</c:v>
                      </c:pt>
                      <c:pt idx="16">
                        <c:v>4.8</c:v>
                      </c:pt>
                      <c:pt idx="18">
                        <c:v>5.67</c:v>
                      </c:pt>
                      <c:pt idx="19">
                        <c:v>4.88</c:v>
                      </c:pt>
                      <c:pt idx="20">
                        <c:v>1.89</c:v>
                      </c:pt>
                      <c:pt idx="21">
                        <c:v>7.2</c:v>
                      </c:pt>
                      <c:pt idx="22">
                        <c:v>3.75</c:v>
                      </c:pt>
                      <c:pt idx="23">
                        <c:v>5.33</c:v>
                      </c:pt>
                      <c:pt idx="24">
                        <c:v>2.5</c:v>
                      </c:pt>
                      <c:pt idx="25">
                        <c:v>7.33</c:v>
                      </c:pt>
                      <c:pt idx="27">
                        <c:v>2.56</c:v>
                      </c:pt>
                      <c:pt idx="29">
                        <c:v>1.43</c:v>
                      </c:pt>
                      <c:pt idx="30">
                        <c:v>1.57</c:v>
                      </c:pt>
                      <c:pt idx="31">
                        <c:v>1.75</c:v>
                      </c:pt>
                      <c:pt idx="32">
                        <c:v>1.67</c:v>
                      </c:pt>
                      <c:pt idx="33">
                        <c:v>1.55</c:v>
                      </c:pt>
                      <c:pt idx="34">
                        <c:v>1.6</c:v>
                      </c:pt>
                      <c:pt idx="35">
                        <c:v>1.75</c:v>
                      </c:pt>
                      <c:pt idx="37">
                        <c:v>4.75</c:v>
                      </c:pt>
                      <c:pt idx="38">
                        <c:v>4.8899999999999997</c:v>
                      </c:pt>
                    </c:numCache>
                  </c:numRef>
                </c:val>
                <c:extLst xmlns:c15="http://schemas.microsoft.com/office/drawing/2012/chart">
                  <c:ext xmlns:c16="http://schemas.microsoft.com/office/drawing/2014/chart" uri="{C3380CC4-5D6E-409C-BE32-E72D297353CC}">
                    <c16:uniqueId val="{00000034-4C1C-4227-9C48-691B5AEA7681}"/>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Before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Sheet1!$A$2:$A$41</c15:sqref>
                        </c15:formulaRef>
                      </c:ext>
                    </c:extLst>
                    <c:strCache>
                      <c:ptCount val="39"/>
                      <c:pt idx="1">
                        <c:v>Total</c:v>
                      </c:pt>
                      <c:pt idx="2">
                        <c:v>NSW -----------------------------------------</c:v>
                      </c:pt>
                      <c:pt idx="3">
                        <c:v>Bland</c:v>
                      </c:pt>
                      <c:pt idx="4">
                        <c:v>Bourke</c:v>
                      </c:pt>
                      <c:pt idx="5">
                        <c:v>Brewarrina</c:v>
                      </c:pt>
                      <c:pt idx="6">
                        <c:v>Junee</c:v>
                      </c:pt>
                      <c:pt idx="7">
                        <c:v>Walgett</c:v>
                      </c:pt>
                      <c:pt idx="8">
                        <c:v>Wentworth</c:v>
                      </c:pt>
                      <c:pt idx="9">
                        <c:v>NT  -----------------------------------------</c:v>
                      </c:pt>
                      <c:pt idx="10">
                        <c:v>Alice Springs</c:v>
                      </c:pt>
                      <c:pt idx="11">
                        <c:v>Barkly</c:v>
                      </c:pt>
                      <c:pt idx="12">
                        <c:v>Central Desert</c:v>
                      </c:pt>
                      <c:pt idx="13">
                        <c:v>MacDonnell</c:v>
                      </c:pt>
                      <c:pt idx="14">
                        <c:v>Tiwi Islands</c:v>
                      </c:pt>
                      <c:pt idx="15">
                        <c:v>West Arnhem</c:v>
                      </c:pt>
                      <c:pt idx="16">
                        <c:v>West Daly</c:v>
                      </c:pt>
                      <c:pt idx="17">
                        <c:v>QLD  -----------------------------------------</c:v>
                      </c:pt>
                      <c:pt idx="18">
                        <c:v>Aurukun</c:v>
                      </c:pt>
                      <c:pt idx="19">
                        <c:v>Carpentaria</c:v>
                      </c:pt>
                      <c:pt idx="20">
                        <c:v>Cloncurry</c:v>
                      </c:pt>
                      <c:pt idx="21">
                        <c:v>Doomadgee</c:v>
                      </c:pt>
                      <c:pt idx="22">
                        <c:v>Goondiwindi</c:v>
                      </c:pt>
                      <c:pt idx="23">
                        <c:v>Mornington</c:v>
                      </c:pt>
                      <c:pt idx="24">
                        <c:v>Palm Island</c:v>
                      </c:pt>
                      <c:pt idx="25">
                        <c:v>Woorabinda</c:v>
                      </c:pt>
                      <c:pt idx="26">
                        <c:v>SA  -----------------------------------------</c:v>
                      </c:pt>
                      <c:pt idx="27">
                        <c:v>Berri and Barmera</c:v>
                      </c:pt>
                      <c:pt idx="28">
                        <c:v>VIC  -----------------------------------------</c:v>
                      </c:pt>
                      <c:pt idx="29">
                        <c:v>Ararat</c:v>
                      </c:pt>
                      <c:pt idx="30">
                        <c:v>Bass Coast</c:v>
                      </c:pt>
                      <c:pt idx="31">
                        <c:v>Baw Baw</c:v>
                      </c:pt>
                      <c:pt idx="32">
                        <c:v>East Gippsland</c:v>
                      </c:pt>
                      <c:pt idx="33">
                        <c:v>Latrobe</c:v>
                      </c:pt>
                      <c:pt idx="34">
                        <c:v>South Gippsland</c:v>
                      </c:pt>
                      <c:pt idx="35">
                        <c:v>Wellington</c:v>
                      </c:pt>
                      <c:pt idx="36">
                        <c:v>WA -----------------------------------------</c:v>
                      </c:pt>
                      <c:pt idx="37">
                        <c:v>Halls Creek</c:v>
                      </c:pt>
                      <c:pt idx="38">
                        <c:v>Wyndham-East Kimberley</c:v>
                      </c:pt>
                    </c:strCache>
                  </c:strRef>
                </c:cat>
                <c:val>
                  <c:numRef>
                    <c:extLst xmlns:c15="http://schemas.microsoft.com/office/drawing/2012/chart">
                      <c:ext xmlns:c15="http://schemas.microsoft.com/office/drawing/2012/chart" uri="{02D57815-91ED-43cb-92C2-25804820EDAC}">
                        <c15:formulaRef>
                          <c15:sqref>Sheet1!$D$2:$D$41</c15:sqref>
                        </c15:formulaRef>
                      </c:ext>
                    </c:extLst>
                    <c:numCache>
                      <c:formatCode>General</c:formatCode>
                      <c:ptCount val="40"/>
                      <c:pt idx="1">
                        <c:v>2.64</c:v>
                      </c:pt>
                      <c:pt idx="3">
                        <c:v>2.48</c:v>
                      </c:pt>
                      <c:pt idx="4">
                        <c:v>1.63</c:v>
                      </c:pt>
                      <c:pt idx="5">
                        <c:v>1.29</c:v>
                      </c:pt>
                      <c:pt idx="6">
                        <c:v>2.4</c:v>
                      </c:pt>
                      <c:pt idx="7">
                        <c:v>2.13</c:v>
                      </c:pt>
                      <c:pt idx="8">
                        <c:v>2.92</c:v>
                      </c:pt>
                      <c:pt idx="10">
                        <c:v>3.89</c:v>
                      </c:pt>
                      <c:pt idx="11">
                        <c:v>3.28</c:v>
                      </c:pt>
                      <c:pt idx="12">
                        <c:v>1.0900000000000001</c:v>
                      </c:pt>
                      <c:pt idx="13">
                        <c:v>1.1399999999999999</c:v>
                      </c:pt>
                      <c:pt idx="14">
                        <c:v>3.89</c:v>
                      </c:pt>
                      <c:pt idx="15">
                        <c:v>3.3</c:v>
                      </c:pt>
                      <c:pt idx="16">
                        <c:v>4</c:v>
                      </c:pt>
                      <c:pt idx="18">
                        <c:v>5</c:v>
                      </c:pt>
                      <c:pt idx="19">
                        <c:v>5</c:v>
                      </c:pt>
                      <c:pt idx="20">
                        <c:v>1.6</c:v>
                      </c:pt>
                      <c:pt idx="21">
                        <c:v>4</c:v>
                      </c:pt>
                      <c:pt idx="22">
                        <c:v>3</c:v>
                      </c:pt>
                      <c:pt idx="23">
                        <c:v>2.33</c:v>
                      </c:pt>
                      <c:pt idx="24">
                        <c:v>1.33</c:v>
                      </c:pt>
                      <c:pt idx="25">
                        <c:v>2.5</c:v>
                      </c:pt>
                      <c:pt idx="27">
                        <c:v>2.15</c:v>
                      </c:pt>
                      <c:pt idx="29">
                        <c:v>1.4</c:v>
                      </c:pt>
                      <c:pt idx="30">
                        <c:v>1</c:v>
                      </c:pt>
                      <c:pt idx="31">
                        <c:v>1.4</c:v>
                      </c:pt>
                      <c:pt idx="32">
                        <c:v>1.2</c:v>
                      </c:pt>
                      <c:pt idx="33">
                        <c:v>1.44</c:v>
                      </c:pt>
                      <c:pt idx="34">
                        <c:v>1.25</c:v>
                      </c:pt>
                      <c:pt idx="35">
                        <c:v>1</c:v>
                      </c:pt>
                      <c:pt idx="37">
                        <c:v>4</c:v>
                      </c:pt>
                      <c:pt idx="38">
                        <c:v>4.83</c:v>
                      </c:pt>
                    </c:numCache>
                  </c:numRef>
                </c:val>
                <c:extLst xmlns:c15="http://schemas.microsoft.com/office/drawing/2012/chart">
                  <c:ext xmlns:c16="http://schemas.microsoft.com/office/drawing/2014/chart" uri="{C3380CC4-5D6E-409C-BE32-E72D297353CC}">
                    <c16:uniqueId val="{00000035-4C1C-4227-9C48-691B5AEA7681}"/>
                  </c:ext>
                </c:extLst>
              </c15:ser>
            </c15:filteredBarSeries>
          </c:ext>
        </c:extLst>
      </c:barChart>
      <c:catAx>
        <c:axId val="266110400"/>
        <c:scaling>
          <c:orientation val="maxMin"/>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6110816"/>
        <c:crosses val="autoZero"/>
        <c:auto val="1"/>
        <c:lblAlgn val="ctr"/>
        <c:lblOffset val="100"/>
        <c:noMultiLvlLbl val="0"/>
      </c:catAx>
      <c:valAx>
        <c:axId val="266110816"/>
        <c:scaling>
          <c:orientation val="minMax"/>
        </c:scaling>
        <c:delete val="0"/>
        <c:axPos val="t"/>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sz="900" b="1" i="0" baseline="0">
                    <a:solidFill>
                      <a:schemeClr val="tx1"/>
                    </a:solidFill>
                    <a:effectLst/>
                  </a:rPr>
                  <a:t>Change in monthly average Participant/Provider ratio </a:t>
                </a:r>
                <a:r>
                  <a:rPr lang="en-AU" sz="800" b="1" i="0" baseline="0">
                    <a:solidFill>
                      <a:schemeClr val="tx1"/>
                    </a:solidFill>
                    <a:effectLst/>
                  </a:rPr>
                  <a:t>(10 months before MF trial versus 10 months after)</a:t>
                </a:r>
                <a:endParaRPr lang="en-AU" sz="900" b="1" i="0" baseline="0">
                  <a:solidFill>
                    <a:schemeClr val="tx1"/>
                  </a:solidFill>
                  <a:effectLst/>
                </a:endParaRPr>
              </a:p>
            </c:rich>
          </c:tx>
          <c:layout>
            <c:manualLayout>
              <c:xMode val="edge"/>
              <c:yMode val="edge"/>
              <c:x val="0.22861741495696597"/>
              <c:y val="0.951043604050423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66110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EFBC8E8B-7030-423B-AF9A-808FD57FA83A}">
    <t:Anchor>
      <t:Comment id="1029952017"/>
    </t:Anchor>
    <t:History>
      <t:Event id="{4BF79C47-EB25-4E1D-A88A-2DE39B2E9A2C}" time="2022-12-05T21:12:16.822Z">
        <t:Attribution userId="S::will.rogers2@ndis.gov.au::880bfb38-9154-49de-97cb-ac8e11f7e6f8" userProvider="AD" userName="Rogers, Will"/>
        <t:Anchor>
          <t:Comment id="469660975"/>
        </t:Anchor>
        <t:Create/>
      </t:Event>
      <t:Event id="{24F601B6-2756-4CE4-820A-A8245189C834}" time="2022-12-05T21:12:16.822Z">
        <t:Attribution userId="S::will.rogers2@ndis.gov.au::880bfb38-9154-49de-97cb-ac8e11f7e6f8" userProvider="AD" userName="Rogers, Will"/>
        <t:Anchor>
          <t:Comment id="469660975"/>
        </t:Anchor>
        <t:Assign userId="S::Kitsa.Papadopoulos@ndis.gov.au::96321d4f-04d0-4c13-88d1-d227a8f06832" userProvider="AD" userName="Papadopoulos, Kitsa"/>
      </t:Event>
      <t:Event id="{B7D25922-D69C-452D-8D30-5C93879A9F04}" time="2022-12-05T21:12:16.822Z">
        <t:Attribution userId="S::will.rogers2@ndis.gov.au::880bfb38-9154-49de-97cb-ac8e11f7e6f8" userProvider="AD" userName="Rogers, Will"/>
        <t:Anchor>
          <t:Comment id="469660975"/>
        </t:Anchor>
        <t:SetTitle title="@Papadopoulos, Kitsa will get the team to follow up."/>
      </t:Event>
      <t:Event id="{1C49B494-EE65-4AFE-9754-E45DD319FA8D}" time="2022-12-05T21:14:19.408Z">
        <t:Attribution userId="S::will.rogers2@ndis.gov.au::880bfb38-9154-49de-97cb-ac8e11f7e6f8" userProvider="AD" userName="Rogers, Will"/>
        <t:Anchor>
          <t:Comment id="519932659"/>
        </t:Anchor>
        <t:UnassignAll/>
      </t:Event>
      <t:Event id="{0FA1931D-2C87-4939-9DEC-C8D80F8999A5}" time="2022-12-05T21:14:19.408Z">
        <t:Attribution userId="S::will.rogers2@ndis.gov.au::880bfb38-9154-49de-97cb-ac8e11f7e6f8" userProvider="AD" userName="Rogers, Will"/>
        <t:Anchor>
          <t:Comment id="519932659"/>
        </t:Anchor>
        <t:Assign userId="S::Anne.Harden2@ndis.gov.au::3dc676fc-f502-4472-b9a3-dfd69b5a071d" userProvider="AD" userName="Harden, Anne"/>
      </t:Event>
    </t:History>
  </t:Task>
</t:Tasks>
</file>

<file path=word/drawings/drawing1.xml><?xml version="1.0" encoding="utf-8"?>
<c:userShapes xmlns:c="http://schemas.openxmlformats.org/drawingml/2006/chart">
  <cdr:relSizeAnchor xmlns:cdr="http://schemas.openxmlformats.org/drawingml/2006/chartDrawing">
    <cdr:from>
      <cdr:x>0.69907</cdr:x>
      <cdr:y>0.04072</cdr:y>
    </cdr:from>
    <cdr:to>
      <cdr:x>0.94833</cdr:x>
      <cdr:y>0.09935</cdr:y>
    </cdr:to>
    <cdr:sp macro="" textlink="">
      <cdr:nvSpPr>
        <cdr:cNvPr id="2" name="TextBox 1">
          <a:extLst xmlns:a="http://schemas.openxmlformats.org/drawingml/2006/main">
            <a:ext uri="{FF2B5EF4-FFF2-40B4-BE49-F238E27FC236}">
              <a16:creationId xmlns:a16="http://schemas.microsoft.com/office/drawing/2014/main" id="{FA4771FD-E552-BC24-3E2E-153BB4E80157}"/>
            </a:ext>
          </a:extLst>
        </cdr:cNvPr>
        <cdr:cNvSpPr txBox="1"/>
      </cdr:nvSpPr>
      <cdr:spPr>
        <a:xfrm xmlns:a="http://schemas.openxmlformats.org/drawingml/2006/main">
          <a:off x="3835400" y="158751"/>
          <a:ext cx="13675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Arial" panose="020B0604020202020204" pitchFamily="34" charset="0"/>
              <a:cs typeface="Arial" panose="020B0604020202020204" pitchFamily="34" charset="0"/>
            </a:rPr>
            <a:t>DC trial start month</a:t>
          </a:r>
        </a:p>
      </cdr:txBody>
    </cdr:sp>
  </cdr:relSizeAnchor>
</c:userShapes>
</file>

<file path=word/drawings/drawing2.xml><?xml version="1.0" encoding="utf-8"?>
<c:userShapes xmlns:c="http://schemas.openxmlformats.org/drawingml/2006/chart">
  <cdr:relSizeAnchor xmlns:cdr="http://schemas.openxmlformats.org/drawingml/2006/chartDrawing">
    <cdr:from>
      <cdr:x>0.64351</cdr:x>
      <cdr:y>0.03828</cdr:y>
    </cdr:from>
    <cdr:to>
      <cdr:x>0.89277</cdr:x>
      <cdr:y>0.09691</cdr:y>
    </cdr:to>
    <cdr:sp macro="" textlink="">
      <cdr:nvSpPr>
        <cdr:cNvPr id="2" name="TextBox 1">
          <a:extLst xmlns:a="http://schemas.openxmlformats.org/drawingml/2006/main">
            <a:ext uri="{FF2B5EF4-FFF2-40B4-BE49-F238E27FC236}">
              <a16:creationId xmlns:a16="http://schemas.microsoft.com/office/drawing/2014/main" id="{FA4771FD-E552-BC24-3E2E-153BB4E80157}"/>
            </a:ext>
          </a:extLst>
        </cdr:cNvPr>
        <cdr:cNvSpPr txBox="1"/>
      </cdr:nvSpPr>
      <cdr:spPr>
        <a:xfrm xmlns:a="http://schemas.openxmlformats.org/drawingml/2006/main">
          <a:off x="3530578" y="149238"/>
          <a:ext cx="1367540" cy="22859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Arial" panose="020B0604020202020204" pitchFamily="34" charset="0"/>
              <a:cs typeface="Arial" panose="020B0604020202020204" pitchFamily="34" charset="0"/>
            </a:rPr>
            <a:t>DC trial start month</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9CFCDDB8C04B72AC9EDE773C33D8A5"/>
        <w:category>
          <w:name w:val="General"/>
          <w:gallery w:val="placeholder"/>
        </w:category>
        <w:types>
          <w:type w:val="bbPlcHdr"/>
        </w:types>
        <w:behaviors>
          <w:behavior w:val="content"/>
        </w:behaviors>
        <w:guid w:val="{D1F97E63-05AD-469C-B511-EE336AAF03EB}"/>
      </w:docPartPr>
      <w:docPartBody>
        <w:p w:rsidR="00BA7954" w:rsidRDefault="004F3A8D">
          <w:r w:rsidRPr="000549C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8D"/>
    <w:rsid w:val="00133154"/>
    <w:rsid w:val="00297390"/>
    <w:rsid w:val="003C622D"/>
    <w:rsid w:val="004F3A8D"/>
    <w:rsid w:val="00707653"/>
    <w:rsid w:val="007459A5"/>
    <w:rsid w:val="00796750"/>
    <w:rsid w:val="00797F16"/>
    <w:rsid w:val="008B2630"/>
    <w:rsid w:val="009616D3"/>
    <w:rsid w:val="009E7425"/>
    <w:rsid w:val="00BA7954"/>
    <w:rsid w:val="00E02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A8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8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word/theme/themeOverride1.xml><?xml version="1.0" encoding="utf-8"?>
<a:themeOverride xmlns:a="http://schemas.openxmlformats.org/drawingml/2006/main">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57d489c-2233-4860-b453-ef63b0d9fdf7">
      <UserInfo>
        <DisplayName>SharingLinks.71c81c9d-72c7-559d-b4e8-f0872ad8d4e3.OrganizationView.68ec5eb2-e8a6-4bc2-b8f9-77582c4bdc3c</DisplayName>
        <AccountId>98</AccountId>
        <AccountType/>
      </UserInfo>
      <UserInfo>
        <DisplayName>SharingLinks.4cc4c173-86e2-53a1-a7d9-fe778cad6695.OrganizationView.8d933b35-f501-479a-9284-82fec44f0a77</DisplayName>
        <AccountId>83</AccountId>
        <AccountType/>
      </UserInfo>
      <UserInfo>
        <DisplayName>Mahar, Nicole</DisplayName>
        <AccountId>37</AccountId>
        <AccountType/>
      </UserInfo>
      <UserInfo>
        <DisplayName>Papadopoulos, Kitsa</DisplayName>
        <AccountId>46</AccountId>
        <AccountType/>
      </UserInfo>
      <UserInfo>
        <DisplayName>Rosser, Mark</DisplayName>
        <AccountId>20</AccountId>
        <AccountType/>
      </UserInfo>
    </SharedWithUsers>
  </documentManagement>
</p:properties>
</file>

<file path=customXml/itemProps1.xml><?xml version="1.0" encoding="utf-8"?>
<ds:datastoreItem xmlns:ds="http://schemas.openxmlformats.org/officeDocument/2006/customXml" ds:itemID="{C75837C5-6B07-4EE0-90B2-0C010D69B7F2}">
  <ds:schemaRefs>
    <ds:schemaRef ds:uri="http://schemas.openxmlformats.org/officeDocument/2006/bibliography"/>
  </ds:schemaRefs>
</ds:datastoreItem>
</file>

<file path=customXml/itemProps2.xml><?xml version="1.0" encoding="utf-8"?>
<ds:datastoreItem xmlns:ds="http://schemas.openxmlformats.org/officeDocument/2006/customXml" ds:itemID="{64B0F210-BC9B-4EA5-BF3D-EC806B5BF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e57d489c-2233-4860-b453-ef63b0d9fdf7"/>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97</Pages>
  <Words>27223</Words>
  <Characters>155172</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182031</CharactersWithSpaces>
  <SharedDoc>false</SharedDoc>
  <HLinks>
    <vt:vector size="288" baseType="variant">
      <vt:variant>
        <vt:i4>1114162</vt:i4>
      </vt:variant>
      <vt:variant>
        <vt:i4>260</vt:i4>
      </vt:variant>
      <vt:variant>
        <vt:i4>0</vt:i4>
      </vt:variant>
      <vt:variant>
        <vt:i4>5</vt:i4>
      </vt:variant>
      <vt:variant>
        <vt:lpwstr/>
      </vt:variant>
      <vt:variant>
        <vt:lpwstr>_Toc122614068</vt:lpwstr>
      </vt:variant>
      <vt:variant>
        <vt:i4>1114162</vt:i4>
      </vt:variant>
      <vt:variant>
        <vt:i4>254</vt:i4>
      </vt:variant>
      <vt:variant>
        <vt:i4>0</vt:i4>
      </vt:variant>
      <vt:variant>
        <vt:i4>5</vt:i4>
      </vt:variant>
      <vt:variant>
        <vt:lpwstr/>
      </vt:variant>
      <vt:variant>
        <vt:lpwstr>_Toc122614067</vt:lpwstr>
      </vt:variant>
      <vt:variant>
        <vt:i4>1114162</vt:i4>
      </vt:variant>
      <vt:variant>
        <vt:i4>248</vt:i4>
      </vt:variant>
      <vt:variant>
        <vt:i4>0</vt:i4>
      </vt:variant>
      <vt:variant>
        <vt:i4>5</vt:i4>
      </vt:variant>
      <vt:variant>
        <vt:lpwstr/>
      </vt:variant>
      <vt:variant>
        <vt:lpwstr>_Toc122614066</vt:lpwstr>
      </vt:variant>
      <vt:variant>
        <vt:i4>1114162</vt:i4>
      </vt:variant>
      <vt:variant>
        <vt:i4>242</vt:i4>
      </vt:variant>
      <vt:variant>
        <vt:i4>0</vt:i4>
      </vt:variant>
      <vt:variant>
        <vt:i4>5</vt:i4>
      </vt:variant>
      <vt:variant>
        <vt:lpwstr/>
      </vt:variant>
      <vt:variant>
        <vt:lpwstr>_Toc122614065</vt:lpwstr>
      </vt:variant>
      <vt:variant>
        <vt:i4>1114162</vt:i4>
      </vt:variant>
      <vt:variant>
        <vt:i4>236</vt:i4>
      </vt:variant>
      <vt:variant>
        <vt:i4>0</vt:i4>
      </vt:variant>
      <vt:variant>
        <vt:i4>5</vt:i4>
      </vt:variant>
      <vt:variant>
        <vt:lpwstr/>
      </vt:variant>
      <vt:variant>
        <vt:lpwstr>_Toc122614064</vt:lpwstr>
      </vt:variant>
      <vt:variant>
        <vt:i4>1114162</vt:i4>
      </vt:variant>
      <vt:variant>
        <vt:i4>230</vt:i4>
      </vt:variant>
      <vt:variant>
        <vt:i4>0</vt:i4>
      </vt:variant>
      <vt:variant>
        <vt:i4>5</vt:i4>
      </vt:variant>
      <vt:variant>
        <vt:lpwstr/>
      </vt:variant>
      <vt:variant>
        <vt:lpwstr>_Toc122614063</vt:lpwstr>
      </vt:variant>
      <vt:variant>
        <vt:i4>1114162</vt:i4>
      </vt:variant>
      <vt:variant>
        <vt:i4>224</vt:i4>
      </vt:variant>
      <vt:variant>
        <vt:i4>0</vt:i4>
      </vt:variant>
      <vt:variant>
        <vt:i4>5</vt:i4>
      </vt:variant>
      <vt:variant>
        <vt:lpwstr/>
      </vt:variant>
      <vt:variant>
        <vt:lpwstr>_Toc122614062</vt:lpwstr>
      </vt:variant>
      <vt:variant>
        <vt:i4>1114162</vt:i4>
      </vt:variant>
      <vt:variant>
        <vt:i4>218</vt:i4>
      </vt:variant>
      <vt:variant>
        <vt:i4>0</vt:i4>
      </vt:variant>
      <vt:variant>
        <vt:i4>5</vt:i4>
      </vt:variant>
      <vt:variant>
        <vt:lpwstr/>
      </vt:variant>
      <vt:variant>
        <vt:lpwstr>_Toc122614061</vt:lpwstr>
      </vt:variant>
      <vt:variant>
        <vt:i4>1114162</vt:i4>
      </vt:variant>
      <vt:variant>
        <vt:i4>212</vt:i4>
      </vt:variant>
      <vt:variant>
        <vt:i4>0</vt:i4>
      </vt:variant>
      <vt:variant>
        <vt:i4>5</vt:i4>
      </vt:variant>
      <vt:variant>
        <vt:lpwstr/>
      </vt:variant>
      <vt:variant>
        <vt:lpwstr>_Toc122614060</vt:lpwstr>
      </vt:variant>
      <vt:variant>
        <vt:i4>1179698</vt:i4>
      </vt:variant>
      <vt:variant>
        <vt:i4>206</vt:i4>
      </vt:variant>
      <vt:variant>
        <vt:i4>0</vt:i4>
      </vt:variant>
      <vt:variant>
        <vt:i4>5</vt:i4>
      </vt:variant>
      <vt:variant>
        <vt:lpwstr/>
      </vt:variant>
      <vt:variant>
        <vt:lpwstr>_Toc122614059</vt:lpwstr>
      </vt:variant>
      <vt:variant>
        <vt:i4>1179698</vt:i4>
      </vt:variant>
      <vt:variant>
        <vt:i4>200</vt:i4>
      </vt:variant>
      <vt:variant>
        <vt:i4>0</vt:i4>
      </vt:variant>
      <vt:variant>
        <vt:i4>5</vt:i4>
      </vt:variant>
      <vt:variant>
        <vt:lpwstr/>
      </vt:variant>
      <vt:variant>
        <vt:lpwstr>_Toc122614058</vt:lpwstr>
      </vt:variant>
      <vt:variant>
        <vt:i4>1179698</vt:i4>
      </vt:variant>
      <vt:variant>
        <vt:i4>194</vt:i4>
      </vt:variant>
      <vt:variant>
        <vt:i4>0</vt:i4>
      </vt:variant>
      <vt:variant>
        <vt:i4>5</vt:i4>
      </vt:variant>
      <vt:variant>
        <vt:lpwstr/>
      </vt:variant>
      <vt:variant>
        <vt:lpwstr>_Toc122614057</vt:lpwstr>
      </vt:variant>
      <vt:variant>
        <vt:i4>1179698</vt:i4>
      </vt:variant>
      <vt:variant>
        <vt:i4>188</vt:i4>
      </vt:variant>
      <vt:variant>
        <vt:i4>0</vt:i4>
      </vt:variant>
      <vt:variant>
        <vt:i4>5</vt:i4>
      </vt:variant>
      <vt:variant>
        <vt:lpwstr/>
      </vt:variant>
      <vt:variant>
        <vt:lpwstr>_Toc122614056</vt:lpwstr>
      </vt:variant>
      <vt:variant>
        <vt:i4>1179698</vt:i4>
      </vt:variant>
      <vt:variant>
        <vt:i4>182</vt:i4>
      </vt:variant>
      <vt:variant>
        <vt:i4>0</vt:i4>
      </vt:variant>
      <vt:variant>
        <vt:i4>5</vt:i4>
      </vt:variant>
      <vt:variant>
        <vt:lpwstr/>
      </vt:variant>
      <vt:variant>
        <vt:lpwstr>_Toc122614055</vt:lpwstr>
      </vt:variant>
      <vt:variant>
        <vt:i4>1179698</vt:i4>
      </vt:variant>
      <vt:variant>
        <vt:i4>176</vt:i4>
      </vt:variant>
      <vt:variant>
        <vt:i4>0</vt:i4>
      </vt:variant>
      <vt:variant>
        <vt:i4>5</vt:i4>
      </vt:variant>
      <vt:variant>
        <vt:lpwstr/>
      </vt:variant>
      <vt:variant>
        <vt:lpwstr>_Toc122614054</vt:lpwstr>
      </vt:variant>
      <vt:variant>
        <vt:i4>1179698</vt:i4>
      </vt:variant>
      <vt:variant>
        <vt:i4>170</vt:i4>
      </vt:variant>
      <vt:variant>
        <vt:i4>0</vt:i4>
      </vt:variant>
      <vt:variant>
        <vt:i4>5</vt:i4>
      </vt:variant>
      <vt:variant>
        <vt:lpwstr/>
      </vt:variant>
      <vt:variant>
        <vt:lpwstr>_Toc122614053</vt:lpwstr>
      </vt:variant>
      <vt:variant>
        <vt:i4>1179698</vt:i4>
      </vt:variant>
      <vt:variant>
        <vt:i4>164</vt:i4>
      </vt:variant>
      <vt:variant>
        <vt:i4>0</vt:i4>
      </vt:variant>
      <vt:variant>
        <vt:i4>5</vt:i4>
      </vt:variant>
      <vt:variant>
        <vt:lpwstr/>
      </vt:variant>
      <vt:variant>
        <vt:lpwstr>_Toc122614052</vt:lpwstr>
      </vt:variant>
      <vt:variant>
        <vt:i4>1179698</vt:i4>
      </vt:variant>
      <vt:variant>
        <vt:i4>158</vt:i4>
      </vt:variant>
      <vt:variant>
        <vt:i4>0</vt:i4>
      </vt:variant>
      <vt:variant>
        <vt:i4>5</vt:i4>
      </vt:variant>
      <vt:variant>
        <vt:lpwstr/>
      </vt:variant>
      <vt:variant>
        <vt:lpwstr>_Toc122614051</vt:lpwstr>
      </vt:variant>
      <vt:variant>
        <vt:i4>1179698</vt:i4>
      </vt:variant>
      <vt:variant>
        <vt:i4>152</vt:i4>
      </vt:variant>
      <vt:variant>
        <vt:i4>0</vt:i4>
      </vt:variant>
      <vt:variant>
        <vt:i4>5</vt:i4>
      </vt:variant>
      <vt:variant>
        <vt:lpwstr/>
      </vt:variant>
      <vt:variant>
        <vt:lpwstr>_Toc122614050</vt:lpwstr>
      </vt:variant>
      <vt:variant>
        <vt:i4>1245234</vt:i4>
      </vt:variant>
      <vt:variant>
        <vt:i4>146</vt:i4>
      </vt:variant>
      <vt:variant>
        <vt:i4>0</vt:i4>
      </vt:variant>
      <vt:variant>
        <vt:i4>5</vt:i4>
      </vt:variant>
      <vt:variant>
        <vt:lpwstr/>
      </vt:variant>
      <vt:variant>
        <vt:lpwstr>_Toc122614049</vt:lpwstr>
      </vt:variant>
      <vt:variant>
        <vt:i4>1245234</vt:i4>
      </vt:variant>
      <vt:variant>
        <vt:i4>140</vt:i4>
      </vt:variant>
      <vt:variant>
        <vt:i4>0</vt:i4>
      </vt:variant>
      <vt:variant>
        <vt:i4>5</vt:i4>
      </vt:variant>
      <vt:variant>
        <vt:lpwstr/>
      </vt:variant>
      <vt:variant>
        <vt:lpwstr>_Toc122614048</vt:lpwstr>
      </vt:variant>
      <vt:variant>
        <vt:i4>1245234</vt:i4>
      </vt:variant>
      <vt:variant>
        <vt:i4>134</vt:i4>
      </vt:variant>
      <vt:variant>
        <vt:i4>0</vt:i4>
      </vt:variant>
      <vt:variant>
        <vt:i4>5</vt:i4>
      </vt:variant>
      <vt:variant>
        <vt:lpwstr/>
      </vt:variant>
      <vt:variant>
        <vt:lpwstr>_Toc122614047</vt:lpwstr>
      </vt:variant>
      <vt:variant>
        <vt:i4>1245234</vt:i4>
      </vt:variant>
      <vt:variant>
        <vt:i4>128</vt:i4>
      </vt:variant>
      <vt:variant>
        <vt:i4>0</vt:i4>
      </vt:variant>
      <vt:variant>
        <vt:i4>5</vt:i4>
      </vt:variant>
      <vt:variant>
        <vt:lpwstr/>
      </vt:variant>
      <vt:variant>
        <vt:lpwstr>_Toc122614046</vt:lpwstr>
      </vt:variant>
      <vt:variant>
        <vt:i4>1245234</vt:i4>
      </vt:variant>
      <vt:variant>
        <vt:i4>122</vt:i4>
      </vt:variant>
      <vt:variant>
        <vt:i4>0</vt:i4>
      </vt:variant>
      <vt:variant>
        <vt:i4>5</vt:i4>
      </vt:variant>
      <vt:variant>
        <vt:lpwstr/>
      </vt:variant>
      <vt:variant>
        <vt:lpwstr>_Toc122614045</vt:lpwstr>
      </vt:variant>
      <vt:variant>
        <vt:i4>1245234</vt:i4>
      </vt:variant>
      <vt:variant>
        <vt:i4>116</vt:i4>
      </vt:variant>
      <vt:variant>
        <vt:i4>0</vt:i4>
      </vt:variant>
      <vt:variant>
        <vt:i4>5</vt:i4>
      </vt:variant>
      <vt:variant>
        <vt:lpwstr/>
      </vt:variant>
      <vt:variant>
        <vt:lpwstr>_Toc122614044</vt:lpwstr>
      </vt:variant>
      <vt:variant>
        <vt:i4>1245234</vt:i4>
      </vt:variant>
      <vt:variant>
        <vt:i4>110</vt:i4>
      </vt:variant>
      <vt:variant>
        <vt:i4>0</vt:i4>
      </vt:variant>
      <vt:variant>
        <vt:i4>5</vt:i4>
      </vt:variant>
      <vt:variant>
        <vt:lpwstr/>
      </vt:variant>
      <vt:variant>
        <vt:lpwstr>_Toc122614043</vt:lpwstr>
      </vt:variant>
      <vt:variant>
        <vt:i4>1245234</vt:i4>
      </vt:variant>
      <vt:variant>
        <vt:i4>104</vt:i4>
      </vt:variant>
      <vt:variant>
        <vt:i4>0</vt:i4>
      </vt:variant>
      <vt:variant>
        <vt:i4>5</vt:i4>
      </vt:variant>
      <vt:variant>
        <vt:lpwstr/>
      </vt:variant>
      <vt:variant>
        <vt:lpwstr>_Toc122614042</vt:lpwstr>
      </vt:variant>
      <vt:variant>
        <vt:i4>1245234</vt:i4>
      </vt:variant>
      <vt:variant>
        <vt:i4>98</vt:i4>
      </vt:variant>
      <vt:variant>
        <vt:i4>0</vt:i4>
      </vt:variant>
      <vt:variant>
        <vt:i4>5</vt:i4>
      </vt:variant>
      <vt:variant>
        <vt:lpwstr/>
      </vt:variant>
      <vt:variant>
        <vt:lpwstr>_Toc122614041</vt:lpwstr>
      </vt:variant>
      <vt:variant>
        <vt:i4>1245234</vt:i4>
      </vt:variant>
      <vt:variant>
        <vt:i4>92</vt:i4>
      </vt:variant>
      <vt:variant>
        <vt:i4>0</vt:i4>
      </vt:variant>
      <vt:variant>
        <vt:i4>5</vt:i4>
      </vt:variant>
      <vt:variant>
        <vt:lpwstr/>
      </vt:variant>
      <vt:variant>
        <vt:lpwstr>_Toc122614040</vt:lpwstr>
      </vt:variant>
      <vt:variant>
        <vt:i4>1310770</vt:i4>
      </vt:variant>
      <vt:variant>
        <vt:i4>86</vt:i4>
      </vt:variant>
      <vt:variant>
        <vt:i4>0</vt:i4>
      </vt:variant>
      <vt:variant>
        <vt:i4>5</vt:i4>
      </vt:variant>
      <vt:variant>
        <vt:lpwstr/>
      </vt:variant>
      <vt:variant>
        <vt:lpwstr>_Toc122614039</vt:lpwstr>
      </vt:variant>
      <vt:variant>
        <vt:i4>1310770</vt:i4>
      </vt:variant>
      <vt:variant>
        <vt:i4>80</vt:i4>
      </vt:variant>
      <vt:variant>
        <vt:i4>0</vt:i4>
      </vt:variant>
      <vt:variant>
        <vt:i4>5</vt:i4>
      </vt:variant>
      <vt:variant>
        <vt:lpwstr/>
      </vt:variant>
      <vt:variant>
        <vt:lpwstr>_Toc122614038</vt:lpwstr>
      </vt:variant>
      <vt:variant>
        <vt:i4>1310770</vt:i4>
      </vt:variant>
      <vt:variant>
        <vt:i4>74</vt:i4>
      </vt:variant>
      <vt:variant>
        <vt:i4>0</vt:i4>
      </vt:variant>
      <vt:variant>
        <vt:i4>5</vt:i4>
      </vt:variant>
      <vt:variant>
        <vt:lpwstr/>
      </vt:variant>
      <vt:variant>
        <vt:lpwstr>_Toc122614037</vt:lpwstr>
      </vt:variant>
      <vt:variant>
        <vt:i4>1310770</vt:i4>
      </vt:variant>
      <vt:variant>
        <vt:i4>68</vt:i4>
      </vt:variant>
      <vt:variant>
        <vt:i4>0</vt:i4>
      </vt:variant>
      <vt:variant>
        <vt:i4>5</vt:i4>
      </vt:variant>
      <vt:variant>
        <vt:lpwstr/>
      </vt:variant>
      <vt:variant>
        <vt:lpwstr>_Toc122614036</vt:lpwstr>
      </vt:variant>
      <vt:variant>
        <vt:i4>1310770</vt:i4>
      </vt:variant>
      <vt:variant>
        <vt:i4>62</vt:i4>
      </vt:variant>
      <vt:variant>
        <vt:i4>0</vt:i4>
      </vt:variant>
      <vt:variant>
        <vt:i4>5</vt:i4>
      </vt:variant>
      <vt:variant>
        <vt:lpwstr/>
      </vt:variant>
      <vt:variant>
        <vt:lpwstr>_Toc122614035</vt:lpwstr>
      </vt:variant>
      <vt:variant>
        <vt:i4>1310770</vt:i4>
      </vt:variant>
      <vt:variant>
        <vt:i4>56</vt:i4>
      </vt:variant>
      <vt:variant>
        <vt:i4>0</vt:i4>
      </vt:variant>
      <vt:variant>
        <vt:i4>5</vt:i4>
      </vt:variant>
      <vt:variant>
        <vt:lpwstr/>
      </vt:variant>
      <vt:variant>
        <vt:lpwstr>_Toc122614034</vt:lpwstr>
      </vt:variant>
      <vt:variant>
        <vt:i4>1310770</vt:i4>
      </vt:variant>
      <vt:variant>
        <vt:i4>50</vt:i4>
      </vt:variant>
      <vt:variant>
        <vt:i4>0</vt:i4>
      </vt:variant>
      <vt:variant>
        <vt:i4>5</vt:i4>
      </vt:variant>
      <vt:variant>
        <vt:lpwstr/>
      </vt:variant>
      <vt:variant>
        <vt:lpwstr>_Toc122614033</vt:lpwstr>
      </vt:variant>
      <vt:variant>
        <vt:i4>1310770</vt:i4>
      </vt:variant>
      <vt:variant>
        <vt:i4>44</vt:i4>
      </vt:variant>
      <vt:variant>
        <vt:i4>0</vt:i4>
      </vt:variant>
      <vt:variant>
        <vt:i4>5</vt:i4>
      </vt:variant>
      <vt:variant>
        <vt:lpwstr/>
      </vt:variant>
      <vt:variant>
        <vt:lpwstr>_Toc122614032</vt:lpwstr>
      </vt:variant>
      <vt:variant>
        <vt:i4>1310770</vt:i4>
      </vt:variant>
      <vt:variant>
        <vt:i4>38</vt:i4>
      </vt:variant>
      <vt:variant>
        <vt:i4>0</vt:i4>
      </vt:variant>
      <vt:variant>
        <vt:i4>5</vt:i4>
      </vt:variant>
      <vt:variant>
        <vt:lpwstr/>
      </vt:variant>
      <vt:variant>
        <vt:lpwstr>_Toc122614031</vt:lpwstr>
      </vt:variant>
      <vt:variant>
        <vt:i4>1310770</vt:i4>
      </vt:variant>
      <vt:variant>
        <vt:i4>32</vt:i4>
      </vt:variant>
      <vt:variant>
        <vt:i4>0</vt:i4>
      </vt:variant>
      <vt:variant>
        <vt:i4>5</vt:i4>
      </vt:variant>
      <vt:variant>
        <vt:lpwstr/>
      </vt:variant>
      <vt:variant>
        <vt:lpwstr>_Toc122614030</vt:lpwstr>
      </vt:variant>
      <vt:variant>
        <vt:i4>1376306</vt:i4>
      </vt:variant>
      <vt:variant>
        <vt:i4>26</vt:i4>
      </vt:variant>
      <vt:variant>
        <vt:i4>0</vt:i4>
      </vt:variant>
      <vt:variant>
        <vt:i4>5</vt:i4>
      </vt:variant>
      <vt:variant>
        <vt:lpwstr/>
      </vt:variant>
      <vt:variant>
        <vt:lpwstr>_Toc122614029</vt:lpwstr>
      </vt:variant>
      <vt:variant>
        <vt:i4>1376306</vt:i4>
      </vt:variant>
      <vt:variant>
        <vt:i4>20</vt:i4>
      </vt:variant>
      <vt:variant>
        <vt:i4>0</vt:i4>
      </vt:variant>
      <vt:variant>
        <vt:i4>5</vt:i4>
      </vt:variant>
      <vt:variant>
        <vt:lpwstr/>
      </vt:variant>
      <vt:variant>
        <vt:lpwstr>_Toc122614028</vt:lpwstr>
      </vt:variant>
      <vt:variant>
        <vt:i4>1376306</vt:i4>
      </vt:variant>
      <vt:variant>
        <vt:i4>14</vt:i4>
      </vt:variant>
      <vt:variant>
        <vt:i4>0</vt:i4>
      </vt:variant>
      <vt:variant>
        <vt:i4>5</vt:i4>
      </vt:variant>
      <vt:variant>
        <vt:lpwstr/>
      </vt:variant>
      <vt:variant>
        <vt:lpwstr>_Toc122614027</vt:lpwstr>
      </vt:variant>
      <vt:variant>
        <vt:i4>1376306</vt:i4>
      </vt:variant>
      <vt:variant>
        <vt:i4>8</vt:i4>
      </vt:variant>
      <vt:variant>
        <vt:i4>0</vt:i4>
      </vt:variant>
      <vt:variant>
        <vt:i4>5</vt:i4>
      </vt:variant>
      <vt:variant>
        <vt:lpwstr/>
      </vt:variant>
      <vt:variant>
        <vt:lpwstr>_Toc122614026</vt:lpwstr>
      </vt:variant>
      <vt:variant>
        <vt:i4>1376306</vt:i4>
      </vt:variant>
      <vt:variant>
        <vt:i4>2</vt:i4>
      </vt:variant>
      <vt:variant>
        <vt:i4>0</vt:i4>
      </vt:variant>
      <vt:variant>
        <vt:i4>5</vt:i4>
      </vt:variant>
      <vt:variant>
        <vt:lpwstr/>
      </vt:variant>
      <vt:variant>
        <vt:lpwstr>_Toc122614025</vt:lpwstr>
      </vt:variant>
      <vt:variant>
        <vt:i4>2752630</vt:i4>
      </vt:variant>
      <vt:variant>
        <vt:i4>9</vt:i4>
      </vt:variant>
      <vt:variant>
        <vt:i4>0</vt:i4>
      </vt:variant>
      <vt:variant>
        <vt:i4>5</vt:i4>
      </vt:variant>
      <vt:variant>
        <vt:lpwstr>http://www.ndisreview.gov.au/sites/default/files/resource/download/ndis-review-tor.pdf</vt:lpwstr>
      </vt:variant>
      <vt:variant>
        <vt:lpwstr/>
      </vt:variant>
      <vt:variant>
        <vt:i4>6160390</vt:i4>
      </vt:variant>
      <vt:variant>
        <vt:i4>6</vt:i4>
      </vt:variant>
      <vt:variant>
        <vt:i4>0</vt:i4>
      </vt:variant>
      <vt:variant>
        <vt:i4>5</vt:i4>
      </vt:variant>
      <vt:variant>
        <vt:lpwstr>http://www.nationalskillscommission.gov.au/sites/default/files/2022-10/Care Workforce Labour Market Study.pdf</vt:lpwstr>
      </vt:variant>
      <vt:variant>
        <vt:lpwstr/>
      </vt:variant>
      <vt:variant>
        <vt:i4>4259856</vt:i4>
      </vt:variant>
      <vt:variant>
        <vt:i4>3</vt:i4>
      </vt:variant>
      <vt:variant>
        <vt:i4>0</vt:i4>
      </vt:variant>
      <vt:variant>
        <vt:i4>5</vt:i4>
      </vt:variant>
      <vt:variant>
        <vt:lpwstr>http://www.nds.org.au/about/state-of-the-disability-sector-report</vt:lpwstr>
      </vt:variant>
      <vt:variant>
        <vt:lpwstr/>
      </vt:variant>
      <vt:variant>
        <vt:i4>5636112</vt:i4>
      </vt:variant>
      <vt:variant>
        <vt:i4>0</vt:i4>
      </vt:variant>
      <vt:variant>
        <vt:i4>0</vt:i4>
      </vt:variant>
      <vt:variant>
        <vt:i4>5</vt:i4>
      </vt:variant>
      <vt:variant>
        <vt:lpwstr>http://www.dss.gov.au/disability-and-carers-publications-articles/ndis-national-workforce-plan-2021-2025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2023   |  Thin Market Evaluation Report</dc:title>
  <dc:subject/>
  <dc:creator>Green, Tamar</dc:creator>
  <cp:keywords/>
  <dc:description/>
  <cp:lastModifiedBy>Aitchison, Suzie</cp:lastModifiedBy>
  <cp:revision>32</cp:revision>
  <cp:lastPrinted>2020-02-27T09:55:00Z</cp:lastPrinted>
  <dcterms:created xsi:type="dcterms:W3CDTF">2023-09-06T01:02:00Z</dcterms:created>
  <dcterms:modified xsi:type="dcterms:W3CDTF">2023-10-05T22:09:00Z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2022-07-28T04:20:45Z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883205a8-e910-4eee-9578-aaeb4feb98a0</vt:lpwstr>
  </property>
  <property fmtid="{D5CDD505-2E9C-101B-9397-08002B2CF9AE}" pid="14" name="MSIP_Label_2b83f8d7-e91f-4eee-a336-52a8061c0503_ContentBits">
    <vt:lpwstr>0</vt:lpwstr>
  </property>
  <property fmtid="{D5CDD505-2E9C-101B-9397-08002B2CF9AE}" pid="15" name="MediaServiceImageTags">
    <vt:lpwstr/>
  </property>
</Properties>
</file>