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Ex1.xml" ContentType="application/vnd.ms-office.chartex+xml"/>
  <Override PartName="/word/charts/style6.xml" ContentType="application/vnd.ms-office.chartstyle+xml"/>
  <Override PartName="/word/charts/colors6.xml" ContentType="application/vnd.ms-office.chartcolorstyl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7.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0.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xml" ContentType="application/vnd.openxmlformats-officedocument.drawingml.chartshapes+xml"/>
  <Override PartName="/word/charts/chart1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2.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3.xml" ContentType="application/vnd.openxmlformats-officedocument.drawingml.chart+xml"/>
  <Override PartName="/word/charts/style14.xml" ContentType="application/vnd.ms-office.chartstyle+xml"/>
  <Override PartName="/word/charts/colors14.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70E43" w14:textId="6DC71D07" w:rsidR="00FA334F" w:rsidRPr="00AE61B4" w:rsidRDefault="00AC0AE1" w:rsidP="00AE61B4">
      <w:pPr>
        <w:pStyle w:val="Heading1"/>
      </w:pPr>
      <w:r>
        <w:t>Independent Expert Review Program</w:t>
      </w:r>
    </w:p>
    <w:p w14:paraId="3DBF01B0" w14:textId="59FC5080" w:rsidR="002E306D" w:rsidRDefault="000F74F9" w:rsidP="00FA334F">
      <w:pPr>
        <w:pStyle w:val="Versionanddate"/>
        <w:spacing w:after="720"/>
        <w:rPr>
          <w:b/>
          <w:bCs/>
          <w:sz w:val="56"/>
          <w:szCs w:val="56"/>
        </w:rPr>
      </w:pPr>
      <w:r w:rsidRPr="002D62B6">
        <w:rPr>
          <w:b/>
          <w:bCs/>
          <w:sz w:val="56"/>
          <w:szCs w:val="56"/>
        </w:rPr>
        <w:t>Evaluation Report</w:t>
      </w:r>
    </w:p>
    <w:p w14:paraId="20E58415" w14:textId="53686EC0" w:rsidR="00B52E1F" w:rsidRPr="002D62B6" w:rsidRDefault="003C4D4E" w:rsidP="00FA334F">
      <w:pPr>
        <w:pStyle w:val="Versionanddate"/>
        <w:spacing w:after="720"/>
        <w:rPr>
          <w:rFonts w:cs="Arial"/>
          <w:sz w:val="44"/>
          <w:szCs w:val="44"/>
        </w:rPr>
      </w:pPr>
      <w:r>
        <w:rPr>
          <w:rFonts w:cs="Arial"/>
          <w:sz w:val="44"/>
          <w:szCs w:val="44"/>
        </w:rPr>
        <w:t>October</w:t>
      </w:r>
      <w:r w:rsidR="00CF7FBB" w:rsidRPr="002D62B6">
        <w:rPr>
          <w:rFonts w:cs="Arial"/>
          <w:sz w:val="44"/>
          <w:szCs w:val="44"/>
        </w:rPr>
        <w:t xml:space="preserve"> </w:t>
      </w:r>
      <w:r w:rsidR="00B52E1F" w:rsidRPr="002D62B6">
        <w:rPr>
          <w:rFonts w:cs="Arial"/>
          <w:sz w:val="44"/>
          <w:szCs w:val="44"/>
        </w:rPr>
        <w:t>202</w:t>
      </w:r>
      <w:r w:rsidR="00AC0AE1">
        <w:rPr>
          <w:rFonts w:cs="Arial"/>
          <w:sz w:val="44"/>
          <w:szCs w:val="44"/>
        </w:rPr>
        <w:t>3</w:t>
      </w:r>
    </w:p>
    <w:p w14:paraId="20A70E44" w14:textId="1B23599F" w:rsidR="00FA334F" w:rsidRDefault="00B52E1F" w:rsidP="00FA334F">
      <w:pPr>
        <w:pStyle w:val="Versionanddate"/>
        <w:spacing w:after="720"/>
        <w:rPr>
          <w:rStyle w:val="WebsiteChar"/>
        </w:rPr>
      </w:pPr>
      <w:r w:rsidRPr="002D62B6">
        <w:rPr>
          <w:rFonts w:cs="Arial"/>
          <w:sz w:val="44"/>
          <w:szCs w:val="44"/>
        </w:rPr>
        <w:t>Research and Evaluation Branch</w:t>
      </w:r>
      <w:r w:rsidR="001665A1" w:rsidRPr="002D62B6">
        <w:rPr>
          <w:rFonts w:cs="Arial"/>
          <w:sz w:val="44"/>
          <w:szCs w:val="44"/>
        </w:rPr>
        <w:br/>
      </w:r>
      <w:r w:rsidR="001665A1">
        <w:rPr>
          <w:rFonts w:cs="Arial"/>
          <w:b/>
        </w:rPr>
        <w:br/>
      </w:r>
      <w:r w:rsidR="001665A1" w:rsidRPr="006765FF">
        <w:rPr>
          <w:rStyle w:val="WebsiteChar"/>
        </w:rPr>
        <w:t>ndis.gov.au</w:t>
      </w:r>
    </w:p>
    <w:p w14:paraId="20A70E45" w14:textId="7F7BECF0" w:rsidR="00AB4CC5" w:rsidRDefault="0080694D" w:rsidP="007219F1">
      <w:r>
        <w:rPr>
          <w:noProof/>
        </w:rPr>
        <w:drawing>
          <wp:anchor distT="0" distB="0" distL="114300" distR="114300" simplePos="0" relativeHeight="251658244" behindDoc="0" locked="0" layoutInCell="1" allowOverlap="1" wp14:anchorId="05F3CD7B" wp14:editId="2339E7BC">
            <wp:simplePos x="914400" y="6353175"/>
            <wp:positionH relativeFrom="column">
              <wp:align>left</wp:align>
            </wp:positionH>
            <wp:positionV relativeFrom="paragraph">
              <wp:align>top</wp:align>
            </wp:positionV>
            <wp:extent cx="969645" cy="506095"/>
            <wp:effectExtent l="0" t="0" r="1905" b="8255"/>
            <wp:wrapSquare wrapText="bothSides"/>
            <wp:docPr id="10" name="Picture 10"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title="NDIS logo"/>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 cy="506095"/>
                    </a:xfrm>
                    <a:prstGeom prst="rect">
                      <a:avLst/>
                    </a:prstGeom>
                    <a:noFill/>
                  </pic:spPr>
                </pic:pic>
              </a:graphicData>
            </a:graphic>
          </wp:anchor>
        </w:drawing>
      </w:r>
      <w:r w:rsidR="00331DC3">
        <w:br w:type="textWrapping" w:clear="all"/>
      </w:r>
    </w:p>
    <w:p w14:paraId="4B711F69" w14:textId="3E4ADD43" w:rsidR="00937EA8" w:rsidRDefault="00AB4CC5" w:rsidP="00AB4CC5">
      <w:pPr>
        <w:pStyle w:val="Securitymarker"/>
        <w:sectPr w:rsidR="00937EA8" w:rsidSect="00C45DDE">
          <w:headerReference w:type="default" r:id="rId12"/>
          <w:footerReference w:type="default" r:id="rId13"/>
          <w:pgSz w:w="11906" w:h="16838"/>
          <w:pgMar w:top="1440" w:right="1440" w:bottom="1440" w:left="1440" w:header="709" w:footer="0" w:gutter="0"/>
          <w:pgNumType w:fmt="lowerRoman" w:start="1"/>
          <w:cols w:space="708"/>
          <w:docGrid w:linePitch="360"/>
        </w:sectPr>
      </w:pPr>
      <w:r>
        <w:rPr>
          <w:color w:val="FF0000"/>
        </w:rPr>
        <w:br/>
      </w:r>
      <w:r w:rsidR="007219F1" w:rsidRPr="00B73DA2">
        <w:br w:type="page"/>
      </w:r>
    </w:p>
    <w:p w14:paraId="20A70E46" w14:textId="7AF37EC7" w:rsidR="007219F1" w:rsidRPr="00AB4CC5" w:rsidRDefault="007219F1" w:rsidP="00AB4CC5">
      <w:pPr>
        <w:pStyle w:val="Securitymarker"/>
        <w:rPr>
          <w:sz w:val="22"/>
        </w:rPr>
      </w:pPr>
    </w:p>
    <w:p w14:paraId="6B88A870" w14:textId="77777777" w:rsidR="002D7152" w:rsidRDefault="002D7152" w:rsidP="007E4ED2">
      <w:pPr>
        <w:pStyle w:val="Heading2basedon3"/>
      </w:pPr>
      <w:bookmarkStart w:id="0" w:name="_Toc111206302"/>
      <w:bookmarkStart w:id="1" w:name="_Toc120547619"/>
      <w:r>
        <w:t>This document</w:t>
      </w:r>
      <w:bookmarkEnd w:id="0"/>
      <w:bookmarkEnd w:id="1"/>
    </w:p>
    <w:p w14:paraId="74B2BADC" w14:textId="037C2909" w:rsidR="002D7152" w:rsidRDefault="002D7152" w:rsidP="00756C6B">
      <w:r>
        <w:t xml:space="preserve">This report presents </w:t>
      </w:r>
      <w:r w:rsidR="006042E4">
        <w:t xml:space="preserve">the </w:t>
      </w:r>
      <w:r w:rsidR="00FC74BF">
        <w:t>e</w:t>
      </w:r>
      <w:r>
        <w:t xml:space="preserve">valuation findings related to National Disability Insurance Agency’s (NDIA) </w:t>
      </w:r>
      <w:r w:rsidR="004006FB">
        <w:t xml:space="preserve">pilot of the </w:t>
      </w:r>
      <w:r w:rsidR="00AC0AE1">
        <w:t xml:space="preserve">Independent Expert Review </w:t>
      </w:r>
      <w:r w:rsidR="00F3214E">
        <w:t xml:space="preserve">Program </w:t>
      </w:r>
      <w:r w:rsidR="00E52683">
        <w:t>(IER</w:t>
      </w:r>
      <w:r w:rsidR="00F3214E">
        <w:t>P</w:t>
      </w:r>
      <w:r w:rsidR="00E52683">
        <w:t>)</w:t>
      </w:r>
      <w:r w:rsidR="006C187F">
        <w:t xml:space="preserve"> trial</w:t>
      </w:r>
      <w:r>
        <w:t xml:space="preserve">. </w:t>
      </w:r>
      <w:r w:rsidR="00AC0AE1" w:rsidRPr="00937EA8">
        <w:t xml:space="preserve">Findings cover </w:t>
      </w:r>
      <w:r w:rsidR="009F15C8" w:rsidRPr="00937EA8">
        <w:t xml:space="preserve">all available data at the time of </w:t>
      </w:r>
      <w:r w:rsidR="00C07BDB" w:rsidRPr="00937EA8">
        <w:t xml:space="preserve">each </w:t>
      </w:r>
      <w:r w:rsidR="001B143A" w:rsidRPr="00937EA8">
        <w:t>evaluation</w:t>
      </w:r>
      <w:r w:rsidR="00C07BDB" w:rsidRPr="00937EA8">
        <w:t xml:space="preserve"> component</w:t>
      </w:r>
      <w:r w:rsidR="001B143A" w:rsidRPr="00937EA8">
        <w:t xml:space="preserve">, including individual </w:t>
      </w:r>
      <w:r w:rsidR="001152DC" w:rsidRPr="00937EA8">
        <w:t xml:space="preserve">case and issue analysis </w:t>
      </w:r>
      <w:r w:rsidR="00E44E81" w:rsidRPr="00937EA8">
        <w:t xml:space="preserve">up </w:t>
      </w:r>
      <w:r w:rsidR="001152DC" w:rsidRPr="00937EA8">
        <w:t xml:space="preserve">to 31 January 2023, </w:t>
      </w:r>
      <w:r w:rsidR="00686FD0" w:rsidRPr="00937EA8">
        <w:t>survey</w:t>
      </w:r>
      <w:r w:rsidR="001B143A" w:rsidRPr="00937EA8">
        <w:t xml:space="preserve"> </w:t>
      </w:r>
      <w:r w:rsidR="003B501E" w:rsidRPr="00937EA8">
        <w:t xml:space="preserve">responses for </w:t>
      </w:r>
      <w:r w:rsidR="006B7F51" w:rsidRPr="00937EA8">
        <w:t>those</w:t>
      </w:r>
      <w:r w:rsidR="003B501E" w:rsidRPr="00937EA8">
        <w:t xml:space="preserve"> involved in the </w:t>
      </w:r>
      <w:r w:rsidR="00193F57" w:rsidRPr="00937EA8">
        <w:t xml:space="preserve">IERP </w:t>
      </w:r>
      <w:r w:rsidR="00D6015C" w:rsidRPr="00937EA8">
        <w:t>up to 31 March 2023</w:t>
      </w:r>
      <w:r w:rsidR="00193F57" w:rsidRPr="00937EA8">
        <w:t xml:space="preserve"> and </w:t>
      </w:r>
      <w:r w:rsidR="006F6D75" w:rsidRPr="00937EA8">
        <w:t>costing</w:t>
      </w:r>
      <w:r w:rsidR="004F2EA4" w:rsidRPr="00937EA8">
        <w:t xml:space="preserve"> </w:t>
      </w:r>
      <w:r w:rsidR="00FF1047" w:rsidRPr="00937EA8">
        <w:t xml:space="preserve">and other relevant </w:t>
      </w:r>
      <w:r w:rsidR="00C07BDB" w:rsidRPr="00937EA8">
        <w:t xml:space="preserve">program </w:t>
      </w:r>
      <w:r w:rsidR="00FF1047" w:rsidRPr="00937EA8">
        <w:t>metrics</w:t>
      </w:r>
      <w:r w:rsidR="00C07BDB" w:rsidRPr="00937EA8">
        <w:t xml:space="preserve"> up to 31 July 2023.</w:t>
      </w:r>
    </w:p>
    <w:p w14:paraId="07B78987" w14:textId="77777777" w:rsidR="002D7152" w:rsidRDefault="002D7152" w:rsidP="007E4ED2">
      <w:pPr>
        <w:pStyle w:val="Heading2basedon3"/>
      </w:pPr>
      <w:bookmarkStart w:id="2" w:name="_Toc111206303"/>
      <w:bookmarkStart w:id="3" w:name="_Toc120547620"/>
      <w:r>
        <w:t>Contributors</w:t>
      </w:r>
      <w:bookmarkEnd w:id="2"/>
      <w:bookmarkEnd w:id="3"/>
    </w:p>
    <w:p w14:paraId="2723C069" w14:textId="77777777" w:rsidR="002D7152" w:rsidRDefault="002D7152" w:rsidP="00756C6B">
      <w:r>
        <w:t>The NDIA’s Research and Evaluation Branch delivered this evaluation. The Branch is responsible for ensuring that trustworthy and robust evidence informs NDIA policies, practices and priorities.</w:t>
      </w:r>
    </w:p>
    <w:p w14:paraId="219930BF" w14:textId="2D3F23A1" w:rsidR="002D7152" w:rsidRDefault="002D7152" w:rsidP="007E4ED2">
      <w:pPr>
        <w:pStyle w:val="Heading2basedon3"/>
      </w:pPr>
      <w:bookmarkStart w:id="4" w:name="_Toc111206304"/>
      <w:bookmarkStart w:id="5" w:name="_Toc120547621"/>
      <w:r>
        <w:t>Disclaimer</w:t>
      </w:r>
      <w:bookmarkEnd w:id="4"/>
      <w:bookmarkEnd w:id="5"/>
    </w:p>
    <w:p w14:paraId="0CEFD67F" w14:textId="77777777" w:rsidR="002D7152" w:rsidRDefault="002D7152" w:rsidP="00756C6B">
      <w:r>
        <w:t>The NDIA disclaims all liability to any person in respect of anything, and of the consequences of anything, done or omitted to be done by any such person in reliance, whether wholly or partly, upon any information in this report.</w:t>
      </w:r>
    </w:p>
    <w:p w14:paraId="68048812" w14:textId="3B6255D8" w:rsidR="002D7152" w:rsidRDefault="002D7152" w:rsidP="00756C6B">
      <w:r>
        <w:t xml:space="preserve">Material in this report is available on the understanding that the future decision-making or changes to National Disability Insurance Scheme (NDIS) processes are subject to information additional to this report. Views and recommendations of third parties, which </w:t>
      </w:r>
      <w:r w:rsidR="00A058EE">
        <w:t xml:space="preserve">this report may </w:t>
      </w:r>
      <w:r>
        <w:t>also</w:t>
      </w:r>
      <w:r w:rsidR="00A058EE">
        <w:t xml:space="preserve"> include</w:t>
      </w:r>
      <w:r>
        <w:t>, do not necessarily reflect the views of the NDIA, or indicate a commitment to a particular course of action.</w:t>
      </w:r>
    </w:p>
    <w:p w14:paraId="10E514C0" w14:textId="77777777" w:rsidR="002D7152" w:rsidRDefault="002D7152" w:rsidP="007E4ED2">
      <w:pPr>
        <w:pStyle w:val="Heading2basedon3"/>
      </w:pPr>
      <w:bookmarkStart w:id="6" w:name="_Toc111206305"/>
      <w:bookmarkStart w:id="7" w:name="_Toc120547622"/>
      <w:r>
        <w:t>Acknowledgements</w:t>
      </w:r>
      <w:bookmarkEnd w:id="6"/>
      <w:bookmarkEnd w:id="7"/>
    </w:p>
    <w:p w14:paraId="101294F5" w14:textId="04E2C59C" w:rsidR="00726600" w:rsidRDefault="00726600" w:rsidP="00726600">
      <w:r>
        <w:t xml:space="preserve">The NDIA acknowledges the Traditional Owners and Custodians </w:t>
      </w:r>
      <w:r w:rsidR="00B46A15">
        <w:t xml:space="preserve">of this country </w:t>
      </w:r>
      <w:r>
        <w:t>throughout Australia and their continuing connection to the many lands, seas and communities. The NDIA pays respect to Elders past and present and extends this acknowledgement and respect to any Aboriginal and Torres Strait Islander people who may be reading this report.</w:t>
      </w:r>
    </w:p>
    <w:p w14:paraId="1BDF8EE2" w14:textId="5E663F3A" w:rsidR="00AF646C" w:rsidRDefault="002D7152" w:rsidP="007E7693">
      <w:r>
        <w:lastRenderedPageBreak/>
        <w:t>The Evaluation Team would like to acknowledge all who assisted in the development of this report by supporting and participating in interviews and surveys. Th</w:t>
      </w:r>
      <w:r w:rsidR="00AC0AE1">
        <w:t xml:space="preserve">is includes NDIS participants and their informal supporters, participant </w:t>
      </w:r>
      <w:r w:rsidR="008400AD">
        <w:t>representatives</w:t>
      </w:r>
      <w:r w:rsidR="009E1982">
        <w:t xml:space="preserve">, </w:t>
      </w:r>
      <w:r w:rsidR="00AC0AE1">
        <w:t>advocates from Disability Representative and Carer Organisations</w:t>
      </w:r>
      <w:r w:rsidR="000E2330">
        <w:t xml:space="preserve"> (DCRO)</w:t>
      </w:r>
      <w:r w:rsidR="00CA5C70">
        <w:t xml:space="preserve"> and</w:t>
      </w:r>
      <w:r w:rsidR="00745869">
        <w:t xml:space="preserve"> the Independent Experts </w:t>
      </w:r>
      <w:r w:rsidR="00853C5E">
        <w:t>involved in the IER</w:t>
      </w:r>
      <w:r w:rsidR="00953A11">
        <w:t>P</w:t>
      </w:r>
      <w:r w:rsidR="00AF646C">
        <w:t>.</w:t>
      </w:r>
    </w:p>
    <w:p w14:paraId="3F59C70B" w14:textId="5BAE5926" w:rsidR="002D7152" w:rsidRDefault="00AC0AE1" w:rsidP="007E7693">
      <w:r w:rsidRPr="00755B78">
        <w:t xml:space="preserve">The Evaluation Team also </w:t>
      </w:r>
      <w:r w:rsidR="002D7152" w:rsidRPr="00755B78">
        <w:t xml:space="preserve">acknowledges the support provided by </w:t>
      </w:r>
      <w:r w:rsidR="00AF646C" w:rsidRPr="00755B78">
        <w:t xml:space="preserve">subject matter </w:t>
      </w:r>
      <w:r w:rsidR="00AE2403" w:rsidRPr="00755B78">
        <w:t xml:space="preserve">experts from within the NDIA, including </w:t>
      </w:r>
      <w:r w:rsidR="002D7152" w:rsidRPr="00755B78">
        <w:t xml:space="preserve">the </w:t>
      </w:r>
      <w:r w:rsidR="00A429AF" w:rsidRPr="00755B78">
        <w:t xml:space="preserve">Independent Expert Review Program </w:t>
      </w:r>
      <w:r w:rsidR="009106F9">
        <w:t>t</w:t>
      </w:r>
      <w:r w:rsidR="00A429AF" w:rsidRPr="00755B78">
        <w:t>eam</w:t>
      </w:r>
      <w:r w:rsidR="00C519D8" w:rsidRPr="00755B78">
        <w:t xml:space="preserve">, the </w:t>
      </w:r>
      <w:r w:rsidRPr="00755B78">
        <w:t>A</w:t>
      </w:r>
      <w:r w:rsidR="0007782A" w:rsidRPr="00755B78">
        <w:t xml:space="preserve">lternative Dispute Resolution (ADR) </w:t>
      </w:r>
      <w:r w:rsidR="00A429AF" w:rsidRPr="00755B78">
        <w:t>team,</w:t>
      </w:r>
      <w:r w:rsidR="00C519D8" w:rsidRPr="00755B78">
        <w:t xml:space="preserve"> the Internal Review Team (IRT), </w:t>
      </w:r>
      <w:r w:rsidR="00AC44E6" w:rsidRPr="00755B78">
        <w:t xml:space="preserve">the </w:t>
      </w:r>
      <w:r w:rsidR="00280C91">
        <w:t>AAT Ca</w:t>
      </w:r>
      <w:r w:rsidR="00BA3A85">
        <w:t>se Management Branch</w:t>
      </w:r>
      <w:r w:rsidR="00C47DAD">
        <w:t>, Dispute Resolution and Litigation</w:t>
      </w:r>
      <w:r w:rsidR="00132251">
        <w:t xml:space="preserve"> Branch</w:t>
      </w:r>
      <w:r w:rsidR="003B68D6" w:rsidRPr="00755B78">
        <w:t>, the Technical Advisory Branch (TAB)</w:t>
      </w:r>
      <w:r w:rsidR="007B3376" w:rsidRPr="00755B78">
        <w:t xml:space="preserve">, </w:t>
      </w:r>
      <w:r w:rsidRPr="00755B78">
        <w:t xml:space="preserve">and the </w:t>
      </w:r>
      <w:r w:rsidR="00411FD5" w:rsidRPr="00755B78">
        <w:t xml:space="preserve">Operations and Housing Support </w:t>
      </w:r>
      <w:r w:rsidR="0028030E" w:rsidRPr="00755B78">
        <w:t>(OHS) Branch</w:t>
      </w:r>
      <w:r w:rsidR="0028030E">
        <w:t>.</w:t>
      </w:r>
    </w:p>
    <w:p w14:paraId="01E28EB0" w14:textId="418B9D8B" w:rsidR="002D7152" w:rsidRPr="00A17C20" w:rsidRDefault="002D7152" w:rsidP="00A17C20">
      <w:r>
        <w:br w:type="page"/>
      </w:r>
    </w:p>
    <w:p w14:paraId="20E27D36" w14:textId="77777777" w:rsidR="00FE5014" w:rsidRDefault="007219F1" w:rsidP="000E1907">
      <w:pPr>
        <w:pStyle w:val="Heading2NotinTOC"/>
        <w:rPr>
          <w:noProof/>
        </w:rPr>
      </w:pPr>
      <w:bookmarkStart w:id="8" w:name="_Toc111206306"/>
      <w:bookmarkStart w:id="9" w:name="_Toc111206420"/>
      <w:bookmarkStart w:id="10" w:name="_Toc120547623"/>
      <w:r w:rsidRPr="004D32B5">
        <w:lastRenderedPageBreak/>
        <w:t>Contents</w:t>
      </w:r>
      <w:bookmarkEnd w:id="8"/>
      <w:bookmarkEnd w:id="9"/>
      <w:bookmarkEnd w:id="10"/>
      <w:r w:rsidR="000E1907">
        <w:rPr>
          <w:color w:val="2B579A"/>
        </w:rPr>
        <w:fldChar w:fldCharType="begin"/>
      </w:r>
      <w:r w:rsidR="000E1907">
        <w:rPr>
          <w:color w:val="2B579A"/>
          <w:shd w:val="clear" w:color="auto" w:fill="E6E6E6"/>
        </w:rPr>
        <w:instrText xml:space="preserve"> TOC \h \z \t "Heading 2,1,Heading 3,2,Heading 2 no number,1,Appendix 1,1,ES heading 3,3" </w:instrText>
      </w:r>
      <w:r w:rsidR="000E1907">
        <w:rPr>
          <w:color w:val="2B579A"/>
        </w:rPr>
        <w:fldChar w:fldCharType="separate"/>
      </w:r>
    </w:p>
    <w:p w14:paraId="2BEA31EC" w14:textId="49402D94" w:rsidR="00FE5014" w:rsidRDefault="00000000">
      <w:pPr>
        <w:pStyle w:val="TOC1"/>
        <w:rPr>
          <w:rFonts w:asciiTheme="minorHAnsi" w:hAnsiTheme="minorHAnsi"/>
          <w:noProof/>
          <w:kern w:val="2"/>
          <w:szCs w:val="22"/>
          <w:lang w:eastAsia="en-AU"/>
          <w14:ligatures w14:val="standardContextual"/>
        </w:rPr>
      </w:pPr>
      <w:hyperlink w:anchor="_Toc142918574" w:history="1">
        <w:r w:rsidR="00FE5014" w:rsidRPr="00236BFD">
          <w:rPr>
            <w:rStyle w:val="Hyperlink"/>
            <w:noProof/>
          </w:rPr>
          <w:t>Abbreviations</w:t>
        </w:r>
        <w:r w:rsidR="00FE5014">
          <w:rPr>
            <w:noProof/>
            <w:webHidden/>
          </w:rPr>
          <w:tab/>
        </w:r>
        <w:r w:rsidR="00FE5014">
          <w:rPr>
            <w:noProof/>
            <w:webHidden/>
          </w:rPr>
          <w:fldChar w:fldCharType="begin"/>
        </w:r>
        <w:r w:rsidR="00FE5014">
          <w:rPr>
            <w:noProof/>
            <w:webHidden/>
          </w:rPr>
          <w:instrText xml:space="preserve"> PAGEREF _Toc142918574 \h </w:instrText>
        </w:r>
        <w:r w:rsidR="00FE5014">
          <w:rPr>
            <w:noProof/>
            <w:webHidden/>
          </w:rPr>
        </w:r>
        <w:r w:rsidR="00FE5014">
          <w:rPr>
            <w:noProof/>
            <w:webHidden/>
          </w:rPr>
          <w:fldChar w:fldCharType="separate"/>
        </w:r>
        <w:r w:rsidR="000F1876">
          <w:rPr>
            <w:noProof/>
            <w:webHidden/>
          </w:rPr>
          <w:t>v</w:t>
        </w:r>
        <w:r w:rsidR="00FE5014">
          <w:rPr>
            <w:noProof/>
            <w:webHidden/>
          </w:rPr>
          <w:fldChar w:fldCharType="end"/>
        </w:r>
      </w:hyperlink>
    </w:p>
    <w:p w14:paraId="5289F224" w14:textId="127FE742" w:rsidR="00FE5014" w:rsidRDefault="00000000">
      <w:pPr>
        <w:pStyle w:val="TOC1"/>
        <w:rPr>
          <w:rFonts w:asciiTheme="minorHAnsi" w:hAnsiTheme="minorHAnsi"/>
          <w:noProof/>
          <w:kern w:val="2"/>
          <w:szCs w:val="22"/>
          <w:lang w:eastAsia="en-AU"/>
          <w14:ligatures w14:val="standardContextual"/>
        </w:rPr>
      </w:pPr>
      <w:hyperlink w:anchor="_Toc142918575" w:history="1">
        <w:r w:rsidR="00FE5014" w:rsidRPr="00236BFD">
          <w:rPr>
            <w:rStyle w:val="Hyperlink"/>
            <w:noProof/>
          </w:rPr>
          <w:t>Key findings</w:t>
        </w:r>
        <w:r w:rsidR="00FE5014">
          <w:rPr>
            <w:noProof/>
            <w:webHidden/>
          </w:rPr>
          <w:tab/>
        </w:r>
        <w:r w:rsidR="00FE5014">
          <w:rPr>
            <w:noProof/>
            <w:webHidden/>
          </w:rPr>
          <w:fldChar w:fldCharType="begin"/>
        </w:r>
        <w:r w:rsidR="00FE5014">
          <w:rPr>
            <w:noProof/>
            <w:webHidden/>
          </w:rPr>
          <w:instrText xml:space="preserve"> PAGEREF _Toc142918575 \h </w:instrText>
        </w:r>
        <w:r w:rsidR="00FE5014">
          <w:rPr>
            <w:noProof/>
            <w:webHidden/>
          </w:rPr>
        </w:r>
        <w:r w:rsidR="00FE5014">
          <w:rPr>
            <w:noProof/>
            <w:webHidden/>
          </w:rPr>
          <w:fldChar w:fldCharType="separate"/>
        </w:r>
        <w:r w:rsidR="000F1876">
          <w:rPr>
            <w:noProof/>
            <w:webHidden/>
          </w:rPr>
          <w:t>vi</w:t>
        </w:r>
        <w:r w:rsidR="00FE5014">
          <w:rPr>
            <w:noProof/>
            <w:webHidden/>
          </w:rPr>
          <w:fldChar w:fldCharType="end"/>
        </w:r>
      </w:hyperlink>
    </w:p>
    <w:p w14:paraId="111B2CE4" w14:textId="1A4FA6D5" w:rsidR="00FE5014" w:rsidRDefault="00000000">
      <w:pPr>
        <w:pStyle w:val="TOC1"/>
        <w:rPr>
          <w:rFonts w:asciiTheme="minorHAnsi" w:hAnsiTheme="minorHAnsi"/>
          <w:noProof/>
          <w:kern w:val="2"/>
          <w:szCs w:val="22"/>
          <w:lang w:eastAsia="en-AU"/>
          <w14:ligatures w14:val="standardContextual"/>
        </w:rPr>
      </w:pPr>
      <w:hyperlink w:anchor="_Toc142918576" w:history="1">
        <w:r w:rsidR="00FE5014" w:rsidRPr="00236BFD">
          <w:rPr>
            <w:rStyle w:val="Hyperlink"/>
            <w:noProof/>
          </w:rPr>
          <w:t>Executive Summary</w:t>
        </w:r>
        <w:r w:rsidR="00FE5014">
          <w:rPr>
            <w:noProof/>
            <w:webHidden/>
          </w:rPr>
          <w:tab/>
        </w:r>
        <w:r w:rsidR="00FE5014">
          <w:rPr>
            <w:noProof/>
            <w:webHidden/>
          </w:rPr>
          <w:fldChar w:fldCharType="begin"/>
        </w:r>
        <w:r w:rsidR="00FE5014">
          <w:rPr>
            <w:noProof/>
            <w:webHidden/>
          </w:rPr>
          <w:instrText xml:space="preserve"> PAGEREF _Toc142918576 \h </w:instrText>
        </w:r>
        <w:r w:rsidR="00FE5014">
          <w:rPr>
            <w:noProof/>
            <w:webHidden/>
          </w:rPr>
        </w:r>
        <w:r w:rsidR="00FE5014">
          <w:rPr>
            <w:noProof/>
            <w:webHidden/>
          </w:rPr>
          <w:fldChar w:fldCharType="separate"/>
        </w:r>
        <w:r w:rsidR="000F1876">
          <w:rPr>
            <w:noProof/>
            <w:webHidden/>
          </w:rPr>
          <w:t>viii</w:t>
        </w:r>
        <w:r w:rsidR="00FE5014">
          <w:rPr>
            <w:noProof/>
            <w:webHidden/>
          </w:rPr>
          <w:fldChar w:fldCharType="end"/>
        </w:r>
      </w:hyperlink>
    </w:p>
    <w:p w14:paraId="7F23DA1B" w14:textId="6B0252D0" w:rsidR="00FE5014" w:rsidRDefault="00000000">
      <w:pPr>
        <w:pStyle w:val="TOC1"/>
        <w:tabs>
          <w:tab w:val="left" w:pos="440"/>
        </w:tabs>
        <w:rPr>
          <w:rFonts w:asciiTheme="minorHAnsi" w:hAnsiTheme="minorHAnsi"/>
          <w:noProof/>
          <w:kern w:val="2"/>
          <w:szCs w:val="22"/>
          <w:lang w:eastAsia="en-AU"/>
          <w14:ligatures w14:val="standardContextual"/>
        </w:rPr>
      </w:pPr>
      <w:hyperlink w:anchor="_Toc142918580" w:history="1">
        <w:r w:rsidR="00FE5014" w:rsidRPr="00236BFD">
          <w:rPr>
            <w:rStyle w:val="Hyperlink"/>
            <w:noProof/>
          </w:rPr>
          <w:t>1.</w:t>
        </w:r>
        <w:r w:rsidR="00FE5014">
          <w:rPr>
            <w:rFonts w:asciiTheme="minorHAnsi" w:hAnsiTheme="minorHAnsi"/>
            <w:noProof/>
            <w:kern w:val="2"/>
            <w:szCs w:val="22"/>
            <w:lang w:eastAsia="en-AU"/>
            <w14:ligatures w14:val="standardContextual"/>
          </w:rPr>
          <w:tab/>
        </w:r>
        <w:r w:rsidR="00FE5014" w:rsidRPr="00236BFD">
          <w:rPr>
            <w:rStyle w:val="Hyperlink"/>
            <w:noProof/>
          </w:rPr>
          <w:t>Introduction</w:t>
        </w:r>
        <w:r w:rsidR="00FE5014">
          <w:rPr>
            <w:noProof/>
            <w:webHidden/>
          </w:rPr>
          <w:tab/>
        </w:r>
        <w:r w:rsidR="00FE5014">
          <w:rPr>
            <w:noProof/>
            <w:webHidden/>
          </w:rPr>
          <w:fldChar w:fldCharType="begin"/>
        </w:r>
        <w:r w:rsidR="00FE5014">
          <w:rPr>
            <w:noProof/>
            <w:webHidden/>
          </w:rPr>
          <w:instrText xml:space="preserve"> PAGEREF _Toc142918580 \h </w:instrText>
        </w:r>
        <w:r w:rsidR="00FE5014">
          <w:rPr>
            <w:noProof/>
            <w:webHidden/>
          </w:rPr>
        </w:r>
        <w:r w:rsidR="00FE5014">
          <w:rPr>
            <w:noProof/>
            <w:webHidden/>
          </w:rPr>
          <w:fldChar w:fldCharType="separate"/>
        </w:r>
        <w:r w:rsidR="000F1876">
          <w:rPr>
            <w:noProof/>
            <w:webHidden/>
          </w:rPr>
          <w:t>18</w:t>
        </w:r>
        <w:r w:rsidR="00FE5014">
          <w:rPr>
            <w:noProof/>
            <w:webHidden/>
          </w:rPr>
          <w:fldChar w:fldCharType="end"/>
        </w:r>
      </w:hyperlink>
    </w:p>
    <w:p w14:paraId="1D73449B" w14:textId="701CC728" w:rsidR="00FE5014" w:rsidRDefault="00000000">
      <w:pPr>
        <w:pStyle w:val="TOC2"/>
        <w:rPr>
          <w:rFonts w:asciiTheme="minorHAnsi" w:hAnsiTheme="minorHAnsi"/>
          <w:noProof/>
          <w:kern w:val="2"/>
          <w:szCs w:val="22"/>
          <w:lang w:eastAsia="en-AU"/>
          <w14:ligatures w14:val="standardContextual"/>
        </w:rPr>
      </w:pPr>
      <w:hyperlink w:anchor="_Toc142918581" w:history="1">
        <w:r w:rsidR="00FE5014" w:rsidRPr="00236BFD">
          <w:rPr>
            <w:rStyle w:val="Hyperlink"/>
            <w:noProof/>
          </w:rPr>
          <w:t>1.1</w:t>
        </w:r>
        <w:r w:rsidR="00FE5014">
          <w:rPr>
            <w:rFonts w:asciiTheme="minorHAnsi" w:hAnsiTheme="minorHAnsi"/>
            <w:noProof/>
            <w:kern w:val="2"/>
            <w:szCs w:val="22"/>
            <w:lang w:eastAsia="en-AU"/>
            <w14:ligatures w14:val="standardContextual"/>
          </w:rPr>
          <w:tab/>
        </w:r>
        <w:r w:rsidR="00FE5014" w:rsidRPr="00236BFD">
          <w:rPr>
            <w:rStyle w:val="Hyperlink"/>
            <w:noProof/>
          </w:rPr>
          <w:t>Dispute resolution in the NDIS</w:t>
        </w:r>
        <w:r w:rsidR="00FE5014">
          <w:rPr>
            <w:noProof/>
            <w:webHidden/>
          </w:rPr>
          <w:tab/>
        </w:r>
        <w:r w:rsidR="00FE5014">
          <w:rPr>
            <w:noProof/>
            <w:webHidden/>
          </w:rPr>
          <w:fldChar w:fldCharType="begin"/>
        </w:r>
        <w:r w:rsidR="00FE5014">
          <w:rPr>
            <w:noProof/>
            <w:webHidden/>
          </w:rPr>
          <w:instrText xml:space="preserve"> PAGEREF _Toc142918581 \h </w:instrText>
        </w:r>
        <w:r w:rsidR="00FE5014">
          <w:rPr>
            <w:noProof/>
            <w:webHidden/>
          </w:rPr>
        </w:r>
        <w:r w:rsidR="00FE5014">
          <w:rPr>
            <w:noProof/>
            <w:webHidden/>
          </w:rPr>
          <w:fldChar w:fldCharType="separate"/>
        </w:r>
        <w:r w:rsidR="000F1876">
          <w:rPr>
            <w:noProof/>
            <w:webHidden/>
          </w:rPr>
          <w:t>18</w:t>
        </w:r>
        <w:r w:rsidR="00FE5014">
          <w:rPr>
            <w:noProof/>
            <w:webHidden/>
          </w:rPr>
          <w:fldChar w:fldCharType="end"/>
        </w:r>
      </w:hyperlink>
    </w:p>
    <w:p w14:paraId="6A1BBF74" w14:textId="000D3138" w:rsidR="00FE5014" w:rsidRDefault="00000000">
      <w:pPr>
        <w:pStyle w:val="TOC2"/>
        <w:rPr>
          <w:rFonts w:asciiTheme="minorHAnsi" w:hAnsiTheme="minorHAnsi"/>
          <w:noProof/>
          <w:kern w:val="2"/>
          <w:szCs w:val="22"/>
          <w:lang w:eastAsia="en-AU"/>
          <w14:ligatures w14:val="standardContextual"/>
        </w:rPr>
      </w:pPr>
      <w:hyperlink w:anchor="_Toc142918582" w:history="1">
        <w:r w:rsidR="00FE5014" w:rsidRPr="00236BFD">
          <w:rPr>
            <w:rStyle w:val="Hyperlink"/>
            <w:noProof/>
          </w:rPr>
          <w:t>1.2</w:t>
        </w:r>
        <w:r w:rsidR="00FE5014">
          <w:rPr>
            <w:rFonts w:asciiTheme="minorHAnsi" w:hAnsiTheme="minorHAnsi"/>
            <w:noProof/>
            <w:kern w:val="2"/>
            <w:szCs w:val="22"/>
            <w:lang w:eastAsia="en-AU"/>
            <w14:ligatures w14:val="standardContextual"/>
          </w:rPr>
          <w:tab/>
        </w:r>
        <w:r w:rsidR="00FE5014" w:rsidRPr="00236BFD">
          <w:rPr>
            <w:rStyle w:val="Hyperlink"/>
            <w:noProof/>
          </w:rPr>
          <w:t>The Independent Expert Review Program</w:t>
        </w:r>
        <w:r w:rsidR="00FE5014">
          <w:rPr>
            <w:noProof/>
            <w:webHidden/>
          </w:rPr>
          <w:tab/>
        </w:r>
        <w:r w:rsidR="00FE5014">
          <w:rPr>
            <w:noProof/>
            <w:webHidden/>
          </w:rPr>
          <w:fldChar w:fldCharType="begin"/>
        </w:r>
        <w:r w:rsidR="00FE5014">
          <w:rPr>
            <w:noProof/>
            <w:webHidden/>
          </w:rPr>
          <w:instrText xml:space="preserve"> PAGEREF _Toc142918582 \h </w:instrText>
        </w:r>
        <w:r w:rsidR="00FE5014">
          <w:rPr>
            <w:noProof/>
            <w:webHidden/>
          </w:rPr>
        </w:r>
        <w:r w:rsidR="00FE5014">
          <w:rPr>
            <w:noProof/>
            <w:webHidden/>
          </w:rPr>
          <w:fldChar w:fldCharType="separate"/>
        </w:r>
        <w:r w:rsidR="000F1876">
          <w:rPr>
            <w:noProof/>
            <w:webHidden/>
          </w:rPr>
          <w:t>21</w:t>
        </w:r>
        <w:r w:rsidR="00FE5014">
          <w:rPr>
            <w:noProof/>
            <w:webHidden/>
          </w:rPr>
          <w:fldChar w:fldCharType="end"/>
        </w:r>
      </w:hyperlink>
    </w:p>
    <w:p w14:paraId="458CBA7A" w14:textId="6A2139F3" w:rsidR="00FE5014" w:rsidRDefault="00000000">
      <w:pPr>
        <w:pStyle w:val="TOC2"/>
        <w:rPr>
          <w:rFonts w:asciiTheme="minorHAnsi" w:hAnsiTheme="minorHAnsi"/>
          <w:noProof/>
          <w:kern w:val="2"/>
          <w:szCs w:val="22"/>
          <w:lang w:eastAsia="en-AU"/>
          <w14:ligatures w14:val="standardContextual"/>
        </w:rPr>
      </w:pPr>
      <w:hyperlink w:anchor="_Toc142918583" w:history="1">
        <w:r w:rsidR="00FE5014" w:rsidRPr="00FE5014">
          <w:rPr>
            <w:rStyle w:val="Hyperlink"/>
            <w:noProof/>
          </w:rPr>
          <w:t>1.3</w:t>
        </w:r>
        <w:r w:rsidR="00FE5014" w:rsidRPr="00FE5014">
          <w:rPr>
            <w:rFonts w:asciiTheme="minorHAnsi" w:hAnsiTheme="minorHAnsi"/>
            <w:noProof/>
            <w:kern w:val="2"/>
            <w:szCs w:val="22"/>
            <w:lang w:eastAsia="en-AU"/>
            <w14:ligatures w14:val="standardContextual"/>
          </w:rPr>
          <w:tab/>
        </w:r>
        <w:r w:rsidR="00FE5014" w:rsidRPr="00FE5014">
          <w:rPr>
            <w:rStyle w:val="Hyperlink"/>
            <w:noProof/>
          </w:rPr>
          <w:t>Case resolution through new NDIA initiatives</w:t>
        </w:r>
        <w:r w:rsidR="00FE5014" w:rsidRPr="00FE5014">
          <w:rPr>
            <w:noProof/>
            <w:webHidden/>
          </w:rPr>
          <w:tab/>
        </w:r>
        <w:r w:rsidR="00FE5014" w:rsidRPr="00FE5014">
          <w:rPr>
            <w:noProof/>
            <w:webHidden/>
          </w:rPr>
          <w:fldChar w:fldCharType="begin"/>
        </w:r>
        <w:r w:rsidR="00FE5014" w:rsidRPr="00FE5014">
          <w:rPr>
            <w:noProof/>
            <w:webHidden/>
          </w:rPr>
          <w:instrText xml:space="preserve"> PAGEREF _Toc142918583 \h </w:instrText>
        </w:r>
        <w:r w:rsidR="00FE5014" w:rsidRPr="00FE5014">
          <w:rPr>
            <w:noProof/>
            <w:webHidden/>
          </w:rPr>
        </w:r>
        <w:r w:rsidR="00FE5014" w:rsidRPr="00FE5014">
          <w:rPr>
            <w:noProof/>
            <w:webHidden/>
          </w:rPr>
          <w:fldChar w:fldCharType="separate"/>
        </w:r>
        <w:r w:rsidR="000F1876">
          <w:rPr>
            <w:noProof/>
            <w:webHidden/>
          </w:rPr>
          <w:t>24</w:t>
        </w:r>
        <w:r w:rsidR="00FE5014" w:rsidRPr="00FE5014">
          <w:rPr>
            <w:noProof/>
            <w:webHidden/>
          </w:rPr>
          <w:fldChar w:fldCharType="end"/>
        </w:r>
      </w:hyperlink>
    </w:p>
    <w:p w14:paraId="42DAC565" w14:textId="340E5A66" w:rsidR="00FE5014" w:rsidRDefault="00000000">
      <w:pPr>
        <w:pStyle w:val="TOC2"/>
        <w:rPr>
          <w:rFonts w:asciiTheme="minorHAnsi" w:hAnsiTheme="minorHAnsi"/>
          <w:noProof/>
          <w:kern w:val="2"/>
          <w:szCs w:val="22"/>
          <w:lang w:eastAsia="en-AU"/>
          <w14:ligatures w14:val="standardContextual"/>
        </w:rPr>
      </w:pPr>
      <w:hyperlink w:anchor="_Toc142918584" w:history="1">
        <w:r w:rsidR="00FE5014" w:rsidRPr="00236BFD">
          <w:rPr>
            <w:rStyle w:val="Hyperlink"/>
            <w:noProof/>
          </w:rPr>
          <w:t>1.4</w:t>
        </w:r>
        <w:r w:rsidR="00FE5014">
          <w:rPr>
            <w:rFonts w:asciiTheme="minorHAnsi" w:hAnsiTheme="minorHAnsi"/>
            <w:noProof/>
            <w:kern w:val="2"/>
            <w:szCs w:val="22"/>
            <w:lang w:eastAsia="en-AU"/>
            <w14:ligatures w14:val="standardContextual"/>
          </w:rPr>
          <w:tab/>
        </w:r>
        <w:r w:rsidR="00FE5014" w:rsidRPr="00236BFD">
          <w:rPr>
            <w:rStyle w:val="Hyperlink"/>
            <w:noProof/>
          </w:rPr>
          <w:t>The evaluation</w:t>
        </w:r>
        <w:r w:rsidR="00FE5014">
          <w:rPr>
            <w:noProof/>
            <w:webHidden/>
          </w:rPr>
          <w:tab/>
        </w:r>
        <w:r w:rsidR="00FE5014">
          <w:rPr>
            <w:noProof/>
            <w:webHidden/>
          </w:rPr>
          <w:fldChar w:fldCharType="begin"/>
        </w:r>
        <w:r w:rsidR="00FE5014">
          <w:rPr>
            <w:noProof/>
            <w:webHidden/>
          </w:rPr>
          <w:instrText xml:space="preserve"> PAGEREF _Toc142918584 \h </w:instrText>
        </w:r>
        <w:r w:rsidR="00FE5014">
          <w:rPr>
            <w:noProof/>
            <w:webHidden/>
          </w:rPr>
        </w:r>
        <w:r w:rsidR="00FE5014">
          <w:rPr>
            <w:noProof/>
            <w:webHidden/>
          </w:rPr>
          <w:fldChar w:fldCharType="separate"/>
        </w:r>
        <w:r w:rsidR="000F1876">
          <w:rPr>
            <w:noProof/>
            <w:webHidden/>
          </w:rPr>
          <w:t>25</w:t>
        </w:r>
        <w:r w:rsidR="00FE5014">
          <w:rPr>
            <w:noProof/>
            <w:webHidden/>
          </w:rPr>
          <w:fldChar w:fldCharType="end"/>
        </w:r>
      </w:hyperlink>
    </w:p>
    <w:p w14:paraId="5DD37CD2" w14:textId="401B9C00" w:rsidR="00FE5014" w:rsidRDefault="00000000">
      <w:pPr>
        <w:pStyle w:val="TOC2"/>
        <w:rPr>
          <w:rFonts w:asciiTheme="minorHAnsi" w:hAnsiTheme="minorHAnsi"/>
          <w:noProof/>
          <w:kern w:val="2"/>
          <w:szCs w:val="22"/>
          <w:lang w:eastAsia="en-AU"/>
          <w14:ligatures w14:val="standardContextual"/>
        </w:rPr>
      </w:pPr>
      <w:hyperlink w:anchor="_Toc142918585" w:history="1">
        <w:r w:rsidR="00FE5014" w:rsidRPr="00236BFD">
          <w:rPr>
            <w:rStyle w:val="Hyperlink"/>
            <w:noProof/>
          </w:rPr>
          <w:t>1.5</w:t>
        </w:r>
        <w:r w:rsidR="00FE5014">
          <w:rPr>
            <w:rFonts w:asciiTheme="minorHAnsi" w:hAnsiTheme="minorHAnsi"/>
            <w:noProof/>
            <w:kern w:val="2"/>
            <w:szCs w:val="22"/>
            <w:lang w:eastAsia="en-AU"/>
            <w14:ligatures w14:val="standardContextual"/>
          </w:rPr>
          <w:tab/>
        </w:r>
        <w:r w:rsidR="00FE5014" w:rsidRPr="00236BFD">
          <w:rPr>
            <w:rStyle w:val="Hyperlink"/>
            <w:noProof/>
          </w:rPr>
          <w:t>This report</w:t>
        </w:r>
        <w:r w:rsidR="00FE5014">
          <w:rPr>
            <w:noProof/>
            <w:webHidden/>
          </w:rPr>
          <w:tab/>
        </w:r>
        <w:r w:rsidR="00FE5014">
          <w:rPr>
            <w:noProof/>
            <w:webHidden/>
          </w:rPr>
          <w:fldChar w:fldCharType="begin"/>
        </w:r>
        <w:r w:rsidR="00FE5014">
          <w:rPr>
            <w:noProof/>
            <w:webHidden/>
          </w:rPr>
          <w:instrText xml:space="preserve"> PAGEREF _Toc142918585 \h </w:instrText>
        </w:r>
        <w:r w:rsidR="00FE5014">
          <w:rPr>
            <w:noProof/>
            <w:webHidden/>
          </w:rPr>
        </w:r>
        <w:r w:rsidR="00FE5014">
          <w:rPr>
            <w:noProof/>
            <w:webHidden/>
          </w:rPr>
          <w:fldChar w:fldCharType="separate"/>
        </w:r>
        <w:r w:rsidR="000F1876">
          <w:rPr>
            <w:noProof/>
            <w:webHidden/>
          </w:rPr>
          <w:t>26</w:t>
        </w:r>
        <w:r w:rsidR="00FE5014">
          <w:rPr>
            <w:noProof/>
            <w:webHidden/>
          </w:rPr>
          <w:fldChar w:fldCharType="end"/>
        </w:r>
      </w:hyperlink>
    </w:p>
    <w:p w14:paraId="156868EC" w14:textId="72B39D1A" w:rsidR="00FE5014" w:rsidRDefault="00000000">
      <w:pPr>
        <w:pStyle w:val="TOC1"/>
        <w:tabs>
          <w:tab w:val="left" w:pos="440"/>
        </w:tabs>
        <w:rPr>
          <w:rFonts w:asciiTheme="minorHAnsi" w:hAnsiTheme="minorHAnsi"/>
          <w:noProof/>
          <w:kern w:val="2"/>
          <w:szCs w:val="22"/>
          <w:lang w:eastAsia="en-AU"/>
          <w14:ligatures w14:val="standardContextual"/>
        </w:rPr>
      </w:pPr>
      <w:hyperlink w:anchor="_Toc142918586" w:history="1">
        <w:r w:rsidR="00FE5014" w:rsidRPr="00236BFD">
          <w:rPr>
            <w:rStyle w:val="Hyperlink"/>
            <w:noProof/>
          </w:rPr>
          <w:t>2.</w:t>
        </w:r>
        <w:r w:rsidR="00FE5014">
          <w:rPr>
            <w:rFonts w:asciiTheme="minorHAnsi" w:hAnsiTheme="minorHAnsi"/>
            <w:noProof/>
            <w:kern w:val="2"/>
            <w:szCs w:val="22"/>
            <w:lang w:eastAsia="en-AU"/>
            <w14:ligatures w14:val="standardContextual"/>
          </w:rPr>
          <w:tab/>
        </w:r>
        <w:r w:rsidR="00FE5014" w:rsidRPr="00236BFD">
          <w:rPr>
            <w:rStyle w:val="Hyperlink"/>
            <w:noProof/>
          </w:rPr>
          <w:t>Data and methods</w:t>
        </w:r>
        <w:r w:rsidR="00FE5014">
          <w:rPr>
            <w:noProof/>
            <w:webHidden/>
          </w:rPr>
          <w:tab/>
        </w:r>
        <w:r w:rsidR="00FE5014">
          <w:rPr>
            <w:noProof/>
            <w:webHidden/>
          </w:rPr>
          <w:fldChar w:fldCharType="begin"/>
        </w:r>
        <w:r w:rsidR="00FE5014">
          <w:rPr>
            <w:noProof/>
            <w:webHidden/>
          </w:rPr>
          <w:instrText xml:space="preserve"> PAGEREF _Toc142918586 \h </w:instrText>
        </w:r>
        <w:r w:rsidR="00FE5014">
          <w:rPr>
            <w:noProof/>
            <w:webHidden/>
          </w:rPr>
        </w:r>
        <w:r w:rsidR="00FE5014">
          <w:rPr>
            <w:noProof/>
            <w:webHidden/>
          </w:rPr>
          <w:fldChar w:fldCharType="separate"/>
        </w:r>
        <w:r w:rsidR="000F1876">
          <w:rPr>
            <w:noProof/>
            <w:webHidden/>
          </w:rPr>
          <w:t>27</w:t>
        </w:r>
        <w:r w:rsidR="00FE5014">
          <w:rPr>
            <w:noProof/>
            <w:webHidden/>
          </w:rPr>
          <w:fldChar w:fldCharType="end"/>
        </w:r>
      </w:hyperlink>
    </w:p>
    <w:p w14:paraId="618DD709" w14:textId="3EC32D3A" w:rsidR="00FE5014" w:rsidRDefault="00000000">
      <w:pPr>
        <w:pStyle w:val="TOC2"/>
        <w:rPr>
          <w:rFonts w:asciiTheme="minorHAnsi" w:hAnsiTheme="minorHAnsi"/>
          <w:noProof/>
          <w:kern w:val="2"/>
          <w:szCs w:val="22"/>
          <w:lang w:eastAsia="en-AU"/>
          <w14:ligatures w14:val="standardContextual"/>
        </w:rPr>
      </w:pPr>
      <w:hyperlink w:anchor="_Toc142918587" w:history="1">
        <w:r w:rsidR="00FE5014" w:rsidRPr="00236BFD">
          <w:rPr>
            <w:rStyle w:val="Hyperlink"/>
            <w:noProof/>
          </w:rPr>
          <w:t>2.1</w:t>
        </w:r>
        <w:r w:rsidR="00FE5014">
          <w:rPr>
            <w:rFonts w:asciiTheme="minorHAnsi" w:hAnsiTheme="minorHAnsi"/>
            <w:noProof/>
            <w:kern w:val="2"/>
            <w:szCs w:val="22"/>
            <w:lang w:eastAsia="en-AU"/>
            <w14:ligatures w14:val="standardContextual"/>
          </w:rPr>
          <w:tab/>
        </w:r>
        <w:r w:rsidR="00FE5014" w:rsidRPr="00236BFD">
          <w:rPr>
            <w:rStyle w:val="Hyperlink"/>
            <w:noProof/>
          </w:rPr>
          <w:t>Administrative data and documents</w:t>
        </w:r>
        <w:r w:rsidR="00FE5014">
          <w:rPr>
            <w:noProof/>
            <w:webHidden/>
          </w:rPr>
          <w:tab/>
        </w:r>
        <w:r w:rsidR="00FE5014">
          <w:rPr>
            <w:noProof/>
            <w:webHidden/>
          </w:rPr>
          <w:fldChar w:fldCharType="begin"/>
        </w:r>
        <w:r w:rsidR="00FE5014">
          <w:rPr>
            <w:noProof/>
            <w:webHidden/>
          </w:rPr>
          <w:instrText xml:space="preserve"> PAGEREF _Toc142918587 \h </w:instrText>
        </w:r>
        <w:r w:rsidR="00FE5014">
          <w:rPr>
            <w:noProof/>
            <w:webHidden/>
          </w:rPr>
        </w:r>
        <w:r w:rsidR="00FE5014">
          <w:rPr>
            <w:noProof/>
            <w:webHidden/>
          </w:rPr>
          <w:fldChar w:fldCharType="separate"/>
        </w:r>
        <w:r w:rsidR="000F1876">
          <w:rPr>
            <w:noProof/>
            <w:webHidden/>
          </w:rPr>
          <w:t>27</w:t>
        </w:r>
        <w:r w:rsidR="00FE5014">
          <w:rPr>
            <w:noProof/>
            <w:webHidden/>
          </w:rPr>
          <w:fldChar w:fldCharType="end"/>
        </w:r>
      </w:hyperlink>
    </w:p>
    <w:p w14:paraId="197F620B" w14:textId="13E8567F" w:rsidR="00FE5014" w:rsidRDefault="00000000">
      <w:pPr>
        <w:pStyle w:val="TOC2"/>
        <w:rPr>
          <w:rFonts w:asciiTheme="minorHAnsi" w:hAnsiTheme="minorHAnsi"/>
          <w:noProof/>
          <w:kern w:val="2"/>
          <w:szCs w:val="22"/>
          <w:lang w:eastAsia="en-AU"/>
          <w14:ligatures w14:val="standardContextual"/>
        </w:rPr>
      </w:pPr>
      <w:hyperlink w:anchor="_Toc142918588" w:history="1">
        <w:r w:rsidR="00FE5014" w:rsidRPr="00236BFD">
          <w:rPr>
            <w:rStyle w:val="Hyperlink"/>
            <w:noProof/>
          </w:rPr>
          <w:t>2.2</w:t>
        </w:r>
        <w:r w:rsidR="00FE5014">
          <w:rPr>
            <w:rFonts w:asciiTheme="minorHAnsi" w:hAnsiTheme="minorHAnsi"/>
            <w:noProof/>
            <w:kern w:val="2"/>
            <w:szCs w:val="22"/>
            <w:lang w:eastAsia="en-AU"/>
            <w14:ligatures w14:val="standardContextual"/>
          </w:rPr>
          <w:tab/>
        </w:r>
        <w:r w:rsidR="00FE5014" w:rsidRPr="00236BFD">
          <w:rPr>
            <w:rStyle w:val="Hyperlink"/>
            <w:noProof/>
          </w:rPr>
          <w:t>Stakeholder interviews</w:t>
        </w:r>
        <w:r w:rsidR="00FE5014">
          <w:rPr>
            <w:noProof/>
            <w:webHidden/>
          </w:rPr>
          <w:tab/>
        </w:r>
        <w:r w:rsidR="00FE5014">
          <w:rPr>
            <w:noProof/>
            <w:webHidden/>
          </w:rPr>
          <w:fldChar w:fldCharType="begin"/>
        </w:r>
        <w:r w:rsidR="00FE5014">
          <w:rPr>
            <w:noProof/>
            <w:webHidden/>
          </w:rPr>
          <w:instrText xml:space="preserve"> PAGEREF _Toc142918588 \h </w:instrText>
        </w:r>
        <w:r w:rsidR="00FE5014">
          <w:rPr>
            <w:noProof/>
            <w:webHidden/>
          </w:rPr>
        </w:r>
        <w:r w:rsidR="00FE5014">
          <w:rPr>
            <w:noProof/>
            <w:webHidden/>
          </w:rPr>
          <w:fldChar w:fldCharType="separate"/>
        </w:r>
        <w:r w:rsidR="000F1876">
          <w:rPr>
            <w:noProof/>
            <w:webHidden/>
          </w:rPr>
          <w:t>27</w:t>
        </w:r>
        <w:r w:rsidR="00FE5014">
          <w:rPr>
            <w:noProof/>
            <w:webHidden/>
          </w:rPr>
          <w:fldChar w:fldCharType="end"/>
        </w:r>
      </w:hyperlink>
    </w:p>
    <w:p w14:paraId="46E0F771" w14:textId="7F877FFF" w:rsidR="00FE5014" w:rsidRDefault="00000000">
      <w:pPr>
        <w:pStyle w:val="TOC2"/>
        <w:rPr>
          <w:rFonts w:asciiTheme="minorHAnsi" w:hAnsiTheme="minorHAnsi"/>
          <w:noProof/>
          <w:kern w:val="2"/>
          <w:szCs w:val="22"/>
          <w:lang w:eastAsia="en-AU"/>
          <w14:ligatures w14:val="standardContextual"/>
        </w:rPr>
      </w:pPr>
      <w:hyperlink w:anchor="_Toc142918589" w:history="1">
        <w:r w:rsidR="00FE5014" w:rsidRPr="00236BFD">
          <w:rPr>
            <w:rStyle w:val="Hyperlink"/>
            <w:noProof/>
          </w:rPr>
          <w:t>2.3</w:t>
        </w:r>
        <w:r w:rsidR="00FE5014">
          <w:rPr>
            <w:rFonts w:asciiTheme="minorHAnsi" w:hAnsiTheme="minorHAnsi"/>
            <w:noProof/>
            <w:kern w:val="2"/>
            <w:szCs w:val="22"/>
            <w:lang w:eastAsia="en-AU"/>
            <w14:ligatures w14:val="standardContextual"/>
          </w:rPr>
          <w:tab/>
        </w:r>
        <w:r w:rsidR="00FE5014" w:rsidRPr="00236BFD">
          <w:rPr>
            <w:rStyle w:val="Hyperlink"/>
            <w:noProof/>
          </w:rPr>
          <w:t>Online surveys</w:t>
        </w:r>
        <w:r w:rsidR="00FE5014">
          <w:rPr>
            <w:noProof/>
            <w:webHidden/>
          </w:rPr>
          <w:tab/>
        </w:r>
        <w:r w:rsidR="00FE5014">
          <w:rPr>
            <w:noProof/>
            <w:webHidden/>
          </w:rPr>
          <w:fldChar w:fldCharType="begin"/>
        </w:r>
        <w:r w:rsidR="00FE5014">
          <w:rPr>
            <w:noProof/>
            <w:webHidden/>
          </w:rPr>
          <w:instrText xml:space="preserve"> PAGEREF _Toc142918589 \h </w:instrText>
        </w:r>
        <w:r w:rsidR="00FE5014">
          <w:rPr>
            <w:noProof/>
            <w:webHidden/>
          </w:rPr>
        </w:r>
        <w:r w:rsidR="00FE5014">
          <w:rPr>
            <w:noProof/>
            <w:webHidden/>
          </w:rPr>
          <w:fldChar w:fldCharType="separate"/>
        </w:r>
        <w:r w:rsidR="000F1876">
          <w:rPr>
            <w:noProof/>
            <w:webHidden/>
          </w:rPr>
          <w:t>28</w:t>
        </w:r>
        <w:r w:rsidR="00FE5014">
          <w:rPr>
            <w:noProof/>
            <w:webHidden/>
          </w:rPr>
          <w:fldChar w:fldCharType="end"/>
        </w:r>
      </w:hyperlink>
    </w:p>
    <w:p w14:paraId="3F8193C6" w14:textId="7FA6F93B" w:rsidR="00FE5014" w:rsidRDefault="00000000">
      <w:pPr>
        <w:pStyle w:val="TOC2"/>
        <w:rPr>
          <w:rFonts w:asciiTheme="minorHAnsi" w:hAnsiTheme="minorHAnsi"/>
          <w:noProof/>
          <w:kern w:val="2"/>
          <w:szCs w:val="22"/>
          <w:lang w:eastAsia="en-AU"/>
          <w14:ligatures w14:val="standardContextual"/>
        </w:rPr>
      </w:pPr>
      <w:hyperlink w:anchor="_Toc142918590" w:history="1">
        <w:r w:rsidR="00FE5014" w:rsidRPr="00236BFD">
          <w:rPr>
            <w:rStyle w:val="Hyperlink"/>
            <w:noProof/>
          </w:rPr>
          <w:t>2.4</w:t>
        </w:r>
        <w:r w:rsidR="00FE5014">
          <w:rPr>
            <w:rFonts w:asciiTheme="minorHAnsi" w:hAnsiTheme="minorHAnsi"/>
            <w:noProof/>
            <w:kern w:val="2"/>
            <w:szCs w:val="22"/>
            <w:lang w:eastAsia="en-AU"/>
            <w14:ligatures w14:val="standardContextual"/>
          </w:rPr>
          <w:tab/>
        </w:r>
        <w:r w:rsidR="00FE5014" w:rsidRPr="00236BFD">
          <w:rPr>
            <w:rStyle w:val="Hyperlink"/>
            <w:noProof/>
          </w:rPr>
          <w:t>Data analysis</w:t>
        </w:r>
        <w:r w:rsidR="00FE5014">
          <w:rPr>
            <w:noProof/>
            <w:webHidden/>
          </w:rPr>
          <w:tab/>
        </w:r>
        <w:r w:rsidR="00FE5014">
          <w:rPr>
            <w:noProof/>
            <w:webHidden/>
          </w:rPr>
          <w:fldChar w:fldCharType="begin"/>
        </w:r>
        <w:r w:rsidR="00FE5014">
          <w:rPr>
            <w:noProof/>
            <w:webHidden/>
          </w:rPr>
          <w:instrText xml:space="preserve"> PAGEREF _Toc142918590 \h </w:instrText>
        </w:r>
        <w:r w:rsidR="00FE5014">
          <w:rPr>
            <w:noProof/>
            <w:webHidden/>
          </w:rPr>
        </w:r>
        <w:r w:rsidR="00FE5014">
          <w:rPr>
            <w:noProof/>
            <w:webHidden/>
          </w:rPr>
          <w:fldChar w:fldCharType="separate"/>
        </w:r>
        <w:r w:rsidR="000F1876">
          <w:rPr>
            <w:noProof/>
            <w:webHidden/>
          </w:rPr>
          <w:t>28</w:t>
        </w:r>
        <w:r w:rsidR="00FE5014">
          <w:rPr>
            <w:noProof/>
            <w:webHidden/>
          </w:rPr>
          <w:fldChar w:fldCharType="end"/>
        </w:r>
      </w:hyperlink>
    </w:p>
    <w:p w14:paraId="690EF815" w14:textId="77687579" w:rsidR="00FE5014" w:rsidRDefault="00000000">
      <w:pPr>
        <w:pStyle w:val="TOC2"/>
        <w:rPr>
          <w:rFonts w:asciiTheme="minorHAnsi" w:hAnsiTheme="minorHAnsi"/>
          <w:noProof/>
          <w:kern w:val="2"/>
          <w:szCs w:val="22"/>
          <w:lang w:eastAsia="en-AU"/>
          <w14:ligatures w14:val="standardContextual"/>
        </w:rPr>
      </w:pPr>
      <w:hyperlink w:anchor="_Toc142918591" w:history="1">
        <w:r w:rsidR="00FE5014" w:rsidRPr="00236BFD">
          <w:rPr>
            <w:rStyle w:val="Hyperlink"/>
            <w:noProof/>
          </w:rPr>
          <w:t>2.5</w:t>
        </w:r>
        <w:r w:rsidR="00FE5014">
          <w:rPr>
            <w:rFonts w:asciiTheme="minorHAnsi" w:hAnsiTheme="minorHAnsi"/>
            <w:noProof/>
            <w:kern w:val="2"/>
            <w:szCs w:val="22"/>
            <w:lang w:eastAsia="en-AU"/>
            <w14:ligatures w14:val="standardContextual"/>
          </w:rPr>
          <w:tab/>
        </w:r>
        <w:r w:rsidR="00FE5014" w:rsidRPr="00236BFD">
          <w:rPr>
            <w:rStyle w:val="Hyperlink"/>
            <w:noProof/>
          </w:rPr>
          <w:t>IERP cost analysis</w:t>
        </w:r>
        <w:r w:rsidR="00FE5014">
          <w:rPr>
            <w:noProof/>
            <w:webHidden/>
          </w:rPr>
          <w:tab/>
        </w:r>
        <w:r w:rsidR="00FE5014">
          <w:rPr>
            <w:noProof/>
            <w:webHidden/>
          </w:rPr>
          <w:fldChar w:fldCharType="begin"/>
        </w:r>
        <w:r w:rsidR="00FE5014">
          <w:rPr>
            <w:noProof/>
            <w:webHidden/>
          </w:rPr>
          <w:instrText xml:space="preserve"> PAGEREF _Toc142918591 \h </w:instrText>
        </w:r>
        <w:r w:rsidR="00FE5014">
          <w:rPr>
            <w:noProof/>
            <w:webHidden/>
          </w:rPr>
        </w:r>
        <w:r w:rsidR="00FE5014">
          <w:rPr>
            <w:noProof/>
            <w:webHidden/>
          </w:rPr>
          <w:fldChar w:fldCharType="separate"/>
        </w:r>
        <w:r w:rsidR="000F1876">
          <w:rPr>
            <w:noProof/>
            <w:webHidden/>
          </w:rPr>
          <w:t>30</w:t>
        </w:r>
        <w:r w:rsidR="00FE5014">
          <w:rPr>
            <w:noProof/>
            <w:webHidden/>
          </w:rPr>
          <w:fldChar w:fldCharType="end"/>
        </w:r>
      </w:hyperlink>
    </w:p>
    <w:p w14:paraId="7E501FB5" w14:textId="3D495F6F" w:rsidR="00FE5014" w:rsidRDefault="00000000">
      <w:pPr>
        <w:pStyle w:val="TOC2"/>
        <w:rPr>
          <w:rFonts w:asciiTheme="minorHAnsi" w:hAnsiTheme="minorHAnsi"/>
          <w:noProof/>
          <w:kern w:val="2"/>
          <w:szCs w:val="22"/>
          <w:lang w:eastAsia="en-AU"/>
          <w14:ligatures w14:val="standardContextual"/>
        </w:rPr>
      </w:pPr>
      <w:hyperlink w:anchor="_Toc142918592" w:history="1">
        <w:r w:rsidR="00FE5014" w:rsidRPr="00236BFD">
          <w:rPr>
            <w:rStyle w:val="Hyperlink"/>
            <w:noProof/>
          </w:rPr>
          <w:t>2.6</w:t>
        </w:r>
        <w:r w:rsidR="00FE5014">
          <w:rPr>
            <w:rFonts w:asciiTheme="minorHAnsi" w:hAnsiTheme="minorHAnsi"/>
            <w:noProof/>
            <w:kern w:val="2"/>
            <w:szCs w:val="22"/>
            <w:lang w:eastAsia="en-AU"/>
            <w14:ligatures w14:val="standardContextual"/>
          </w:rPr>
          <w:tab/>
        </w:r>
        <w:r w:rsidR="00FE5014" w:rsidRPr="00236BFD">
          <w:rPr>
            <w:rStyle w:val="Hyperlink"/>
            <w:noProof/>
          </w:rPr>
          <w:t>Ethical considerations</w:t>
        </w:r>
        <w:r w:rsidR="00FE5014">
          <w:rPr>
            <w:noProof/>
            <w:webHidden/>
          </w:rPr>
          <w:tab/>
        </w:r>
        <w:r w:rsidR="00FE5014">
          <w:rPr>
            <w:noProof/>
            <w:webHidden/>
          </w:rPr>
          <w:fldChar w:fldCharType="begin"/>
        </w:r>
        <w:r w:rsidR="00FE5014">
          <w:rPr>
            <w:noProof/>
            <w:webHidden/>
          </w:rPr>
          <w:instrText xml:space="preserve"> PAGEREF _Toc142918592 \h </w:instrText>
        </w:r>
        <w:r w:rsidR="00FE5014">
          <w:rPr>
            <w:noProof/>
            <w:webHidden/>
          </w:rPr>
        </w:r>
        <w:r w:rsidR="00FE5014">
          <w:rPr>
            <w:noProof/>
            <w:webHidden/>
          </w:rPr>
          <w:fldChar w:fldCharType="separate"/>
        </w:r>
        <w:r w:rsidR="000F1876">
          <w:rPr>
            <w:noProof/>
            <w:webHidden/>
          </w:rPr>
          <w:t>31</w:t>
        </w:r>
        <w:r w:rsidR="00FE5014">
          <w:rPr>
            <w:noProof/>
            <w:webHidden/>
          </w:rPr>
          <w:fldChar w:fldCharType="end"/>
        </w:r>
      </w:hyperlink>
    </w:p>
    <w:p w14:paraId="62DD5A0A" w14:textId="00573B47" w:rsidR="00FE5014" w:rsidRDefault="00000000">
      <w:pPr>
        <w:pStyle w:val="TOC1"/>
        <w:tabs>
          <w:tab w:val="left" w:pos="440"/>
        </w:tabs>
        <w:rPr>
          <w:rFonts w:asciiTheme="minorHAnsi" w:hAnsiTheme="minorHAnsi"/>
          <w:noProof/>
          <w:kern w:val="2"/>
          <w:szCs w:val="22"/>
          <w:lang w:eastAsia="en-AU"/>
          <w14:ligatures w14:val="standardContextual"/>
        </w:rPr>
      </w:pPr>
      <w:hyperlink w:anchor="_Toc142918593" w:history="1">
        <w:r w:rsidR="00FE5014" w:rsidRPr="00236BFD">
          <w:rPr>
            <w:rStyle w:val="Hyperlink"/>
            <w:noProof/>
          </w:rPr>
          <w:t>3.</w:t>
        </w:r>
        <w:r w:rsidR="00FE5014">
          <w:rPr>
            <w:rFonts w:asciiTheme="minorHAnsi" w:hAnsiTheme="minorHAnsi"/>
            <w:noProof/>
            <w:kern w:val="2"/>
            <w:szCs w:val="22"/>
            <w:lang w:eastAsia="en-AU"/>
            <w14:ligatures w14:val="standardContextual"/>
          </w:rPr>
          <w:tab/>
        </w:r>
        <w:r w:rsidR="00FE5014" w:rsidRPr="00236BFD">
          <w:rPr>
            <w:rStyle w:val="Hyperlink"/>
            <w:noProof/>
          </w:rPr>
          <w:t>Participant experience and satisfaction</w:t>
        </w:r>
        <w:r w:rsidR="00FE5014">
          <w:rPr>
            <w:noProof/>
            <w:webHidden/>
          </w:rPr>
          <w:tab/>
        </w:r>
        <w:r w:rsidR="00FE5014">
          <w:rPr>
            <w:noProof/>
            <w:webHidden/>
          </w:rPr>
          <w:fldChar w:fldCharType="begin"/>
        </w:r>
        <w:r w:rsidR="00FE5014">
          <w:rPr>
            <w:noProof/>
            <w:webHidden/>
          </w:rPr>
          <w:instrText xml:space="preserve"> PAGEREF _Toc142918593 \h </w:instrText>
        </w:r>
        <w:r w:rsidR="00FE5014">
          <w:rPr>
            <w:noProof/>
            <w:webHidden/>
          </w:rPr>
        </w:r>
        <w:r w:rsidR="00FE5014">
          <w:rPr>
            <w:noProof/>
            <w:webHidden/>
          </w:rPr>
          <w:fldChar w:fldCharType="separate"/>
        </w:r>
        <w:r w:rsidR="000F1876">
          <w:rPr>
            <w:noProof/>
            <w:webHidden/>
          </w:rPr>
          <w:t>33</w:t>
        </w:r>
        <w:r w:rsidR="00FE5014">
          <w:rPr>
            <w:noProof/>
            <w:webHidden/>
          </w:rPr>
          <w:fldChar w:fldCharType="end"/>
        </w:r>
      </w:hyperlink>
    </w:p>
    <w:p w14:paraId="60D41210" w14:textId="1A3A4EB9" w:rsidR="00FE5014" w:rsidRDefault="00000000">
      <w:pPr>
        <w:pStyle w:val="TOC2"/>
        <w:rPr>
          <w:rFonts w:asciiTheme="minorHAnsi" w:hAnsiTheme="minorHAnsi"/>
          <w:noProof/>
          <w:kern w:val="2"/>
          <w:szCs w:val="22"/>
          <w:lang w:eastAsia="en-AU"/>
          <w14:ligatures w14:val="standardContextual"/>
        </w:rPr>
      </w:pPr>
      <w:hyperlink w:anchor="_Toc142918594" w:history="1">
        <w:r w:rsidR="00FE5014" w:rsidRPr="00236BFD">
          <w:rPr>
            <w:rStyle w:val="Hyperlink"/>
            <w:noProof/>
          </w:rPr>
          <w:t>3.1</w:t>
        </w:r>
        <w:r w:rsidR="00FE5014">
          <w:rPr>
            <w:rFonts w:asciiTheme="minorHAnsi" w:hAnsiTheme="minorHAnsi"/>
            <w:noProof/>
            <w:kern w:val="2"/>
            <w:szCs w:val="22"/>
            <w:lang w:eastAsia="en-AU"/>
            <w14:ligatures w14:val="standardContextual"/>
          </w:rPr>
          <w:tab/>
        </w:r>
        <w:r w:rsidR="00FE5014" w:rsidRPr="00236BFD">
          <w:rPr>
            <w:rStyle w:val="Hyperlink"/>
            <w:noProof/>
          </w:rPr>
          <w:t>Participant acceptance of an independent expert reviewing their matter</w:t>
        </w:r>
        <w:r w:rsidR="00FE5014">
          <w:rPr>
            <w:noProof/>
            <w:webHidden/>
          </w:rPr>
          <w:tab/>
        </w:r>
        <w:r w:rsidR="00FE5014">
          <w:rPr>
            <w:noProof/>
            <w:webHidden/>
          </w:rPr>
          <w:fldChar w:fldCharType="begin"/>
        </w:r>
        <w:r w:rsidR="00FE5014">
          <w:rPr>
            <w:noProof/>
            <w:webHidden/>
          </w:rPr>
          <w:instrText xml:space="preserve"> PAGEREF _Toc142918594 \h </w:instrText>
        </w:r>
        <w:r w:rsidR="00FE5014">
          <w:rPr>
            <w:noProof/>
            <w:webHidden/>
          </w:rPr>
        </w:r>
        <w:r w:rsidR="00FE5014">
          <w:rPr>
            <w:noProof/>
            <w:webHidden/>
          </w:rPr>
          <w:fldChar w:fldCharType="separate"/>
        </w:r>
        <w:r w:rsidR="000F1876">
          <w:rPr>
            <w:noProof/>
            <w:webHidden/>
          </w:rPr>
          <w:t>33</w:t>
        </w:r>
        <w:r w:rsidR="00FE5014">
          <w:rPr>
            <w:noProof/>
            <w:webHidden/>
          </w:rPr>
          <w:fldChar w:fldCharType="end"/>
        </w:r>
      </w:hyperlink>
    </w:p>
    <w:p w14:paraId="42C5E740" w14:textId="524656B0" w:rsidR="00FE5014" w:rsidRDefault="00000000">
      <w:pPr>
        <w:pStyle w:val="TOC2"/>
        <w:rPr>
          <w:rFonts w:asciiTheme="minorHAnsi" w:hAnsiTheme="minorHAnsi"/>
          <w:noProof/>
          <w:kern w:val="2"/>
          <w:szCs w:val="22"/>
          <w:lang w:eastAsia="en-AU"/>
          <w14:ligatures w14:val="standardContextual"/>
        </w:rPr>
      </w:pPr>
      <w:hyperlink w:anchor="_Toc142918595" w:history="1">
        <w:r w:rsidR="00FE5014" w:rsidRPr="00236BFD">
          <w:rPr>
            <w:rStyle w:val="Hyperlink"/>
            <w:noProof/>
          </w:rPr>
          <w:t>3.2</w:t>
        </w:r>
        <w:r w:rsidR="00FE5014">
          <w:rPr>
            <w:rFonts w:asciiTheme="minorHAnsi" w:hAnsiTheme="minorHAnsi"/>
            <w:noProof/>
            <w:kern w:val="2"/>
            <w:szCs w:val="22"/>
            <w:lang w:eastAsia="en-AU"/>
            <w14:ligatures w14:val="standardContextual"/>
          </w:rPr>
          <w:tab/>
        </w:r>
        <w:r w:rsidR="00FE5014" w:rsidRPr="00236BFD">
          <w:rPr>
            <w:rStyle w:val="Hyperlink"/>
            <w:noProof/>
          </w:rPr>
          <w:t>Participant and representative satisfaction with the IERP</w:t>
        </w:r>
        <w:r w:rsidR="00FE5014">
          <w:rPr>
            <w:noProof/>
            <w:webHidden/>
          </w:rPr>
          <w:tab/>
        </w:r>
        <w:r w:rsidR="00FE5014">
          <w:rPr>
            <w:noProof/>
            <w:webHidden/>
          </w:rPr>
          <w:fldChar w:fldCharType="begin"/>
        </w:r>
        <w:r w:rsidR="00FE5014">
          <w:rPr>
            <w:noProof/>
            <w:webHidden/>
          </w:rPr>
          <w:instrText xml:space="preserve"> PAGEREF _Toc142918595 \h </w:instrText>
        </w:r>
        <w:r w:rsidR="00FE5014">
          <w:rPr>
            <w:noProof/>
            <w:webHidden/>
          </w:rPr>
        </w:r>
        <w:r w:rsidR="00FE5014">
          <w:rPr>
            <w:noProof/>
            <w:webHidden/>
          </w:rPr>
          <w:fldChar w:fldCharType="separate"/>
        </w:r>
        <w:r w:rsidR="000F1876">
          <w:rPr>
            <w:noProof/>
            <w:webHidden/>
          </w:rPr>
          <w:t>35</w:t>
        </w:r>
        <w:r w:rsidR="00FE5014">
          <w:rPr>
            <w:noProof/>
            <w:webHidden/>
          </w:rPr>
          <w:fldChar w:fldCharType="end"/>
        </w:r>
      </w:hyperlink>
    </w:p>
    <w:p w14:paraId="3D454A42" w14:textId="7D698A03" w:rsidR="00FE5014" w:rsidRDefault="00000000">
      <w:pPr>
        <w:pStyle w:val="TOC2"/>
        <w:rPr>
          <w:rFonts w:asciiTheme="minorHAnsi" w:hAnsiTheme="minorHAnsi"/>
          <w:noProof/>
          <w:kern w:val="2"/>
          <w:szCs w:val="22"/>
          <w:lang w:eastAsia="en-AU"/>
          <w14:ligatures w14:val="standardContextual"/>
        </w:rPr>
      </w:pPr>
      <w:hyperlink w:anchor="_Toc142918596" w:history="1">
        <w:r w:rsidR="00FE5014" w:rsidRPr="00236BFD">
          <w:rPr>
            <w:rStyle w:val="Hyperlink"/>
            <w:noProof/>
          </w:rPr>
          <w:t>3.3</w:t>
        </w:r>
        <w:r w:rsidR="00FE5014">
          <w:rPr>
            <w:rFonts w:asciiTheme="minorHAnsi" w:hAnsiTheme="minorHAnsi"/>
            <w:noProof/>
            <w:kern w:val="2"/>
            <w:szCs w:val="22"/>
            <w:lang w:eastAsia="en-AU"/>
            <w14:ligatures w14:val="standardContextual"/>
          </w:rPr>
          <w:tab/>
        </w:r>
        <w:r w:rsidR="00FE5014" w:rsidRPr="00236BFD">
          <w:rPr>
            <w:rStyle w:val="Hyperlink"/>
            <w:noProof/>
          </w:rPr>
          <w:t>Disability Representative and Carer Organisation feedback</w:t>
        </w:r>
        <w:r w:rsidR="00FE5014">
          <w:rPr>
            <w:noProof/>
            <w:webHidden/>
          </w:rPr>
          <w:tab/>
        </w:r>
        <w:r w:rsidR="00FE5014">
          <w:rPr>
            <w:noProof/>
            <w:webHidden/>
          </w:rPr>
          <w:fldChar w:fldCharType="begin"/>
        </w:r>
        <w:r w:rsidR="00FE5014">
          <w:rPr>
            <w:noProof/>
            <w:webHidden/>
          </w:rPr>
          <w:instrText xml:space="preserve"> PAGEREF _Toc142918596 \h </w:instrText>
        </w:r>
        <w:r w:rsidR="00FE5014">
          <w:rPr>
            <w:noProof/>
            <w:webHidden/>
          </w:rPr>
        </w:r>
        <w:r w:rsidR="00FE5014">
          <w:rPr>
            <w:noProof/>
            <w:webHidden/>
          </w:rPr>
          <w:fldChar w:fldCharType="separate"/>
        </w:r>
        <w:r w:rsidR="000F1876">
          <w:rPr>
            <w:noProof/>
            <w:webHidden/>
          </w:rPr>
          <w:t>42</w:t>
        </w:r>
        <w:r w:rsidR="00FE5014">
          <w:rPr>
            <w:noProof/>
            <w:webHidden/>
          </w:rPr>
          <w:fldChar w:fldCharType="end"/>
        </w:r>
      </w:hyperlink>
    </w:p>
    <w:p w14:paraId="263E8ECF" w14:textId="446ACB69" w:rsidR="00FE5014" w:rsidRDefault="00000000">
      <w:pPr>
        <w:pStyle w:val="TOC1"/>
        <w:tabs>
          <w:tab w:val="left" w:pos="440"/>
        </w:tabs>
        <w:rPr>
          <w:rFonts w:asciiTheme="minorHAnsi" w:hAnsiTheme="minorHAnsi"/>
          <w:noProof/>
          <w:kern w:val="2"/>
          <w:szCs w:val="22"/>
          <w:lang w:eastAsia="en-AU"/>
          <w14:ligatures w14:val="standardContextual"/>
        </w:rPr>
      </w:pPr>
      <w:hyperlink w:anchor="_Toc142918597" w:history="1">
        <w:r w:rsidR="00FE5014" w:rsidRPr="00236BFD">
          <w:rPr>
            <w:rStyle w:val="Hyperlink"/>
            <w:noProof/>
          </w:rPr>
          <w:t>4.</w:t>
        </w:r>
        <w:r w:rsidR="00FE5014">
          <w:rPr>
            <w:rFonts w:asciiTheme="minorHAnsi" w:hAnsiTheme="minorHAnsi"/>
            <w:noProof/>
            <w:kern w:val="2"/>
            <w:szCs w:val="22"/>
            <w:lang w:eastAsia="en-AU"/>
            <w14:ligatures w14:val="standardContextual"/>
          </w:rPr>
          <w:tab/>
        </w:r>
        <w:r w:rsidR="00FE5014" w:rsidRPr="00236BFD">
          <w:rPr>
            <w:rStyle w:val="Hyperlink"/>
            <w:noProof/>
          </w:rPr>
          <w:t>The effectiveness and efficiency of the IER Program</w:t>
        </w:r>
        <w:r w:rsidR="00FE5014">
          <w:rPr>
            <w:noProof/>
            <w:webHidden/>
          </w:rPr>
          <w:tab/>
        </w:r>
        <w:r w:rsidR="00FE5014">
          <w:rPr>
            <w:noProof/>
            <w:webHidden/>
          </w:rPr>
          <w:fldChar w:fldCharType="begin"/>
        </w:r>
        <w:r w:rsidR="00FE5014">
          <w:rPr>
            <w:noProof/>
            <w:webHidden/>
          </w:rPr>
          <w:instrText xml:space="preserve"> PAGEREF _Toc142918597 \h </w:instrText>
        </w:r>
        <w:r w:rsidR="00FE5014">
          <w:rPr>
            <w:noProof/>
            <w:webHidden/>
          </w:rPr>
        </w:r>
        <w:r w:rsidR="00FE5014">
          <w:rPr>
            <w:noProof/>
            <w:webHidden/>
          </w:rPr>
          <w:fldChar w:fldCharType="separate"/>
        </w:r>
        <w:r w:rsidR="000F1876">
          <w:rPr>
            <w:noProof/>
            <w:webHidden/>
          </w:rPr>
          <w:t>44</w:t>
        </w:r>
        <w:r w:rsidR="00FE5014">
          <w:rPr>
            <w:noProof/>
            <w:webHidden/>
          </w:rPr>
          <w:fldChar w:fldCharType="end"/>
        </w:r>
      </w:hyperlink>
    </w:p>
    <w:p w14:paraId="48F963F4" w14:textId="3717BCF8" w:rsidR="00FE5014" w:rsidRDefault="00000000">
      <w:pPr>
        <w:pStyle w:val="TOC2"/>
        <w:rPr>
          <w:rFonts w:asciiTheme="minorHAnsi" w:hAnsiTheme="minorHAnsi"/>
          <w:noProof/>
          <w:kern w:val="2"/>
          <w:szCs w:val="22"/>
          <w:lang w:eastAsia="en-AU"/>
          <w14:ligatures w14:val="standardContextual"/>
        </w:rPr>
      </w:pPr>
      <w:hyperlink w:anchor="_Toc142918598" w:history="1">
        <w:r w:rsidR="00FE5014" w:rsidRPr="00236BFD">
          <w:rPr>
            <w:rStyle w:val="Hyperlink"/>
            <w:noProof/>
          </w:rPr>
          <w:t>4.1</w:t>
        </w:r>
        <w:r w:rsidR="00FE5014">
          <w:rPr>
            <w:rFonts w:asciiTheme="minorHAnsi" w:hAnsiTheme="minorHAnsi"/>
            <w:noProof/>
            <w:kern w:val="2"/>
            <w:szCs w:val="22"/>
            <w:lang w:eastAsia="en-AU"/>
            <w14:ligatures w14:val="standardContextual"/>
          </w:rPr>
          <w:tab/>
        </w:r>
        <w:r w:rsidR="00FE5014" w:rsidRPr="00236BFD">
          <w:rPr>
            <w:rStyle w:val="Hyperlink"/>
            <w:noProof/>
          </w:rPr>
          <w:t>The decision-making framework used by independent experts</w:t>
        </w:r>
        <w:r w:rsidR="00FE5014">
          <w:rPr>
            <w:noProof/>
            <w:webHidden/>
          </w:rPr>
          <w:tab/>
        </w:r>
        <w:r w:rsidR="00FE5014">
          <w:rPr>
            <w:noProof/>
            <w:webHidden/>
          </w:rPr>
          <w:fldChar w:fldCharType="begin"/>
        </w:r>
        <w:r w:rsidR="00FE5014">
          <w:rPr>
            <w:noProof/>
            <w:webHidden/>
          </w:rPr>
          <w:instrText xml:space="preserve"> PAGEREF _Toc142918598 \h </w:instrText>
        </w:r>
        <w:r w:rsidR="00FE5014">
          <w:rPr>
            <w:noProof/>
            <w:webHidden/>
          </w:rPr>
        </w:r>
        <w:r w:rsidR="00FE5014">
          <w:rPr>
            <w:noProof/>
            <w:webHidden/>
          </w:rPr>
          <w:fldChar w:fldCharType="separate"/>
        </w:r>
        <w:r w:rsidR="000F1876">
          <w:rPr>
            <w:noProof/>
            <w:webHidden/>
          </w:rPr>
          <w:t>45</w:t>
        </w:r>
        <w:r w:rsidR="00FE5014">
          <w:rPr>
            <w:noProof/>
            <w:webHidden/>
          </w:rPr>
          <w:fldChar w:fldCharType="end"/>
        </w:r>
      </w:hyperlink>
    </w:p>
    <w:p w14:paraId="227C6FCB" w14:textId="74D4AEA4" w:rsidR="00FE5014" w:rsidRDefault="00000000">
      <w:pPr>
        <w:pStyle w:val="TOC2"/>
        <w:rPr>
          <w:rFonts w:asciiTheme="minorHAnsi" w:hAnsiTheme="minorHAnsi"/>
          <w:noProof/>
          <w:kern w:val="2"/>
          <w:szCs w:val="22"/>
          <w:lang w:eastAsia="en-AU"/>
          <w14:ligatures w14:val="standardContextual"/>
        </w:rPr>
      </w:pPr>
      <w:hyperlink w:anchor="_Toc142918599" w:history="1">
        <w:r w:rsidR="00FE5014" w:rsidRPr="00236BFD">
          <w:rPr>
            <w:rStyle w:val="Hyperlink"/>
            <w:noProof/>
          </w:rPr>
          <w:t>4.2</w:t>
        </w:r>
        <w:r w:rsidR="00FE5014">
          <w:rPr>
            <w:rFonts w:asciiTheme="minorHAnsi" w:hAnsiTheme="minorHAnsi"/>
            <w:noProof/>
            <w:kern w:val="2"/>
            <w:szCs w:val="22"/>
            <w:lang w:eastAsia="en-AU"/>
            <w14:ligatures w14:val="standardContextual"/>
          </w:rPr>
          <w:tab/>
        </w:r>
        <w:r w:rsidR="00FE5014" w:rsidRPr="00236BFD">
          <w:rPr>
            <w:rStyle w:val="Hyperlink"/>
            <w:noProof/>
          </w:rPr>
          <w:t>Recommendations by independent experts compared to AAT hearing decisions</w:t>
        </w:r>
        <w:r w:rsidR="00FE5014">
          <w:rPr>
            <w:noProof/>
            <w:webHidden/>
          </w:rPr>
          <w:tab/>
        </w:r>
        <w:r w:rsidR="00FE5014">
          <w:rPr>
            <w:noProof/>
            <w:webHidden/>
          </w:rPr>
          <w:fldChar w:fldCharType="begin"/>
        </w:r>
        <w:r w:rsidR="00FE5014">
          <w:rPr>
            <w:noProof/>
            <w:webHidden/>
          </w:rPr>
          <w:instrText xml:space="preserve"> PAGEREF _Toc142918599 \h </w:instrText>
        </w:r>
        <w:r w:rsidR="00FE5014">
          <w:rPr>
            <w:noProof/>
            <w:webHidden/>
          </w:rPr>
        </w:r>
        <w:r w:rsidR="00FE5014">
          <w:rPr>
            <w:noProof/>
            <w:webHidden/>
          </w:rPr>
          <w:fldChar w:fldCharType="separate"/>
        </w:r>
        <w:r w:rsidR="000F1876">
          <w:rPr>
            <w:noProof/>
            <w:webHidden/>
          </w:rPr>
          <w:t>48</w:t>
        </w:r>
        <w:r w:rsidR="00FE5014">
          <w:rPr>
            <w:noProof/>
            <w:webHidden/>
          </w:rPr>
          <w:fldChar w:fldCharType="end"/>
        </w:r>
      </w:hyperlink>
    </w:p>
    <w:p w14:paraId="1AD984A8" w14:textId="19081E2B" w:rsidR="00FE5014" w:rsidRDefault="00000000">
      <w:pPr>
        <w:pStyle w:val="TOC2"/>
        <w:rPr>
          <w:rFonts w:asciiTheme="minorHAnsi" w:hAnsiTheme="minorHAnsi"/>
          <w:noProof/>
          <w:kern w:val="2"/>
          <w:szCs w:val="22"/>
          <w:lang w:eastAsia="en-AU"/>
          <w14:ligatures w14:val="standardContextual"/>
        </w:rPr>
      </w:pPr>
      <w:hyperlink w:anchor="_Toc142918600" w:history="1">
        <w:r w:rsidR="00FE5014" w:rsidRPr="00236BFD">
          <w:rPr>
            <w:rStyle w:val="Hyperlink"/>
            <w:noProof/>
          </w:rPr>
          <w:t>4.3</w:t>
        </w:r>
        <w:r w:rsidR="00FE5014">
          <w:rPr>
            <w:rFonts w:asciiTheme="minorHAnsi" w:hAnsiTheme="minorHAnsi"/>
            <w:noProof/>
            <w:kern w:val="2"/>
            <w:szCs w:val="22"/>
            <w:lang w:eastAsia="en-AU"/>
            <w14:ligatures w14:val="standardContextual"/>
          </w:rPr>
          <w:tab/>
        </w:r>
        <w:r w:rsidR="00FE5014" w:rsidRPr="00236BFD">
          <w:rPr>
            <w:rStyle w:val="Hyperlink"/>
            <w:noProof/>
          </w:rPr>
          <w:t>The extent recommendations align with NDIS legislation and operational guidelines</w:t>
        </w:r>
        <w:r w:rsidR="00FE5014">
          <w:rPr>
            <w:noProof/>
            <w:webHidden/>
          </w:rPr>
          <w:tab/>
        </w:r>
        <w:r w:rsidR="00FE5014">
          <w:rPr>
            <w:noProof/>
            <w:webHidden/>
          </w:rPr>
          <w:fldChar w:fldCharType="begin"/>
        </w:r>
        <w:r w:rsidR="00FE5014">
          <w:rPr>
            <w:noProof/>
            <w:webHidden/>
          </w:rPr>
          <w:instrText xml:space="preserve"> PAGEREF _Toc142918600 \h </w:instrText>
        </w:r>
        <w:r w:rsidR="00FE5014">
          <w:rPr>
            <w:noProof/>
            <w:webHidden/>
          </w:rPr>
        </w:r>
        <w:r w:rsidR="00FE5014">
          <w:rPr>
            <w:noProof/>
            <w:webHidden/>
          </w:rPr>
          <w:fldChar w:fldCharType="separate"/>
        </w:r>
        <w:r w:rsidR="000F1876">
          <w:rPr>
            <w:noProof/>
            <w:webHidden/>
          </w:rPr>
          <w:t>50</w:t>
        </w:r>
        <w:r w:rsidR="00FE5014">
          <w:rPr>
            <w:noProof/>
            <w:webHidden/>
          </w:rPr>
          <w:fldChar w:fldCharType="end"/>
        </w:r>
      </w:hyperlink>
    </w:p>
    <w:p w14:paraId="25C2E691" w14:textId="50C92717" w:rsidR="00FE5014" w:rsidRDefault="00000000">
      <w:pPr>
        <w:pStyle w:val="TOC2"/>
        <w:rPr>
          <w:rFonts w:asciiTheme="minorHAnsi" w:hAnsiTheme="minorHAnsi"/>
          <w:noProof/>
          <w:kern w:val="2"/>
          <w:szCs w:val="22"/>
          <w:lang w:eastAsia="en-AU"/>
          <w14:ligatures w14:val="standardContextual"/>
        </w:rPr>
      </w:pPr>
      <w:hyperlink w:anchor="_Toc142918601" w:history="1">
        <w:r w:rsidR="00FE5014" w:rsidRPr="00236BFD">
          <w:rPr>
            <w:rStyle w:val="Hyperlink"/>
            <w:noProof/>
          </w:rPr>
          <w:t>4.4</w:t>
        </w:r>
        <w:r w:rsidR="00FE5014">
          <w:rPr>
            <w:rFonts w:asciiTheme="minorHAnsi" w:hAnsiTheme="minorHAnsi"/>
            <w:noProof/>
            <w:kern w:val="2"/>
            <w:szCs w:val="22"/>
            <w:lang w:eastAsia="en-AU"/>
            <w14:ligatures w14:val="standardContextual"/>
          </w:rPr>
          <w:tab/>
        </w:r>
        <w:r w:rsidR="00FE5014" w:rsidRPr="00236BFD">
          <w:rPr>
            <w:rStyle w:val="Hyperlink"/>
            <w:noProof/>
          </w:rPr>
          <w:t>The time to resolve matters</w:t>
        </w:r>
        <w:r w:rsidR="00FE5014">
          <w:rPr>
            <w:noProof/>
            <w:webHidden/>
          </w:rPr>
          <w:tab/>
        </w:r>
        <w:r w:rsidR="00FE5014">
          <w:rPr>
            <w:noProof/>
            <w:webHidden/>
          </w:rPr>
          <w:fldChar w:fldCharType="begin"/>
        </w:r>
        <w:r w:rsidR="00FE5014">
          <w:rPr>
            <w:noProof/>
            <w:webHidden/>
          </w:rPr>
          <w:instrText xml:space="preserve"> PAGEREF _Toc142918601 \h </w:instrText>
        </w:r>
        <w:r w:rsidR="00FE5014">
          <w:rPr>
            <w:noProof/>
            <w:webHidden/>
          </w:rPr>
        </w:r>
        <w:r w:rsidR="00FE5014">
          <w:rPr>
            <w:noProof/>
            <w:webHidden/>
          </w:rPr>
          <w:fldChar w:fldCharType="separate"/>
        </w:r>
        <w:r w:rsidR="000F1876">
          <w:rPr>
            <w:noProof/>
            <w:webHidden/>
          </w:rPr>
          <w:t>52</w:t>
        </w:r>
        <w:r w:rsidR="00FE5014">
          <w:rPr>
            <w:noProof/>
            <w:webHidden/>
          </w:rPr>
          <w:fldChar w:fldCharType="end"/>
        </w:r>
      </w:hyperlink>
    </w:p>
    <w:p w14:paraId="411411BB" w14:textId="62CEF8AC" w:rsidR="00FE5014" w:rsidRDefault="00000000">
      <w:pPr>
        <w:pStyle w:val="TOC1"/>
        <w:tabs>
          <w:tab w:val="left" w:pos="440"/>
        </w:tabs>
        <w:rPr>
          <w:rFonts w:asciiTheme="minorHAnsi" w:hAnsiTheme="minorHAnsi"/>
          <w:noProof/>
          <w:kern w:val="2"/>
          <w:szCs w:val="22"/>
          <w:lang w:eastAsia="en-AU"/>
          <w14:ligatures w14:val="standardContextual"/>
        </w:rPr>
      </w:pPr>
      <w:hyperlink w:anchor="_Toc142918602" w:history="1">
        <w:r w:rsidR="00FE5014" w:rsidRPr="00236BFD">
          <w:rPr>
            <w:rStyle w:val="Hyperlink"/>
            <w:noProof/>
          </w:rPr>
          <w:t>5.</w:t>
        </w:r>
        <w:r w:rsidR="00FE5014">
          <w:rPr>
            <w:rFonts w:asciiTheme="minorHAnsi" w:hAnsiTheme="minorHAnsi"/>
            <w:noProof/>
            <w:kern w:val="2"/>
            <w:szCs w:val="22"/>
            <w:lang w:eastAsia="en-AU"/>
            <w14:ligatures w14:val="standardContextual"/>
          </w:rPr>
          <w:tab/>
        </w:r>
        <w:r w:rsidR="00FE5014" w:rsidRPr="00236BFD">
          <w:rPr>
            <w:rStyle w:val="Hyperlink"/>
            <w:noProof/>
          </w:rPr>
          <w:t>Costs of the IER Program</w:t>
        </w:r>
        <w:r w:rsidR="00FE5014">
          <w:rPr>
            <w:noProof/>
            <w:webHidden/>
          </w:rPr>
          <w:tab/>
        </w:r>
        <w:r w:rsidR="00FE5014">
          <w:rPr>
            <w:noProof/>
            <w:webHidden/>
          </w:rPr>
          <w:fldChar w:fldCharType="begin"/>
        </w:r>
        <w:r w:rsidR="00FE5014">
          <w:rPr>
            <w:noProof/>
            <w:webHidden/>
          </w:rPr>
          <w:instrText xml:space="preserve"> PAGEREF _Toc142918602 \h </w:instrText>
        </w:r>
        <w:r w:rsidR="00FE5014">
          <w:rPr>
            <w:noProof/>
            <w:webHidden/>
          </w:rPr>
        </w:r>
        <w:r w:rsidR="00FE5014">
          <w:rPr>
            <w:noProof/>
            <w:webHidden/>
          </w:rPr>
          <w:fldChar w:fldCharType="separate"/>
        </w:r>
        <w:r w:rsidR="000F1876">
          <w:rPr>
            <w:noProof/>
            <w:webHidden/>
          </w:rPr>
          <w:t>55</w:t>
        </w:r>
        <w:r w:rsidR="00FE5014">
          <w:rPr>
            <w:noProof/>
            <w:webHidden/>
          </w:rPr>
          <w:fldChar w:fldCharType="end"/>
        </w:r>
      </w:hyperlink>
    </w:p>
    <w:p w14:paraId="39F91098" w14:textId="204019E2" w:rsidR="00FE5014" w:rsidRDefault="00000000">
      <w:pPr>
        <w:pStyle w:val="TOC2"/>
        <w:rPr>
          <w:rFonts w:asciiTheme="minorHAnsi" w:hAnsiTheme="minorHAnsi"/>
          <w:noProof/>
          <w:kern w:val="2"/>
          <w:szCs w:val="22"/>
          <w:lang w:eastAsia="en-AU"/>
          <w14:ligatures w14:val="standardContextual"/>
        </w:rPr>
      </w:pPr>
      <w:hyperlink w:anchor="_Toc142918603" w:history="1">
        <w:r w:rsidR="00FE5014" w:rsidRPr="00236BFD">
          <w:rPr>
            <w:rStyle w:val="Hyperlink"/>
            <w:noProof/>
          </w:rPr>
          <w:t>5.1</w:t>
        </w:r>
        <w:r w:rsidR="00FE5014">
          <w:rPr>
            <w:rFonts w:asciiTheme="minorHAnsi" w:hAnsiTheme="minorHAnsi"/>
            <w:noProof/>
            <w:kern w:val="2"/>
            <w:szCs w:val="22"/>
            <w:lang w:eastAsia="en-AU"/>
            <w14:ligatures w14:val="standardContextual"/>
          </w:rPr>
          <w:tab/>
        </w:r>
        <w:r w:rsidR="00FE5014" w:rsidRPr="00236BFD">
          <w:rPr>
            <w:rStyle w:val="Hyperlink"/>
            <w:noProof/>
          </w:rPr>
          <w:t>IERP operational costs per case</w:t>
        </w:r>
        <w:r w:rsidR="00FE5014">
          <w:rPr>
            <w:noProof/>
            <w:webHidden/>
          </w:rPr>
          <w:tab/>
        </w:r>
        <w:r w:rsidR="00FE5014">
          <w:rPr>
            <w:noProof/>
            <w:webHidden/>
          </w:rPr>
          <w:fldChar w:fldCharType="begin"/>
        </w:r>
        <w:r w:rsidR="00FE5014">
          <w:rPr>
            <w:noProof/>
            <w:webHidden/>
          </w:rPr>
          <w:instrText xml:space="preserve"> PAGEREF _Toc142918603 \h </w:instrText>
        </w:r>
        <w:r w:rsidR="00FE5014">
          <w:rPr>
            <w:noProof/>
            <w:webHidden/>
          </w:rPr>
        </w:r>
        <w:r w:rsidR="00FE5014">
          <w:rPr>
            <w:noProof/>
            <w:webHidden/>
          </w:rPr>
          <w:fldChar w:fldCharType="separate"/>
        </w:r>
        <w:r w:rsidR="000F1876">
          <w:rPr>
            <w:noProof/>
            <w:webHidden/>
          </w:rPr>
          <w:t>55</w:t>
        </w:r>
        <w:r w:rsidR="00FE5014">
          <w:rPr>
            <w:noProof/>
            <w:webHidden/>
          </w:rPr>
          <w:fldChar w:fldCharType="end"/>
        </w:r>
      </w:hyperlink>
    </w:p>
    <w:p w14:paraId="22FE7302" w14:textId="32FA0F4E" w:rsidR="00FE5014" w:rsidRDefault="00000000">
      <w:pPr>
        <w:pStyle w:val="TOC2"/>
        <w:rPr>
          <w:rFonts w:asciiTheme="minorHAnsi" w:hAnsiTheme="minorHAnsi"/>
          <w:noProof/>
          <w:kern w:val="2"/>
          <w:szCs w:val="22"/>
          <w:lang w:eastAsia="en-AU"/>
          <w14:ligatures w14:val="standardContextual"/>
        </w:rPr>
      </w:pPr>
      <w:hyperlink w:anchor="_Toc142918604" w:history="1">
        <w:r w:rsidR="00FE5014" w:rsidRPr="00236BFD">
          <w:rPr>
            <w:rStyle w:val="Hyperlink"/>
            <w:noProof/>
          </w:rPr>
          <w:t>5.2</w:t>
        </w:r>
        <w:r w:rsidR="00FE5014">
          <w:rPr>
            <w:rFonts w:asciiTheme="minorHAnsi" w:hAnsiTheme="minorHAnsi"/>
            <w:noProof/>
            <w:kern w:val="2"/>
            <w:szCs w:val="22"/>
            <w:lang w:eastAsia="en-AU"/>
            <w14:ligatures w14:val="standardContextual"/>
          </w:rPr>
          <w:tab/>
        </w:r>
        <w:r w:rsidR="00FE5014" w:rsidRPr="00236BFD">
          <w:rPr>
            <w:rStyle w:val="Hyperlink"/>
            <w:noProof/>
            <w:lang w:eastAsia="en-AU"/>
          </w:rPr>
          <w:t>Net costs of the IERP</w:t>
        </w:r>
        <w:r w:rsidR="00FE5014">
          <w:rPr>
            <w:noProof/>
            <w:webHidden/>
          </w:rPr>
          <w:tab/>
        </w:r>
        <w:r w:rsidR="00FE5014">
          <w:rPr>
            <w:noProof/>
            <w:webHidden/>
          </w:rPr>
          <w:fldChar w:fldCharType="begin"/>
        </w:r>
        <w:r w:rsidR="00FE5014">
          <w:rPr>
            <w:noProof/>
            <w:webHidden/>
          </w:rPr>
          <w:instrText xml:space="preserve"> PAGEREF _Toc142918604 \h </w:instrText>
        </w:r>
        <w:r w:rsidR="00FE5014">
          <w:rPr>
            <w:noProof/>
            <w:webHidden/>
          </w:rPr>
        </w:r>
        <w:r w:rsidR="00FE5014">
          <w:rPr>
            <w:noProof/>
            <w:webHidden/>
          </w:rPr>
          <w:fldChar w:fldCharType="separate"/>
        </w:r>
        <w:r w:rsidR="000F1876">
          <w:rPr>
            <w:noProof/>
            <w:webHidden/>
          </w:rPr>
          <w:t>57</w:t>
        </w:r>
        <w:r w:rsidR="00FE5014">
          <w:rPr>
            <w:noProof/>
            <w:webHidden/>
          </w:rPr>
          <w:fldChar w:fldCharType="end"/>
        </w:r>
      </w:hyperlink>
    </w:p>
    <w:p w14:paraId="168EDAC3" w14:textId="6BA61BBC" w:rsidR="00FE5014" w:rsidRDefault="00000000">
      <w:pPr>
        <w:pStyle w:val="TOC2"/>
        <w:rPr>
          <w:rFonts w:asciiTheme="minorHAnsi" w:hAnsiTheme="minorHAnsi"/>
          <w:noProof/>
          <w:kern w:val="2"/>
          <w:szCs w:val="22"/>
          <w:lang w:eastAsia="en-AU"/>
          <w14:ligatures w14:val="standardContextual"/>
        </w:rPr>
      </w:pPr>
      <w:hyperlink w:anchor="_Toc142918605" w:history="1">
        <w:r w:rsidR="00FE5014" w:rsidRPr="00236BFD">
          <w:rPr>
            <w:rStyle w:val="Hyperlink"/>
            <w:noProof/>
          </w:rPr>
          <w:t>5.3</w:t>
        </w:r>
        <w:r w:rsidR="00FE5014">
          <w:rPr>
            <w:rFonts w:asciiTheme="minorHAnsi" w:hAnsiTheme="minorHAnsi"/>
            <w:noProof/>
            <w:kern w:val="2"/>
            <w:szCs w:val="22"/>
            <w:lang w:eastAsia="en-AU"/>
            <w14:ligatures w14:val="standardContextual"/>
          </w:rPr>
          <w:tab/>
        </w:r>
        <w:r w:rsidR="00FE5014" w:rsidRPr="00236BFD">
          <w:rPr>
            <w:rStyle w:val="Hyperlink"/>
            <w:noProof/>
          </w:rPr>
          <w:t>Costs to the NDIS</w:t>
        </w:r>
        <w:r w:rsidR="00FE5014">
          <w:rPr>
            <w:noProof/>
            <w:webHidden/>
          </w:rPr>
          <w:tab/>
        </w:r>
        <w:r w:rsidR="00FE5014">
          <w:rPr>
            <w:noProof/>
            <w:webHidden/>
          </w:rPr>
          <w:fldChar w:fldCharType="begin"/>
        </w:r>
        <w:r w:rsidR="00FE5014">
          <w:rPr>
            <w:noProof/>
            <w:webHidden/>
          </w:rPr>
          <w:instrText xml:space="preserve"> PAGEREF _Toc142918605 \h </w:instrText>
        </w:r>
        <w:r w:rsidR="00FE5014">
          <w:rPr>
            <w:noProof/>
            <w:webHidden/>
          </w:rPr>
        </w:r>
        <w:r w:rsidR="00FE5014">
          <w:rPr>
            <w:noProof/>
            <w:webHidden/>
          </w:rPr>
          <w:fldChar w:fldCharType="separate"/>
        </w:r>
        <w:r w:rsidR="000F1876">
          <w:rPr>
            <w:noProof/>
            <w:webHidden/>
          </w:rPr>
          <w:t>58</w:t>
        </w:r>
        <w:r w:rsidR="00FE5014">
          <w:rPr>
            <w:noProof/>
            <w:webHidden/>
          </w:rPr>
          <w:fldChar w:fldCharType="end"/>
        </w:r>
      </w:hyperlink>
    </w:p>
    <w:p w14:paraId="016B25D0" w14:textId="5D9EC138" w:rsidR="00FE5014" w:rsidRDefault="00000000">
      <w:pPr>
        <w:pStyle w:val="TOC1"/>
        <w:tabs>
          <w:tab w:val="left" w:pos="440"/>
        </w:tabs>
        <w:rPr>
          <w:rFonts w:asciiTheme="minorHAnsi" w:hAnsiTheme="minorHAnsi"/>
          <w:noProof/>
          <w:kern w:val="2"/>
          <w:szCs w:val="22"/>
          <w:lang w:eastAsia="en-AU"/>
          <w14:ligatures w14:val="standardContextual"/>
        </w:rPr>
      </w:pPr>
      <w:hyperlink w:anchor="_Toc142918606" w:history="1">
        <w:r w:rsidR="00FE5014" w:rsidRPr="00236BFD">
          <w:rPr>
            <w:rStyle w:val="Hyperlink"/>
            <w:noProof/>
          </w:rPr>
          <w:t>6.</w:t>
        </w:r>
        <w:r w:rsidR="00FE5014">
          <w:rPr>
            <w:rFonts w:asciiTheme="minorHAnsi" w:hAnsiTheme="minorHAnsi"/>
            <w:noProof/>
            <w:kern w:val="2"/>
            <w:szCs w:val="22"/>
            <w:lang w:eastAsia="en-AU"/>
            <w14:ligatures w14:val="standardContextual"/>
          </w:rPr>
          <w:tab/>
        </w:r>
        <w:r w:rsidR="00FE5014" w:rsidRPr="00236BFD">
          <w:rPr>
            <w:rStyle w:val="Hyperlink"/>
            <w:noProof/>
          </w:rPr>
          <w:t>Learnings for broader administrative decision-making and appeals processes</w:t>
        </w:r>
        <w:r w:rsidR="00FE5014">
          <w:rPr>
            <w:noProof/>
            <w:webHidden/>
          </w:rPr>
          <w:tab/>
        </w:r>
        <w:r w:rsidR="00FE5014">
          <w:rPr>
            <w:noProof/>
            <w:webHidden/>
          </w:rPr>
          <w:fldChar w:fldCharType="begin"/>
        </w:r>
        <w:r w:rsidR="00FE5014">
          <w:rPr>
            <w:noProof/>
            <w:webHidden/>
          </w:rPr>
          <w:instrText xml:space="preserve"> PAGEREF _Toc142918606 \h </w:instrText>
        </w:r>
        <w:r w:rsidR="00FE5014">
          <w:rPr>
            <w:noProof/>
            <w:webHidden/>
          </w:rPr>
        </w:r>
        <w:r w:rsidR="00FE5014">
          <w:rPr>
            <w:noProof/>
            <w:webHidden/>
          </w:rPr>
          <w:fldChar w:fldCharType="separate"/>
        </w:r>
        <w:r w:rsidR="000F1876">
          <w:rPr>
            <w:noProof/>
            <w:webHidden/>
          </w:rPr>
          <w:t>61</w:t>
        </w:r>
        <w:r w:rsidR="00FE5014">
          <w:rPr>
            <w:noProof/>
            <w:webHidden/>
          </w:rPr>
          <w:fldChar w:fldCharType="end"/>
        </w:r>
      </w:hyperlink>
    </w:p>
    <w:p w14:paraId="06964E2B" w14:textId="515AE6A1" w:rsidR="00FE5014" w:rsidRDefault="00000000">
      <w:pPr>
        <w:pStyle w:val="TOC2"/>
        <w:rPr>
          <w:rFonts w:asciiTheme="minorHAnsi" w:hAnsiTheme="minorHAnsi"/>
          <w:noProof/>
          <w:kern w:val="2"/>
          <w:szCs w:val="22"/>
          <w:lang w:eastAsia="en-AU"/>
          <w14:ligatures w14:val="standardContextual"/>
        </w:rPr>
      </w:pPr>
      <w:hyperlink w:anchor="_Toc142918607" w:history="1">
        <w:r w:rsidR="00FE5014" w:rsidRPr="00236BFD">
          <w:rPr>
            <w:rStyle w:val="Hyperlink"/>
            <w:noProof/>
          </w:rPr>
          <w:t>6.1</w:t>
        </w:r>
        <w:r w:rsidR="00FE5014">
          <w:rPr>
            <w:rFonts w:asciiTheme="minorHAnsi" w:hAnsiTheme="minorHAnsi"/>
            <w:noProof/>
            <w:kern w:val="2"/>
            <w:szCs w:val="22"/>
            <w:lang w:eastAsia="en-AU"/>
            <w14:ligatures w14:val="standardContextual"/>
          </w:rPr>
          <w:tab/>
        </w:r>
        <w:r w:rsidR="00FE5014" w:rsidRPr="00236BFD">
          <w:rPr>
            <w:rStyle w:val="Hyperlink"/>
            <w:noProof/>
          </w:rPr>
          <w:t>The NDIS planning process</w:t>
        </w:r>
        <w:r w:rsidR="00FE5014">
          <w:rPr>
            <w:noProof/>
            <w:webHidden/>
          </w:rPr>
          <w:tab/>
        </w:r>
        <w:r w:rsidR="00FE5014">
          <w:rPr>
            <w:noProof/>
            <w:webHidden/>
          </w:rPr>
          <w:fldChar w:fldCharType="begin"/>
        </w:r>
        <w:r w:rsidR="00FE5014">
          <w:rPr>
            <w:noProof/>
            <w:webHidden/>
          </w:rPr>
          <w:instrText xml:space="preserve"> PAGEREF _Toc142918607 \h </w:instrText>
        </w:r>
        <w:r w:rsidR="00FE5014">
          <w:rPr>
            <w:noProof/>
            <w:webHidden/>
          </w:rPr>
        </w:r>
        <w:r w:rsidR="00FE5014">
          <w:rPr>
            <w:noProof/>
            <w:webHidden/>
          </w:rPr>
          <w:fldChar w:fldCharType="separate"/>
        </w:r>
        <w:r w:rsidR="000F1876">
          <w:rPr>
            <w:noProof/>
            <w:webHidden/>
          </w:rPr>
          <w:t>62</w:t>
        </w:r>
        <w:r w:rsidR="00FE5014">
          <w:rPr>
            <w:noProof/>
            <w:webHidden/>
          </w:rPr>
          <w:fldChar w:fldCharType="end"/>
        </w:r>
      </w:hyperlink>
    </w:p>
    <w:p w14:paraId="4F41848A" w14:textId="0BB9A5B7" w:rsidR="00FE5014" w:rsidRDefault="00000000">
      <w:pPr>
        <w:pStyle w:val="TOC2"/>
        <w:rPr>
          <w:rFonts w:asciiTheme="minorHAnsi" w:hAnsiTheme="minorHAnsi"/>
          <w:noProof/>
          <w:kern w:val="2"/>
          <w:szCs w:val="22"/>
          <w:lang w:eastAsia="en-AU"/>
          <w14:ligatures w14:val="standardContextual"/>
        </w:rPr>
      </w:pPr>
      <w:hyperlink w:anchor="_Toc142918608" w:history="1">
        <w:r w:rsidR="00FE5014" w:rsidRPr="00236BFD">
          <w:rPr>
            <w:rStyle w:val="Hyperlink"/>
            <w:noProof/>
          </w:rPr>
          <w:t>6.2</w:t>
        </w:r>
        <w:r w:rsidR="00FE5014">
          <w:rPr>
            <w:rFonts w:asciiTheme="minorHAnsi" w:hAnsiTheme="minorHAnsi"/>
            <w:noProof/>
            <w:kern w:val="2"/>
            <w:szCs w:val="22"/>
            <w:lang w:eastAsia="en-AU"/>
            <w14:ligatures w14:val="standardContextual"/>
          </w:rPr>
          <w:tab/>
        </w:r>
        <w:r w:rsidR="00FE5014" w:rsidRPr="00236BFD">
          <w:rPr>
            <w:rStyle w:val="Hyperlink"/>
            <w:noProof/>
          </w:rPr>
          <w:t>Internal (s100 reviews)</w:t>
        </w:r>
        <w:r w:rsidR="00FE5014">
          <w:rPr>
            <w:noProof/>
            <w:webHidden/>
          </w:rPr>
          <w:tab/>
        </w:r>
        <w:r w:rsidR="00FE5014">
          <w:rPr>
            <w:noProof/>
            <w:webHidden/>
          </w:rPr>
          <w:fldChar w:fldCharType="begin"/>
        </w:r>
        <w:r w:rsidR="00FE5014">
          <w:rPr>
            <w:noProof/>
            <w:webHidden/>
          </w:rPr>
          <w:instrText xml:space="preserve"> PAGEREF _Toc142918608 \h </w:instrText>
        </w:r>
        <w:r w:rsidR="00FE5014">
          <w:rPr>
            <w:noProof/>
            <w:webHidden/>
          </w:rPr>
        </w:r>
        <w:r w:rsidR="00FE5014">
          <w:rPr>
            <w:noProof/>
            <w:webHidden/>
          </w:rPr>
          <w:fldChar w:fldCharType="separate"/>
        </w:r>
        <w:r w:rsidR="000F1876">
          <w:rPr>
            <w:noProof/>
            <w:webHidden/>
          </w:rPr>
          <w:t>66</w:t>
        </w:r>
        <w:r w:rsidR="00FE5014">
          <w:rPr>
            <w:noProof/>
            <w:webHidden/>
          </w:rPr>
          <w:fldChar w:fldCharType="end"/>
        </w:r>
      </w:hyperlink>
    </w:p>
    <w:p w14:paraId="1F867AF5" w14:textId="4D98E5AA" w:rsidR="00FE5014" w:rsidRDefault="00000000">
      <w:pPr>
        <w:pStyle w:val="TOC2"/>
        <w:rPr>
          <w:rFonts w:asciiTheme="minorHAnsi" w:hAnsiTheme="minorHAnsi"/>
          <w:noProof/>
          <w:kern w:val="2"/>
          <w:szCs w:val="22"/>
          <w:lang w:eastAsia="en-AU"/>
          <w14:ligatures w14:val="standardContextual"/>
        </w:rPr>
      </w:pPr>
      <w:hyperlink w:anchor="_Toc142918609" w:history="1">
        <w:r w:rsidR="00FE5014" w:rsidRPr="00236BFD">
          <w:rPr>
            <w:rStyle w:val="Hyperlink"/>
            <w:noProof/>
          </w:rPr>
          <w:t>6.3</w:t>
        </w:r>
        <w:r w:rsidR="00FE5014">
          <w:rPr>
            <w:rFonts w:asciiTheme="minorHAnsi" w:hAnsiTheme="minorHAnsi"/>
            <w:noProof/>
            <w:kern w:val="2"/>
            <w:szCs w:val="22"/>
            <w:lang w:eastAsia="en-AU"/>
            <w14:ligatures w14:val="standardContextual"/>
          </w:rPr>
          <w:tab/>
        </w:r>
        <w:r w:rsidR="00FE5014" w:rsidRPr="00236BFD">
          <w:rPr>
            <w:rStyle w:val="Hyperlink"/>
            <w:noProof/>
          </w:rPr>
          <w:t>External reviews</w:t>
        </w:r>
        <w:r w:rsidR="00FE5014">
          <w:rPr>
            <w:noProof/>
            <w:webHidden/>
          </w:rPr>
          <w:tab/>
        </w:r>
        <w:r w:rsidR="00FE5014">
          <w:rPr>
            <w:noProof/>
            <w:webHidden/>
          </w:rPr>
          <w:fldChar w:fldCharType="begin"/>
        </w:r>
        <w:r w:rsidR="00FE5014">
          <w:rPr>
            <w:noProof/>
            <w:webHidden/>
          </w:rPr>
          <w:instrText xml:space="preserve"> PAGEREF _Toc142918609 \h </w:instrText>
        </w:r>
        <w:r w:rsidR="00FE5014">
          <w:rPr>
            <w:noProof/>
            <w:webHidden/>
          </w:rPr>
        </w:r>
        <w:r w:rsidR="00FE5014">
          <w:rPr>
            <w:noProof/>
            <w:webHidden/>
          </w:rPr>
          <w:fldChar w:fldCharType="separate"/>
        </w:r>
        <w:r w:rsidR="000F1876">
          <w:rPr>
            <w:noProof/>
            <w:webHidden/>
          </w:rPr>
          <w:t>71</w:t>
        </w:r>
        <w:r w:rsidR="00FE5014">
          <w:rPr>
            <w:noProof/>
            <w:webHidden/>
          </w:rPr>
          <w:fldChar w:fldCharType="end"/>
        </w:r>
      </w:hyperlink>
    </w:p>
    <w:p w14:paraId="0527D4E9" w14:textId="52A3E610" w:rsidR="00FE5014" w:rsidRDefault="00000000">
      <w:pPr>
        <w:pStyle w:val="TOC2"/>
        <w:rPr>
          <w:rFonts w:asciiTheme="minorHAnsi" w:hAnsiTheme="minorHAnsi"/>
          <w:noProof/>
          <w:kern w:val="2"/>
          <w:szCs w:val="22"/>
          <w:lang w:eastAsia="en-AU"/>
          <w14:ligatures w14:val="standardContextual"/>
        </w:rPr>
      </w:pPr>
      <w:hyperlink w:anchor="_Toc142918610" w:history="1">
        <w:r w:rsidR="00FE5014" w:rsidRPr="00236BFD">
          <w:rPr>
            <w:rStyle w:val="Hyperlink"/>
            <w:noProof/>
          </w:rPr>
          <w:t>6.4</w:t>
        </w:r>
        <w:r w:rsidR="00FE5014">
          <w:rPr>
            <w:rFonts w:asciiTheme="minorHAnsi" w:hAnsiTheme="minorHAnsi"/>
            <w:noProof/>
            <w:kern w:val="2"/>
            <w:szCs w:val="22"/>
            <w:lang w:eastAsia="en-AU"/>
            <w14:ligatures w14:val="standardContextual"/>
          </w:rPr>
          <w:tab/>
        </w:r>
        <w:r w:rsidR="00FE5014" w:rsidRPr="00236BFD">
          <w:rPr>
            <w:rStyle w:val="Hyperlink"/>
            <w:noProof/>
          </w:rPr>
          <w:t>Feeding resolutions into future decision-making</w:t>
        </w:r>
        <w:r w:rsidR="00FE5014">
          <w:rPr>
            <w:noProof/>
            <w:webHidden/>
          </w:rPr>
          <w:tab/>
        </w:r>
        <w:r w:rsidR="00FE5014">
          <w:rPr>
            <w:noProof/>
            <w:webHidden/>
          </w:rPr>
          <w:fldChar w:fldCharType="begin"/>
        </w:r>
        <w:r w:rsidR="00FE5014">
          <w:rPr>
            <w:noProof/>
            <w:webHidden/>
          </w:rPr>
          <w:instrText xml:space="preserve"> PAGEREF _Toc142918610 \h </w:instrText>
        </w:r>
        <w:r w:rsidR="00FE5014">
          <w:rPr>
            <w:noProof/>
            <w:webHidden/>
          </w:rPr>
        </w:r>
        <w:r w:rsidR="00FE5014">
          <w:rPr>
            <w:noProof/>
            <w:webHidden/>
          </w:rPr>
          <w:fldChar w:fldCharType="separate"/>
        </w:r>
        <w:r w:rsidR="000F1876">
          <w:rPr>
            <w:noProof/>
            <w:webHidden/>
          </w:rPr>
          <w:t>75</w:t>
        </w:r>
        <w:r w:rsidR="00FE5014">
          <w:rPr>
            <w:noProof/>
            <w:webHidden/>
          </w:rPr>
          <w:fldChar w:fldCharType="end"/>
        </w:r>
      </w:hyperlink>
    </w:p>
    <w:p w14:paraId="641FA231" w14:textId="30B54F46" w:rsidR="00FE5014" w:rsidRDefault="00000000">
      <w:pPr>
        <w:pStyle w:val="TOC1"/>
        <w:tabs>
          <w:tab w:val="left" w:pos="440"/>
        </w:tabs>
        <w:rPr>
          <w:rFonts w:asciiTheme="minorHAnsi" w:hAnsiTheme="minorHAnsi"/>
          <w:noProof/>
          <w:kern w:val="2"/>
          <w:szCs w:val="22"/>
          <w:lang w:eastAsia="en-AU"/>
          <w14:ligatures w14:val="standardContextual"/>
        </w:rPr>
      </w:pPr>
      <w:hyperlink w:anchor="_Toc142918611" w:history="1">
        <w:r w:rsidR="00FE5014" w:rsidRPr="00236BFD">
          <w:rPr>
            <w:rStyle w:val="Hyperlink"/>
            <w:noProof/>
          </w:rPr>
          <w:t>7.</w:t>
        </w:r>
        <w:r w:rsidR="00FE5014">
          <w:rPr>
            <w:rFonts w:asciiTheme="minorHAnsi" w:hAnsiTheme="minorHAnsi"/>
            <w:noProof/>
            <w:kern w:val="2"/>
            <w:szCs w:val="22"/>
            <w:lang w:eastAsia="en-AU"/>
            <w14:ligatures w14:val="standardContextual"/>
          </w:rPr>
          <w:tab/>
        </w:r>
        <w:r w:rsidR="00FE5014" w:rsidRPr="00236BFD">
          <w:rPr>
            <w:rStyle w:val="Hyperlink"/>
            <w:noProof/>
          </w:rPr>
          <w:t>Conclusions</w:t>
        </w:r>
        <w:r w:rsidR="00FE5014">
          <w:rPr>
            <w:noProof/>
            <w:webHidden/>
          </w:rPr>
          <w:tab/>
        </w:r>
        <w:r w:rsidR="00FE5014">
          <w:rPr>
            <w:noProof/>
            <w:webHidden/>
          </w:rPr>
          <w:fldChar w:fldCharType="begin"/>
        </w:r>
        <w:r w:rsidR="00FE5014">
          <w:rPr>
            <w:noProof/>
            <w:webHidden/>
          </w:rPr>
          <w:instrText xml:space="preserve"> PAGEREF _Toc142918611 \h </w:instrText>
        </w:r>
        <w:r w:rsidR="00FE5014">
          <w:rPr>
            <w:noProof/>
            <w:webHidden/>
          </w:rPr>
        </w:r>
        <w:r w:rsidR="00FE5014">
          <w:rPr>
            <w:noProof/>
            <w:webHidden/>
          </w:rPr>
          <w:fldChar w:fldCharType="separate"/>
        </w:r>
        <w:r w:rsidR="000F1876">
          <w:rPr>
            <w:noProof/>
            <w:webHidden/>
          </w:rPr>
          <w:t>78</w:t>
        </w:r>
        <w:r w:rsidR="00FE5014">
          <w:rPr>
            <w:noProof/>
            <w:webHidden/>
          </w:rPr>
          <w:fldChar w:fldCharType="end"/>
        </w:r>
      </w:hyperlink>
    </w:p>
    <w:p w14:paraId="2C9E30CE" w14:textId="6FFC7AD8" w:rsidR="00FE5014" w:rsidRDefault="00000000">
      <w:pPr>
        <w:pStyle w:val="TOC2"/>
        <w:rPr>
          <w:rFonts w:asciiTheme="minorHAnsi" w:hAnsiTheme="minorHAnsi"/>
          <w:noProof/>
          <w:kern w:val="2"/>
          <w:szCs w:val="22"/>
          <w:lang w:eastAsia="en-AU"/>
          <w14:ligatures w14:val="standardContextual"/>
        </w:rPr>
      </w:pPr>
      <w:hyperlink w:anchor="_Toc142918612" w:history="1">
        <w:r w:rsidR="00FE5014" w:rsidRPr="00236BFD">
          <w:rPr>
            <w:rStyle w:val="Hyperlink"/>
            <w:noProof/>
          </w:rPr>
          <w:t>7.1</w:t>
        </w:r>
        <w:r w:rsidR="00FE5014">
          <w:rPr>
            <w:rFonts w:asciiTheme="minorHAnsi" w:hAnsiTheme="minorHAnsi"/>
            <w:noProof/>
            <w:kern w:val="2"/>
            <w:szCs w:val="22"/>
            <w:lang w:eastAsia="en-AU"/>
            <w14:ligatures w14:val="standardContextual"/>
          </w:rPr>
          <w:tab/>
        </w:r>
        <w:r w:rsidR="00FE5014" w:rsidRPr="00236BFD">
          <w:rPr>
            <w:rStyle w:val="Hyperlink"/>
            <w:noProof/>
          </w:rPr>
          <w:t>Participant acceptance, satisfaction and experience of the IERP</w:t>
        </w:r>
        <w:r w:rsidR="00FE5014">
          <w:rPr>
            <w:noProof/>
            <w:webHidden/>
          </w:rPr>
          <w:tab/>
        </w:r>
        <w:r w:rsidR="00FE5014">
          <w:rPr>
            <w:noProof/>
            <w:webHidden/>
          </w:rPr>
          <w:fldChar w:fldCharType="begin"/>
        </w:r>
        <w:r w:rsidR="00FE5014">
          <w:rPr>
            <w:noProof/>
            <w:webHidden/>
          </w:rPr>
          <w:instrText xml:space="preserve"> PAGEREF _Toc142918612 \h </w:instrText>
        </w:r>
        <w:r w:rsidR="00FE5014">
          <w:rPr>
            <w:noProof/>
            <w:webHidden/>
          </w:rPr>
        </w:r>
        <w:r w:rsidR="00FE5014">
          <w:rPr>
            <w:noProof/>
            <w:webHidden/>
          </w:rPr>
          <w:fldChar w:fldCharType="separate"/>
        </w:r>
        <w:r w:rsidR="000F1876">
          <w:rPr>
            <w:noProof/>
            <w:webHidden/>
          </w:rPr>
          <w:t>78</w:t>
        </w:r>
        <w:r w:rsidR="00FE5014">
          <w:rPr>
            <w:noProof/>
            <w:webHidden/>
          </w:rPr>
          <w:fldChar w:fldCharType="end"/>
        </w:r>
      </w:hyperlink>
    </w:p>
    <w:p w14:paraId="4BC3241B" w14:textId="0F98CB99" w:rsidR="00FE5014" w:rsidRDefault="00000000">
      <w:pPr>
        <w:pStyle w:val="TOC2"/>
        <w:rPr>
          <w:rFonts w:asciiTheme="minorHAnsi" w:hAnsiTheme="minorHAnsi"/>
          <w:noProof/>
          <w:kern w:val="2"/>
          <w:szCs w:val="22"/>
          <w:lang w:eastAsia="en-AU"/>
          <w14:ligatures w14:val="standardContextual"/>
        </w:rPr>
      </w:pPr>
      <w:hyperlink w:anchor="_Toc142918613" w:history="1">
        <w:r w:rsidR="00FE5014" w:rsidRPr="00236BFD">
          <w:rPr>
            <w:rStyle w:val="Hyperlink"/>
            <w:noProof/>
          </w:rPr>
          <w:t>7.2</w:t>
        </w:r>
        <w:r w:rsidR="00FE5014">
          <w:rPr>
            <w:rFonts w:asciiTheme="minorHAnsi" w:hAnsiTheme="minorHAnsi"/>
            <w:noProof/>
            <w:kern w:val="2"/>
            <w:szCs w:val="22"/>
            <w:lang w:eastAsia="en-AU"/>
            <w14:ligatures w14:val="standardContextual"/>
          </w:rPr>
          <w:tab/>
        </w:r>
        <w:r w:rsidR="00FE5014" w:rsidRPr="00236BFD">
          <w:rPr>
            <w:rStyle w:val="Hyperlink"/>
            <w:noProof/>
          </w:rPr>
          <w:t>The effectiveness and efficiency of the IERP</w:t>
        </w:r>
        <w:r w:rsidR="00FE5014">
          <w:rPr>
            <w:noProof/>
            <w:webHidden/>
          </w:rPr>
          <w:tab/>
        </w:r>
        <w:r w:rsidR="00FE5014">
          <w:rPr>
            <w:noProof/>
            <w:webHidden/>
          </w:rPr>
          <w:fldChar w:fldCharType="begin"/>
        </w:r>
        <w:r w:rsidR="00FE5014">
          <w:rPr>
            <w:noProof/>
            <w:webHidden/>
          </w:rPr>
          <w:instrText xml:space="preserve"> PAGEREF _Toc142918613 \h </w:instrText>
        </w:r>
        <w:r w:rsidR="00FE5014">
          <w:rPr>
            <w:noProof/>
            <w:webHidden/>
          </w:rPr>
        </w:r>
        <w:r w:rsidR="00FE5014">
          <w:rPr>
            <w:noProof/>
            <w:webHidden/>
          </w:rPr>
          <w:fldChar w:fldCharType="separate"/>
        </w:r>
        <w:r w:rsidR="000F1876">
          <w:rPr>
            <w:noProof/>
            <w:webHidden/>
          </w:rPr>
          <w:t>78</w:t>
        </w:r>
        <w:r w:rsidR="00FE5014">
          <w:rPr>
            <w:noProof/>
            <w:webHidden/>
          </w:rPr>
          <w:fldChar w:fldCharType="end"/>
        </w:r>
      </w:hyperlink>
    </w:p>
    <w:p w14:paraId="184CEE69" w14:textId="42865394" w:rsidR="00FE5014" w:rsidRDefault="00000000">
      <w:pPr>
        <w:pStyle w:val="TOC2"/>
        <w:rPr>
          <w:rFonts w:asciiTheme="minorHAnsi" w:hAnsiTheme="minorHAnsi"/>
          <w:noProof/>
          <w:kern w:val="2"/>
          <w:szCs w:val="22"/>
          <w:lang w:eastAsia="en-AU"/>
          <w14:ligatures w14:val="standardContextual"/>
        </w:rPr>
      </w:pPr>
      <w:hyperlink w:anchor="_Toc142918614" w:history="1">
        <w:r w:rsidR="00FE5014" w:rsidRPr="00236BFD">
          <w:rPr>
            <w:rStyle w:val="Hyperlink"/>
            <w:noProof/>
          </w:rPr>
          <w:t>7.3</w:t>
        </w:r>
        <w:r w:rsidR="00FE5014">
          <w:rPr>
            <w:rFonts w:asciiTheme="minorHAnsi" w:hAnsiTheme="minorHAnsi"/>
            <w:noProof/>
            <w:kern w:val="2"/>
            <w:szCs w:val="22"/>
            <w:lang w:eastAsia="en-AU"/>
            <w14:ligatures w14:val="standardContextual"/>
          </w:rPr>
          <w:tab/>
        </w:r>
        <w:r w:rsidR="00FE5014" w:rsidRPr="00236BFD">
          <w:rPr>
            <w:rStyle w:val="Hyperlink"/>
            <w:noProof/>
          </w:rPr>
          <w:t>The sustainability impacts of the IERP</w:t>
        </w:r>
        <w:r w:rsidR="00FE5014">
          <w:rPr>
            <w:noProof/>
            <w:webHidden/>
          </w:rPr>
          <w:tab/>
        </w:r>
        <w:r w:rsidR="00FE5014">
          <w:rPr>
            <w:noProof/>
            <w:webHidden/>
          </w:rPr>
          <w:fldChar w:fldCharType="begin"/>
        </w:r>
        <w:r w:rsidR="00FE5014">
          <w:rPr>
            <w:noProof/>
            <w:webHidden/>
          </w:rPr>
          <w:instrText xml:space="preserve"> PAGEREF _Toc142918614 \h </w:instrText>
        </w:r>
        <w:r w:rsidR="00FE5014">
          <w:rPr>
            <w:noProof/>
            <w:webHidden/>
          </w:rPr>
        </w:r>
        <w:r w:rsidR="00FE5014">
          <w:rPr>
            <w:noProof/>
            <w:webHidden/>
          </w:rPr>
          <w:fldChar w:fldCharType="separate"/>
        </w:r>
        <w:r w:rsidR="000F1876">
          <w:rPr>
            <w:noProof/>
            <w:webHidden/>
          </w:rPr>
          <w:t>80</w:t>
        </w:r>
        <w:r w:rsidR="00FE5014">
          <w:rPr>
            <w:noProof/>
            <w:webHidden/>
          </w:rPr>
          <w:fldChar w:fldCharType="end"/>
        </w:r>
      </w:hyperlink>
    </w:p>
    <w:p w14:paraId="5A62FA60" w14:textId="7DD3BFE8" w:rsidR="00FE5014" w:rsidRDefault="00000000">
      <w:pPr>
        <w:pStyle w:val="TOC2"/>
        <w:rPr>
          <w:rFonts w:asciiTheme="minorHAnsi" w:hAnsiTheme="minorHAnsi"/>
          <w:noProof/>
          <w:kern w:val="2"/>
          <w:szCs w:val="22"/>
          <w:lang w:eastAsia="en-AU"/>
          <w14:ligatures w14:val="standardContextual"/>
        </w:rPr>
      </w:pPr>
      <w:hyperlink w:anchor="_Toc142918615" w:history="1">
        <w:r w:rsidR="00FE5014" w:rsidRPr="00236BFD">
          <w:rPr>
            <w:rStyle w:val="Hyperlink"/>
            <w:noProof/>
          </w:rPr>
          <w:t>7.4</w:t>
        </w:r>
        <w:r w:rsidR="00FE5014">
          <w:rPr>
            <w:rFonts w:asciiTheme="minorHAnsi" w:hAnsiTheme="minorHAnsi"/>
            <w:noProof/>
            <w:kern w:val="2"/>
            <w:szCs w:val="22"/>
            <w:lang w:eastAsia="en-AU"/>
            <w14:ligatures w14:val="standardContextual"/>
          </w:rPr>
          <w:tab/>
        </w:r>
        <w:r w:rsidR="00FE5014" w:rsidRPr="00236BFD">
          <w:rPr>
            <w:rStyle w:val="Hyperlink"/>
            <w:noProof/>
          </w:rPr>
          <w:t>Enhancing administrative decision-making and dispute resolution processes</w:t>
        </w:r>
        <w:r w:rsidR="00FE5014">
          <w:rPr>
            <w:noProof/>
            <w:webHidden/>
          </w:rPr>
          <w:tab/>
        </w:r>
        <w:r w:rsidR="00FE5014">
          <w:rPr>
            <w:noProof/>
            <w:webHidden/>
          </w:rPr>
          <w:fldChar w:fldCharType="begin"/>
        </w:r>
        <w:r w:rsidR="00FE5014">
          <w:rPr>
            <w:noProof/>
            <w:webHidden/>
          </w:rPr>
          <w:instrText xml:space="preserve"> PAGEREF _Toc142918615 \h </w:instrText>
        </w:r>
        <w:r w:rsidR="00FE5014">
          <w:rPr>
            <w:noProof/>
            <w:webHidden/>
          </w:rPr>
        </w:r>
        <w:r w:rsidR="00FE5014">
          <w:rPr>
            <w:noProof/>
            <w:webHidden/>
          </w:rPr>
          <w:fldChar w:fldCharType="separate"/>
        </w:r>
        <w:r w:rsidR="000F1876">
          <w:rPr>
            <w:noProof/>
            <w:webHidden/>
          </w:rPr>
          <w:t>81</w:t>
        </w:r>
        <w:r w:rsidR="00FE5014">
          <w:rPr>
            <w:noProof/>
            <w:webHidden/>
          </w:rPr>
          <w:fldChar w:fldCharType="end"/>
        </w:r>
      </w:hyperlink>
    </w:p>
    <w:p w14:paraId="222C129D" w14:textId="34623FF3" w:rsidR="00FE5014" w:rsidRDefault="00000000">
      <w:pPr>
        <w:pStyle w:val="TOC1"/>
        <w:rPr>
          <w:rFonts w:asciiTheme="minorHAnsi" w:hAnsiTheme="minorHAnsi"/>
          <w:noProof/>
          <w:kern w:val="2"/>
          <w:szCs w:val="22"/>
          <w:lang w:eastAsia="en-AU"/>
          <w14:ligatures w14:val="standardContextual"/>
        </w:rPr>
      </w:pPr>
      <w:hyperlink w:anchor="_Toc142918616" w:history="1">
        <w:r w:rsidR="00FE5014" w:rsidRPr="00236BFD">
          <w:rPr>
            <w:rStyle w:val="Hyperlink"/>
            <w:noProof/>
          </w:rPr>
          <w:t>Appendix A: Oversight Committee members</w:t>
        </w:r>
        <w:r w:rsidR="00FE5014">
          <w:rPr>
            <w:noProof/>
            <w:webHidden/>
          </w:rPr>
          <w:tab/>
        </w:r>
        <w:r w:rsidR="00FE5014">
          <w:rPr>
            <w:noProof/>
            <w:webHidden/>
          </w:rPr>
          <w:fldChar w:fldCharType="begin"/>
        </w:r>
        <w:r w:rsidR="00FE5014">
          <w:rPr>
            <w:noProof/>
            <w:webHidden/>
          </w:rPr>
          <w:instrText xml:space="preserve"> PAGEREF _Toc142918616 \h </w:instrText>
        </w:r>
        <w:r w:rsidR="00FE5014">
          <w:rPr>
            <w:noProof/>
            <w:webHidden/>
          </w:rPr>
        </w:r>
        <w:r w:rsidR="00FE5014">
          <w:rPr>
            <w:noProof/>
            <w:webHidden/>
          </w:rPr>
          <w:fldChar w:fldCharType="separate"/>
        </w:r>
        <w:r w:rsidR="000F1876">
          <w:rPr>
            <w:noProof/>
            <w:webHidden/>
          </w:rPr>
          <w:t>85</w:t>
        </w:r>
        <w:r w:rsidR="00FE5014">
          <w:rPr>
            <w:noProof/>
            <w:webHidden/>
          </w:rPr>
          <w:fldChar w:fldCharType="end"/>
        </w:r>
      </w:hyperlink>
    </w:p>
    <w:p w14:paraId="0FD2CD6E" w14:textId="72F286E4" w:rsidR="00FE5014" w:rsidRDefault="00000000">
      <w:pPr>
        <w:pStyle w:val="TOC1"/>
        <w:rPr>
          <w:rFonts w:asciiTheme="minorHAnsi" w:hAnsiTheme="minorHAnsi"/>
          <w:noProof/>
          <w:kern w:val="2"/>
          <w:szCs w:val="22"/>
          <w:lang w:eastAsia="en-AU"/>
          <w14:ligatures w14:val="standardContextual"/>
        </w:rPr>
      </w:pPr>
      <w:hyperlink w:anchor="_Toc142918617" w:history="1">
        <w:r w:rsidR="00FE5014" w:rsidRPr="00236BFD">
          <w:rPr>
            <w:rStyle w:val="Hyperlink"/>
            <w:noProof/>
          </w:rPr>
          <w:t>Appendix B: Stakeholders interviewed</w:t>
        </w:r>
        <w:r w:rsidR="00FE5014">
          <w:rPr>
            <w:noProof/>
            <w:webHidden/>
          </w:rPr>
          <w:tab/>
        </w:r>
        <w:r w:rsidR="00FE5014">
          <w:rPr>
            <w:noProof/>
            <w:webHidden/>
          </w:rPr>
          <w:fldChar w:fldCharType="begin"/>
        </w:r>
        <w:r w:rsidR="00FE5014">
          <w:rPr>
            <w:noProof/>
            <w:webHidden/>
          </w:rPr>
          <w:instrText xml:space="preserve"> PAGEREF _Toc142918617 \h </w:instrText>
        </w:r>
        <w:r w:rsidR="00FE5014">
          <w:rPr>
            <w:noProof/>
            <w:webHidden/>
          </w:rPr>
        </w:r>
        <w:r w:rsidR="00FE5014">
          <w:rPr>
            <w:noProof/>
            <w:webHidden/>
          </w:rPr>
          <w:fldChar w:fldCharType="separate"/>
        </w:r>
        <w:r w:rsidR="000F1876">
          <w:rPr>
            <w:noProof/>
            <w:webHidden/>
          </w:rPr>
          <w:t>86</w:t>
        </w:r>
        <w:r w:rsidR="00FE5014">
          <w:rPr>
            <w:noProof/>
            <w:webHidden/>
          </w:rPr>
          <w:fldChar w:fldCharType="end"/>
        </w:r>
      </w:hyperlink>
    </w:p>
    <w:p w14:paraId="251FB7E0" w14:textId="42C67B69" w:rsidR="00FE5014" w:rsidRDefault="00000000">
      <w:pPr>
        <w:pStyle w:val="TOC1"/>
        <w:rPr>
          <w:rFonts w:asciiTheme="minorHAnsi" w:hAnsiTheme="minorHAnsi"/>
          <w:noProof/>
          <w:kern w:val="2"/>
          <w:szCs w:val="22"/>
          <w:lang w:eastAsia="en-AU"/>
          <w14:ligatures w14:val="standardContextual"/>
        </w:rPr>
      </w:pPr>
      <w:hyperlink w:anchor="_Toc142918618" w:history="1">
        <w:r w:rsidR="00FE5014" w:rsidRPr="00236BFD">
          <w:rPr>
            <w:rStyle w:val="Hyperlink"/>
            <w:noProof/>
          </w:rPr>
          <w:t>Appendix C: Online survey respondents</w:t>
        </w:r>
        <w:r w:rsidR="00FE5014">
          <w:rPr>
            <w:noProof/>
            <w:webHidden/>
          </w:rPr>
          <w:tab/>
        </w:r>
        <w:r w:rsidR="00FE5014">
          <w:rPr>
            <w:noProof/>
            <w:webHidden/>
          </w:rPr>
          <w:fldChar w:fldCharType="begin"/>
        </w:r>
        <w:r w:rsidR="00FE5014">
          <w:rPr>
            <w:noProof/>
            <w:webHidden/>
          </w:rPr>
          <w:instrText xml:space="preserve"> PAGEREF _Toc142918618 \h </w:instrText>
        </w:r>
        <w:r w:rsidR="00FE5014">
          <w:rPr>
            <w:noProof/>
            <w:webHidden/>
          </w:rPr>
        </w:r>
        <w:r w:rsidR="00FE5014">
          <w:rPr>
            <w:noProof/>
            <w:webHidden/>
          </w:rPr>
          <w:fldChar w:fldCharType="separate"/>
        </w:r>
        <w:r w:rsidR="000F1876">
          <w:rPr>
            <w:noProof/>
            <w:webHidden/>
          </w:rPr>
          <w:t>88</w:t>
        </w:r>
        <w:r w:rsidR="00FE5014">
          <w:rPr>
            <w:noProof/>
            <w:webHidden/>
          </w:rPr>
          <w:fldChar w:fldCharType="end"/>
        </w:r>
      </w:hyperlink>
    </w:p>
    <w:p w14:paraId="7343B249" w14:textId="6CE579E6" w:rsidR="00FE5014" w:rsidRDefault="00000000">
      <w:pPr>
        <w:pStyle w:val="TOC1"/>
        <w:rPr>
          <w:rFonts w:asciiTheme="minorHAnsi" w:hAnsiTheme="minorHAnsi"/>
          <w:noProof/>
          <w:kern w:val="2"/>
          <w:szCs w:val="22"/>
          <w:lang w:eastAsia="en-AU"/>
          <w14:ligatures w14:val="standardContextual"/>
        </w:rPr>
      </w:pPr>
      <w:hyperlink w:anchor="_Toc142918620" w:history="1">
        <w:r w:rsidR="00FE5014" w:rsidRPr="00236BFD">
          <w:rPr>
            <w:rStyle w:val="Hyperlink"/>
            <w:noProof/>
          </w:rPr>
          <w:t>Appendix D: Online surveys</w:t>
        </w:r>
        <w:r w:rsidR="00FE5014">
          <w:rPr>
            <w:noProof/>
            <w:webHidden/>
          </w:rPr>
          <w:tab/>
        </w:r>
        <w:r w:rsidR="00FE5014">
          <w:rPr>
            <w:noProof/>
            <w:webHidden/>
          </w:rPr>
          <w:fldChar w:fldCharType="begin"/>
        </w:r>
        <w:r w:rsidR="00FE5014">
          <w:rPr>
            <w:noProof/>
            <w:webHidden/>
          </w:rPr>
          <w:instrText xml:space="preserve"> PAGEREF _Toc142918620 \h </w:instrText>
        </w:r>
        <w:r w:rsidR="00FE5014">
          <w:rPr>
            <w:noProof/>
            <w:webHidden/>
          </w:rPr>
        </w:r>
        <w:r w:rsidR="00FE5014">
          <w:rPr>
            <w:noProof/>
            <w:webHidden/>
          </w:rPr>
          <w:fldChar w:fldCharType="separate"/>
        </w:r>
        <w:r w:rsidR="000F1876">
          <w:rPr>
            <w:noProof/>
            <w:webHidden/>
          </w:rPr>
          <w:t>90</w:t>
        </w:r>
        <w:r w:rsidR="00FE5014">
          <w:rPr>
            <w:noProof/>
            <w:webHidden/>
          </w:rPr>
          <w:fldChar w:fldCharType="end"/>
        </w:r>
      </w:hyperlink>
    </w:p>
    <w:p w14:paraId="3FB95529" w14:textId="37B00A5E" w:rsidR="00FE5014" w:rsidRDefault="00000000">
      <w:pPr>
        <w:pStyle w:val="TOC1"/>
        <w:rPr>
          <w:rFonts w:asciiTheme="minorHAnsi" w:hAnsiTheme="minorHAnsi"/>
          <w:noProof/>
          <w:kern w:val="2"/>
          <w:szCs w:val="22"/>
          <w:lang w:eastAsia="en-AU"/>
          <w14:ligatures w14:val="standardContextual"/>
        </w:rPr>
      </w:pPr>
      <w:hyperlink w:anchor="_Toc142918625" w:history="1">
        <w:r w:rsidR="00FE5014" w:rsidRPr="00236BFD">
          <w:rPr>
            <w:rStyle w:val="Hyperlink"/>
            <w:noProof/>
          </w:rPr>
          <w:t>Appendix E: Detailed statistical methods</w:t>
        </w:r>
        <w:r w:rsidR="00FE5014">
          <w:rPr>
            <w:noProof/>
            <w:webHidden/>
          </w:rPr>
          <w:tab/>
        </w:r>
        <w:r w:rsidR="00FE5014">
          <w:rPr>
            <w:noProof/>
            <w:webHidden/>
          </w:rPr>
          <w:fldChar w:fldCharType="begin"/>
        </w:r>
        <w:r w:rsidR="00FE5014">
          <w:rPr>
            <w:noProof/>
            <w:webHidden/>
          </w:rPr>
          <w:instrText xml:space="preserve"> PAGEREF _Toc142918625 \h </w:instrText>
        </w:r>
        <w:r w:rsidR="00FE5014">
          <w:rPr>
            <w:noProof/>
            <w:webHidden/>
          </w:rPr>
        </w:r>
        <w:r w:rsidR="00FE5014">
          <w:rPr>
            <w:noProof/>
            <w:webHidden/>
          </w:rPr>
          <w:fldChar w:fldCharType="separate"/>
        </w:r>
        <w:r w:rsidR="000F1876">
          <w:rPr>
            <w:noProof/>
            <w:webHidden/>
          </w:rPr>
          <w:t>122</w:t>
        </w:r>
        <w:r w:rsidR="00FE5014">
          <w:rPr>
            <w:noProof/>
            <w:webHidden/>
          </w:rPr>
          <w:fldChar w:fldCharType="end"/>
        </w:r>
      </w:hyperlink>
    </w:p>
    <w:p w14:paraId="377CD059" w14:textId="170A2B60" w:rsidR="00FE5014" w:rsidRDefault="00000000">
      <w:pPr>
        <w:pStyle w:val="TOC1"/>
        <w:rPr>
          <w:rFonts w:asciiTheme="minorHAnsi" w:hAnsiTheme="minorHAnsi"/>
          <w:noProof/>
          <w:kern w:val="2"/>
          <w:szCs w:val="22"/>
          <w:lang w:eastAsia="en-AU"/>
          <w14:ligatures w14:val="standardContextual"/>
        </w:rPr>
      </w:pPr>
      <w:hyperlink w:anchor="_Toc142918628" w:history="1">
        <w:r w:rsidR="00FE5014" w:rsidRPr="00236BFD">
          <w:rPr>
            <w:rStyle w:val="Hyperlink"/>
            <w:noProof/>
          </w:rPr>
          <w:t>Appendix F: Qualitative coding frames</w:t>
        </w:r>
        <w:r w:rsidR="00FE5014">
          <w:rPr>
            <w:noProof/>
            <w:webHidden/>
          </w:rPr>
          <w:tab/>
        </w:r>
        <w:r w:rsidR="00FE5014">
          <w:rPr>
            <w:noProof/>
            <w:webHidden/>
          </w:rPr>
          <w:fldChar w:fldCharType="begin"/>
        </w:r>
        <w:r w:rsidR="00FE5014">
          <w:rPr>
            <w:noProof/>
            <w:webHidden/>
          </w:rPr>
          <w:instrText xml:space="preserve"> PAGEREF _Toc142918628 \h </w:instrText>
        </w:r>
        <w:r w:rsidR="00FE5014">
          <w:rPr>
            <w:noProof/>
            <w:webHidden/>
          </w:rPr>
        </w:r>
        <w:r w:rsidR="00FE5014">
          <w:rPr>
            <w:noProof/>
            <w:webHidden/>
          </w:rPr>
          <w:fldChar w:fldCharType="separate"/>
        </w:r>
        <w:r w:rsidR="000F1876">
          <w:rPr>
            <w:noProof/>
            <w:webHidden/>
          </w:rPr>
          <w:t>129</w:t>
        </w:r>
        <w:r w:rsidR="00FE5014">
          <w:rPr>
            <w:noProof/>
            <w:webHidden/>
          </w:rPr>
          <w:fldChar w:fldCharType="end"/>
        </w:r>
      </w:hyperlink>
    </w:p>
    <w:p w14:paraId="655B78D4" w14:textId="264956DF" w:rsidR="00FE5014" w:rsidRDefault="00000000">
      <w:pPr>
        <w:pStyle w:val="TOC1"/>
        <w:rPr>
          <w:rFonts w:asciiTheme="minorHAnsi" w:hAnsiTheme="minorHAnsi"/>
          <w:noProof/>
          <w:kern w:val="2"/>
          <w:szCs w:val="22"/>
          <w:lang w:eastAsia="en-AU"/>
          <w14:ligatures w14:val="standardContextual"/>
        </w:rPr>
      </w:pPr>
      <w:hyperlink w:anchor="_Toc142918632" w:history="1">
        <w:r w:rsidR="00FE5014" w:rsidRPr="00236BFD">
          <w:rPr>
            <w:rStyle w:val="Hyperlink"/>
            <w:noProof/>
          </w:rPr>
          <w:t>Appendix G: Feedback from Independent Experts and NDIA stakeholders</w:t>
        </w:r>
        <w:r w:rsidR="00FE5014">
          <w:rPr>
            <w:noProof/>
            <w:webHidden/>
          </w:rPr>
          <w:tab/>
        </w:r>
        <w:r w:rsidR="00FE5014">
          <w:rPr>
            <w:noProof/>
            <w:webHidden/>
          </w:rPr>
          <w:fldChar w:fldCharType="begin"/>
        </w:r>
        <w:r w:rsidR="00FE5014">
          <w:rPr>
            <w:noProof/>
            <w:webHidden/>
          </w:rPr>
          <w:instrText xml:space="preserve"> PAGEREF _Toc142918632 \h </w:instrText>
        </w:r>
        <w:r w:rsidR="00FE5014">
          <w:rPr>
            <w:noProof/>
            <w:webHidden/>
          </w:rPr>
        </w:r>
        <w:r w:rsidR="00FE5014">
          <w:rPr>
            <w:noProof/>
            <w:webHidden/>
          </w:rPr>
          <w:fldChar w:fldCharType="separate"/>
        </w:r>
        <w:r w:rsidR="000F1876">
          <w:rPr>
            <w:noProof/>
            <w:webHidden/>
          </w:rPr>
          <w:t>137</w:t>
        </w:r>
        <w:r w:rsidR="00FE5014">
          <w:rPr>
            <w:noProof/>
            <w:webHidden/>
          </w:rPr>
          <w:fldChar w:fldCharType="end"/>
        </w:r>
      </w:hyperlink>
    </w:p>
    <w:p w14:paraId="64F5D55C" w14:textId="38E9EDC9" w:rsidR="00CC5B38" w:rsidRDefault="000E1907" w:rsidP="009F1716">
      <w:pPr>
        <w:pStyle w:val="Heading2nonumber"/>
        <w:spacing w:before="0" w:after="0"/>
      </w:pPr>
      <w:r>
        <w:rPr>
          <w:color w:val="2B579A"/>
          <w:shd w:val="clear" w:color="auto" w:fill="E6E6E6"/>
        </w:rPr>
        <w:lastRenderedPageBreak/>
        <w:fldChar w:fldCharType="end"/>
      </w:r>
      <w:bookmarkStart w:id="11" w:name="_Toc111206307"/>
      <w:bookmarkStart w:id="12" w:name="_Toc111206421"/>
      <w:bookmarkStart w:id="13" w:name="_Toc133655488"/>
      <w:bookmarkStart w:id="14" w:name="_Toc142918574"/>
      <w:r w:rsidR="00CC5B38">
        <w:t>Abbreviations</w:t>
      </w:r>
      <w:bookmarkEnd w:id="11"/>
      <w:bookmarkEnd w:id="12"/>
      <w:bookmarkEnd w:id="13"/>
      <w:bookmarkEnd w:id="14"/>
    </w:p>
    <w:p w14:paraId="37FD03C7" w14:textId="113932D4" w:rsidR="00C47E98" w:rsidRDefault="00AC0AE1" w:rsidP="00C47E98">
      <w:pPr>
        <w:spacing w:line="276" w:lineRule="auto"/>
      </w:pPr>
      <w:r>
        <w:t>AAT</w:t>
      </w:r>
      <w:r>
        <w:tab/>
      </w:r>
      <w:r w:rsidR="00C47E98" w:rsidRPr="007F5B1D">
        <w:tab/>
      </w:r>
      <w:r>
        <w:t>Administrative Appeals Tribunal</w:t>
      </w:r>
    </w:p>
    <w:p w14:paraId="2C7471F2" w14:textId="5D670314" w:rsidR="00A41899" w:rsidRDefault="00A41899" w:rsidP="00C47E98">
      <w:pPr>
        <w:spacing w:line="276" w:lineRule="auto"/>
      </w:pPr>
      <w:r>
        <w:t>ADR</w:t>
      </w:r>
      <w:r>
        <w:tab/>
      </w:r>
      <w:r>
        <w:tab/>
        <w:t xml:space="preserve">Alternative </w:t>
      </w:r>
      <w:r w:rsidR="00967419">
        <w:t>D</w:t>
      </w:r>
      <w:r>
        <w:t xml:space="preserve">ispute </w:t>
      </w:r>
      <w:r w:rsidR="00967419">
        <w:t>R</w:t>
      </w:r>
      <w:r>
        <w:t>esolution</w:t>
      </w:r>
    </w:p>
    <w:p w14:paraId="5A5FAF3A" w14:textId="576E90D6" w:rsidR="009D0B79" w:rsidRDefault="009D0B79" w:rsidP="00C47E98">
      <w:pPr>
        <w:spacing w:line="276" w:lineRule="auto"/>
      </w:pPr>
      <w:r>
        <w:t>DRCO</w:t>
      </w:r>
      <w:r>
        <w:tab/>
      </w:r>
      <w:r w:rsidR="00C65137">
        <w:tab/>
      </w:r>
      <w:r>
        <w:t>Disability Representative and Carer Organisation</w:t>
      </w:r>
    </w:p>
    <w:p w14:paraId="5E80A36A" w14:textId="27A54E14" w:rsidR="00562290" w:rsidRDefault="00562290" w:rsidP="00C47E98">
      <w:pPr>
        <w:spacing w:line="276" w:lineRule="auto"/>
      </w:pPr>
      <w:r>
        <w:t>DSS</w:t>
      </w:r>
      <w:r>
        <w:tab/>
      </w:r>
      <w:r>
        <w:tab/>
        <w:t>Department of Social Services</w:t>
      </w:r>
    </w:p>
    <w:p w14:paraId="60C07107" w14:textId="69F22C65" w:rsidR="00FE0B75" w:rsidRDefault="00FE0B75" w:rsidP="00C47E98">
      <w:pPr>
        <w:spacing w:line="276" w:lineRule="auto"/>
      </w:pPr>
      <w:r>
        <w:t>FTE</w:t>
      </w:r>
      <w:r w:rsidR="00803A22">
        <w:tab/>
      </w:r>
      <w:r w:rsidR="00803A22">
        <w:tab/>
        <w:t>Full time employee</w:t>
      </w:r>
    </w:p>
    <w:p w14:paraId="084EB0A7" w14:textId="2F83632E" w:rsidR="00F11208" w:rsidRDefault="00F11208" w:rsidP="00C47E98">
      <w:pPr>
        <w:spacing w:line="276" w:lineRule="auto"/>
      </w:pPr>
      <w:r>
        <w:t>GBM</w:t>
      </w:r>
      <w:r>
        <w:tab/>
      </w:r>
      <w:r>
        <w:tab/>
        <w:t>Gradient boosting machine</w:t>
      </w:r>
      <w:r w:rsidR="00141B37">
        <w:t xml:space="preserve"> (model)</w:t>
      </w:r>
    </w:p>
    <w:p w14:paraId="55427382" w14:textId="10B9583F" w:rsidR="008875FE" w:rsidRDefault="008875FE" w:rsidP="008875FE">
      <w:pPr>
        <w:spacing w:line="276" w:lineRule="auto"/>
      </w:pPr>
      <w:r>
        <w:t>HOC</w:t>
      </w:r>
      <w:r>
        <w:tab/>
      </w:r>
      <w:r>
        <w:tab/>
        <w:t>Hearing Oversight Committee</w:t>
      </w:r>
    </w:p>
    <w:p w14:paraId="6B6EBD7E" w14:textId="02705A50" w:rsidR="00774567" w:rsidRDefault="00774567" w:rsidP="00C47E98">
      <w:pPr>
        <w:spacing w:line="276" w:lineRule="auto"/>
      </w:pPr>
      <w:r>
        <w:t>IERAS</w:t>
      </w:r>
      <w:r>
        <w:tab/>
      </w:r>
      <w:r w:rsidR="00AB7A9F" w:rsidRPr="00AB7A9F">
        <w:t>Independent Expert Review Advice Service</w:t>
      </w:r>
    </w:p>
    <w:p w14:paraId="5230EA16" w14:textId="308AD52C" w:rsidR="00AC0AE1" w:rsidRDefault="00AC0AE1" w:rsidP="00C47E98">
      <w:pPr>
        <w:spacing w:line="276" w:lineRule="auto"/>
      </w:pPr>
      <w:r>
        <w:t>IER</w:t>
      </w:r>
      <w:r w:rsidR="00A41899">
        <w:t>P</w:t>
      </w:r>
      <w:r>
        <w:tab/>
      </w:r>
      <w:r>
        <w:tab/>
        <w:t>Independent Expert Review Program</w:t>
      </w:r>
    </w:p>
    <w:p w14:paraId="023AFDF7" w14:textId="339A55B1" w:rsidR="00E27952" w:rsidRPr="007F5B1D" w:rsidRDefault="00E27952" w:rsidP="00C47E98">
      <w:pPr>
        <w:spacing w:line="276" w:lineRule="auto"/>
      </w:pPr>
      <w:r>
        <w:t>IGAP</w:t>
      </w:r>
      <w:r>
        <w:tab/>
      </w:r>
      <w:r>
        <w:tab/>
        <w:t xml:space="preserve">Information Gathering for Access and Policy </w:t>
      </w:r>
    </w:p>
    <w:p w14:paraId="734C93EF" w14:textId="0654E8C6" w:rsidR="00C47E98" w:rsidRPr="00150AB9" w:rsidRDefault="00C47E98" w:rsidP="00C47E98">
      <w:pPr>
        <w:spacing w:line="276" w:lineRule="auto"/>
      </w:pPr>
      <w:r w:rsidRPr="00150AB9">
        <w:t>NDIA</w:t>
      </w:r>
      <w:r w:rsidRPr="00150AB9">
        <w:tab/>
      </w:r>
      <w:r w:rsidRPr="00150AB9">
        <w:tab/>
        <w:t>National Disability Insurance Agency</w:t>
      </w:r>
      <w:r w:rsidR="00DD0B58">
        <w:t>, or the Agency</w:t>
      </w:r>
    </w:p>
    <w:p w14:paraId="5BD43255" w14:textId="5E2CAEE2" w:rsidR="00C47E98" w:rsidRDefault="00C47E98" w:rsidP="00C47E98">
      <w:pPr>
        <w:spacing w:line="276" w:lineRule="auto"/>
      </w:pPr>
      <w:r w:rsidRPr="00150AB9">
        <w:t>NDIS</w:t>
      </w:r>
      <w:r w:rsidRPr="00150AB9">
        <w:tab/>
      </w:r>
      <w:r w:rsidRPr="00150AB9">
        <w:tab/>
        <w:t>National Disability Insurance Scheme</w:t>
      </w:r>
      <w:r w:rsidR="00DD0B58">
        <w:t>, or the Scheme</w:t>
      </w:r>
    </w:p>
    <w:p w14:paraId="7143AF4F" w14:textId="35FB940D" w:rsidR="00ED17A5" w:rsidRDefault="00ED17A5" w:rsidP="00C47E98">
      <w:pPr>
        <w:spacing w:line="276" w:lineRule="auto"/>
      </w:pPr>
      <w:r>
        <w:t>NHMRC</w:t>
      </w:r>
      <w:r>
        <w:tab/>
        <w:t>National Health and Medical Research Council</w:t>
      </w:r>
    </w:p>
    <w:p w14:paraId="55CB8039" w14:textId="4F8C7C5C" w:rsidR="00025296" w:rsidRDefault="00025296" w:rsidP="00C47E98">
      <w:pPr>
        <w:spacing w:line="276" w:lineRule="auto"/>
      </w:pPr>
      <w:r>
        <w:t>OG</w:t>
      </w:r>
      <w:r>
        <w:tab/>
      </w:r>
      <w:r>
        <w:tab/>
        <w:t>Operational Gui</w:t>
      </w:r>
      <w:r w:rsidR="00562290">
        <w:t>delines</w:t>
      </w:r>
    </w:p>
    <w:p w14:paraId="3E41D66D" w14:textId="264A728E" w:rsidR="009112FF" w:rsidRDefault="009112FF" w:rsidP="00C47E98">
      <w:pPr>
        <w:spacing w:line="276" w:lineRule="auto"/>
      </w:pPr>
      <w:r>
        <w:t>OHS</w:t>
      </w:r>
      <w:r>
        <w:tab/>
      </w:r>
      <w:r>
        <w:tab/>
        <w:t>(NDIA) Operations and Housing Support</w:t>
      </w:r>
      <w:r w:rsidR="00215C71">
        <w:t xml:space="preserve"> </w:t>
      </w:r>
    </w:p>
    <w:p w14:paraId="31FF983D" w14:textId="0AB0E315" w:rsidR="008C1FC3" w:rsidRDefault="008C1FC3" w:rsidP="00C47E98">
      <w:pPr>
        <w:spacing w:line="276" w:lineRule="auto"/>
      </w:pPr>
      <w:r>
        <w:t>PSG</w:t>
      </w:r>
      <w:r>
        <w:tab/>
      </w:r>
      <w:r>
        <w:tab/>
        <w:t xml:space="preserve">Participant Service </w:t>
      </w:r>
      <w:r w:rsidR="00A714B8">
        <w:t>Guarantee</w:t>
      </w:r>
    </w:p>
    <w:p w14:paraId="2E814A45" w14:textId="27940201" w:rsidR="001979A5" w:rsidRDefault="001979A5" w:rsidP="00C47E98">
      <w:pPr>
        <w:spacing w:line="276" w:lineRule="auto"/>
      </w:pPr>
      <w:r>
        <w:t>REB</w:t>
      </w:r>
      <w:r>
        <w:tab/>
      </w:r>
      <w:r>
        <w:tab/>
        <w:t>(NDIA) Research and Evaluation Branch</w:t>
      </w:r>
    </w:p>
    <w:p w14:paraId="09332C80" w14:textId="36032718" w:rsidR="00A41899" w:rsidRDefault="00A41899" w:rsidP="00C47E98">
      <w:pPr>
        <w:spacing w:line="276" w:lineRule="auto"/>
      </w:pPr>
      <w:r>
        <w:t>s100</w:t>
      </w:r>
      <w:r>
        <w:tab/>
      </w:r>
      <w:r>
        <w:tab/>
        <w:t>NDIA internal section 100 review</w:t>
      </w:r>
    </w:p>
    <w:p w14:paraId="319F4C52" w14:textId="4BAB4D17" w:rsidR="005C2796" w:rsidRDefault="005C2796" w:rsidP="00C47E98">
      <w:pPr>
        <w:spacing w:line="276" w:lineRule="auto"/>
      </w:pPr>
      <w:r>
        <w:t>SDA</w:t>
      </w:r>
      <w:r>
        <w:tab/>
      </w:r>
      <w:r>
        <w:tab/>
        <w:t>Supported Disability Accommodation</w:t>
      </w:r>
    </w:p>
    <w:p w14:paraId="1A75EE9C" w14:textId="551994F4" w:rsidR="005C2796" w:rsidRDefault="005C2796" w:rsidP="00C47E98">
      <w:pPr>
        <w:spacing w:line="276" w:lineRule="auto"/>
      </w:pPr>
      <w:r>
        <w:t>SIL</w:t>
      </w:r>
      <w:r>
        <w:tab/>
      </w:r>
      <w:r>
        <w:tab/>
        <w:t>Supported Independent Living</w:t>
      </w:r>
    </w:p>
    <w:p w14:paraId="74776289" w14:textId="6618DA51" w:rsidR="00025296" w:rsidRDefault="00025296" w:rsidP="00C47E98">
      <w:pPr>
        <w:spacing w:line="276" w:lineRule="auto"/>
      </w:pPr>
      <w:r>
        <w:t>SOP</w:t>
      </w:r>
      <w:r>
        <w:tab/>
      </w:r>
      <w:r>
        <w:tab/>
        <w:t>Standard Operating Procedure</w:t>
      </w:r>
    </w:p>
    <w:p w14:paraId="0557D522" w14:textId="11F80F80" w:rsidR="004F2333" w:rsidRPr="00150AB9" w:rsidRDefault="004F2333" w:rsidP="00C47E98">
      <w:pPr>
        <w:spacing w:line="276" w:lineRule="auto"/>
      </w:pPr>
      <w:r>
        <w:t>TAB</w:t>
      </w:r>
      <w:r>
        <w:tab/>
      </w:r>
      <w:r>
        <w:tab/>
        <w:t>(NDIA) Technical Advisory Branch</w:t>
      </w:r>
    </w:p>
    <w:p w14:paraId="32335032" w14:textId="420B2AAA" w:rsidR="00AC0AE1" w:rsidRDefault="00AC0AE1" w:rsidP="002052FB">
      <w:pPr>
        <w:spacing w:line="276" w:lineRule="auto"/>
      </w:pPr>
    </w:p>
    <w:p w14:paraId="20A70E5C" w14:textId="4C8C01F1" w:rsidR="008D4B76" w:rsidRDefault="008D4B76" w:rsidP="002052FB">
      <w:pPr>
        <w:spacing w:line="276" w:lineRule="auto"/>
      </w:pPr>
      <w:r>
        <w:br w:type="page"/>
      </w:r>
    </w:p>
    <w:p w14:paraId="20A70E73" w14:textId="3D9A4066" w:rsidR="007219F1" w:rsidRDefault="0059122B" w:rsidP="00E81732">
      <w:pPr>
        <w:pStyle w:val="Heading2nonumber"/>
        <w:spacing w:before="0" w:after="0"/>
      </w:pPr>
      <w:bookmarkStart w:id="15" w:name="_Toc111206308"/>
      <w:bookmarkStart w:id="16" w:name="_Toc111206422"/>
      <w:bookmarkStart w:id="17" w:name="_Toc133655489"/>
      <w:bookmarkStart w:id="18" w:name="_Toc142918575"/>
      <w:r>
        <w:lastRenderedPageBreak/>
        <w:t>Key findings</w:t>
      </w:r>
      <w:bookmarkEnd w:id="15"/>
      <w:bookmarkEnd w:id="16"/>
      <w:bookmarkEnd w:id="17"/>
      <w:bookmarkEnd w:id="18"/>
    </w:p>
    <w:p w14:paraId="1B43C208" w14:textId="01B197C4" w:rsidR="000B3BCC" w:rsidRPr="00155887" w:rsidRDefault="000B3BCC" w:rsidP="000705FE">
      <w:pPr>
        <w:pStyle w:val="Bulletlist"/>
        <w:numPr>
          <w:ilvl w:val="0"/>
          <w:numId w:val="49"/>
        </w:numPr>
        <w:spacing w:before="60" w:after="60"/>
        <w:ind w:left="357" w:hanging="357"/>
      </w:pPr>
      <w:r w:rsidRPr="00155887">
        <w:t xml:space="preserve">Participants and their </w:t>
      </w:r>
      <w:r w:rsidR="008400AD" w:rsidRPr="00155887">
        <w:t>representatives</w:t>
      </w:r>
      <w:r w:rsidRPr="00155887">
        <w:t xml:space="preserve"> reported high satisfaction with the IERP</w:t>
      </w:r>
      <w:r w:rsidR="009D111B" w:rsidRPr="00155887">
        <w:t>, especially compared to the AAT</w:t>
      </w:r>
      <w:r w:rsidRPr="00155887">
        <w:t xml:space="preserve">. </w:t>
      </w:r>
      <w:r w:rsidR="00400A39" w:rsidRPr="00155887">
        <w:t xml:space="preserve">They said </w:t>
      </w:r>
      <w:r w:rsidRPr="00155887">
        <w:t>they had more opportunity to be heard, appreciated th</w:t>
      </w:r>
      <w:r w:rsidR="00FA20ED" w:rsidRPr="00155887">
        <w:t>at</w:t>
      </w:r>
      <w:r w:rsidRPr="00155887">
        <w:t xml:space="preserve"> all information </w:t>
      </w:r>
      <w:r w:rsidR="00FA20ED" w:rsidRPr="00155887">
        <w:t>was considered</w:t>
      </w:r>
      <w:r w:rsidRPr="00155887">
        <w:t xml:space="preserve"> and the timeliness of the process</w:t>
      </w:r>
      <w:r w:rsidR="00551BA0" w:rsidRPr="00155887">
        <w:t xml:space="preserve">. </w:t>
      </w:r>
      <w:r w:rsidR="001E7916" w:rsidRPr="00155887">
        <w:t>P</w:t>
      </w:r>
      <w:r w:rsidR="00551BA0" w:rsidRPr="00155887">
        <w:t xml:space="preserve">articipants or their nominees </w:t>
      </w:r>
      <w:r w:rsidR="001E7916" w:rsidRPr="00155887">
        <w:t>have accepted</w:t>
      </w:r>
      <w:r w:rsidR="00551BA0" w:rsidRPr="00155887">
        <w:t xml:space="preserve"> 86% of the </w:t>
      </w:r>
      <w:r w:rsidR="001F6389" w:rsidRPr="00155887">
        <w:t>IERP</w:t>
      </w:r>
      <w:r w:rsidR="009111F8" w:rsidRPr="00155887">
        <w:t xml:space="preserve"> </w:t>
      </w:r>
      <w:r w:rsidR="00551BA0" w:rsidRPr="00155887">
        <w:t xml:space="preserve">recommendations </w:t>
      </w:r>
      <w:r w:rsidR="0037077B" w:rsidRPr="00155887">
        <w:t xml:space="preserve">as </w:t>
      </w:r>
      <w:r w:rsidR="007C425F" w:rsidRPr="00155887">
        <w:t>of</w:t>
      </w:r>
      <w:r w:rsidR="0037077B" w:rsidRPr="00155887">
        <w:t xml:space="preserve"> 31 March 2023</w:t>
      </w:r>
      <w:r w:rsidR="00551BA0" w:rsidRPr="00155887">
        <w:t>.</w:t>
      </w:r>
    </w:p>
    <w:p w14:paraId="23DF60EE" w14:textId="51D623CC" w:rsidR="00A172B0" w:rsidRPr="009C13A0" w:rsidRDefault="00414B21" w:rsidP="000705FE">
      <w:pPr>
        <w:pStyle w:val="Bulletlist"/>
        <w:numPr>
          <w:ilvl w:val="0"/>
          <w:numId w:val="49"/>
        </w:numPr>
        <w:spacing w:before="60" w:after="60"/>
        <w:ind w:left="357" w:hanging="357"/>
      </w:pPr>
      <w:r>
        <w:t>T</w:t>
      </w:r>
      <w:r w:rsidR="00C83F15" w:rsidRPr="00C83F15">
        <w:t>he decision-making framework independent experts have used is comparable to the AAT</w:t>
      </w:r>
      <w:r w:rsidR="001B7A1C">
        <w:t xml:space="preserve"> and </w:t>
      </w:r>
      <w:r w:rsidR="00337918">
        <w:t xml:space="preserve">as </w:t>
      </w:r>
      <w:r w:rsidR="00BA6D3D">
        <w:t>of</w:t>
      </w:r>
      <w:r w:rsidR="00337918">
        <w:t xml:space="preserve"> 31 January 2023, </w:t>
      </w:r>
      <w:r w:rsidR="001B7A1C">
        <w:t>they</w:t>
      </w:r>
      <w:r w:rsidR="00A172B0" w:rsidRPr="00A172B0">
        <w:t xml:space="preserve"> have recommend</w:t>
      </w:r>
      <w:r w:rsidR="009C1225">
        <w:t>ed</w:t>
      </w:r>
      <w:r w:rsidR="00A172B0" w:rsidRPr="00A172B0">
        <w:t xml:space="preserve"> </w:t>
      </w:r>
      <w:r w:rsidR="00090A02">
        <w:t>accepting</w:t>
      </w:r>
      <w:r w:rsidR="00090A02" w:rsidRPr="00A172B0">
        <w:t xml:space="preserve"> </w:t>
      </w:r>
      <w:r w:rsidR="00A172B0" w:rsidRPr="00A172B0">
        <w:t xml:space="preserve">or partially </w:t>
      </w:r>
      <w:r w:rsidR="00090A02">
        <w:t>accepting</w:t>
      </w:r>
      <w:r w:rsidR="00090A02" w:rsidRPr="00A172B0">
        <w:t xml:space="preserve"> </w:t>
      </w:r>
      <w:r w:rsidR="006C3930">
        <w:t xml:space="preserve">71% of </w:t>
      </w:r>
      <w:r w:rsidR="00A172B0" w:rsidRPr="00A172B0">
        <w:t>participant requests</w:t>
      </w:r>
      <w:r w:rsidR="00E33E4E">
        <w:t>.</w:t>
      </w:r>
      <w:r w:rsidR="00A172B0" w:rsidRPr="00A172B0">
        <w:t xml:space="preserve"> </w:t>
      </w:r>
      <w:r w:rsidR="00E33E4E">
        <w:t>T</w:t>
      </w:r>
      <w:r w:rsidR="00F83DEE">
        <w:t>he</w:t>
      </w:r>
      <w:r w:rsidR="0058592A">
        <w:t xml:space="preserve"> NDIA’s Technical Advisory </w:t>
      </w:r>
      <w:r w:rsidR="0058592A" w:rsidRPr="009C13A0">
        <w:t xml:space="preserve">Branch agreed that </w:t>
      </w:r>
      <w:r w:rsidR="00BA7BBF">
        <w:t xml:space="preserve">on average </w:t>
      </w:r>
      <w:r w:rsidR="0020271E" w:rsidRPr="009C13A0">
        <w:t xml:space="preserve">89% of the recommendations </w:t>
      </w:r>
      <w:r w:rsidR="00124147" w:rsidRPr="009C13A0">
        <w:t xml:space="preserve">received up to 31 January 2023 </w:t>
      </w:r>
      <w:r w:rsidR="0020271E" w:rsidRPr="009C13A0">
        <w:t xml:space="preserve">align with </w:t>
      </w:r>
      <w:r w:rsidR="005B5404" w:rsidRPr="009C13A0">
        <w:t>their views</w:t>
      </w:r>
      <w:r w:rsidR="00963B93" w:rsidRPr="009C13A0">
        <w:t xml:space="preserve"> on appropriate </w:t>
      </w:r>
      <w:r w:rsidR="005A7A46" w:rsidRPr="009C13A0">
        <w:t xml:space="preserve">participant </w:t>
      </w:r>
      <w:r w:rsidR="00963B93" w:rsidRPr="009C13A0">
        <w:t xml:space="preserve">supports </w:t>
      </w:r>
      <w:r w:rsidR="00E51A2A" w:rsidRPr="009C13A0">
        <w:t>for those matters</w:t>
      </w:r>
      <w:r w:rsidR="0020271E" w:rsidRPr="009C13A0">
        <w:t>.</w:t>
      </w:r>
    </w:p>
    <w:p w14:paraId="68527D82" w14:textId="2ABC046C" w:rsidR="009D0C5C" w:rsidRPr="00155887" w:rsidRDefault="00574569" w:rsidP="000705FE">
      <w:pPr>
        <w:pStyle w:val="Bulletlist"/>
        <w:numPr>
          <w:ilvl w:val="0"/>
          <w:numId w:val="49"/>
        </w:numPr>
        <w:spacing w:before="60" w:after="60"/>
        <w:ind w:left="357" w:hanging="357"/>
      </w:pPr>
      <w:r w:rsidRPr="00155887">
        <w:t>A</w:t>
      </w:r>
      <w:r w:rsidR="00F048A5">
        <w:t>t</w:t>
      </w:r>
      <w:r w:rsidRPr="00155887">
        <w:t xml:space="preserve"> 3</w:t>
      </w:r>
      <w:r w:rsidR="00660AE5">
        <w:t xml:space="preserve">1 </w:t>
      </w:r>
      <w:r w:rsidR="00FC53B5">
        <w:t>July</w:t>
      </w:r>
      <w:r w:rsidRPr="00155887">
        <w:t xml:space="preserve"> 2023, t</w:t>
      </w:r>
      <w:r w:rsidR="00110BB3" w:rsidRPr="00155887">
        <w:t xml:space="preserve">he estimated average cost </w:t>
      </w:r>
      <w:r w:rsidR="0051708F" w:rsidRPr="00155887">
        <w:t xml:space="preserve">of </w:t>
      </w:r>
      <w:r w:rsidR="005B72D1">
        <w:t xml:space="preserve">an independent expert </w:t>
      </w:r>
      <w:r w:rsidR="00384CD0">
        <w:t xml:space="preserve">reviewing a case </w:t>
      </w:r>
      <w:r w:rsidR="00191800" w:rsidRPr="00155887">
        <w:t xml:space="preserve">was </w:t>
      </w:r>
      <w:r w:rsidR="00110BB3" w:rsidRPr="00155887">
        <w:t>$</w:t>
      </w:r>
      <w:r w:rsidR="00904052" w:rsidRPr="00155887">
        <w:t>10</w:t>
      </w:r>
      <w:r w:rsidRPr="00155887">
        <w:t>,</w:t>
      </w:r>
      <w:r w:rsidR="00904052" w:rsidRPr="00155887">
        <w:t>757</w:t>
      </w:r>
      <w:r w:rsidR="007C425F" w:rsidRPr="00155887">
        <w:t xml:space="preserve">. This compares to </w:t>
      </w:r>
      <w:r w:rsidR="00C70ADC" w:rsidRPr="00155887">
        <w:t>$</w:t>
      </w:r>
      <w:r w:rsidR="00F322EE" w:rsidRPr="00155887">
        <w:t>29</w:t>
      </w:r>
      <w:r w:rsidR="00C70ADC" w:rsidRPr="00155887">
        <w:t>,</w:t>
      </w:r>
      <w:r w:rsidR="00D073EC" w:rsidRPr="00155887">
        <w:t>899</w:t>
      </w:r>
      <w:r w:rsidR="0061390D" w:rsidRPr="00155887">
        <w:t xml:space="preserve"> on average for </w:t>
      </w:r>
      <w:r w:rsidR="00A97826" w:rsidRPr="00155887">
        <w:t>proceeding to a</w:t>
      </w:r>
      <w:r w:rsidR="00F73B3B" w:rsidRPr="00155887">
        <w:t>n</w:t>
      </w:r>
      <w:r w:rsidR="0061390D" w:rsidRPr="00155887">
        <w:t xml:space="preserve"> AAT hearing</w:t>
      </w:r>
      <w:r w:rsidR="00FD2B90">
        <w:t>, although</w:t>
      </w:r>
      <w:r w:rsidR="00E71B74" w:rsidRPr="00155887">
        <w:t xml:space="preserve"> </w:t>
      </w:r>
      <w:r w:rsidR="00166FD6" w:rsidRPr="00155887">
        <w:t xml:space="preserve">over 98% of NDIS AAT matters </w:t>
      </w:r>
      <w:r w:rsidR="00B97097">
        <w:t>resolve</w:t>
      </w:r>
      <w:r w:rsidR="00166FD6" w:rsidRPr="00155887">
        <w:t xml:space="preserve"> without </w:t>
      </w:r>
      <w:r w:rsidR="00FD2B90">
        <w:t>an AAT</w:t>
      </w:r>
      <w:r w:rsidR="00166FD6" w:rsidRPr="00155887">
        <w:t xml:space="preserve"> </w:t>
      </w:r>
      <w:r w:rsidR="00736036" w:rsidRPr="00155887">
        <w:t>hearing.</w:t>
      </w:r>
    </w:p>
    <w:p w14:paraId="3016C83E" w14:textId="77C19CC2" w:rsidR="00BD6B76" w:rsidRPr="00B85D06" w:rsidRDefault="00384CD0" w:rsidP="000705FE">
      <w:pPr>
        <w:pStyle w:val="ListParagraph"/>
        <w:numPr>
          <w:ilvl w:val="0"/>
          <w:numId w:val="49"/>
        </w:numPr>
        <w:spacing w:before="60" w:after="60"/>
        <w:ind w:left="357" w:hanging="357"/>
      </w:pPr>
      <w:r w:rsidRPr="00B85D06">
        <w:t>B</w:t>
      </w:r>
      <w:r w:rsidR="009F56E7" w:rsidRPr="00B85D06">
        <w:t xml:space="preserve">ased on </w:t>
      </w:r>
      <w:r w:rsidR="00630A92" w:rsidRPr="00B85D06">
        <w:t xml:space="preserve">other </w:t>
      </w:r>
      <w:r w:rsidRPr="00B85D06">
        <w:t xml:space="preserve">complex </w:t>
      </w:r>
      <w:r w:rsidR="00630A92" w:rsidRPr="00B85D06">
        <w:t>AAT cases</w:t>
      </w:r>
      <w:r w:rsidRPr="00B85D06">
        <w:t>,</w:t>
      </w:r>
      <w:r w:rsidR="00630A92" w:rsidRPr="00B85D06">
        <w:t xml:space="preserve"> 30% of IERP cases </w:t>
      </w:r>
      <w:r w:rsidR="00FE5014" w:rsidRPr="00B85D06">
        <w:t>may</w:t>
      </w:r>
      <w:r w:rsidRPr="00B85D06">
        <w:t xml:space="preserve"> </w:t>
      </w:r>
      <w:r w:rsidR="00630A92" w:rsidRPr="00B85D06">
        <w:t>have progressed to a</w:t>
      </w:r>
      <w:r w:rsidR="002C0C19" w:rsidRPr="00B85D06">
        <w:t>n AAT</w:t>
      </w:r>
      <w:r w:rsidR="00630A92" w:rsidRPr="00B85D06">
        <w:t xml:space="preserve"> hearing i</w:t>
      </w:r>
      <w:r w:rsidR="00E10C44" w:rsidRPr="00B85D06">
        <w:t xml:space="preserve">f the </w:t>
      </w:r>
      <w:r w:rsidR="0092646A" w:rsidRPr="00B85D06">
        <w:t>IERP</w:t>
      </w:r>
      <w:r w:rsidR="00DB62C4" w:rsidRPr="00B85D06">
        <w:t xml:space="preserve"> was not available</w:t>
      </w:r>
      <w:r w:rsidR="00FE5014" w:rsidRPr="00B85D06">
        <w:t xml:space="preserve">. Together with other potential pre-AAT resolution costs, the avoided operational costs attributable to the IERP could be $12,035 per case. This equates to a </w:t>
      </w:r>
      <w:r w:rsidR="00BD6B76" w:rsidRPr="00B85D06">
        <w:t>net operational saving of the IERP of $1,278 per case (i.e. $10,757 - $12,035).</w:t>
      </w:r>
    </w:p>
    <w:p w14:paraId="41D0C9EB" w14:textId="5E0CE76A" w:rsidR="00BF1A1D" w:rsidRPr="00BF1A1D" w:rsidRDefault="00EF79E0" w:rsidP="000705FE">
      <w:pPr>
        <w:pStyle w:val="Bulletlist"/>
        <w:numPr>
          <w:ilvl w:val="0"/>
          <w:numId w:val="49"/>
        </w:numPr>
        <w:spacing w:before="60" w:after="60"/>
        <w:ind w:left="357" w:hanging="357"/>
      </w:pPr>
      <w:r>
        <w:t>T</w:t>
      </w:r>
      <w:r w:rsidR="00826EBF" w:rsidRPr="00826EBF">
        <w:t xml:space="preserve">here is no evidence that the IERP has impacted the financial sustainability of the NDIS. The average </w:t>
      </w:r>
      <w:r w:rsidR="00517275">
        <w:t xml:space="preserve">change in NDIS plan </w:t>
      </w:r>
      <w:r w:rsidR="00826EBF" w:rsidRPr="00826EBF">
        <w:t xml:space="preserve">value </w:t>
      </w:r>
      <w:r w:rsidR="00517275">
        <w:t>post dispute</w:t>
      </w:r>
      <w:r w:rsidR="00826EBF" w:rsidRPr="00826EBF">
        <w:t xml:space="preserve"> </w:t>
      </w:r>
      <w:r w:rsidR="00517275">
        <w:t xml:space="preserve">via the </w:t>
      </w:r>
      <w:r w:rsidR="00826EBF" w:rsidRPr="00826EBF">
        <w:t xml:space="preserve">IERP has been slightly less than the formal AAT process for other long-standing cases with similar underlying </w:t>
      </w:r>
      <w:r w:rsidR="009751E4">
        <w:t xml:space="preserve">NDIS </w:t>
      </w:r>
      <w:r w:rsidR="00826EBF" w:rsidRPr="00826EBF">
        <w:t>plan values (+</w:t>
      </w:r>
      <w:r w:rsidR="009751E4">
        <w:t>$</w:t>
      </w:r>
      <w:r w:rsidR="00826EBF" w:rsidRPr="00826EBF">
        <w:t>42,733 c.f. +</w:t>
      </w:r>
      <w:r w:rsidR="009751E4">
        <w:t>$</w:t>
      </w:r>
      <w:r w:rsidR="00826EBF" w:rsidRPr="00826EBF">
        <w:t xml:space="preserve">55,420). However, this reflects differences in the specific supports in dispute. Due to the uniqueness of cases, it was not possible to </w:t>
      </w:r>
      <w:r w:rsidR="001F71C1">
        <w:t>perfectly</w:t>
      </w:r>
      <w:r w:rsidR="00826EBF" w:rsidRPr="00826EBF">
        <w:t xml:space="preserve"> match IERP cases with other AAT cases based on the nature of the supports in dispute.</w:t>
      </w:r>
    </w:p>
    <w:p w14:paraId="18B9E623" w14:textId="77F1C3AB" w:rsidR="00787599" w:rsidRDefault="00311094" w:rsidP="000705FE">
      <w:pPr>
        <w:pStyle w:val="Bulletlist"/>
        <w:numPr>
          <w:ilvl w:val="0"/>
          <w:numId w:val="49"/>
        </w:numPr>
        <w:spacing w:before="60" w:after="60"/>
        <w:ind w:left="357" w:hanging="357"/>
      </w:pPr>
      <w:r w:rsidRPr="00311094">
        <w:t xml:space="preserve">Participants in the IERP reported high levels of dissatisfaction with how the NDIA communicates the reasons for </w:t>
      </w:r>
      <w:r w:rsidR="00A40D92">
        <w:t xml:space="preserve">planning and internal review </w:t>
      </w:r>
      <w:r w:rsidRPr="00311094">
        <w:t xml:space="preserve">decisions, their opportunity to discuss their matter and explain their position, the objectivity of </w:t>
      </w:r>
      <w:r w:rsidRPr="00311094">
        <w:lastRenderedPageBreak/>
        <w:t>decision making and their planning or internal review officer’s understanding of the issues</w:t>
      </w:r>
      <w:r>
        <w:t>.</w:t>
      </w:r>
    </w:p>
    <w:p w14:paraId="4C54B7DF" w14:textId="785EE00D" w:rsidR="00311094" w:rsidRPr="00311094" w:rsidRDefault="00413F0C" w:rsidP="000705FE">
      <w:pPr>
        <w:pStyle w:val="Bulletlist"/>
        <w:numPr>
          <w:ilvl w:val="0"/>
          <w:numId w:val="49"/>
        </w:numPr>
        <w:spacing w:before="60" w:after="60"/>
        <w:ind w:left="357" w:hanging="357"/>
      </w:pPr>
      <w:r>
        <w:t xml:space="preserve">The NDIA has implemented </w:t>
      </w:r>
      <w:r w:rsidR="00E67FEF">
        <w:t>several</w:t>
      </w:r>
      <w:r>
        <w:t xml:space="preserve"> internal review initiatives </w:t>
      </w:r>
      <w:r w:rsidR="009920A1">
        <w:t>that align with</w:t>
      </w:r>
      <w:r>
        <w:t xml:space="preserve"> the above concerns </w:t>
      </w:r>
      <w:r w:rsidR="001B530E">
        <w:t>including</w:t>
      </w:r>
      <w:r>
        <w:t xml:space="preserve"> clarifying phone calls and enhanced decision letters</w:t>
      </w:r>
      <w:r w:rsidR="009D379B">
        <w:t>. Since implementing these</w:t>
      </w:r>
      <w:r>
        <w:t xml:space="preserve">, the percentage of </w:t>
      </w:r>
      <w:r w:rsidR="00E67FEF">
        <w:t xml:space="preserve">NDIS </w:t>
      </w:r>
      <w:r w:rsidR="009D379B">
        <w:t>support</w:t>
      </w:r>
      <w:r>
        <w:t xml:space="preserve">-related internal reviews </w:t>
      </w:r>
      <w:r w:rsidR="0013630C">
        <w:t>that have progressed to external</w:t>
      </w:r>
      <w:r w:rsidR="00522BE0">
        <w:t xml:space="preserve"> review </w:t>
      </w:r>
      <w:r w:rsidR="0013630C">
        <w:t>has decreased</w:t>
      </w:r>
      <w:r>
        <w:t>.</w:t>
      </w:r>
    </w:p>
    <w:p w14:paraId="12E64F6A" w14:textId="77777777" w:rsidR="00FE5014" w:rsidRDefault="00400A39" w:rsidP="000705FE">
      <w:pPr>
        <w:pStyle w:val="Bulletlist"/>
        <w:numPr>
          <w:ilvl w:val="0"/>
          <w:numId w:val="49"/>
        </w:numPr>
        <w:spacing w:before="60" w:after="60"/>
        <w:ind w:left="357" w:hanging="357"/>
      </w:pPr>
      <w:r>
        <w:t>Statistical</w:t>
      </w:r>
      <w:r w:rsidR="009D111B" w:rsidRPr="009D111B">
        <w:t xml:space="preserve"> modelling shows </w:t>
      </w:r>
      <w:r w:rsidR="0037432B">
        <w:t xml:space="preserve">that </w:t>
      </w:r>
      <w:r w:rsidR="00883AAB">
        <w:t>disputes</w:t>
      </w:r>
      <w:r w:rsidR="009D111B" w:rsidRPr="009D111B">
        <w:t xml:space="preserve"> related to </w:t>
      </w:r>
      <w:r>
        <w:t>supported disability accommodation, supported independent living</w:t>
      </w:r>
      <w:r w:rsidR="009D111B" w:rsidRPr="009D111B">
        <w:t xml:space="preserve">, </w:t>
      </w:r>
      <w:r w:rsidR="00E96EB6">
        <w:t>children</w:t>
      </w:r>
      <w:r w:rsidR="009D111B" w:rsidRPr="009D111B">
        <w:t xml:space="preserve"> and participants with complex support needs are </w:t>
      </w:r>
      <w:r w:rsidR="000A56C1">
        <w:t>the most</w:t>
      </w:r>
      <w:r w:rsidR="009D111B" w:rsidRPr="009D111B">
        <w:t xml:space="preserve"> likely to escalate to </w:t>
      </w:r>
      <w:r w:rsidR="008C0187">
        <w:t>an external review</w:t>
      </w:r>
      <w:r w:rsidR="009D111B" w:rsidRPr="009D111B">
        <w:t xml:space="preserve">. This reflects the complexity of these matters </w:t>
      </w:r>
      <w:r w:rsidR="00B41A4D">
        <w:t>and</w:t>
      </w:r>
      <w:r w:rsidR="009D111B" w:rsidRPr="009D111B">
        <w:t xml:space="preserve"> suggests where additional effort to explain decisions might </w:t>
      </w:r>
      <w:r w:rsidR="00525E53">
        <w:t>be necessary</w:t>
      </w:r>
      <w:r w:rsidR="009D111B" w:rsidRPr="009D111B">
        <w:t>.</w:t>
      </w:r>
    </w:p>
    <w:p w14:paraId="3B1F03C6" w14:textId="59A7BC0E" w:rsidR="0059122B" w:rsidRDefault="0059122B" w:rsidP="000705FE">
      <w:pPr>
        <w:pStyle w:val="Bulletlist"/>
        <w:numPr>
          <w:ilvl w:val="0"/>
          <w:numId w:val="49"/>
        </w:numPr>
        <w:spacing w:before="60" w:after="60"/>
        <w:ind w:left="357" w:hanging="357"/>
      </w:pPr>
      <w:r>
        <w:br w:type="page"/>
      </w:r>
    </w:p>
    <w:p w14:paraId="3316709E" w14:textId="4BA85184" w:rsidR="00421062" w:rsidRDefault="0059122B" w:rsidP="00A01FA6">
      <w:pPr>
        <w:pStyle w:val="Heading2nonumber"/>
      </w:pPr>
      <w:bookmarkStart w:id="19" w:name="_Toc111206309"/>
      <w:bookmarkStart w:id="20" w:name="_Toc111206423"/>
      <w:bookmarkStart w:id="21" w:name="_Toc133655490"/>
      <w:bookmarkStart w:id="22" w:name="_Toc142918576"/>
      <w:r>
        <w:lastRenderedPageBreak/>
        <w:t>Executive Summary</w:t>
      </w:r>
      <w:bookmarkEnd w:id="19"/>
      <w:bookmarkEnd w:id="20"/>
      <w:bookmarkEnd w:id="21"/>
      <w:bookmarkEnd w:id="22"/>
    </w:p>
    <w:p w14:paraId="5AF010BE" w14:textId="77777777" w:rsidR="00A40629" w:rsidRPr="005A368F" w:rsidRDefault="00A40629" w:rsidP="00A01FA6">
      <w:pPr>
        <w:pStyle w:val="ESheading3"/>
      </w:pPr>
      <w:bookmarkStart w:id="23" w:name="_Ref119072095"/>
      <w:bookmarkStart w:id="24" w:name="_Toc133655491"/>
      <w:bookmarkStart w:id="25" w:name="_Toc135241994"/>
      <w:bookmarkStart w:id="26" w:name="_Toc142918577"/>
      <w:r w:rsidRPr="005A368F">
        <w:t>Introduction</w:t>
      </w:r>
      <w:bookmarkEnd w:id="23"/>
      <w:bookmarkEnd w:id="24"/>
      <w:bookmarkEnd w:id="25"/>
      <w:bookmarkEnd w:id="26"/>
    </w:p>
    <w:p w14:paraId="17DCC93E" w14:textId="2C977F28" w:rsidR="00D65433" w:rsidRPr="00B85D06" w:rsidRDefault="00E83249" w:rsidP="008D6059">
      <w:pPr>
        <w:spacing w:before="120" w:after="200"/>
      </w:pPr>
      <w:r w:rsidRPr="00B85D06">
        <w:t>In recent years</w:t>
      </w:r>
      <w:r w:rsidR="004A4454" w:rsidRPr="00B85D06">
        <w:t>,</w:t>
      </w:r>
      <w:r w:rsidR="00536A49" w:rsidRPr="00B85D06">
        <w:t xml:space="preserve"> </w:t>
      </w:r>
      <w:r w:rsidR="00FA0F58" w:rsidRPr="00B85D06">
        <w:t xml:space="preserve">the number of </w:t>
      </w:r>
      <w:r w:rsidR="00536A49" w:rsidRPr="00B85D06">
        <w:t>N</w:t>
      </w:r>
      <w:r w:rsidR="004A4454" w:rsidRPr="00B85D06">
        <w:t xml:space="preserve">ational </w:t>
      </w:r>
      <w:r w:rsidR="00536A49" w:rsidRPr="00B85D06">
        <w:t>D</w:t>
      </w:r>
      <w:r w:rsidR="004A4454" w:rsidRPr="00B85D06">
        <w:t xml:space="preserve">isability </w:t>
      </w:r>
      <w:r w:rsidR="00536A49" w:rsidRPr="00B85D06">
        <w:t>I</w:t>
      </w:r>
      <w:r w:rsidR="004A4454" w:rsidRPr="00B85D06">
        <w:t xml:space="preserve">nsurance </w:t>
      </w:r>
      <w:r w:rsidR="00536A49" w:rsidRPr="00B85D06">
        <w:t>S</w:t>
      </w:r>
      <w:r w:rsidR="004A4454" w:rsidRPr="00B85D06">
        <w:t>cheme (NDIS)</w:t>
      </w:r>
      <w:r w:rsidR="00536A49" w:rsidRPr="00B85D06">
        <w:t xml:space="preserve"> </w:t>
      </w:r>
      <w:r w:rsidR="0077567F" w:rsidRPr="00B85D06">
        <w:t xml:space="preserve">dispute </w:t>
      </w:r>
      <w:r w:rsidR="00536A49" w:rsidRPr="00B85D06">
        <w:t xml:space="preserve">cases </w:t>
      </w:r>
      <w:r w:rsidR="0077567F" w:rsidRPr="00B85D06">
        <w:t xml:space="preserve">escalating to the Administrative Appeals Tribunal (AAT) </w:t>
      </w:r>
      <w:r w:rsidR="00F22402" w:rsidRPr="00B85D06">
        <w:t xml:space="preserve">rose </w:t>
      </w:r>
      <w:r w:rsidR="00E25F33" w:rsidRPr="00B85D06">
        <w:t xml:space="preserve">substantially </w:t>
      </w:r>
      <w:r w:rsidR="00F22402" w:rsidRPr="00B85D06">
        <w:t>from</w:t>
      </w:r>
      <w:r w:rsidR="00F2238C" w:rsidRPr="00B85D06">
        <w:t xml:space="preserve"> 1,600 at 30 June 2021 to 4,501 at 27 May 2022</w:t>
      </w:r>
      <w:r w:rsidR="00F2238C" w:rsidRPr="00B85D06">
        <w:rPr>
          <w:rStyle w:val="FootnoteReference"/>
        </w:rPr>
        <w:footnoteReference w:id="2"/>
      </w:r>
      <w:r w:rsidR="00F2238C" w:rsidRPr="00B85D06">
        <w:t>. To address this issue, several initiatives were introduced</w:t>
      </w:r>
      <w:r w:rsidR="000B161B" w:rsidRPr="00B85D06">
        <w:t xml:space="preserve"> by th</w:t>
      </w:r>
      <w:r w:rsidR="312AAA57" w:rsidRPr="00B85D06">
        <w:t xml:space="preserve">e </w:t>
      </w:r>
      <w:r w:rsidR="005D34E4" w:rsidRPr="00B85D06">
        <w:t>National Disability Insurance Agency (NDIA)</w:t>
      </w:r>
      <w:r w:rsidR="00D535CD" w:rsidRPr="00B85D06">
        <w:t xml:space="preserve"> including </w:t>
      </w:r>
      <w:r w:rsidR="0027432B" w:rsidRPr="00B85D06">
        <w:t xml:space="preserve">the </w:t>
      </w:r>
      <w:r w:rsidR="312AAA57" w:rsidRPr="00B85D06">
        <w:t xml:space="preserve">Independent Expert Review </w:t>
      </w:r>
      <w:r w:rsidR="00C64165" w:rsidRPr="00B85D06">
        <w:t xml:space="preserve">Program </w:t>
      </w:r>
      <w:r w:rsidR="312AAA57" w:rsidRPr="00B85D06">
        <w:t>(IER</w:t>
      </w:r>
      <w:r w:rsidR="00C64165" w:rsidRPr="00B85D06">
        <w:t>P</w:t>
      </w:r>
      <w:r w:rsidR="312AAA57" w:rsidRPr="00B85D06">
        <w:t>)</w:t>
      </w:r>
      <w:r w:rsidR="00D535CD" w:rsidRPr="00B85D06">
        <w:t xml:space="preserve">. The IERP is </w:t>
      </w:r>
      <w:r w:rsidR="312AAA57" w:rsidRPr="00B85D06">
        <w:t>a</w:t>
      </w:r>
      <w:r w:rsidR="7F5D3AA8" w:rsidRPr="00B85D06">
        <w:t>n</w:t>
      </w:r>
      <w:r w:rsidR="312AAA57" w:rsidRPr="00B85D06">
        <w:t xml:space="preserve"> </w:t>
      </w:r>
      <w:r w:rsidR="000A3F77" w:rsidRPr="00B85D06">
        <w:t>early</w:t>
      </w:r>
      <w:r w:rsidR="7F5D3AA8" w:rsidRPr="00B85D06">
        <w:t xml:space="preserve"> </w:t>
      </w:r>
      <w:r w:rsidR="312AAA57" w:rsidRPr="00B85D06">
        <w:t xml:space="preserve">dispute resolution </w:t>
      </w:r>
      <w:r w:rsidR="0027432B" w:rsidRPr="00B85D06">
        <w:t>mechanism</w:t>
      </w:r>
      <w:r w:rsidR="0033138B" w:rsidRPr="00B85D06">
        <w:t xml:space="preserve"> to improve participants’ external review experience and </w:t>
      </w:r>
      <w:r w:rsidR="001D5C43" w:rsidRPr="00B85D06">
        <w:t xml:space="preserve">help </w:t>
      </w:r>
      <w:r w:rsidR="0033138B" w:rsidRPr="00B85D06">
        <w:t xml:space="preserve">clear the back log of </w:t>
      </w:r>
      <w:r w:rsidR="00C64165" w:rsidRPr="00B85D06">
        <w:t xml:space="preserve">AAT </w:t>
      </w:r>
      <w:r w:rsidR="000A3F77" w:rsidRPr="00B85D06">
        <w:t>matters</w:t>
      </w:r>
      <w:r w:rsidR="7F5D3AA8" w:rsidRPr="00B85D06">
        <w:t>.</w:t>
      </w:r>
      <w:r w:rsidR="312AAA57" w:rsidRPr="00B85D06">
        <w:t xml:space="preserve"> </w:t>
      </w:r>
      <w:r w:rsidR="0030662A" w:rsidRPr="00B85D06">
        <w:t xml:space="preserve">The </w:t>
      </w:r>
      <w:r w:rsidR="003E2D71" w:rsidRPr="00B85D06">
        <w:t xml:space="preserve">IERP </w:t>
      </w:r>
      <w:r w:rsidR="0030662A" w:rsidRPr="00B85D06">
        <w:t xml:space="preserve">model </w:t>
      </w:r>
      <w:r w:rsidR="00B73AF6" w:rsidRPr="00B85D06">
        <w:t xml:space="preserve">was </w:t>
      </w:r>
      <w:r w:rsidR="00500697" w:rsidRPr="00B85D06">
        <w:t xml:space="preserve">established </w:t>
      </w:r>
      <w:r w:rsidR="002B5E97" w:rsidRPr="00B85D06">
        <w:t>following</w:t>
      </w:r>
      <w:r w:rsidR="00500697" w:rsidRPr="00B85D06">
        <w:t xml:space="preserve"> </w:t>
      </w:r>
      <w:r w:rsidR="00D6015C" w:rsidRPr="00B85D06">
        <w:t>consultation</w:t>
      </w:r>
      <w:r w:rsidR="005403F6" w:rsidRPr="00B85D06">
        <w:t xml:space="preserve"> with the disability </w:t>
      </w:r>
      <w:r w:rsidR="00D6015C" w:rsidRPr="00B85D06">
        <w:t>sector</w:t>
      </w:r>
      <w:r w:rsidR="009D1E25" w:rsidRPr="00B85D06">
        <w:t>.</w:t>
      </w:r>
    </w:p>
    <w:p w14:paraId="6F8B756F" w14:textId="6FA38CC6" w:rsidR="00D65433" w:rsidRPr="00B85D06" w:rsidRDefault="0081271A" w:rsidP="00105F6F">
      <w:pPr>
        <w:rPr>
          <w:rFonts w:eastAsia="Arial" w:cs="Arial"/>
          <w:color w:val="000000" w:themeColor="text1"/>
          <w:szCs w:val="22"/>
        </w:rPr>
      </w:pPr>
      <w:r w:rsidRPr="00B85D06">
        <w:t>The Agency commenced piloting the IERP</w:t>
      </w:r>
      <w:r w:rsidR="002E1DDD" w:rsidRPr="00B85D06">
        <w:t xml:space="preserve"> in October </w:t>
      </w:r>
      <w:r w:rsidR="005C068B" w:rsidRPr="00B85D06">
        <w:t>2022</w:t>
      </w:r>
      <w:r w:rsidRPr="00B85D06">
        <w:t xml:space="preserve">. Phase 1 </w:t>
      </w:r>
      <w:r w:rsidR="00A66499" w:rsidRPr="00B85D06">
        <w:t xml:space="preserve">considered a </w:t>
      </w:r>
      <w:r w:rsidR="00CD1153" w:rsidRPr="00B85D06">
        <w:t xml:space="preserve">small </w:t>
      </w:r>
      <w:r w:rsidR="00A66499" w:rsidRPr="00B85D06">
        <w:t>number of matters which are now complete</w:t>
      </w:r>
      <w:r w:rsidR="008F299C" w:rsidRPr="00B85D06">
        <w:t xml:space="preserve">. Phase 2 commenced in </w:t>
      </w:r>
      <w:r w:rsidR="001F6292" w:rsidRPr="00B85D06">
        <w:t>mid-</w:t>
      </w:r>
      <w:r w:rsidR="004B758F" w:rsidRPr="00B85D06">
        <w:t xml:space="preserve">December </w:t>
      </w:r>
      <w:r w:rsidR="008F299C" w:rsidRPr="00B85D06">
        <w:t>202</w:t>
      </w:r>
      <w:r w:rsidR="004B758F" w:rsidRPr="00B85D06">
        <w:t>2</w:t>
      </w:r>
      <w:r w:rsidR="008F299C" w:rsidRPr="00B85D06">
        <w:t xml:space="preserve"> and </w:t>
      </w:r>
      <w:r w:rsidR="00DE35DD" w:rsidRPr="00B85D06">
        <w:t>ran</w:t>
      </w:r>
      <w:r w:rsidR="008F299C" w:rsidRPr="00B85D06">
        <w:t xml:space="preserve"> until 30 June 2023.</w:t>
      </w:r>
      <w:r w:rsidR="00D65433" w:rsidRPr="00B85D06">
        <w:rPr>
          <w:rFonts w:eastAsia="Arial" w:cs="Arial"/>
          <w:color w:val="000000" w:themeColor="text1"/>
          <w:szCs w:val="22"/>
        </w:rPr>
        <w:t xml:space="preserve"> The pilot phases prioritised cases which </w:t>
      </w:r>
      <w:r w:rsidR="00105F6F" w:rsidRPr="00B85D06">
        <w:rPr>
          <w:rFonts w:eastAsia="Arial" w:cs="Arial"/>
          <w:color w:val="000000" w:themeColor="text1"/>
          <w:szCs w:val="22"/>
        </w:rPr>
        <w:t>involve</w:t>
      </w:r>
      <w:r w:rsidR="00350881" w:rsidRPr="00B85D06">
        <w:rPr>
          <w:rFonts w:eastAsia="Arial" w:cs="Arial"/>
          <w:color w:val="000000" w:themeColor="text1"/>
          <w:szCs w:val="22"/>
        </w:rPr>
        <w:t>d</w:t>
      </w:r>
      <w:r w:rsidR="00105F6F" w:rsidRPr="00B85D06">
        <w:rPr>
          <w:rFonts w:eastAsia="Arial" w:cs="Arial"/>
          <w:color w:val="000000" w:themeColor="text1"/>
          <w:szCs w:val="22"/>
        </w:rPr>
        <w:t xml:space="preserve"> a </w:t>
      </w:r>
      <w:r w:rsidR="00C269D0" w:rsidRPr="00B85D06">
        <w:rPr>
          <w:rFonts w:eastAsia="Arial" w:cs="Arial"/>
          <w:color w:val="000000" w:themeColor="text1"/>
          <w:szCs w:val="22"/>
        </w:rPr>
        <w:t>National Disability Insurance Scheme (</w:t>
      </w:r>
      <w:r w:rsidR="00105F6F" w:rsidRPr="00B85D06">
        <w:rPr>
          <w:rFonts w:eastAsia="Arial" w:cs="Arial"/>
          <w:color w:val="000000" w:themeColor="text1"/>
          <w:szCs w:val="22"/>
        </w:rPr>
        <w:t>NDIS</w:t>
      </w:r>
      <w:r w:rsidR="00C269D0" w:rsidRPr="00B85D06">
        <w:rPr>
          <w:rFonts w:eastAsia="Arial" w:cs="Arial"/>
          <w:color w:val="000000" w:themeColor="text1"/>
          <w:szCs w:val="22"/>
        </w:rPr>
        <w:t>)</w:t>
      </w:r>
      <w:r w:rsidR="00105F6F" w:rsidRPr="00B85D06">
        <w:rPr>
          <w:rFonts w:eastAsia="Arial" w:cs="Arial"/>
          <w:color w:val="000000" w:themeColor="text1"/>
          <w:szCs w:val="22"/>
        </w:rPr>
        <w:t xml:space="preserve"> plan reduction of 20% or more and have been </w:t>
      </w:r>
      <w:r w:rsidR="00D65433" w:rsidRPr="00B85D06">
        <w:rPr>
          <w:rFonts w:eastAsia="Arial" w:cs="Arial"/>
          <w:color w:val="000000" w:themeColor="text1"/>
          <w:szCs w:val="22"/>
        </w:rPr>
        <w:t>in the AAT process for at least nine months</w:t>
      </w:r>
      <w:r w:rsidR="005B2D8F" w:rsidRPr="00B85D06">
        <w:rPr>
          <w:rStyle w:val="FootnoteReference"/>
          <w:rFonts w:eastAsia="Arial" w:cs="Arial"/>
          <w:color w:val="000000" w:themeColor="text1"/>
          <w:szCs w:val="22"/>
        </w:rPr>
        <w:footnoteReference w:id="3"/>
      </w:r>
      <w:r w:rsidR="00105F6F" w:rsidRPr="00B85D06">
        <w:rPr>
          <w:rFonts w:eastAsia="Arial" w:cs="Arial"/>
          <w:color w:val="000000" w:themeColor="text1"/>
          <w:szCs w:val="22"/>
        </w:rPr>
        <w:t>.</w:t>
      </w:r>
    </w:p>
    <w:p w14:paraId="373EFC7A" w14:textId="77777777" w:rsidR="00313BE2" w:rsidRPr="00B85D06" w:rsidRDefault="00ED0072" w:rsidP="00EF7122">
      <w:pPr>
        <w:rPr>
          <w:rFonts w:eastAsia="Arial" w:cs="Arial"/>
          <w:color w:val="000000" w:themeColor="text1"/>
          <w:szCs w:val="22"/>
        </w:rPr>
      </w:pPr>
      <w:r w:rsidRPr="00B85D06">
        <w:t>The IER</w:t>
      </w:r>
      <w:r w:rsidR="001E4548" w:rsidRPr="00B85D06">
        <w:t>P</w:t>
      </w:r>
      <w:r w:rsidRPr="00B85D06">
        <w:t xml:space="preserve"> utilises </w:t>
      </w:r>
      <w:r w:rsidR="00762451" w:rsidRPr="00B85D06">
        <w:t>legal and disability</w:t>
      </w:r>
      <w:r w:rsidRPr="00B85D06">
        <w:t xml:space="preserve"> experts who are independent of both the participant and the </w:t>
      </w:r>
      <w:r w:rsidR="00AE75D8" w:rsidRPr="00B85D06">
        <w:t>NDIA</w:t>
      </w:r>
      <w:r w:rsidRPr="00B85D06">
        <w:t xml:space="preserve">. They have substantial experience with the disability sector, the NDIS and in mediation and conciliation processes. The independent expert reviews the matter and makes a non-binding recommendation </w:t>
      </w:r>
      <w:r w:rsidR="0054346F" w:rsidRPr="00B85D06">
        <w:t>about</w:t>
      </w:r>
      <w:r w:rsidRPr="00B85D06">
        <w:t xml:space="preserve"> an appropriate </w:t>
      </w:r>
      <w:r w:rsidR="0054346F" w:rsidRPr="00B85D06">
        <w:t>resolution</w:t>
      </w:r>
      <w:r w:rsidRPr="00B85D06">
        <w:t xml:space="preserve"> with</w:t>
      </w:r>
      <w:r w:rsidR="0054346F" w:rsidRPr="00B85D06">
        <w:t>in</w:t>
      </w:r>
      <w:r w:rsidRPr="00B85D06">
        <w:t xml:space="preserve"> the legislative requirements</w:t>
      </w:r>
      <w:r w:rsidRPr="00B85D06">
        <w:rPr>
          <w:rFonts w:eastAsia="Arial" w:cs="Arial"/>
          <w:color w:val="000000" w:themeColor="text1"/>
          <w:szCs w:val="22"/>
        </w:rPr>
        <w:t xml:space="preserve"> of the NDIS Act and Rules. </w:t>
      </w:r>
    </w:p>
    <w:p w14:paraId="206CCF9C" w14:textId="33773D20" w:rsidR="00083BC2" w:rsidRPr="00B85D06" w:rsidRDefault="00ED0072" w:rsidP="00EF7122">
      <w:pPr>
        <w:rPr>
          <w:rFonts w:eastAsia="Arial" w:cs="Arial"/>
          <w:color w:val="000000" w:themeColor="text1"/>
          <w:szCs w:val="22"/>
        </w:rPr>
      </w:pPr>
      <w:r w:rsidRPr="00B85D06">
        <w:rPr>
          <w:rFonts w:eastAsia="Arial" w:cs="Arial"/>
          <w:color w:val="000000" w:themeColor="text1"/>
          <w:szCs w:val="22"/>
        </w:rPr>
        <w:t xml:space="preserve">The matter </w:t>
      </w:r>
      <w:r w:rsidR="0061743E" w:rsidRPr="00B85D06">
        <w:rPr>
          <w:rFonts w:eastAsia="Arial" w:cs="Arial"/>
          <w:color w:val="000000" w:themeColor="text1"/>
          <w:szCs w:val="22"/>
        </w:rPr>
        <w:t>resolves</w:t>
      </w:r>
      <w:r w:rsidRPr="00B85D06">
        <w:rPr>
          <w:rFonts w:eastAsia="Arial" w:cs="Arial"/>
          <w:color w:val="000000" w:themeColor="text1"/>
          <w:szCs w:val="22"/>
        </w:rPr>
        <w:t xml:space="preserve"> if both </w:t>
      </w:r>
      <w:r w:rsidR="0054346F" w:rsidRPr="00B85D06">
        <w:rPr>
          <w:rFonts w:eastAsia="Arial" w:cs="Arial"/>
          <w:color w:val="000000" w:themeColor="text1"/>
          <w:szCs w:val="22"/>
        </w:rPr>
        <w:t>the participant and NDIA</w:t>
      </w:r>
      <w:r w:rsidRPr="00B85D06">
        <w:rPr>
          <w:rFonts w:eastAsia="Arial" w:cs="Arial"/>
          <w:color w:val="000000" w:themeColor="text1"/>
          <w:szCs w:val="22"/>
        </w:rPr>
        <w:t xml:space="preserve"> accept this recommendation. </w:t>
      </w:r>
      <w:r w:rsidR="003745D5" w:rsidRPr="00B85D06">
        <w:rPr>
          <w:rFonts w:eastAsia="Arial" w:cs="Arial"/>
          <w:color w:val="000000" w:themeColor="text1"/>
          <w:szCs w:val="22"/>
        </w:rPr>
        <w:t>If either party does not accept</w:t>
      </w:r>
      <w:r w:rsidRPr="00B85D06">
        <w:rPr>
          <w:rFonts w:eastAsia="Arial" w:cs="Arial"/>
          <w:color w:val="000000" w:themeColor="text1"/>
          <w:szCs w:val="22"/>
        </w:rPr>
        <w:t xml:space="preserve"> the recommendation, </w:t>
      </w:r>
      <w:r w:rsidR="006C36B5" w:rsidRPr="00B85D06">
        <w:rPr>
          <w:rFonts w:eastAsia="Arial" w:cs="Arial"/>
          <w:color w:val="000000" w:themeColor="text1"/>
          <w:szCs w:val="22"/>
        </w:rPr>
        <w:t xml:space="preserve">the matter </w:t>
      </w:r>
      <w:r w:rsidR="003745D5" w:rsidRPr="00B85D06">
        <w:rPr>
          <w:rFonts w:eastAsia="Arial" w:cs="Arial"/>
          <w:color w:val="000000" w:themeColor="text1"/>
          <w:szCs w:val="22"/>
        </w:rPr>
        <w:t>returns</w:t>
      </w:r>
      <w:r w:rsidRPr="00B85D06">
        <w:rPr>
          <w:rFonts w:eastAsia="Arial" w:cs="Arial"/>
          <w:color w:val="000000" w:themeColor="text1"/>
          <w:szCs w:val="22"/>
        </w:rPr>
        <w:t xml:space="preserve"> to the AAT</w:t>
      </w:r>
      <w:r w:rsidR="00B84617" w:rsidRPr="00B85D06">
        <w:rPr>
          <w:rFonts w:eastAsia="Arial" w:cs="Arial"/>
          <w:color w:val="000000" w:themeColor="text1"/>
          <w:szCs w:val="22"/>
        </w:rPr>
        <w:t xml:space="preserve"> </w:t>
      </w:r>
      <w:r w:rsidR="003745D5" w:rsidRPr="00B85D06">
        <w:rPr>
          <w:rFonts w:eastAsia="Arial" w:cs="Arial"/>
          <w:color w:val="000000" w:themeColor="text1"/>
          <w:szCs w:val="22"/>
        </w:rPr>
        <w:t xml:space="preserve">process </w:t>
      </w:r>
      <w:r w:rsidR="00B84617" w:rsidRPr="00B85D06">
        <w:rPr>
          <w:rFonts w:eastAsia="Arial" w:cs="Arial"/>
          <w:color w:val="000000" w:themeColor="text1"/>
          <w:szCs w:val="22"/>
        </w:rPr>
        <w:t>without loss of priority</w:t>
      </w:r>
      <w:r w:rsidRPr="00B85D06">
        <w:rPr>
          <w:rFonts w:eastAsia="Arial" w:cs="Arial"/>
          <w:color w:val="000000" w:themeColor="text1"/>
          <w:szCs w:val="22"/>
        </w:rPr>
        <w:t xml:space="preserve">. </w:t>
      </w:r>
      <w:r w:rsidR="0026584D" w:rsidRPr="00B85D06">
        <w:rPr>
          <w:rFonts w:eastAsia="Arial" w:cs="Arial"/>
          <w:color w:val="000000" w:themeColor="text1"/>
          <w:szCs w:val="22"/>
        </w:rPr>
        <w:t>For Phase 1 and 2, t</w:t>
      </w:r>
      <w:r w:rsidRPr="00B85D06">
        <w:rPr>
          <w:rFonts w:eastAsia="Arial" w:cs="Arial"/>
          <w:color w:val="000000" w:themeColor="text1"/>
          <w:szCs w:val="22"/>
        </w:rPr>
        <w:t>he Agency committed to accepting the independent experts</w:t>
      </w:r>
      <w:r w:rsidR="0061743E" w:rsidRPr="00B85D06">
        <w:rPr>
          <w:rFonts w:eastAsia="Arial" w:cs="Arial"/>
          <w:color w:val="000000" w:themeColor="text1"/>
          <w:szCs w:val="22"/>
        </w:rPr>
        <w:t>’</w:t>
      </w:r>
      <w:r w:rsidRPr="00B85D06">
        <w:rPr>
          <w:rFonts w:eastAsia="Arial" w:cs="Arial"/>
          <w:color w:val="000000" w:themeColor="text1"/>
          <w:szCs w:val="22"/>
        </w:rPr>
        <w:t xml:space="preserve"> recommendations unless </w:t>
      </w:r>
      <w:r w:rsidR="00B908FC" w:rsidRPr="00B85D06">
        <w:rPr>
          <w:rFonts w:eastAsia="Arial" w:cs="Arial"/>
          <w:color w:val="000000" w:themeColor="text1"/>
          <w:szCs w:val="22"/>
        </w:rPr>
        <w:t xml:space="preserve">they </w:t>
      </w:r>
      <w:r w:rsidR="0029415D" w:rsidRPr="00B85D06">
        <w:rPr>
          <w:rFonts w:eastAsia="Arial" w:cs="Arial"/>
          <w:color w:val="000000" w:themeColor="text1"/>
          <w:szCs w:val="22"/>
        </w:rPr>
        <w:t>we</w:t>
      </w:r>
      <w:r w:rsidR="00B908FC" w:rsidRPr="00B85D06">
        <w:rPr>
          <w:rFonts w:eastAsia="Arial" w:cs="Arial"/>
          <w:color w:val="000000" w:themeColor="text1"/>
          <w:szCs w:val="22"/>
        </w:rPr>
        <w:t>re</w:t>
      </w:r>
      <w:r w:rsidRPr="00B85D06">
        <w:rPr>
          <w:rFonts w:eastAsia="Arial" w:cs="Arial"/>
          <w:color w:val="000000" w:themeColor="text1"/>
          <w:szCs w:val="22"/>
        </w:rPr>
        <w:t xml:space="preserve"> unlawful</w:t>
      </w:r>
      <w:r w:rsidR="00A943E9" w:rsidRPr="00B85D06">
        <w:rPr>
          <w:rFonts w:eastAsia="Arial" w:cs="Arial"/>
          <w:color w:val="000000" w:themeColor="text1"/>
          <w:szCs w:val="22"/>
        </w:rPr>
        <w:t xml:space="preserve">, there </w:t>
      </w:r>
      <w:r w:rsidR="00E554BA" w:rsidRPr="00B85D06">
        <w:rPr>
          <w:rFonts w:eastAsia="Arial" w:cs="Arial"/>
          <w:color w:val="000000" w:themeColor="text1"/>
          <w:szCs w:val="22"/>
        </w:rPr>
        <w:t>wa</w:t>
      </w:r>
      <w:r w:rsidR="00A943E9" w:rsidRPr="00B85D06">
        <w:rPr>
          <w:rFonts w:eastAsia="Arial" w:cs="Arial"/>
          <w:color w:val="000000" w:themeColor="text1"/>
          <w:szCs w:val="22"/>
        </w:rPr>
        <w:t xml:space="preserve">s a substantial </w:t>
      </w:r>
      <w:r w:rsidR="00934921" w:rsidRPr="00B85D06">
        <w:rPr>
          <w:rFonts w:eastAsia="Arial" w:cs="Arial"/>
          <w:color w:val="000000" w:themeColor="text1"/>
          <w:szCs w:val="22"/>
        </w:rPr>
        <w:t xml:space="preserve">or material </w:t>
      </w:r>
      <w:r w:rsidR="00A943E9" w:rsidRPr="00B85D06">
        <w:rPr>
          <w:rFonts w:eastAsia="Arial" w:cs="Arial"/>
          <w:color w:val="000000" w:themeColor="text1"/>
          <w:szCs w:val="22"/>
        </w:rPr>
        <w:t>error of fact or law</w:t>
      </w:r>
      <w:r w:rsidR="007026B1" w:rsidRPr="00B85D06">
        <w:rPr>
          <w:rFonts w:eastAsia="Arial" w:cs="Arial"/>
          <w:color w:val="000000" w:themeColor="text1"/>
          <w:szCs w:val="22"/>
        </w:rPr>
        <w:t xml:space="preserve"> </w:t>
      </w:r>
      <w:r w:rsidR="0023754B" w:rsidRPr="00B85D06">
        <w:rPr>
          <w:rFonts w:eastAsia="Arial" w:cs="Arial"/>
          <w:color w:val="000000" w:themeColor="text1"/>
          <w:szCs w:val="22"/>
        </w:rPr>
        <w:t xml:space="preserve">or </w:t>
      </w:r>
      <w:r w:rsidR="00E554BA" w:rsidRPr="00B85D06">
        <w:rPr>
          <w:rFonts w:eastAsia="Arial" w:cs="Arial"/>
          <w:color w:val="000000" w:themeColor="text1"/>
          <w:szCs w:val="22"/>
        </w:rPr>
        <w:t>were</w:t>
      </w:r>
      <w:r w:rsidR="00AA333E" w:rsidRPr="00B85D06">
        <w:rPr>
          <w:rFonts w:eastAsia="Arial" w:cs="Arial"/>
          <w:color w:val="000000" w:themeColor="text1"/>
          <w:szCs w:val="22"/>
        </w:rPr>
        <w:t xml:space="preserve"> inconsistent with the </w:t>
      </w:r>
      <w:r w:rsidR="00AA333E" w:rsidRPr="00B85D06">
        <w:rPr>
          <w:rFonts w:eastAsia="Arial" w:cs="Arial"/>
          <w:color w:val="000000" w:themeColor="text1"/>
          <w:szCs w:val="22"/>
        </w:rPr>
        <w:lastRenderedPageBreak/>
        <w:t>Agency’s Operational Guidelines</w:t>
      </w:r>
      <w:r w:rsidR="005050AE" w:rsidRPr="00B85D06">
        <w:rPr>
          <w:rFonts w:eastAsia="Arial" w:cs="Arial"/>
          <w:color w:val="000000" w:themeColor="text1"/>
          <w:szCs w:val="22"/>
        </w:rPr>
        <w:t xml:space="preserve"> </w:t>
      </w:r>
      <w:r w:rsidR="00C05F3D" w:rsidRPr="00B85D06">
        <w:rPr>
          <w:rFonts w:eastAsia="Arial" w:cs="Arial"/>
          <w:color w:val="000000" w:themeColor="text1"/>
          <w:szCs w:val="22"/>
        </w:rPr>
        <w:t xml:space="preserve">(OGs) </w:t>
      </w:r>
      <w:r w:rsidR="005050AE" w:rsidRPr="00B85D06">
        <w:rPr>
          <w:rFonts w:eastAsia="Arial" w:cs="Arial"/>
          <w:color w:val="000000" w:themeColor="text1"/>
          <w:szCs w:val="22"/>
        </w:rPr>
        <w:t xml:space="preserve">and </w:t>
      </w:r>
      <w:r w:rsidR="00E554BA" w:rsidRPr="00B85D06">
        <w:rPr>
          <w:rFonts w:eastAsia="Arial" w:cs="Arial"/>
          <w:color w:val="000000" w:themeColor="text1"/>
          <w:szCs w:val="22"/>
        </w:rPr>
        <w:t>could not</w:t>
      </w:r>
      <w:r w:rsidR="005050AE" w:rsidRPr="00B85D06">
        <w:rPr>
          <w:rFonts w:eastAsia="Arial" w:cs="Arial"/>
          <w:color w:val="000000" w:themeColor="text1"/>
          <w:szCs w:val="22"/>
        </w:rPr>
        <w:t xml:space="preserve"> be reconciled as an appropriate exception.</w:t>
      </w:r>
    </w:p>
    <w:p w14:paraId="77A36A43" w14:textId="2881B96B" w:rsidR="006C4ACA" w:rsidRPr="00B85D06" w:rsidRDefault="00FD54C5" w:rsidP="00021139">
      <w:pPr>
        <w:spacing w:before="120" w:after="200"/>
      </w:pPr>
      <w:r w:rsidRPr="00B85D06">
        <w:t>O</w:t>
      </w:r>
      <w:r w:rsidR="006C4ACA" w:rsidRPr="00B85D06">
        <w:t xml:space="preserve">ver the </w:t>
      </w:r>
      <w:r w:rsidR="00015DF4" w:rsidRPr="00B85D06">
        <w:t>2022-23 financial year</w:t>
      </w:r>
      <w:r w:rsidR="006C4ACA" w:rsidRPr="00B85D06">
        <w:t xml:space="preserve">, </w:t>
      </w:r>
      <w:r w:rsidR="001239E2" w:rsidRPr="00B85D06">
        <w:t>the introduction of NDIA initiatives</w:t>
      </w:r>
      <w:r w:rsidR="00E04766" w:rsidRPr="00B85D06">
        <w:t xml:space="preserve">, including the IERP, early assessment </w:t>
      </w:r>
      <w:r w:rsidR="00356222" w:rsidRPr="00B85D06">
        <w:t xml:space="preserve">of new cases and accelerated review of aged cases </w:t>
      </w:r>
      <w:r w:rsidR="00F067BC" w:rsidRPr="000C5E05">
        <w:t>ha</w:t>
      </w:r>
      <w:r w:rsidR="00993BD3" w:rsidRPr="000C5E05">
        <w:t>ve</w:t>
      </w:r>
      <w:r w:rsidR="00F067BC" w:rsidRPr="000C5E05">
        <w:t xml:space="preserve"> </w:t>
      </w:r>
      <w:r w:rsidR="006C4ACA" w:rsidRPr="000C5E05">
        <w:t>resolve</w:t>
      </w:r>
      <w:r w:rsidR="00993BD3" w:rsidRPr="000C5E05">
        <w:t>d</w:t>
      </w:r>
      <w:r w:rsidR="006C4ACA" w:rsidRPr="000C5E05">
        <w:t xml:space="preserve"> 6,5</w:t>
      </w:r>
      <w:r w:rsidR="008069D8" w:rsidRPr="000C5E05">
        <w:t>15</w:t>
      </w:r>
      <w:r w:rsidR="006C4ACA" w:rsidRPr="000C5E05">
        <w:t xml:space="preserve"> cases</w:t>
      </w:r>
      <w:r w:rsidR="006C4ACA" w:rsidRPr="00B85D06">
        <w:t xml:space="preserve">. </w:t>
      </w:r>
      <w:r w:rsidR="00F067BC" w:rsidRPr="00B85D06">
        <w:t>T</w:t>
      </w:r>
      <w:r w:rsidR="006C4ACA" w:rsidRPr="00B85D06">
        <w:t xml:space="preserve">he active caseload </w:t>
      </w:r>
      <w:r w:rsidR="00021139" w:rsidRPr="00B85D06">
        <w:t xml:space="preserve">has reduced </w:t>
      </w:r>
      <w:r w:rsidR="006C4ACA" w:rsidRPr="00B85D06">
        <w:t>by 34.0% from 4,501 cases at 27 May 2022 to 2,972 at 30 July 2023</w:t>
      </w:r>
      <w:r w:rsidR="00021139" w:rsidRPr="00B85D06">
        <w:t xml:space="preserve"> and </w:t>
      </w:r>
      <w:r w:rsidR="006C4ACA" w:rsidRPr="00B85D06">
        <w:t xml:space="preserve">87% of legacy AAT matters active </w:t>
      </w:r>
      <w:r w:rsidR="00015DF4" w:rsidRPr="00B85D06">
        <w:t>at</w:t>
      </w:r>
      <w:r w:rsidR="006C4ACA" w:rsidRPr="00B85D06">
        <w:t xml:space="preserve"> June 2022</w:t>
      </w:r>
      <w:r w:rsidR="00021139" w:rsidRPr="00B85D06">
        <w:t xml:space="preserve"> have now been resolved</w:t>
      </w:r>
      <w:r w:rsidR="006C4ACA" w:rsidRPr="00B85D06">
        <w:t>.</w:t>
      </w:r>
    </w:p>
    <w:p w14:paraId="419D6B4D" w14:textId="2BD06922" w:rsidR="00BD2DB6" w:rsidRDefault="00BD2DB6" w:rsidP="00952E11">
      <w:pPr>
        <w:pStyle w:val="ESheading4"/>
      </w:pPr>
      <w:r>
        <w:t>The evaluation</w:t>
      </w:r>
    </w:p>
    <w:p w14:paraId="1993BE14" w14:textId="77777777" w:rsidR="00DD57A8" w:rsidRDefault="00E74DCB" w:rsidP="2BFCA18C">
      <w:pPr>
        <w:rPr>
          <w:rFonts w:eastAsia="Arial" w:cs="Arial"/>
          <w:szCs w:val="22"/>
          <w:lang w:val="en-US"/>
        </w:rPr>
      </w:pPr>
      <w:r>
        <w:rPr>
          <w:rFonts w:eastAsia="Arial" w:cs="Arial"/>
          <w:szCs w:val="22"/>
          <w:lang w:val="en-US"/>
        </w:rPr>
        <w:t>T</w:t>
      </w:r>
      <w:r w:rsidR="70717BD3" w:rsidRPr="007274B5">
        <w:rPr>
          <w:rFonts w:eastAsia="Arial" w:cs="Arial"/>
          <w:szCs w:val="22"/>
          <w:lang w:val="en-US"/>
        </w:rPr>
        <w:t>h</w:t>
      </w:r>
      <w:r w:rsidR="00DD57A8">
        <w:rPr>
          <w:rFonts w:eastAsia="Arial" w:cs="Arial"/>
          <w:szCs w:val="22"/>
          <w:lang w:val="en-US"/>
        </w:rPr>
        <w:t>is evaluation’s objectives were to:</w:t>
      </w:r>
    </w:p>
    <w:p w14:paraId="18A675F1" w14:textId="065AF575" w:rsidR="00DD57A8" w:rsidRPr="00DD57A8" w:rsidRDefault="00DD57A8" w:rsidP="00DD57A8">
      <w:pPr>
        <w:pStyle w:val="ListParagraph"/>
        <w:numPr>
          <w:ilvl w:val="6"/>
          <w:numId w:val="6"/>
        </w:numPr>
        <w:ind w:left="714" w:hanging="357"/>
        <w:rPr>
          <w:rFonts w:eastAsia="Arial" w:cs="Arial"/>
          <w:szCs w:val="22"/>
          <w:lang w:val="en-US"/>
        </w:rPr>
      </w:pPr>
      <w:r w:rsidRPr="00DD57A8">
        <w:rPr>
          <w:rFonts w:eastAsia="Arial" w:cs="Arial"/>
          <w:szCs w:val="22"/>
          <w:lang w:val="en-US"/>
        </w:rPr>
        <w:t>Evaluate the acceptability, effectiveness, efficiency, and sustainability of the IERP.</w:t>
      </w:r>
    </w:p>
    <w:p w14:paraId="2DB71174" w14:textId="3EDFB737" w:rsidR="00DD57A8" w:rsidRPr="00DD57A8" w:rsidRDefault="00DD57A8" w:rsidP="00DD57A8">
      <w:pPr>
        <w:pStyle w:val="ListParagraph"/>
        <w:numPr>
          <w:ilvl w:val="6"/>
          <w:numId w:val="6"/>
        </w:numPr>
        <w:ind w:left="714" w:hanging="357"/>
        <w:rPr>
          <w:rFonts w:eastAsia="Arial" w:cs="Arial"/>
          <w:szCs w:val="22"/>
          <w:lang w:val="en-US"/>
        </w:rPr>
      </w:pPr>
      <w:r w:rsidRPr="00DD57A8">
        <w:rPr>
          <w:rFonts w:eastAsia="Arial" w:cs="Arial"/>
          <w:szCs w:val="22"/>
          <w:lang w:val="en-US"/>
        </w:rPr>
        <w:t>Identify lessons for broader Agency administrative decision making and related policy around NDIS planning and appeals processes.</w:t>
      </w:r>
    </w:p>
    <w:p w14:paraId="330B1730" w14:textId="39AD0830" w:rsidR="16B177FD" w:rsidRPr="007274B5" w:rsidRDefault="00B510BF" w:rsidP="2BFCA18C">
      <w:pPr>
        <w:rPr>
          <w:lang w:val="en-US"/>
        </w:rPr>
      </w:pPr>
      <w:r w:rsidRPr="00497024">
        <w:rPr>
          <w:lang w:val="en-US"/>
        </w:rPr>
        <w:t xml:space="preserve">The evaluation </w:t>
      </w:r>
      <w:r w:rsidR="00497024" w:rsidRPr="00497024">
        <w:rPr>
          <w:lang w:val="en-US"/>
        </w:rPr>
        <w:t xml:space="preserve">focused on </w:t>
      </w:r>
      <w:r w:rsidR="00497024">
        <w:rPr>
          <w:lang w:val="en-US"/>
        </w:rPr>
        <w:t>P</w:t>
      </w:r>
      <w:r w:rsidR="00497024" w:rsidRPr="00497024">
        <w:rPr>
          <w:lang w:val="en-US"/>
        </w:rPr>
        <w:t>hases 1 and 2 of the IERP from 4 October 2022 to 31 March 2023</w:t>
      </w:r>
      <w:r w:rsidR="00497024" w:rsidRPr="00B85D06">
        <w:rPr>
          <w:lang w:val="en-US"/>
        </w:rPr>
        <w:t>.</w:t>
      </w:r>
      <w:r w:rsidR="003D0215" w:rsidRPr="00B85D06">
        <w:rPr>
          <w:lang w:val="en-US"/>
        </w:rPr>
        <w:t xml:space="preserve"> </w:t>
      </w:r>
      <w:r w:rsidR="004264C4" w:rsidRPr="00B85D06">
        <w:rPr>
          <w:lang w:val="en-US"/>
        </w:rPr>
        <w:t xml:space="preserve">Data </w:t>
      </w:r>
      <w:r w:rsidR="00665BE2" w:rsidRPr="00B85D06">
        <w:rPr>
          <w:lang w:val="en-US"/>
        </w:rPr>
        <w:t>to 3</w:t>
      </w:r>
      <w:r w:rsidR="007E0731" w:rsidRPr="00B85D06">
        <w:rPr>
          <w:lang w:val="en-US"/>
        </w:rPr>
        <w:t>1</w:t>
      </w:r>
      <w:r w:rsidR="00665BE2" w:rsidRPr="00B85D06">
        <w:rPr>
          <w:lang w:val="en-US"/>
        </w:rPr>
        <w:t xml:space="preserve"> Ju</w:t>
      </w:r>
      <w:r w:rsidR="007E0731" w:rsidRPr="00B85D06">
        <w:rPr>
          <w:lang w:val="en-US"/>
        </w:rPr>
        <w:t>ly</w:t>
      </w:r>
      <w:r w:rsidR="00665BE2" w:rsidRPr="00B85D06">
        <w:rPr>
          <w:lang w:val="en-US"/>
        </w:rPr>
        <w:t xml:space="preserve"> </w:t>
      </w:r>
      <w:r w:rsidR="009735A9" w:rsidRPr="00B85D06">
        <w:rPr>
          <w:lang w:val="en-US"/>
        </w:rPr>
        <w:t xml:space="preserve">2023 </w:t>
      </w:r>
      <w:r w:rsidR="00665BE2" w:rsidRPr="00B85D06">
        <w:rPr>
          <w:lang w:val="en-US"/>
        </w:rPr>
        <w:t xml:space="preserve">has been incorporated </w:t>
      </w:r>
      <w:r w:rsidR="00FA2082" w:rsidRPr="00B85D06">
        <w:rPr>
          <w:lang w:val="en-US"/>
        </w:rPr>
        <w:t xml:space="preserve">where </w:t>
      </w:r>
      <w:r w:rsidR="00993E72" w:rsidRPr="00B85D06">
        <w:rPr>
          <w:lang w:val="en-US"/>
        </w:rPr>
        <w:t>available.</w:t>
      </w:r>
      <w:r w:rsidR="00665BE2">
        <w:rPr>
          <w:lang w:val="en-US"/>
        </w:rPr>
        <w:t xml:space="preserve"> </w:t>
      </w:r>
    </w:p>
    <w:p w14:paraId="7C9B127E" w14:textId="278C7D75" w:rsidR="00083BC2" w:rsidRDefault="00083BC2" w:rsidP="00A01FA6">
      <w:pPr>
        <w:pStyle w:val="ESheading3"/>
      </w:pPr>
      <w:bookmarkStart w:id="27" w:name="_Toc133655492"/>
      <w:bookmarkStart w:id="28" w:name="_Toc135241995"/>
      <w:bookmarkStart w:id="29" w:name="_Toc142918578"/>
      <w:r>
        <w:t>Evaluation findings</w:t>
      </w:r>
      <w:bookmarkEnd w:id="27"/>
      <w:bookmarkEnd w:id="28"/>
      <w:bookmarkEnd w:id="29"/>
    </w:p>
    <w:p w14:paraId="642158CB" w14:textId="1CB1CFBC" w:rsidR="00083BC2" w:rsidRDefault="005D6428" w:rsidP="00952E11">
      <w:pPr>
        <w:pStyle w:val="ESheading4"/>
      </w:pPr>
      <w:r>
        <w:t>P</w:t>
      </w:r>
      <w:r w:rsidR="00A8665F">
        <w:t xml:space="preserve">articipant </w:t>
      </w:r>
      <w:r>
        <w:t>experience</w:t>
      </w:r>
      <w:r w:rsidR="00116C78">
        <w:t xml:space="preserve"> </w:t>
      </w:r>
      <w:r w:rsidR="00B004A5">
        <w:t xml:space="preserve">and satisfaction </w:t>
      </w:r>
      <w:r w:rsidR="00116C78">
        <w:t>with the IERP</w:t>
      </w:r>
    </w:p>
    <w:p w14:paraId="37E37ECA" w14:textId="2F2B4D33" w:rsidR="007140E6" w:rsidRDefault="007140E6" w:rsidP="00194B08">
      <w:r>
        <w:t xml:space="preserve">As of 31 </w:t>
      </w:r>
      <w:r w:rsidR="00820A3B">
        <w:t>July</w:t>
      </w:r>
      <w:r>
        <w:t xml:space="preserve"> 2023, </w:t>
      </w:r>
      <w:r w:rsidR="00865728">
        <w:t>79</w:t>
      </w:r>
      <w:r w:rsidR="008D6F88">
        <w:t>%</w:t>
      </w:r>
      <w:r w:rsidR="007D6F9A">
        <w:rPr>
          <w:rStyle w:val="FootnoteReference"/>
        </w:rPr>
        <w:footnoteReference w:id="4"/>
      </w:r>
      <w:r w:rsidR="008D6F88">
        <w:t xml:space="preserve"> of participants accepted the invitation to have their matter heard by an independent expert.</w:t>
      </w:r>
      <w:r w:rsidR="00E3122C" w:rsidRPr="00E3122C">
        <w:t xml:space="preserve"> The most common reasons for non-acceptance were that the matter was about to settle or </w:t>
      </w:r>
      <w:r w:rsidR="004239F3">
        <w:t xml:space="preserve">was </w:t>
      </w:r>
      <w:r w:rsidR="00E3122C" w:rsidRPr="00E3122C">
        <w:t>close to the AAT hearing date</w:t>
      </w:r>
      <w:r w:rsidR="00E3122C">
        <w:t>.</w:t>
      </w:r>
    </w:p>
    <w:p w14:paraId="21110942" w14:textId="6AD713CB" w:rsidR="004A2960" w:rsidRDefault="009C7411" w:rsidP="00194B08">
      <w:r>
        <w:t>P</w:t>
      </w:r>
      <w:r w:rsidR="00712281" w:rsidRPr="00712281">
        <w:t>articipants</w:t>
      </w:r>
      <w:r w:rsidR="009D2842">
        <w:t xml:space="preserve"> and</w:t>
      </w:r>
      <w:r w:rsidR="00EB023C">
        <w:t xml:space="preserve"> their </w:t>
      </w:r>
      <w:r w:rsidR="008400AD">
        <w:t>representatives</w:t>
      </w:r>
      <w:r w:rsidR="00EB023C">
        <w:t xml:space="preserve"> </w:t>
      </w:r>
      <w:r>
        <w:t>typically reported</w:t>
      </w:r>
      <w:r w:rsidR="00712281" w:rsidRPr="00712281">
        <w:t xml:space="preserve"> a </w:t>
      </w:r>
      <w:r w:rsidR="00F34EFA">
        <w:t xml:space="preserve">very </w:t>
      </w:r>
      <w:r w:rsidR="00712281" w:rsidRPr="00712281">
        <w:t>positive experience with the IERP</w:t>
      </w:r>
      <w:r w:rsidR="003E6F43">
        <w:t xml:space="preserve">, </w:t>
      </w:r>
      <w:r w:rsidR="00195494">
        <w:t>especially</w:t>
      </w:r>
      <w:r w:rsidR="003E6F43">
        <w:t xml:space="preserve"> compared to the </w:t>
      </w:r>
      <w:r w:rsidR="00712281" w:rsidRPr="00712281">
        <w:t xml:space="preserve">AAT process. </w:t>
      </w:r>
      <w:r w:rsidR="0058744F">
        <w:t>Specifically</w:t>
      </w:r>
      <w:r w:rsidR="00F809BA">
        <w:t>,</w:t>
      </w:r>
      <w:r w:rsidR="0058744F">
        <w:t xml:space="preserve"> </w:t>
      </w:r>
      <w:r w:rsidR="00EA0162">
        <w:t>t</w:t>
      </w:r>
      <w:r w:rsidR="009D2842" w:rsidRPr="009D2842">
        <w:t xml:space="preserve">hey </w:t>
      </w:r>
      <w:r w:rsidR="00333EA7">
        <w:t>not</w:t>
      </w:r>
      <w:r w:rsidR="009D2842" w:rsidRPr="009D2842">
        <w:t>ed</w:t>
      </w:r>
      <w:r w:rsidR="00EA0162">
        <w:t>:</w:t>
      </w:r>
    </w:p>
    <w:p w14:paraId="02B3B00E" w14:textId="54B113B1" w:rsidR="004A2960" w:rsidRDefault="009D2842" w:rsidP="000705FE">
      <w:pPr>
        <w:pStyle w:val="ListParagraph"/>
        <w:numPr>
          <w:ilvl w:val="0"/>
          <w:numId w:val="53"/>
        </w:numPr>
      </w:pPr>
      <w:r w:rsidRPr="009D2842">
        <w:t>the</w:t>
      </w:r>
      <w:r w:rsidR="00194B08">
        <w:t xml:space="preserve"> process was l</w:t>
      </w:r>
      <w:r w:rsidR="002D20B0">
        <w:t xml:space="preserve">ess legalistic and confrontational than the AAT process, </w:t>
      </w:r>
    </w:p>
    <w:p w14:paraId="3790D759" w14:textId="56E779C8" w:rsidR="004A2960" w:rsidRDefault="002D20B0" w:rsidP="000705FE">
      <w:pPr>
        <w:pStyle w:val="ListParagraph"/>
        <w:numPr>
          <w:ilvl w:val="0"/>
          <w:numId w:val="53"/>
        </w:numPr>
      </w:pPr>
      <w:r>
        <w:t>they had</w:t>
      </w:r>
      <w:r w:rsidR="009D2842" w:rsidRPr="009D2842">
        <w:t xml:space="preserve"> more opportunity to be heard</w:t>
      </w:r>
      <w:r w:rsidR="001358EA">
        <w:t xml:space="preserve"> an</w:t>
      </w:r>
      <w:r w:rsidR="004A2960">
        <w:t>d</w:t>
      </w:r>
      <w:r w:rsidR="001358EA">
        <w:t xml:space="preserve"> </w:t>
      </w:r>
      <w:r w:rsidR="004A2960">
        <w:t>appreciated</w:t>
      </w:r>
      <w:r w:rsidR="001358EA">
        <w:t xml:space="preserve"> the opportunity to ta</w:t>
      </w:r>
      <w:r w:rsidR="004A2960">
        <w:t>lk to the independent expert</w:t>
      </w:r>
      <w:r w:rsidR="009D2842" w:rsidRPr="009D2842">
        <w:t>,</w:t>
      </w:r>
    </w:p>
    <w:p w14:paraId="4B641E06" w14:textId="77777777" w:rsidR="004A2960" w:rsidRDefault="00D2072E" w:rsidP="000705FE">
      <w:pPr>
        <w:pStyle w:val="ListParagraph"/>
        <w:numPr>
          <w:ilvl w:val="0"/>
          <w:numId w:val="53"/>
        </w:numPr>
      </w:pPr>
      <w:r w:rsidRPr="00D2072E">
        <w:t xml:space="preserve">were confident </w:t>
      </w:r>
      <w:r>
        <w:t xml:space="preserve">the independent expert considered </w:t>
      </w:r>
      <w:r w:rsidRPr="00D2072E">
        <w:t>all</w:t>
      </w:r>
      <w:r>
        <w:t xml:space="preserve"> </w:t>
      </w:r>
      <w:r w:rsidRPr="00D2072E">
        <w:t>their evidence</w:t>
      </w:r>
      <w:r w:rsidR="004A2960">
        <w:t>,</w:t>
      </w:r>
      <w:r w:rsidRPr="00D2072E">
        <w:t xml:space="preserve"> and</w:t>
      </w:r>
    </w:p>
    <w:p w14:paraId="3FAA1FA3" w14:textId="7FA11F3A" w:rsidR="00CE7B98" w:rsidRDefault="00CE7B98" w:rsidP="000705FE">
      <w:pPr>
        <w:pStyle w:val="ListParagraph"/>
        <w:numPr>
          <w:ilvl w:val="0"/>
          <w:numId w:val="53"/>
        </w:numPr>
      </w:pPr>
      <w:r>
        <w:lastRenderedPageBreak/>
        <w:t xml:space="preserve">the </w:t>
      </w:r>
      <w:r w:rsidR="00EA0162">
        <w:t>independent expert</w:t>
      </w:r>
      <w:r>
        <w:t xml:space="preserve"> clearly explained</w:t>
      </w:r>
      <w:r w:rsidR="00EA0162">
        <w:t xml:space="preserve"> their </w:t>
      </w:r>
      <w:r w:rsidR="00D2072E" w:rsidRPr="00D2072E">
        <w:t>recommendation</w:t>
      </w:r>
      <w:r w:rsidR="00D2072E">
        <w:t>.</w:t>
      </w:r>
    </w:p>
    <w:p w14:paraId="3E62185A" w14:textId="0E0725A6" w:rsidR="003A2B01" w:rsidRDefault="003A2B01" w:rsidP="003A2B01">
      <w:pPr>
        <w:pStyle w:val="Softquote"/>
        <w:ind w:left="720" w:right="720"/>
        <w:rPr>
          <w:b/>
          <w:bCs/>
          <w:i w:val="0"/>
          <w:iCs w:val="0"/>
        </w:rPr>
      </w:pPr>
      <w:r w:rsidRPr="000A725B">
        <w:t xml:space="preserve">“It was clear, simple, and timely. The information from the expert made sense. The people making decisions had an understanding of the nature of the disability and complexities instead of having no expert knowledge or experience and just using funding formulas. I felt we were heard; his treating professionals were heard, and a common-sense solution was reached.” </w:t>
      </w:r>
      <w:r w:rsidRPr="000A725B">
        <w:rPr>
          <w:b/>
          <w:bCs/>
          <w:i w:val="0"/>
          <w:iCs w:val="0"/>
        </w:rPr>
        <w:t>Participant, survey.</w:t>
      </w:r>
    </w:p>
    <w:p w14:paraId="32252EE9" w14:textId="16832C9B" w:rsidR="00C940BE" w:rsidRPr="000A725B" w:rsidRDefault="00CE7B98" w:rsidP="00712281">
      <w:r>
        <w:t xml:space="preserve">Testament to the positive experience participants reported, </w:t>
      </w:r>
      <w:r w:rsidR="003D0215">
        <w:t xml:space="preserve">they have </w:t>
      </w:r>
      <w:r w:rsidR="00712281" w:rsidRPr="00712281">
        <w:t xml:space="preserve">accepted 86% of the </w:t>
      </w:r>
      <w:r w:rsidR="0028213E">
        <w:t xml:space="preserve">independent expert </w:t>
      </w:r>
      <w:r w:rsidR="00712281" w:rsidRPr="00712281">
        <w:t>recommendations</w:t>
      </w:r>
      <w:r w:rsidR="003D0215">
        <w:t xml:space="preserve">. This is </w:t>
      </w:r>
      <w:r w:rsidR="00311BC9">
        <w:t xml:space="preserve">despite </w:t>
      </w:r>
      <w:r w:rsidR="003D0215">
        <w:t xml:space="preserve">independent experts only recommending </w:t>
      </w:r>
      <w:r w:rsidR="00C940BE">
        <w:t xml:space="preserve">that 36% of </w:t>
      </w:r>
      <w:r w:rsidR="00712281" w:rsidRPr="00712281">
        <w:t>participant requests</w:t>
      </w:r>
      <w:r w:rsidR="000721C0">
        <w:t xml:space="preserve"> </w:t>
      </w:r>
      <w:r w:rsidR="00C940BE">
        <w:t>be</w:t>
      </w:r>
      <w:r w:rsidR="000721C0">
        <w:t xml:space="preserve"> fully upheld</w:t>
      </w:r>
      <w:r w:rsidR="00C940BE" w:rsidRPr="000A725B">
        <w:t>.</w:t>
      </w:r>
      <w:r w:rsidR="001E7EC9" w:rsidRPr="000A725B">
        <w:t xml:space="preserve"> Reasons for this acceptance </w:t>
      </w:r>
      <w:r w:rsidR="00C85717" w:rsidRPr="000A725B">
        <w:t xml:space="preserve">of recommendations </w:t>
      </w:r>
      <w:r w:rsidR="0031341B" w:rsidRPr="000A725B">
        <w:t xml:space="preserve">included </w:t>
      </w:r>
      <w:r w:rsidR="003C79D9" w:rsidRPr="000A725B">
        <w:t xml:space="preserve">participants feeling heard and </w:t>
      </w:r>
      <w:r w:rsidR="0092527C" w:rsidRPr="000A725B">
        <w:t>clear explanations for decisions</w:t>
      </w:r>
      <w:r w:rsidR="003C79D9" w:rsidRPr="000A725B">
        <w:t>.</w:t>
      </w:r>
      <w:r w:rsidR="00495E95" w:rsidRPr="000A725B">
        <w:t xml:space="preserve"> </w:t>
      </w:r>
    </w:p>
    <w:p w14:paraId="61DF7E2A" w14:textId="77777777" w:rsidR="00DF514E" w:rsidRPr="004C0152" w:rsidRDefault="00DF514E" w:rsidP="00DF514E">
      <w:pPr>
        <w:ind w:left="357" w:right="720"/>
        <w:rPr>
          <w:i/>
          <w:iCs/>
          <w:color w:val="6B2976"/>
        </w:rPr>
      </w:pPr>
      <w:r w:rsidRPr="000A725B">
        <w:rPr>
          <w:i/>
          <w:iCs/>
          <w:color w:val="6B2976"/>
        </w:rPr>
        <w:t xml:space="preserve">We didn’t get everything we asked for, but what we got was fair, and the reasons why we didn’t get things were clear, and well explained.” </w:t>
      </w:r>
      <w:r w:rsidRPr="000A725B">
        <w:rPr>
          <w:b/>
          <w:bCs/>
          <w:color w:val="6B2976"/>
        </w:rPr>
        <w:t>Participant, survey.</w:t>
      </w:r>
    </w:p>
    <w:p w14:paraId="367D9E55" w14:textId="4D05F2A4" w:rsidR="00245076" w:rsidRDefault="003F0493" w:rsidP="00245076">
      <w:r>
        <w:t xml:space="preserve">When asked </w:t>
      </w:r>
      <w:r w:rsidR="00792F58">
        <w:t>how to</w:t>
      </w:r>
      <w:r w:rsidR="00B1549A">
        <w:t xml:space="preserve"> improve the IERP, </w:t>
      </w:r>
      <w:r w:rsidR="00594621">
        <w:t xml:space="preserve">participants </w:t>
      </w:r>
      <w:r w:rsidR="00B1549A">
        <w:t xml:space="preserve">mostly </w:t>
      </w:r>
      <w:r w:rsidR="00B4555C">
        <w:t>sta</w:t>
      </w:r>
      <w:r w:rsidR="00245076">
        <w:t>ted:</w:t>
      </w:r>
    </w:p>
    <w:p w14:paraId="3ACAA894" w14:textId="2804D040" w:rsidR="00594621" w:rsidRDefault="00594621" w:rsidP="000705FE">
      <w:pPr>
        <w:pStyle w:val="ListParagraph"/>
        <w:numPr>
          <w:ilvl w:val="0"/>
          <w:numId w:val="52"/>
        </w:numPr>
      </w:pPr>
      <w:r>
        <w:t>their preference for the IERP to review matters earlier</w:t>
      </w:r>
      <w:r w:rsidR="00245076">
        <w:t xml:space="preserve"> in the dispute resolution process</w:t>
      </w:r>
      <w:r>
        <w:t>, noting that the protracted nature of their disputes had caused them considerable distress</w:t>
      </w:r>
      <w:r w:rsidR="005A3D1C">
        <w:t>,</w:t>
      </w:r>
    </w:p>
    <w:p w14:paraId="0BB20E1C" w14:textId="522B1C1A" w:rsidR="00594621" w:rsidRDefault="00245076" w:rsidP="000705FE">
      <w:pPr>
        <w:pStyle w:val="ListParagraph"/>
        <w:numPr>
          <w:ilvl w:val="0"/>
          <w:numId w:val="19"/>
        </w:numPr>
        <w:ind w:left="714" w:hanging="357"/>
      </w:pPr>
      <w:r>
        <w:t>the recommendations should be binding</w:t>
      </w:r>
      <w:r w:rsidR="004A555B">
        <w:t>,</w:t>
      </w:r>
      <w:r w:rsidR="007158E5">
        <w:t xml:space="preserve"> and</w:t>
      </w:r>
    </w:p>
    <w:p w14:paraId="2C97838C" w14:textId="5AE1F686" w:rsidR="00AB0CA0" w:rsidRDefault="00AB0CA0" w:rsidP="000705FE">
      <w:pPr>
        <w:pStyle w:val="ListParagraph"/>
        <w:numPr>
          <w:ilvl w:val="0"/>
          <w:numId w:val="19"/>
        </w:numPr>
        <w:ind w:left="714" w:hanging="357"/>
      </w:pPr>
      <w:r>
        <w:t xml:space="preserve">information </w:t>
      </w:r>
      <w:r w:rsidR="007158E5">
        <w:t>explaining</w:t>
      </w:r>
      <w:r>
        <w:t xml:space="preserve"> the IERP process could be simpl</w:t>
      </w:r>
      <w:r w:rsidR="0090441A">
        <w:t>er</w:t>
      </w:r>
      <w:r w:rsidR="007158E5">
        <w:t>.</w:t>
      </w:r>
    </w:p>
    <w:p w14:paraId="26D2C7D9" w14:textId="77777777" w:rsidR="003F0493" w:rsidRDefault="003F0493" w:rsidP="004A555B">
      <w:r>
        <w:t>Participant representatives indicated some concern that the NDIA, being the respondent in the AAT matter, was managing an alternative dispute resolution process. They emphasised the need for process transparency and, noted that all parties should have an opportunity to review the collated documents prior to providing them to the independent expert.</w:t>
      </w:r>
    </w:p>
    <w:p w14:paraId="65E9C27C" w14:textId="53B5A714" w:rsidR="00083BC2" w:rsidRDefault="00A8665F" w:rsidP="00952E11">
      <w:pPr>
        <w:pStyle w:val="ESheading4"/>
      </w:pPr>
      <w:r>
        <w:t>Eff</w:t>
      </w:r>
      <w:r w:rsidR="00140C9A">
        <w:t>iciency and eff</w:t>
      </w:r>
      <w:r>
        <w:t xml:space="preserve">ectiveness </w:t>
      </w:r>
      <w:r w:rsidR="00CD30F8">
        <w:t xml:space="preserve">of the </w:t>
      </w:r>
      <w:r>
        <w:t>IERP</w:t>
      </w:r>
    </w:p>
    <w:p w14:paraId="707C435C" w14:textId="6563C92F" w:rsidR="00A14274" w:rsidRDefault="00A14274" w:rsidP="00407DA1">
      <w:bookmarkStart w:id="30" w:name="_Hlk124168898"/>
      <w:r>
        <w:t>As of 31 March 2023,</w:t>
      </w:r>
      <w:r w:rsidR="00BA23B8">
        <w:t xml:space="preserve"> </w:t>
      </w:r>
      <w:r w:rsidR="006A401C">
        <w:t xml:space="preserve">independent experts had made recommendations on </w:t>
      </w:r>
      <w:r w:rsidR="00184383">
        <w:t>5</w:t>
      </w:r>
      <w:r w:rsidR="004A0A80">
        <w:t>2</w:t>
      </w:r>
      <w:r w:rsidR="006A401C">
        <w:t xml:space="preserve"> cases. This is considerably less than first forecast</w:t>
      </w:r>
      <w:r w:rsidR="00D75D24">
        <w:t xml:space="preserve">, mainly due to the success of the </w:t>
      </w:r>
      <w:r w:rsidR="00D75D24">
        <w:lastRenderedPageBreak/>
        <w:t xml:space="preserve">NDIA’s </w:t>
      </w:r>
      <w:r w:rsidR="00B70AED">
        <w:t>ac</w:t>
      </w:r>
      <w:r w:rsidR="00BB292E">
        <w:t xml:space="preserve">celerated caseload and </w:t>
      </w:r>
      <w:r w:rsidR="00943E4F">
        <w:t>e</w:t>
      </w:r>
      <w:r w:rsidR="00D75D24">
        <w:t xml:space="preserve">arly </w:t>
      </w:r>
      <w:r w:rsidR="00943E4F">
        <w:t>a</w:t>
      </w:r>
      <w:r w:rsidR="00D75D24">
        <w:t xml:space="preserve">ssessment </w:t>
      </w:r>
      <w:r w:rsidR="00BB292E">
        <w:t>reviews</w:t>
      </w:r>
      <w:r w:rsidR="00391A40">
        <w:t xml:space="preserve">. </w:t>
      </w:r>
      <w:r w:rsidR="00AA3785">
        <w:t xml:space="preserve">Since 1 June 2022, </w:t>
      </w:r>
      <w:r w:rsidR="00A7179F">
        <w:t xml:space="preserve">Agency initiatives to reduce the </w:t>
      </w:r>
      <w:r w:rsidR="007E7B73">
        <w:t xml:space="preserve">number of appeals to the AAT </w:t>
      </w:r>
      <w:r w:rsidR="00AA3785">
        <w:t xml:space="preserve">have resolved 6,232 cases </w:t>
      </w:r>
      <w:r w:rsidR="00A527E7">
        <w:t xml:space="preserve">and resolved 85% of the legacy AAT matters. This </w:t>
      </w:r>
      <w:r w:rsidR="007B6988">
        <w:t xml:space="preserve">has </w:t>
      </w:r>
      <w:r w:rsidR="00D75D24">
        <w:t>positioned the IERP for more complex</w:t>
      </w:r>
      <w:r w:rsidR="009E109A">
        <w:t xml:space="preserve">, </w:t>
      </w:r>
      <w:r w:rsidR="00A22065">
        <w:t>long-standing</w:t>
      </w:r>
      <w:r w:rsidR="009E109A">
        <w:t xml:space="preserve"> matters.</w:t>
      </w:r>
    </w:p>
    <w:p w14:paraId="2751D32D" w14:textId="1037A615" w:rsidR="00A22065" w:rsidRDefault="00AF0B7E" w:rsidP="00407DA1">
      <w:r>
        <w:t xml:space="preserve">The IERP has </w:t>
      </w:r>
      <w:r w:rsidR="00A22065">
        <w:t xml:space="preserve">been </w:t>
      </w:r>
      <w:r w:rsidR="0066314A">
        <w:t xml:space="preserve">efficient and effective </w:t>
      </w:r>
      <w:r w:rsidR="000E1819">
        <w:t>in</w:t>
      </w:r>
      <w:r w:rsidR="00CB2E8A">
        <w:t xml:space="preserve"> resolving </w:t>
      </w:r>
      <w:r w:rsidR="00A22065">
        <w:t xml:space="preserve">these </w:t>
      </w:r>
      <w:r w:rsidR="00350ACD">
        <w:t>complex, long</w:t>
      </w:r>
      <w:r w:rsidR="007C7E1B">
        <w:t>-standing AAT cases</w:t>
      </w:r>
      <w:r w:rsidR="00A22065">
        <w:t>.</w:t>
      </w:r>
      <w:r w:rsidR="00202706">
        <w:t xml:space="preserve"> The median time to resolve matters during </w:t>
      </w:r>
      <w:r w:rsidR="008E56A9">
        <w:t>P</w:t>
      </w:r>
      <w:r w:rsidR="00202706">
        <w:t xml:space="preserve">hase </w:t>
      </w:r>
      <w:r w:rsidR="00D633BF">
        <w:t xml:space="preserve">2 </w:t>
      </w:r>
      <w:r w:rsidR="00202706">
        <w:t>has been 2</w:t>
      </w:r>
      <w:r w:rsidR="00D633BF">
        <w:t>3</w:t>
      </w:r>
      <w:r w:rsidR="00202706">
        <w:t xml:space="preserve"> days compared to </w:t>
      </w:r>
      <w:r w:rsidR="00BC3133">
        <w:t xml:space="preserve">the more than </w:t>
      </w:r>
      <w:r w:rsidR="000E1819">
        <w:t xml:space="preserve">nine </w:t>
      </w:r>
      <w:r w:rsidR="00BC3133">
        <w:t>months the matters have been unresolved by the AAT process. In general, the median time</w:t>
      </w:r>
      <w:r w:rsidR="001E1196">
        <w:t xml:space="preserve"> </w:t>
      </w:r>
      <w:r w:rsidR="00202706">
        <w:t>for the AAT process</w:t>
      </w:r>
      <w:r w:rsidR="00BC3133">
        <w:t xml:space="preserve"> to resolve matters </w:t>
      </w:r>
      <w:r w:rsidR="003D4A03">
        <w:t>over the last 12-months has been 257 days.</w:t>
      </w:r>
    </w:p>
    <w:p w14:paraId="4CF00154" w14:textId="41EB3F15" w:rsidR="00A47561" w:rsidRDefault="00A47561" w:rsidP="00D8293E">
      <w:r>
        <w:t xml:space="preserve">As </w:t>
      </w:r>
      <w:r w:rsidR="00A83E50">
        <w:t>noted above</w:t>
      </w:r>
      <w:r>
        <w:t xml:space="preserve">, participants have accepted 86% of the recommendations from independent experts. </w:t>
      </w:r>
      <w:r w:rsidR="00844996">
        <w:t>Almost three-quarters of</w:t>
      </w:r>
      <w:r w:rsidR="00DB05A9">
        <w:t xml:space="preserve"> the</w:t>
      </w:r>
      <w:r w:rsidR="0022532C">
        <w:t xml:space="preserve">se recommendations have been fully </w:t>
      </w:r>
      <w:r w:rsidR="00844996">
        <w:t xml:space="preserve">(36%) </w:t>
      </w:r>
      <w:r w:rsidR="0022532C">
        <w:t xml:space="preserve">or partially </w:t>
      </w:r>
      <w:r w:rsidR="00844996">
        <w:t xml:space="preserve">(35%) </w:t>
      </w:r>
      <w:r w:rsidR="0022532C">
        <w:t>in favour of the participant respectively</w:t>
      </w:r>
      <w:r w:rsidR="00844996">
        <w:t>, while 18%</w:t>
      </w:r>
      <w:r w:rsidR="00DF3DF5">
        <w:t xml:space="preserve"> </w:t>
      </w:r>
      <w:r w:rsidR="0022532C">
        <w:t xml:space="preserve">recommended </w:t>
      </w:r>
      <w:r w:rsidR="00504065">
        <w:t xml:space="preserve">accepting </w:t>
      </w:r>
      <w:r w:rsidR="0022532C">
        <w:t>the NDIA’s original decision.</w:t>
      </w:r>
    </w:p>
    <w:p w14:paraId="7B9102C8" w14:textId="3F7E8D16" w:rsidR="002A22CA" w:rsidRDefault="00B97259" w:rsidP="00D8293E">
      <w:r w:rsidRPr="00B97259">
        <w:t xml:space="preserve">Independent experts are making recommendations with reference to the NDIS Act, especially section 34, and the NDIS Rules, but rarely </w:t>
      </w:r>
      <w:r w:rsidR="00C839D7">
        <w:t>explicitly</w:t>
      </w:r>
      <w:r w:rsidRPr="00B97259">
        <w:t xml:space="preserve"> reference the NDIS operational guidelines</w:t>
      </w:r>
      <w:r w:rsidR="00D74CF9">
        <w:t xml:space="preserve">, potentially because these </w:t>
      </w:r>
      <w:r w:rsidR="00BF24E7">
        <w:t xml:space="preserve">were either not in </w:t>
      </w:r>
      <w:r w:rsidR="00F75DA6">
        <w:t xml:space="preserve">dispute or were consistent </w:t>
      </w:r>
      <w:r w:rsidR="001F790B">
        <w:t>w</w:t>
      </w:r>
      <w:r w:rsidR="007115DE">
        <w:t>ith legislation</w:t>
      </w:r>
      <w:r w:rsidRPr="00B97259">
        <w:t xml:space="preserve">. </w:t>
      </w:r>
      <w:r w:rsidR="006B3DE9">
        <w:t>Although this</w:t>
      </w:r>
      <w:r>
        <w:t xml:space="preserve"> decision-making framework </w:t>
      </w:r>
      <w:r w:rsidRPr="00B97259">
        <w:t>is comparable to th</w:t>
      </w:r>
      <w:r w:rsidR="007476D7">
        <w:t xml:space="preserve">at used </w:t>
      </w:r>
      <w:r w:rsidR="00C73099">
        <w:t>by the</w:t>
      </w:r>
      <w:r w:rsidRPr="00B97259">
        <w:t xml:space="preserve"> AAT</w:t>
      </w:r>
      <w:r w:rsidR="007476D7">
        <w:t xml:space="preserve"> hearings</w:t>
      </w:r>
      <w:r w:rsidR="006B3DE9">
        <w:t xml:space="preserve">, </w:t>
      </w:r>
      <w:r w:rsidR="00353127">
        <w:t xml:space="preserve">independent experts </w:t>
      </w:r>
      <w:r w:rsidR="00656C42">
        <w:t xml:space="preserve">have </w:t>
      </w:r>
      <w:r w:rsidR="00A87AAF">
        <w:t xml:space="preserve">been twice as likely to </w:t>
      </w:r>
      <w:r w:rsidR="00504065">
        <w:t xml:space="preserve">accept </w:t>
      </w:r>
      <w:r w:rsidR="00F66090">
        <w:t xml:space="preserve">similar </w:t>
      </w:r>
      <w:r w:rsidR="00656C42">
        <w:t xml:space="preserve">participant requests at </w:t>
      </w:r>
      <w:r w:rsidR="00A87AAF">
        <w:t>least partially</w:t>
      </w:r>
      <w:r w:rsidR="00C73099">
        <w:t>.</w:t>
      </w:r>
      <w:r w:rsidR="00F66090">
        <w:t xml:space="preserve"> Since July 2022, the AAT declined 56% of similar participant requests compared to </w:t>
      </w:r>
      <w:r w:rsidR="006412A4">
        <w:t xml:space="preserve">18% by independent experts. </w:t>
      </w:r>
      <w:r w:rsidR="00AF7433" w:rsidRPr="003B7FBB">
        <w:t>This reflects</w:t>
      </w:r>
      <w:r w:rsidR="001C7B22" w:rsidRPr="003B7FBB">
        <w:t xml:space="preserve"> </w:t>
      </w:r>
      <w:r w:rsidR="005E77E5" w:rsidRPr="003B7FBB">
        <w:t xml:space="preserve">the </w:t>
      </w:r>
      <w:r w:rsidR="006A05E4" w:rsidRPr="003B7FBB">
        <w:t>‘</w:t>
      </w:r>
      <w:r w:rsidR="00662DB7" w:rsidRPr="003B7FBB">
        <w:t xml:space="preserve">decisional </w:t>
      </w:r>
      <w:r w:rsidR="00FE17B0" w:rsidRPr="003B7FBB">
        <w:t>freedom</w:t>
      </w:r>
      <w:r w:rsidR="006A05E4" w:rsidRPr="003B7FBB">
        <w:t>’</w:t>
      </w:r>
      <w:r w:rsidR="00097726" w:rsidRPr="003B7FBB">
        <w:t xml:space="preserve"> </w:t>
      </w:r>
      <w:r w:rsidR="00BD6487" w:rsidRPr="003B7FBB">
        <w:t>available within the legislation</w:t>
      </w:r>
      <w:r w:rsidR="007431C2" w:rsidRPr="003B7FBB">
        <w:t xml:space="preserve"> and noted </w:t>
      </w:r>
      <w:r w:rsidR="008467E8" w:rsidRPr="003B7FBB">
        <w:t xml:space="preserve">in </w:t>
      </w:r>
      <w:r w:rsidR="00EC6226" w:rsidRPr="003B7FBB">
        <w:t>Federal Court</w:t>
      </w:r>
      <w:r w:rsidR="003F26A4" w:rsidRPr="003B7FBB">
        <w:rPr>
          <w:rStyle w:val="FootnoteReference"/>
        </w:rPr>
        <w:footnoteReference w:id="5"/>
      </w:r>
      <w:r w:rsidR="0006063A" w:rsidRPr="003B7FBB">
        <w:t>.</w:t>
      </w:r>
    </w:p>
    <w:p w14:paraId="07678933" w14:textId="5DD34B83" w:rsidR="00C174E5" w:rsidRDefault="00EE2FA7" w:rsidP="00D8293E">
      <w:r>
        <w:t xml:space="preserve">There is some evidence that independent experts from legal and non-legal backgrounds are </w:t>
      </w:r>
      <w:r w:rsidR="002A22CA" w:rsidRPr="002A22CA">
        <w:t>reviewing the case evidence against the NDIS legislation differently</w:t>
      </w:r>
      <w:r w:rsidR="001C3CAD">
        <w:t xml:space="preserve">. </w:t>
      </w:r>
      <w:r w:rsidR="005223E4">
        <w:t xml:space="preserve">Independent experts from non-legal backgrounds have been more likely to </w:t>
      </w:r>
      <w:r w:rsidR="00DF387C">
        <w:t xml:space="preserve">recommend </w:t>
      </w:r>
      <w:r w:rsidR="003A0809">
        <w:t xml:space="preserve">fully </w:t>
      </w:r>
      <w:r w:rsidR="00504065">
        <w:t xml:space="preserve">accepting </w:t>
      </w:r>
      <w:r w:rsidR="003A0809">
        <w:t>or declin</w:t>
      </w:r>
      <w:r w:rsidR="00DF387C">
        <w:t>ing</w:t>
      </w:r>
      <w:r w:rsidR="003A0809">
        <w:t xml:space="preserve"> the participant’s request</w:t>
      </w:r>
      <w:r w:rsidR="00DF387C">
        <w:t xml:space="preserve">. </w:t>
      </w:r>
      <w:r w:rsidR="00EB441D">
        <w:t>In contrast, independent</w:t>
      </w:r>
      <w:r w:rsidR="003A0809">
        <w:t xml:space="preserve"> experts from a legal </w:t>
      </w:r>
      <w:r w:rsidR="004E0BCA">
        <w:t xml:space="preserve">background have been </w:t>
      </w:r>
      <w:r w:rsidR="00DF387C">
        <w:t xml:space="preserve">considerably more likely to </w:t>
      </w:r>
      <w:r w:rsidR="00EB441D">
        <w:t xml:space="preserve">recommend partially </w:t>
      </w:r>
      <w:r w:rsidR="00504065">
        <w:t xml:space="preserve">accepting </w:t>
      </w:r>
      <w:r w:rsidR="00EB441D">
        <w:t>the participant’s request (46% c.f. 18%).</w:t>
      </w:r>
    </w:p>
    <w:p w14:paraId="1160178E" w14:textId="146F288D" w:rsidR="00D23CF5" w:rsidRDefault="00CB2171" w:rsidP="00D8293E">
      <w:r>
        <w:lastRenderedPageBreak/>
        <w:t>The differences in decisions between independent experts and the AAT, and between independent experts from different professional background</w:t>
      </w:r>
      <w:r w:rsidR="00B35048">
        <w:t>s</w:t>
      </w:r>
      <w:r>
        <w:t xml:space="preserve">, </w:t>
      </w:r>
      <w:r w:rsidR="006412A4">
        <w:t xml:space="preserve">may reflect differences in </w:t>
      </w:r>
      <w:r w:rsidR="00B5193B">
        <w:t>the specifics of matters</w:t>
      </w:r>
      <w:r>
        <w:t xml:space="preserve"> reviewed</w:t>
      </w:r>
      <w:r w:rsidR="00D23CF5">
        <w:t>. Importantly</w:t>
      </w:r>
      <w:r>
        <w:t xml:space="preserve"> though</w:t>
      </w:r>
      <w:r w:rsidR="00D23CF5">
        <w:t xml:space="preserve">, a review of independent experts’ </w:t>
      </w:r>
      <w:r w:rsidR="00FE50B0">
        <w:t xml:space="preserve">phase 1 </w:t>
      </w:r>
      <w:r w:rsidR="00D23CF5">
        <w:t xml:space="preserve">recommendations by the NDIA’s Technical Advisory Branch </w:t>
      </w:r>
      <w:r w:rsidR="000D492E">
        <w:t>(TAB)</w:t>
      </w:r>
      <w:r w:rsidR="00E77FF9">
        <w:t xml:space="preserve">, </w:t>
      </w:r>
      <w:r w:rsidR="00D23CF5">
        <w:t xml:space="preserve">agreed with </w:t>
      </w:r>
      <w:r w:rsidR="002072A8">
        <w:t xml:space="preserve">an average of </w:t>
      </w:r>
      <w:r w:rsidR="00D23CF5">
        <w:t>89%</w:t>
      </w:r>
      <w:r w:rsidR="002072A8">
        <w:t xml:space="preserve"> of recommendations</w:t>
      </w:r>
      <w:r w:rsidR="00D23CF5">
        <w:t>.</w:t>
      </w:r>
      <w:r>
        <w:t xml:space="preserve"> </w:t>
      </w:r>
      <w:r w:rsidR="009B675B">
        <w:t xml:space="preserve">Given TAB’s role in providing </w:t>
      </w:r>
      <w:r w:rsidR="009C3E9E">
        <w:t>technical and clinical subject matter expertise to the Agency,</w:t>
      </w:r>
      <w:r w:rsidR="00B662E3">
        <w:t xml:space="preserve"> including </w:t>
      </w:r>
      <w:r w:rsidR="00A427A6">
        <w:t xml:space="preserve">the interpretation and application of </w:t>
      </w:r>
      <w:r w:rsidR="006C10CA">
        <w:t xml:space="preserve">the </w:t>
      </w:r>
      <w:r w:rsidR="00A427A6">
        <w:t>NDIS</w:t>
      </w:r>
      <w:r w:rsidR="006C10CA">
        <w:t xml:space="preserve"> Act, Rules and Operational Guidelines, t</w:t>
      </w:r>
      <w:r w:rsidR="00AE41F8">
        <w:t>his suggests that the current pool</w:t>
      </w:r>
      <w:r w:rsidR="00D23CF5">
        <w:t xml:space="preserve"> of </w:t>
      </w:r>
      <w:r w:rsidR="00AE41F8">
        <w:t xml:space="preserve">independent experts, irrespective of their background, are making sound </w:t>
      </w:r>
      <w:r w:rsidR="00D23CF5">
        <w:t>recommendations</w:t>
      </w:r>
      <w:r w:rsidR="00AE41F8">
        <w:t xml:space="preserve"> within the NDIS legislation</w:t>
      </w:r>
      <w:r w:rsidR="00EB1144">
        <w:rPr>
          <w:rStyle w:val="FootnoteReference"/>
        </w:rPr>
        <w:footnoteReference w:id="6"/>
      </w:r>
      <w:r w:rsidR="00AE41F8">
        <w:t>.</w:t>
      </w:r>
    </w:p>
    <w:bookmarkEnd w:id="30"/>
    <w:p w14:paraId="583713D7" w14:textId="3A1BD385" w:rsidR="00A8665F" w:rsidRDefault="00AC1109" w:rsidP="00952E11">
      <w:pPr>
        <w:pStyle w:val="ESheading4"/>
      </w:pPr>
      <w:r>
        <w:t>Net c</w:t>
      </w:r>
      <w:r w:rsidR="00F31876">
        <w:t>ost</w:t>
      </w:r>
      <w:r w:rsidR="00701725">
        <w:t xml:space="preserve"> of the IERP</w:t>
      </w:r>
    </w:p>
    <w:p w14:paraId="4BD6E4FC" w14:textId="145B59B3" w:rsidR="00D6015C" w:rsidRPr="00D6015C" w:rsidRDefault="00474A18" w:rsidP="005C6EEA">
      <w:r w:rsidRPr="00D6015C">
        <w:t>The operational savings attributable to the IERP come from avoiding the need for an AAT hearing to resolve cases</w:t>
      </w:r>
      <w:r w:rsidR="00D6015C" w:rsidRPr="00D6015C">
        <w:t xml:space="preserve">, noting that over 98% of (over 98%) of NDIS </w:t>
      </w:r>
      <w:r w:rsidR="00D6015C">
        <w:t>external reviews</w:t>
      </w:r>
      <w:r w:rsidR="00D6015C" w:rsidRPr="00D6015C">
        <w:t xml:space="preserve"> </w:t>
      </w:r>
      <w:r w:rsidR="00777DD6">
        <w:t>resolve</w:t>
      </w:r>
      <w:r w:rsidR="00D6015C" w:rsidRPr="00D6015C">
        <w:t xml:space="preserve"> without an AAT hearing</w:t>
      </w:r>
      <w:r w:rsidR="00D6015C">
        <w:t>.</w:t>
      </w:r>
    </w:p>
    <w:p w14:paraId="3A0FB7FD" w14:textId="77777777" w:rsidR="00B06133" w:rsidRPr="00B85D06" w:rsidRDefault="00B06133" w:rsidP="00E35DF0">
      <w:r w:rsidRPr="00B85D06">
        <w:t>Based on external and internal NDIA costs, t</w:t>
      </w:r>
      <w:r w:rsidR="00C05EC3" w:rsidRPr="00B85D06">
        <w:t>he estimated average cost of</w:t>
      </w:r>
      <w:r w:rsidR="00BD65F9" w:rsidRPr="00B85D06">
        <w:rPr>
          <w:rStyle w:val="ui-provider"/>
        </w:rPr>
        <w:t xml:space="preserve"> having a case reviewed by an independent expert was $10,757.</w:t>
      </w:r>
      <w:r w:rsidR="00C05EC3" w:rsidRPr="00B85D06">
        <w:t xml:space="preserve"> </w:t>
      </w:r>
    </w:p>
    <w:p w14:paraId="66EEC4C2" w14:textId="29DF9380" w:rsidR="00B54DCC" w:rsidRPr="00B85D06" w:rsidRDefault="00F07F53" w:rsidP="00B06133">
      <w:r w:rsidRPr="00B85D06">
        <w:t xml:space="preserve">Although this is less than the average cost of </w:t>
      </w:r>
      <w:r w:rsidR="0049322B" w:rsidRPr="00B85D06">
        <w:t>an</w:t>
      </w:r>
      <w:r w:rsidRPr="00B85D06">
        <w:t xml:space="preserve"> AAT </w:t>
      </w:r>
      <w:r w:rsidR="00C05EC3" w:rsidRPr="00B85D06">
        <w:t xml:space="preserve">hearing </w:t>
      </w:r>
      <w:r w:rsidRPr="00B85D06">
        <w:t>(</w:t>
      </w:r>
      <w:r w:rsidR="00C05EC3" w:rsidRPr="00B85D06">
        <w:t>$</w:t>
      </w:r>
      <w:r w:rsidR="003F5F2B" w:rsidRPr="00B85D06">
        <w:t>29</w:t>
      </w:r>
      <w:r w:rsidR="00C05EC3" w:rsidRPr="00B85D06">
        <w:t>,</w:t>
      </w:r>
      <w:r w:rsidR="003F5F2B" w:rsidRPr="00B85D06">
        <w:t>899</w:t>
      </w:r>
      <w:r w:rsidR="00504065" w:rsidRPr="00B85D06">
        <w:rPr>
          <w:rStyle w:val="FootnoteReference"/>
        </w:rPr>
        <w:footnoteReference w:id="7"/>
      </w:r>
      <w:r w:rsidRPr="00B85D06">
        <w:t xml:space="preserve">) estimates </w:t>
      </w:r>
      <w:r w:rsidR="00DA001A" w:rsidRPr="00B85D06">
        <w:t xml:space="preserve">based on </w:t>
      </w:r>
      <w:r w:rsidR="007373D5" w:rsidRPr="00B85D06">
        <w:t>other complex</w:t>
      </w:r>
      <w:r w:rsidR="00DA001A" w:rsidRPr="00B85D06">
        <w:t xml:space="preserve"> AAT </w:t>
      </w:r>
      <w:r w:rsidR="007373D5" w:rsidRPr="00B85D06">
        <w:t xml:space="preserve">cases </w:t>
      </w:r>
      <w:r w:rsidRPr="00B85D06">
        <w:t xml:space="preserve">suggest that </w:t>
      </w:r>
      <w:r w:rsidR="001D1B31" w:rsidRPr="00B85D06">
        <w:t>up to</w:t>
      </w:r>
      <w:r w:rsidR="00DA001A" w:rsidRPr="00B85D06">
        <w:t xml:space="preserve"> 30% of IERP cases </w:t>
      </w:r>
      <w:r w:rsidR="005154F3" w:rsidRPr="00B85D06">
        <w:t>would</w:t>
      </w:r>
      <w:r w:rsidR="00DA001A" w:rsidRPr="00B85D06">
        <w:t xml:space="preserve"> have progressed to a</w:t>
      </w:r>
      <w:r w:rsidR="00D02CCD" w:rsidRPr="00B85D06">
        <w:t>n AAT</w:t>
      </w:r>
      <w:r w:rsidR="00DA001A" w:rsidRPr="00B85D06">
        <w:t xml:space="preserve"> hearing</w:t>
      </w:r>
      <w:r w:rsidR="00B06133" w:rsidRPr="00B85D06">
        <w:t xml:space="preserve">. </w:t>
      </w:r>
      <w:r w:rsidR="00B54DCC" w:rsidRPr="00B85D06">
        <w:t>This means that the IERP saved an average of $8,969 in avoided AAT hearing costs per case (i.e. 30% x 29,899).</w:t>
      </w:r>
    </w:p>
    <w:p w14:paraId="30E8C4B5" w14:textId="049C06E0" w:rsidR="00B54DCC" w:rsidRPr="00B85D06" w:rsidRDefault="00B06133" w:rsidP="00B06133">
      <w:r w:rsidRPr="00B85D06">
        <w:t xml:space="preserve">The IERP could also avoid other </w:t>
      </w:r>
      <w:r w:rsidR="00E35DF0" w:rsidRPr="00B85D06">
        <w:t xml:space="preserve">potential pre-AAT resolution costs </w:t>
      </w:r>
      <w:r w:rsidRPr="00B85D06">
        <w:t xml:space="preserve">such as a </w:t>
      </w:r>
      <w:r w:rsidR="00E35DF0" w:rsidRPr="00B85D06">
        <w:t>final case conference</w:t>
      </w:r>
      <w:r w:rsidRPr="00B85D06">
        <w:t xml:space="preserve"> to reach settlement </w:t>
      </w:r>
      <w:r w:rsidR="003C4076" w:rsidRPr="00B85D06">
        <w:t>and/or</w:t>
      </w:r>
      <w:r w:rsidRPr="00B85D06">
        <w:t xml:space="preserve"> a </w:t>
      </w:r>
      <w:r w:rsidR="00E35DF0" w:rsidRPr="00B85D06">
        <w:t>directions hearing</w:t>
      </w:r>
      <w:r w:rsidRPr="00B85D06">
        <w:t>.</w:t>
      </w:r>
      <w:r w:rsidR="00B54DCC" w:rsidRPr="00B85D06">
        <w:t xml:space="preserve"> Based on comparable cases, the IERP reduced the length of cases that did</w:t>
      </w:r>
      <w:r w:rsidR="003C4076" w:rsidRPr="00B85D06">
        <w:t xml:space="preserve"> not</w:t>
      </w:r>
      <w:r w:rsidR="00B54DCC" w:rsidRPr="00B85D06">
        <w:t xml:space="preserve"> go to hearing by </w:t>
      </w:r>
      <w:r w:rsidR="003C4076" w:rsidRPr="00B85D06">
        <w:t>two</w:t>
      </w:r>
      <w:r w:rsidR="00B54DCC" w:rsidRPr="00B85D06">
        <w:t>-months on average</w:t>
      </w:r>
      <w:r w:rsidR="003C4076" w:rsidRPr="00B85D06">
        <w:t>,</w:t>
      </w:r>
      <w:r w:rsidR="00B54DCC" w:rsidRPr="00B85D06">
        <w:t xml:space="preserve"> at an average operational saving of $3,066 (i.e. $1,533 per month). </w:t>
      </w:r>
    </w:p>
    <w:p w14:paraId="0EAFD0C5" w14:textId="1F9889D9" w:rsidR="00B54DCC" w:rsidRPr="00B85D06" w:rsidRDefault="00B54DCC" w:rsidP="005C6EEA">
      <w:r w:rsidRPr="00B85D06">
        <w:lastRenderedPageBreak/>
        <w:t>Together, this equates to the IERP avoiding $12,035 in case resolution costs (i.e. $8,969 + $3,066) which equates to a net saving of $1,278 per case ($10,757 - $12,035).</w:t>
      </w:r>
    </w:p>
    <w:p w14:paraId="215FCAE0" w14:textId="105F8BE6" w:rsidR="00F746D6" w:rsidRDefault="00805058" w:rsidP="008009AE">
      <w:r>
        <w:t>Importantly,</w:t>
      </w:r>
      <w:r w:rsidR="00B6316E">
        <w:t xml:space="preserve"> and in line with </w:t>
      </w:r>
      <w:r w:rsidR="007571BF">
        <w:t>the</w:t>
      </w:r>
      <w:r w:rsidR="00B6316E">
        <w:t xml:space="preserve"> apparent sound nature of independent expert</w:t>
      </w:r>
      <w:r w:rsidR="00B54DCC">
        <w:t xml:space="preserve"> r</w:t>
      </w:r>
      <w:r w:rsidR="00B6316E">
        <w:t xml:space="preserve">ecommendations, there is no conclusive evidence that the IERP has impacted the financial sustainability of the NDIS. </w:t>
      </w:r>
      <w:r w:rsidR="00CF4FFD">
        <w:t>T</w:t>
      </w:r>
      <w:r w:rsidR="00C54702">
        <w:t xml:space="preserve">he average </w:t>
      </w:r>
      <w:r w:rsidR="00AA45AC">
        <w:t xml:space="preserve">change in NDIS plan </w:t>
      </w:r>
      <w:r w:rsidR="00C54702">
        <w:t xml:space="preserve">value </w:t>
      </w:r>
      <w:r w:rsidR="00AA45AC">
        <w:t>post dispute</w:t>
      </w:r>
      <w:r w:rsidR="00AA45AC" w:rsidRPr="00826EBF">
        <w:t xml:space="preserve"> </w:t>
      </w:r>
      <w:r w:rsidR="00AA45AC">
        <w:t xml:space="preserve">via the </w:t>
      </w:r>
      <w:r w:rsidR="00AA45AC" w:rsidRPr="00826EBF">
        <w:t>IERP</w:t>
      </w:r>
      <w:r w:rsidR="00C54702">
        <w:t xml:space="preserve"> has been slightly </w:t>
      </w:r>
      <w:r w:rsidR="00CF4FFD">
        <w:t>less</w:t>
      </w:r>
      <w:r w:rsidR="00C54702">
        <w:t xml:space="preserve"> than the formal AAT process for other long-standing cases with similar underlying </w:t>
      </w:r>
      <w:r w:rsidR="00AA45AC">
        <w:t xml:space="preserve">NDIS </w:t>
      </w:r>
      <w:r w:rsidR="00C54702">
        <w:t>plan values (+</w:t>
      </w:r>
      <w:r w:rsidR="00A92D8F">
        <w:t>$</w:t>
      </w:r>
      <w:r w:rsidR="00CF4FFD">
        <w:t>42,733 c.f. +</w:t>
      </w:r>
      <w:r w:rsidR="00A92D8F">
        <w:t>$</w:t>
      </w:r>
      <w:r w:rsidR="00CF4FFD">
        <w:t xml:space="preserve">55,420). However, </w:t>
      </w:r>
      <w:r w:rsidR="0060604E">
        <w:t xml:space="preserve">this reflects differences in the specific supports in dispute. Due to the uniqueness of cases, it was not possible to </w:t>
      </w:r>
      <w:r w:rsidR="001F71C1">
        <w:t>perfectly</w:t>
      </w:r>
      <w:r w:rsidR="0060604E">
        <w:t xml:space="preserve"> match IERP cases with other AAT cases based on the </w:t>
      </w:r>
      <w:r w:rsidR="007C10D6">
        <w:t>nature of the supports in dispute.</w:t>
      </w:r>
    </w:p>
    <w:p w14:paraId="6BC19F66" w14:textId="75AD692D" w:rsidR="00103AEA" w:rsidRDefault="009748FE" w:rsidP="00952E11">
      <w:pPr>
        <w:pStyle w:val="ESheading4"/>
      </w:pPr>
      <w:r>
        <w:t>Learnings for</w:t>
      </w:r>
      <w:r w:rsidR="009D479E" w:rsidRPr="009D479E">
        <w:t xml:space="preserve"> </w:t>
      </w:r>
      <w:r w:rsidR="0080518F">
        <w:t>broader</w:t>
      </w:r>
      <w:r w:rsidR="009D479E" w:rsidRPr="009D479E">
        <w:t xml:space="preserve"> administrative decision-making and appeals processes</w:t>
      </w:r>
    </w:p>
    <w:p w14:paraId="23F4C085" w14:textId="308C4B81" w:rsidR="006B5875" w:rsidRDefault="00A9523D" w:rsidP="007439D2">
      <w:r>
        <w:t>O</w:t>
      </w:r>
      <w:r w:rsidR="004927C2">
        <w:t xml:space="preserve">ver the last </w:t>
      </w:r>
      <w:r w:rsidR="00285E26">
        <w:t xml:space="preserve">two </w:t>
      </w:r>
      <w:r w:rsidR="0057434A">
        <w:t>years</w:t>
      </w:r>
      <w:r w:rsidR="00083DB9">
        <w:t xml:space="preserve"> approximately 6% and 2% of </w:t>
      </w:r>
      <w:r w:rsidR="001571DA">
        <w:t xml:space="preserve">primary </w:t>
      </w:r>
      <w:r w:rsidR="007B0822">
        <w:t>NDIS plan</w:t>
      </w:r>
      <w:r w:rsidR="001571DA">
        <w:t>ning decisions</w:t>
      </w:r>
      <w:r w:rsidR="007B0822">
        <w:t xml:space="preserve"> become the subject of </w:t>
      </w:r>
      <w:r w:rsidR="00C226FC">
        <w:t>an internal review and external review respectively</w:t>
      </w:r>
      <w:r>
        <w:t xml:space="preserve">. </w:t>
      </w:r>
      <w:r w:rsidR="000C2BA1">
        <w:t xml:space="preserve">Furthermore, of the decisions </w:t>
      </w:r>
      <w:r w:rsidR="00994470">
        <w:t xml:space="preserve">that </w:t>
      </w:r>
      <w:r w:rsidR="000C2BA1">
        <w:t>bec</w:t>
      </w:r>
      <w:r w:rsidR="00FA7A25">
        <w:t>a</w:t>
      </w:r>
      <w:r w:rsidR="000C2BA1">
        <w:t>me the subject of an internal review</w:t>
      </w:r>
      <w:r w:rsidR="00FF586C">
        <w:t>,</w:t>
      </w:r>
      <w:r w:rsidR="000D62B2">
        <w:t xml:space="preserve"> around 20% of support-related decisions escalat</w:t>
      </w:r>
      <w:r w:rsidR="00994470">
        <w:t>e</w:t>
      </w:r>
      <w:r w:rsidR="000D62B2">
        <w:t xml:space="preserve"> to an external review. </w:t>
      </w:r>
      <w:r w:rsidR="00FF3428">
        <w:t>Together, t</w:t>
      </w:r>
      <w:r>
        <w:t>h</w:t>
      </w:r>
      <w:r w:rsidR="008B7362">
        <w:t>ese findings</w:t>
      </w:r>
      <w:r>
        <w:t xml:space="preserve"> suggest that </w:t>
      </w:r>
      <w:r w:rsidR="00D26104">
        <w:t xml:space="preserve">in many instances, </w:t>
      </w:r>
      <w:r w:rsidR="006B5875">
        <w:t>the current administrative decision-making and appeals processes are making decisions that are acceptable to participants.</w:t>
      </w:r>
    </w:p>
    <w:p w14:paraId="542DD31D" w14:textId="3982B03D" w:rsidR="00834ACD" w:rsidRDefault="004C23BB" w:rsidP="007439D2">
      <w:r w:rsidRPr="00B85D06">
        <w:t>It is recognised, however</w:t>
      </w:r>
      <w:r w:rsidR="00FA66B4" w:rsidRPr="00B85D06">
        <w:t>,</w:t>
      </w:r>
      <w:r w:rsidR="00C842FD" w:rsidRPr="00B85D06">
        <w:t xml:space="preserve"> that </w:t>
      </w:r>
      <w:r w:rsidR="00FA66B4" w:rsidRPr="00B85D06">
        <w:t xml:space="preserve">there are a variety of reasons </w:t>
      </w:r>
      <w:r w:rsidR="00233F9B" w:rsidRPr="00B85D06">
        <w:t xml:space="preserve">why </w:t>
      </w:r>
      <w:r w:rsidR="00504FDE" w:rsidRPr="00B85D06">
        <w:t>participants</w:t>
      </w:r>
      <w:r w:rsidR="00233F9B" w:rsidRPr="00B85D06">
        <w:t xml:space="preserve"> may not </w:t>
      </w:r>
      <w:r w:rsidR="004B72DB" w:rsidRPr="00B85D06">
        <w:t xml:space="preserve">request a </w:t>
      </w:r>
      <w:r w:rsidR="002207F7" w:rsidRPr="00B85D06">
        <w:t>decision re</w:t>
      </w:r>
      <w:r w:rsidR="00C90F69" w:rsidRPr="00B85D06">
        <w:t>view</w:t>
      </w:r>
      <w:r w:rsidR="005C75CE" w:rsidRPr="00B85D06">
        <w:t>. This includes</w:t>
      </w:r>
      <w:r w:rsidR="0057152D" w:rsidRPr="00B85D06">
        <w:t xml:space="preserve"> the stress</w:t>
      </w:r>
      <w:r w:rsidR="00E70806" w:rsidRPr="00B85D06">
        <w:t xml:space="preserve">, time and cost </w:t>
      </w:r>
      <w:r w:rsidR="008C1C1B" w:rsidRPr="00B85D06">
        <w:t>of challenging a decision</w:t>
      </w:r>
      <w:r w:rsidR="001D25EF" w:rsidRPr="00B85D06">
        <w:t xml:space="preserve">, but may also be related to </w:t>
      </w:r>
      <w:r w:rsidR="00ED537A" w:rsidRPr="00B85D06">
        <w:t xml:space="preserve">being unaware of rights and/or </w:t>
      </w:r>
      <w:r w:rsidR="00035BE8" w:rsidRPr="00B85D06">
        <w:t>a perceived lack of adequate support/advocacy</w:t>
      </w:r>
      <w:r w:rsidR="00ED537A" w:rsidRPr="00B85D06">
        <w:t>.</w:t>
      </w:r>
      <w:r w:rsidR="00504FDE" w:rsidRPr="00B85D06">
        <w:t xml:space="preserve"> </w:t>
      </w:r>
      <w:r w:rsidR="00194F37" w:rsidRPr="00B85D06">
        <w:t>For those who do pursue a</w:t>
      </w:r>
      <w:r w:rsidR="00345E0F" w:rsidRPr="00B85D06">
        <w:t xml:space="preserve"> review</w:t>
      </w:r>
      <w:r w:rsidR="006B5875" w:rsidRPr="00B85D06">
        <w:t xml:space="preserve">, the </w:t>
      </w:r>
      <w:r w:rsidR="00CA23D0" w:rsidRPr="00B85D06">
        <w:t xml:space="preserve">evaluation findings </w:t>
      </w:r>
      <w:r w:rsidR="00D517A4" w:rsidRPr="00B85D06">
        <w:t xml:space="preserve">highlight considerations </w:t>
      </w:r>
      <w:r w:rsidR="00926101" w:rsidRPr="00B85D06">
        <w:t xml:space="preserve">for ensuring these processes </w:t>
      </w:r>
      <w:r w:rsidR="00306DEB" w:rsidRPr="00B85D06">
        <w:t xml:space="preserve">are participant-focused and </w:t>
      </w:r>
      <w:r w:rsidR="00926101" w:rsidRPr="00B85D06">
        <w:t xml:space="preserve">make </w:t>
      </w:r>
      <w:r w:rsidR="002505CB" w:rsidRPr="00B85D06">
        <w:t>transparent</w:t>
      </w:r>
      <w:r w:rsidR="002505CB">
        <w:t xml:space="preserve"> and </w:t>
      </w:r>
      <w:r w:rsidR="00926101">
        <w:t>largely acceptable decisions</w:t>
      </w:r>
      <w:r w:rsidR="00306DEB">
        <w:t>.</w:t>
      </w:r>
      <w:r w:rsidR="002505CB">
        <w:t xml:space="preserve"> </w:t>
      </w:r>
      <w:r w:rsidR="00D1206E">
        <w:t>F</w:t>
      </w:r>
      <w:r w:rsidR="000B1ECE">
        <w:t xml:space="preserve">eedback </w:t>
      </w:r>
      <w:r w:rsidR="00D1206E">
        <w:t xml:space="preserve">from IERP participants and their </w:t>
      </w:r>
      <w:r w:rsidR="008400AD">
        <w:t>representatives</w:t>
      </w:r>
      <w:r w:rsidR="000B1ECE">
        <w:t xml:space="preserve"> indicated that a</w:t>
      </w:r>
      <w:r w:rsidR="005A43B2">
        <w:t xml:space="preserve">ctively engaging </w:t>
      </w:r>
      <w:r w:rsidR="002B2D19">
        <w:t xml:space="preserve">with </w:t>
      </w:r>
      <w:r w:rsidR="00C438E8">
        <w:t>participant</w:t>
      </w:r>
      <w:r w:rsidR="00856EDA">
        <w:t>s</w:t>
      </w:r>
      <w:r w:rsidR="00C438E8">
        <w:t xml:space="preserve"> </w:t>
      </w:r>
      <w:r w:rsidR="00C31198">
        <w:t>throughout the decision making and appeals process</w:t>
      </w:r>
      <w:r w:rsidR="00856EDA">
        <w:t xml:space="preserve"> </w:t>
      </w:r>
      <w:r w:rsidR="00A80E77">
        <w:t xml:space="preserve">is essential </w:t>
      </w:r>
      <w:r w:rsidR="003F64D0">
        <w:t xml:space="preserve">to </w:t>
      </w:r>
      <w:r w:rsidR="00223449">
        <w:t>resolve</w:t>
      </w:r>
      <w:r w:rsidR="003F64D0">
        <w:t xml:space="preserve"> disputes </w:t>
      </w:r>
      <w:r w:rsidR="00125131">
        <w:t xml:space="preserve">and </w:t>
      </w:r>
      <w:r w:rsidR="00223449">
        <w:t>min</w:t>
      </w:r>
      <w:r w:rsidR="00B1666F">
        <w:t>imise the risk of escalation</w:t>
      </w:r>
      <w:r w:rsidR="00856EDA">
        <w:t>.</w:t>
      </w:r>
    </w:p>
    <w:p w14:paraId="67F0EFFD" w14:textId="5D4FB9BF" w:rsidR="003E5574" w:rsidRDefault="008C2247" w:rsidP="007439D2">
      <w:r>
        <w:t>T</w:t>
      </w:r>
      <w:r w:rsidR="00592230">
        <w:t>his include</w:t>
      </w:r>
      <w:r w:rsidR="00092C30">
        <w:t>s</w:t>
      </w:r>
      <w:r w:rsidR="00592230">
        <w:t xml:space="preserve"> </w:t>
      </w:r>
      <w:r w:rsidR="00002F13">
        <w:t>giving participants the chance</w:t>
      </w:r>
      <w:r w:rsidR="0093057F">
        <w:t xml:space="preserve"> </w:t>
      </w:r>
      <w:r w:rsidR="0086545A">
        <w:t xml:space="preserve">to </w:t>
      </w:r>
      <w:r w:rsidR="00092C30">
        <w:t>discuss their request</w:t>
      </w:r>
      <w:r w:rsidR="00B423E3">
        <w:t xml:space="preserve">, </w:t>
      </w:r>
      <w:r w:rsidR="00D737BE">
        <w:t xml:space="preserve">provide </w:t>
      </w:r>
      <w:r w:rsidR="00BA07AF">
        <w:t>more evidence</w:t>
      </w:r>
      <w:r w:rsidR="00092C30">
        <w:t xml:space="preserve"> if needed</w:t>
      </w:r>
      <w:r w:rsidR="00BA07AF">
        <w:t xml:space="preserve">, correct inaccuracies </w:t>
      </w:r>
      <w:r w:rsidR="006C4912">
        <w:t>and explain their position</w:t>
      </w:r>
      <w:r w:rsidR="0023229B">
        <w:t xml:space="preserve">. </w:t>
      </w:r>
      <w:r w:rsidR="006D6956">
        <w:t xml:space="preserve">It is also important that the planning and internal review processes </w:t>
      </w:r>
      <w:r w:rsidR="00955C85">
        <w:t>assure</w:t>
      </w:r>
      <w:r w:rsidR="006D6956">
        <w:t xml:space="preserve"> participants that all </w:t>
      </w:r>
      <w:r w:rsidR="006D6956">
        <w:lastRenderedPageBreak/>
        <w:t xml:space="preserve">relevant evidence </w:t>
      </w:r>
      <w:r w:rsidR="003E5574">
        <w:t xml:space="preserve">has been </w:t>
      </w:r>
      <w:r w:rsidR="001E7AE2">
        <w:t>considered and</w:t>
      </w:r>
      <w:r w:rsidR="006710E3">
        <w:t xml:space="preserve"> </w:t>
      </w:r>
      <w:r w:rsidR="003E5574">
        <w:t>give clear explanations for decisions</w:t>
      </w:r>
      <w:r w:rsidR="006710E3">
        <w:t>.</w:t>
      </w:r>
      <w:r w:rsidR="003E5574">
        <w:t xml:space="preserve"> </w:t>
      </w:r>
      <w:r w:rsidR="005D2E54">
        <w:t xml:space="preserve">If a participant does not feel </w:t>
      </w:r>
      <w:r w:rsidR="004203F6">
        <w:t>they have been adequately engaged</w:t>
      </w:r>
      <w:r w:rsidR="00702BC2">
        <w:t xml:space="preserve"> or </w:t>
      </w:r>
      <w:r w:rsidR="00F34061">
        <w:t xml:space="preserve">does </w:t>
      </w:r>
      <w:r w:rsidR="004E2975">
        <w:t>no</w:t>
      </w:r>
      <w:r w:rsidR="00DC24E5">
        <w:t xml:space="preserve">t </w:t>
      </w:r>
      <w:r w:rsidR="00702BC2">
        <w:t>understand the decision</w:t>
      </w:r>
      <w:r w:rsidR="005D2E54">
        <w:t xml:space="preserve">, they will be more likely to </w:t>
      </w:r>
      <w:r w:rsidR="00702BC2">
        <w:t>request</w:t>
      </w:r>
      <w:r w:rsidR="005D2E54">
        <w:t xml:space="preserve"> an external review.</w:t>
      </w:r>
    </w:p>
    <w:p w14:paraId="125829BB" w14:textId="781BE012" w:rsidR="007439D2" w:rsidRDefault="00911FF4" w:rsidP="007439D2">
      <w:r>
        <w:t>In line with</w:t>
      </w:r>
      <w:r w:rsidR="00900045">
        <w:t xml:space="preserve"> </w:t>
      </w:r>
      <w:r w:rsidR="00391967">
        <w:t xml:space="preserve">the </w:t>
      </w:r>
      <w:r>
        <w:t>Tune Review</w:t>
      </w:r>
      <w:r w:rsidR="0063367D">
        <w:t xml:space="preserve"> and subject to upcoming recommendations by the NDIS Review</w:t>
      </w:r>
      <w:r>
        <w:t xml:space="preserve">, providing participants </w:t>
      </w:r>
      <w:r w:rsidR="00391967">
        <w:t xml:space="preserve">a draft plan </w:t>
      </w:r>
      <w:r w:rsidR="002C4558">
        <w:t xml:space="preserve">may mitigate </w:t>
      </w:r>
      <w:r>
        <w:t>some of these concerns</w:t>
      </w:r>
      <w:r w:rsidR="00E016A9">
        <w:t>. I</w:t>
      </w:r>
      <w:r w:rsidR="006F6BC1">
        <w:t xml:space="preserve">t would </w:t>
      </w:r>
      <w:r w:rsidR="00E016A9">
        <w:t>allow</w:t>
      </w:r>
      <w:r w:rsidR="00423A0F">
        <w:t xml:space="preserve"> </w:t>
      </w:r>
      <w:r w:rsidR="00CF26B8">
        <w:t xml:space="preserve">early </w:t>
      </w:r>
      <w:r w:rsidR="00813BBF">
        <w:t xml:space="preserve">engagement </w:t>
      </w:r>
      <w:r w:rsidR="00E016A9">
        <w:t xml:space="preserve">with participants </w:t>
      </w:r>
      <w:r w:rsidR="007E1738">
        <w:t>o</w:t>
      </w:r>
      <w:r w:rsidR="00CA73F2">
        <w:t xml:space="preserve">n </w:t>
      </w:r>
      <w:r w:rsidR="00F92277">
        <w:t xml:space="preserve">reasons for </w:t>
      </w:r>
      <w:r w:rsidR="00E016A9">
        <w:t>not approving some supports</w:t>
      </w:r>
      <w:r w:rsidR="009F4E71">
        <w:t xml:space="preserve">, </w:t>
      </w:r>
      <w:r w:rsidR="00586DF2">
        <w:t xml:space="preserve">an opportunity to outline </w:t>
      </w:r>
      <w:r w:rsidR="008B5FFC">
        <w:t xml:space="preserve">the </w:t>
      </w:r>
      <w:r w:rsidR="00826D08">
        <w:t xml:space="preserve">further evidence </w:t>
      </w:r>
      <w:r w:rsidR="00E016A9">
        <w:t>they need</w:t>
      </w:r>
      <w:r w:rsidR="00314D95">
        <w:t xml:space="preserve"> </w:t>
      </w:r>
      <w:r w:rsidR="00E016A9">
        <w:t>to justify those supports</w:t>
      </w:r>
      <w:r w:rsidR="00314D95">
        <w:t xml:space="preserve"> and </w:t>
      </w:r>
      <w:r w:rsidR="00B44045">
        <w:t xml:space="preserve">how they can </w:t>
      </w:r>
      <w:r w:rsidR="00B478D6">
        <w:t>use their plan flexibly to purchase the support they need in line with current legislation</w:t>
      </w:r>
      <w:r w:rsidR="007439D2">
        <w:t>.</w:t>
      </w:r>
    </w:p>
    <w:p w14:paraId="31ED6F32" w14:textId="004C965B" w:rsidR="00C44EEE" w:rsidRDefault="00A61A7C" w:rsidP="0004561A">
      <w:r>
        <w:t>At the internal review stage</w:t>
      </w:r>
      <w:r w:rsidR="00752851">
        <w:t>,</w:t>
      </w:r>
      <w:r w:rsidR="00050D61">
        <w:t xml:space="preserve"> t</w:t>
      </w:r>
      <w:r w:rsidR="00C91E04">
        <w:t xml:space="preserve">he Agency has made several enhancements </w:t>
      </w:r>
      <w:r w:rsidR="00EA19BB">
        <w:t>over the last 12-months. These include</w:t>
      </w:r>
      <w:r w:rsidR="00050D61">
        <w:t xml:space="preserve"> </w:t>
      </w:r>
      <w:r w:rsidR="00EA19BB">
        <w:t>upfront</w:t>
      </w:r>
      <w:r w:rsidR="001177C1">
        <w:t xml:space="preserve"> </w:t>
      </w:r>
      <w:r w:rsidR="00C91E04">
        <w:t xml:space="preserve">phone calls to </w:t>
      </w:r>
      <w:r w:rsidR="001177C1">
        <w:t xml:space="preserve">clarify </w:t>
      </w:r>
      <w:r w:rsidR="00582969">
        <w:t xml:space="preserve">the participant’s </w:t>
      </w:r>
      <w:r w:rsidR="00536A00">
        <w:t xml:space="preserve">current </w:t>
      </w:r>
      <w:r w:rsidR="00C91E04">
        <w:t>situation</w:t>
      </w:r>
      <w:r w:rsidR="00C3420E">
        <w:t>,</w:t>
      </w:r>
      <w:r w:rsidR="004A1782">
        <w:t xml:space="preserve"> </w:t>
      </w:r>
      <w:r w:rsidR="00536A00">
        <w:t>invit</w:t>
      </w:r>
      <w:r w:rsidR="00B31C0C">
        <w:t>ing</w:t>
      </w:r>
      <w:r w:rsidR="00536A00">
        <w:t xml:space="preserve"> them to provide more </w:t>
      </w:r>
      <w:r w:rsidR="00C91E04">
        <w:t xml:space="preserve">evidence </w:t>
      </w:r>
      <w:r w:rsidR="00536A00">
        <w:t xml:space="preserve">if needed </w:t>
      </w:r>
      <w:r w:rsidR="00C91E04">
        <w:t xml:space="preserve">and improving </w:t>
      </w:r>
      <w:r w:rsidR="00E46A35">
        <w:t xml:space="preserve">the </w:t>
      </w:r>
      <w:r w:rsidR="002C3B5F">
        <w:t>quality</w:t>
      </w:r>
      <w:r w:rsidR="00C91E04">
        <w:t xml:space="preserve"> </w:t>
      </w:r>
      <w:r w:rsidR="00536A00">
        <w:t xml:space="preserve">of explanations </w:t>
      </w:r>
      <w:r w:rsidR="00C91E04">
        <w:t>in decision letters.</w:t>
      </w:r>
      <w:r w:rsidR="001B334B" w:rsidRPr="001B334B">
        <w:t xml:space="preserve"> </w:t>
      </w:r>
      <w:r w:rsidR="001B334B">
        <w:t xml:space="preserve">These improvements </w:t>
      </w:r>
      <w:r w:rsidR="001A240E">
        <w:t>align with IERP participant feedback and importantly</w:t>
      </w:r>
      <w:r w:rsidR="001B334B">
        <w:t xml:space="preserve"> have reduced the percentage of </w:t>
      </w:r>
      <w:r w:rsidR="009D379B">
        <w:t>support</w:t>
      </w:r>
      <w:r w:rsidR="001B334B">
        <w:t>-related matters escalated to external review</w:t>
      </w:r>
      <w:r w:rsidR="003460C6">
        <w:t>, including where the internal review upheld the original planning decision</w:t>
      </w:r>
      <w:r w:rsidR="001B334B">
        <w:t>.</w:t>
      </w:r>
    </w:p>
    <w:p w14:paraId="14F51534" w14:textId="31C7E682" w:rsidR="0004561A" w:rsidRDefault="0013189C" w:rsidP="0004561A">
      <w:r>
        <w:t>S</w:t>
      </w:r>
      <w:r w:rsidR="0004561A">
        <w:t xml:space="preserve">tatistical modelling identified matters related to </w:t>
      </w:r>
      <w:r w:rsidR="00C50B7F">
        <w:t>supported disability accommodation and other capital supports, supported independent living</w:t>
      </w:r>
      <w:r w:rsidR="0004561A">
        <w:t>, children</w:t>
      </w:r>
      <w:r w:rsidR="00C50B7F">
        <w:t xml:space="preserve"> and</w:t>
      </w:r>
      <w:r w:rsidR="0004561A">
        <w:t xml:space="preserve"> participants with complex needs </w:t>
      </w:r>
      <w:r w:rsidR="00C50B7F">
        <w:t>are</w:t>
      </w:r>
      <w:r w:rsidR="00D55BD3">
        <w:t xml:space="preserve"> more likely to proceed to external review.</w:t>
      </w:r>
      <w:r w:rsidR="0004561A">
        <w:t xml:space="preserve"> </w:t>
      </w:r>
      <w:r w:rsidR="00B477B4">
        <w:t xml:space="preserve">Giving </w:t>
      </w:r>
      <w:r w:rsidR="00925459">
        <w:t xml:space="preserve">participants </w:t>
      </w:r>
      <w:r w:rsidR="00B477B4">
        <w:t>more detailed explanations for decision</w:t>
      </w:r>
      <w:r w:rsidR="00846E92">
        <w:t>s</w:t>
      </w:r>
      <w:r w:rsidR="00B477B4">
        <w:t xml:space="preserve"> </w:t>
      </w:r>
      <w:r w:rsidR="00A77656">
        <w:t xml:space="preserve">in </w:t>
      </w:r>
      <w:r w:rsidR="00B477B4">
        <w:t>these matters and offer</w:t>
      </w:r>
      <w:r w:rsidR="00180657">
        <w:t xml:space="preserve">ing </w:t>
      </w:r>
      <w:r w:rsidR="000A35FA">
        <w:t>a follow up explanation</w:t>
      </w:r>
      <w:r w:rsidR="0062331B">
        <w:t xml:space="preserve"> </w:t>
      </w:r>
      <w:r w:rsidR="00240E28">
        <w:t xml:space="preserve">could </w:t>
      </w:r>
      <w:r w:rsidR="00925459">
        <w:t xml:space="preserve">help </w:t>
      </w:r>
      <w:r w:rsidR="0081435E">
        <w:t>them understand the reasons for the decision</w:t>
      </w:r>
      <w:r w:rsidR="009B36AA">
        <w:t>.</w:t>
      </w:r>
    </w:p>
    <w:p w14:paraId="5A116EAF" w14:textId="77777777" w:rsidR="00C91E04" w:rsidRPr="00C91E04" w:rsidRDefault="00C91E04" w:rsidP="00C91E04">
      <w:r w:rsidRPr="00C91E04">
        <w:t>At a broader level, further increasing NDIS plan flexibility and reducing the prescriptive nature of plan builds would reduce the number of potentially disputable decisions. Theoretically this would reduce the number of internal and external reviews and give participants more choice and control over their supports.</w:t>
      </w:r>
    </w:p>
    <w:p w14:paraId="77D63812" w14:textId="77777777" w:rsidR="00C1538B" w:rsidRDefault="00C1538B" w:rsidP="00C1538B">
      <w:pPr>
        <w:pStyle w:val="ESheading4"/>
      </w:pPr>
      <w:r>
        <w:t>Learnings for the implementation of the IERP</w:t>
      </w:r>
    </w:p>
    <w:p w14:paraId="70320E43" w14:textId="77777777" w:rsidR="00C1538B" w:rsidRDefault="00C1538B" w:rsidP="00C1538B">
      <w:r>
        <w:t>Independent experts reported high levels of satisfaction with their involvement including their induction, training, the NDIA’s ongoing support and process management. They reported that speaking with participants about their matter had been invaluable in forming their recommendations.</w:t>
      </w:r>
    </w:p>
    <w:p w14:paraId="4B5A06C4" w14:textId="77777777" w:rsidR="00C1538B" w:rsidRDefault="00C1538B" w:rsidP="00C1538B">
      <w:r w:rsidRPr="00E3050B">
        <w:lastRenderedPageBreak/>
        <w:t xml:space="preserve">However, independent experts </w:t>
      </w:r>
      <w:r>
        <w:t>reported the cases they have reviewed were more complex than expected, which meant they have taken considerably longer to review than expected. They also noted the need to promote consistency between experts, suggesting the following, especially if the NDIA scales up the IERP:</w:t>
      </w:r>
    </w:p>
    <w:p w14:paraId="57C272BB" w14:textId="77777777" w:rsidR="00C1538B" w:rsidRDefault="00C1538B" w:rsidP="000705FE">
      <w:pPr>
        <w:pStyle w:val="ListParagraph"/>
        <w:numPr>
          <w:ilvl w:val="0"/>
          <w:numId w:val="54"/>
        </w:numPr>
      </w:pPr>
      <w:r>
        <w:t>Feedback on the quality of their reports and recommendations</w:t>
      </w:r>
    </w:p>
    <w:p w14:paraId="59B84E7E" w14:textId="77777777" w:rsidR="00C1538B" w:rsidRDefault="00C1538B" w:rsidP="000705FE">
      <w:pPr>
        <w:pStyle w:val="ListParagraph"/>
        <w:numPr>
          <w:ilvl w:val="0"/>
          <w:numId w:val="54"/>
        </w:numPr>
        <w:spacing w:after="200"/>
        <w:ind w:left="714" w:hanging="357"/>
      </w:pPr>
      <w:r>
        <w:t>Ongoing training using report exemplars and discussion on case examples.</w:t>
      </w:r>
    </w:p>
    <w:p w14:paraId="0EA81A75" w14:textId="77777777" w:rsidR="00C1538B" w:rsidRDefault="00C1538B" w:rsidP="00C1538B">
      <w:r>
        <w:t xml:space="preserve">Within the NDIA, there appears to be broad support for an independent review process as an alternative to the AAT process. However, there is concern about the extent the independent expert recommendations align with the NDIA’s operational guidelines. </w:t>
      </w:r>
    </w:p>
    <w:p w14:paraId="620BB672" w14:textId="77777777" w:rsidR="00C1538B" w:rsidRDefault="00C1538B" w:rsidP="00C1538B">
      <w:r>
        <w:t xml:space="preserve">To date, there has been little visibility of the recommendations across the NDIA. Operational guidelines are policies to promote a consistent operational interpretation of the NDIS legislation on various matters. </w:t>
      </w:r>
      <w:r w:rsidRPr="00AE695A">
        <w:t xml:space="preserve">Consistent with the principles in </w:t>
      </w:r>
      <w:r w:rsidRPr="00AE695A">
        <w:rPr>
          <w:i/>
        </w:rPr>
        <w:t>Drake</w:t>
      </w:r>
      <w:r w:rsidRPr="00AE695A">
        <w:rPr>
          <w:rStyle w:val="FootnoteReference"/>
          <w:i/>
        </w:rPr>
        <w:footnoteReference w:id="8"/>
      </w:r>
      <w:r w:rsidRPr="00AE695A">
        <w:rPr>
          <w:i/>
        </w:rPr>
        <w:t xml:space="preserve">, </w:t>
      </w:r>
      <w:r w:rsidRPr="00AE695A">
        <w:t>the AAT typically applies these policies unless the application would result in an unjust decision, in which case cogent reasons against the application must be shown.</w:t>
      </w:r>
      <w:r>
        <w:t xml:space="preserve"> TAB has agreed with most recommendations from independent experts to date, which suggests they are not in tension with operational guidelines. </w:t>
      </w:r>
    </w:p>
    <w:p w14:paraId="7663193D" w14:textId="30F74C6F" w:rsidR="00C1538B" w:rsidRDefault="00C1538B" w:rsidP="00C1538B">
      <w:r>
        <w:t>Notwithstanding the above, key NDIA staff who support frontline decision-making indicated they would like a feedback loop from IERP (and AAT) outcomes into operational guidelines and standard operating procedures. They reasoned this would support frontline staff make consistent decisions in line with the interpretation of the NDIS legislation</w:t>
      </w:r>
      <w:r w:rsidR="00D86CD3">
        <w:t xml:space="preserve"> </w:t>
      </w:r>
      <w:r w:rsidR="00BE7BAE">
        <w:t xml:space="preserve">made by </w:t>
      </w:r>
      <w:r w:rsidR="00AD01A9">
        <w:t>the AAT and IERP</w:t>
      </w:r>
      <w:r>
        <w:t>.</w:t>
      </w:r>
    </w:p>
    <w:p w14:paraId="391D1B15" w14:textId="47C2CC4E" w:rsidR="00083BC2" w:rsidRPr="00301D41" w:rsidRDefault="00083BC2" w:rsidP="00A01FA6">
      <w:pPr>
        <w:pStyle w:val="ESheading3"/>
      </w:pPr>
      <w:bookmarkStart w:id="31" w:name="_Toc133655493"/>
      <w:bookmarkStart w:id="32" w:name="_Toc135241996"/>
      <w:bookmarkStart w:id="33" w:name="_Toc142918579"/>
      <w:r w:rsidRPr="00825CA5">
        <w:t>Conclusions</w:t>
      </w:r>
      <w:bookmarkEnd w:id="31"/>
      <w:bookmarkEnd w:id="32"/>
      <w:bookmarkEnd w:id="33"/>
    </w:p>
    <w:p w14:paraId="20A2D065" w14:textId="685217EF" w:rsidR="00FB4FC0" w:rsidRPr="00FB4FC0" w:rsidRDefault="00FB4FC0" w:rsidP="00952E11">
      <w:pPr>
        <w:pStyle w:val="ESheading4"/>
      </w:pPr>
      <w:r>
        <w:t>The acceptability, efficiency</w:t>
      </w:r>
      <w:r w:rsidR="003334E6">
        <w:t xml:space="preserve">, </w:t>
      </w:r>
      <w:r w:rsidR="00A82A33">
        <w:t>effectiveness,</w:t>
      </w:r>
      <w:r w:rsidR="003334E6">
        <w:t xml:space="preserve"> and </w:t>
      </w:r>
      <w:r w:rsidR="004D143B">
        <w:t>sustainability</w:t>
      </w:r>
      <w:r w:rsidR="003334E6">
        <w:t xml:space="preserve"> of the IERP</w:t>
      </w:r>
    </w:p>
    <w:p w14:paraId="6D838F6A" w14:textId="056A8AD5" w:rsidR="00760352" w:rsidRDefault="00760352" w:rsidP="00760352">
      <w:r w:rsidRPr="001557B9">
        <w:t xml:space="preserve">Although, the IERP has only cleared a small percentage of the backlog of AAT cases, it has successfully provided a proof of concept for a participant-focussed </w:t>
      </w:r>
      <w:r>
        <w:t>AD</w:t>
      </w:r>
      <w:r w:rsidRPr="001557B9">
        <w:t>R process that can resolve complex disputes.</w:t>
      </w:r>
    </w:p>
    <w:p w14:paraId="062083D3" w14:textId="4570BAB3" w:rsidR="00F90E0C" w:rsidRDefault="005C2DA6" w:rsidP="00F90E0C">
      <w:r>
        <w:lastRenderedPageBreak/>
        <w:t xml:space="preserve">It is clear most </w:t>
      </w:r>
      <w:r w:rsidR="002E25F8" w:rsidRPr="00FF2B74">
        <w:t xml:space="preserve">IERP </w:t>
      </w:r>
      <w:r w:rsidRPr="00FF2B74">
        <w:t>p</w:t>
      </w:r>
      <w:r>
        <w:t>articipants had a positive experience</w:t>
      </w:r>
      <w:r w:rsidR="007232C8">
        <w:t>, especially compared to their experience with the AAT process</w:t>
      </w:r>
      <w:r w:rsidR="00B6036E">
        <w:t xml:space="preserve">, and </w:t>
      </w:r>
      <w:r w:rsidR="00D368CD">
        <w:t xml:space="preserve">accepted most </w:t>
      </w:r>
      <w:r w:rsidR="00F11BE8">
        <w:t>of the recommendations from independent experts.</w:t>
      </w:r>
      <w:r w:rsidR="00EE22E7">
        <w:t xml:space="preserve"> This suggests that the IERP is an acceptable </w:t>
      </w:r>
      <w:r w:rsidR="009B5ADB">
        <w:t xml:space="preserve">early resolution alternative </w:t>
      </w:r>
      <w:r w:rsidR="008176FA">
        <w:t>to the AAT process for participants</w:t>
      </w:r>
      <w:r w:rsidR="00D20F17">
        <w:t xml:space="preserve">. There is also </w:t>
      </w:r>
      <w:r w:rsidR="00142572">
        <w:t>support from disability and legal advocates</w:t>
      </w:r>
      <w:r w:rsidR="00D20F17">
        <w:t xml:space="preserve">, noting the process </w:t>
      </w:r>
      <w:r w:rsidR="005732BE">
        <w:t>i</w:t>
      </w:r>
      <w:r w:rsidR="00D20F17">
        <w:t>s less legalistic and adversarial than the AAT.</w:t>
      </w:r>
      <w:r w:rsidR="00F90E0C">
        <w:t xml:space="preserve"> I</w:t>
      </w:r>
      <w:r w:rsidR="00F90E0C" w:rsidRPr="00276270">
        <w:t xml:space="preserve">ndependent experts </w:t>
      </w:r>
      <w:r w:rsidR="00F90E0C">
        <w:t>undertaking the IERP reviews also endorsed the process, including the training and support provided by the NDIA</w:t>
      </w:r>
      <w:r w:rsidR="003F3639">
        <w:t>.</w:t>
      </w:r>
    </w:p>
    <w:p w14:paraId="5E848C2E" w14:textId="5843A6D5" w:rsidR="00C836AD" w:rsidRPr="00B85D06" w:rsidRDefault="009B16AA" w:rsidP="005C2DA6">
      <w:r>
        <w:t>Importantly, independent experts have to date made sound recommendations within the NDIS legislation</w:t>
      </w:r>
      <w:r w:rsidRPr="00B85D06">
        <w:t>.</w:t>
      </w:r>
      <w:r w:rsidR="00365450" w:rsidRPr="00B85D06">
        <w:t xml:space="preserve"> </w:t>
      </w:r>
      <w:r w:rsidR="00DB5E13" w:rsidRPr="00B85D06">
        <w:t>T</w:t>
      </w:r>
      <w:r w:rsidR="001B2F02" w:rsidRPr="00B85D06">
        <w:t xml:space="preserve">here is </w:t>
      </w:r>
      <w:r w:rsidR="00C836AD" w:rsidRPr="00B85D06">
        <w:t xml:space="preserve">evidence </w:t>
      </w:r>
      <w:r w:rsidR="001B2F02" w:rsidRPr="00B85D06">
        <w:t xml:space="preserve">that independent experts from different backgrounds are reviewing case evidence differently, </w:t>
      </w:r>
      <w:r w:rsidR="00DB5E13" w:rsidRPr="00B85D06">
        <w:t xml:space="preserve">and this may need to be monitored to ensure consistency. Importantly however, </w:t>
      </w:r>
      <w:r w:rsidR="001B2F02" w:rsidRPr="00B85D06">
        <w:t xml:space="preserve">the </w:t>
      </w:r>
      <w:r w:rsidR="008D0283" w:rsidRPr="00B85D06">
        <w:t>NDIA</w:t>
      </w:r>
      <w:r w:rsidR="00B54DCC" w:rsidRPr="00B85D06">
        <w:t>’s</w:t>
      </w:r>
      <w:r w:rsidR="008D0283" w:rsidRPr="00B85D06">
        <w:t xml:space="preserve"> </w:t>
      </w:r>
      <w:r w:rsidR="00B54DCC" w:rsidRPr="00B85D06">
        <w:t>Technical advisory Branch a</w:t>
      </w:r>
      <w:r w:rsidR="00365450" w:rsidRPr="00B85D06">
        <w:t>greed</w:t>
      </w:r>
      <w:r w:rsidR="008D0283" w:rsidRPr="00B85D06">
        <w:t xml:space="preserve"> with </w:t>
      </w:r>
      <w:r w:rsidR="008E0ABA" w:rsidRPr="00B85D06">
        <w:t>most</w:t>
      </w:r>
      <w:r w:rsidR="00365450" w:rsidRPr="00B85D06">
        <w:t xml:space="preserve"> of </w:t>
      </w:r>
      <w:r w:rsidR="004008AA" w:rsidRPr="00B85D06">
        <w:t>the</w:t>
      </w:r>
      <w:r w:rsidR="000A47C2" w:rsidRPr="00B85D06">
        <w:t>ir</w:t>
      </w:r>
      <w:r w:rsidR="004008AA" w:rsidRPr="00B85D06">
        <w:t xml:space="preserve"> recommendations to date.</w:t>
      </w:r>
      <w:r w:rsidR="00885097" w:rsidRPr="00B85D06">
        <w:t xml:space="preserve"> </w:t>
      </w:r>
    </w:p>
    <w:p w14:paraId="585AE90D" w14:textId="2534010A" w:rsidR="00FE5014" w:rsidRPr="00B85D06" w:rsidRDefault="00B04A83" w:rsidP="00FE5014">
      <w:r w:rsidRPr="00B85D06">
        <w:t>There is also no conclusive evidence that the IERP has affected the financial sustainability of the NDIS</w:t>
      </w:r>
      <w:r w:rsidR="00FE5014" w:rsidRPr="00B85D06">
        <w:t xml:space="preserve"> and although there may have been small operational savings, </w:t>
      </w:r>
      <w:r w:rsidR="003C4076" w:rsidRPr="00B85D06">
        <w:t xml:space="preserve">it </w:t>
      </w:r>
      <w:r w:rsidR="00FE5014" w:rsidRPr="00B85D06">
        <w:t>has been largely cost neutral.</w:t>
      </w:r>
    </w:p>
    <w:p w14:paraId="49EF7485" w14:textId="150DBDDE" w:rsidR="00E0781E" w:rsidRDefault="00F3171A" w:rsidP="005C2DA6">
      <w:r w:rsidRPr="00B85D06">
        <w:t>Given the</w:t>
      </w:r>
      <w:r w:rsidR="00220FCB" w:rsidRPr="00B85D06">
        <w:t xml:space="preserve"> </w:t>
      </w:r>
      <w:r w:rsidR="00291456" w:rsidRPr="00B85D06">
        <w:t>high participant satisfaction</w:t>
      </w:r>
      <w:r w:rsidR="005B058D" w:rsidRPr="00B85D06">
        <w:t xml:space="preserve"> and sound recommendations, </w:t>
      </w:r>
      <w:r w:rsidR="00B40FE4" w:rsidRPr="00B85D06">
        <w:t xml:space="preserve">an </w:t>
      </w:r>
      <w:r w:rsidR="00FE5014" w:rsidRPr="00B85D06">
        <w:t xml:space="preserve">alternative dispute resolution mechanism incorporating some of the features of the IERP </w:t>
      </w:r>
      <w:r w:rsidR="007E71F8" w:rsidRPr="00B85D06">
        <w:t>is</w:t>
      </w:r>
      <w:r w:rsidR="00B40FE4" w:rsidRPr="00B85D06">
        <w:t xml:space="preserve"> worth considering as part of the </w:t>
      </w:r>
      <w:r w:rsidR="007E71F8" w:rsidRPr="00B85D06">
        <w:t xml:space="preserve">Agency’s </w:t>
      </w:r>
      <w:r w:rsidR="00B40FE4" w:rsidRPr="00B85D06">
        <w:t xml:space="preserve">ongoing dispute resolution toolkit for </w:t>
      </w:r>
      <w:r w:rsidR="005B058D" w:rsidRPr="00B85D06">
        <w:t xml:space="preserve">long-standing </w:t>
      </w:r>
      <w:r w:rsidR="00B40FE4" w:rsidRPr="00B85D06">
        <w:t xml:space="preserve">complex </w:t>
      </w:r>
      <w:r w:rsidR="00C05EC3" w:rsidRPr="00B85D06">
        <w:t>disputes</w:t>
      </w:r>
      <w:r w:rsidR="00464B90" w:rsidRPr="00B85D06">
        <w:t>.</w:t>
      </w:r>
    </w:p>
    <w:p w14:paraId="72029351" w14:textId="1C8A11CF" w:rsidR="000A670F" w:rsidRDefault="00760A7E" w:rsidP="00A54689">
      <w:r w:rsidRPr="000606DE">
        <w:t xml:space="preserve">For cases </w:t>
      </w:r>
      <w:r w:rsidR="00EF6C89" w:rsidRPr="000606DE">
        <w:t xml:space="preserve">that </w:t>
      </w:r>
      <w:r w:rsidR="00EF49D2" w:rsidRPr="000606DE">
        <w:t xml:space="preserve">require </w:t>
      </w:r>
      <w:r w:rsidR="000A670F" w:rsidRPr="000606DE">
        <w:t>a formal administrative review process</w:t>
      </w:r>
      <w:r w:rsidR="000671CE" w:rsidRPr="000606DE">
        <w:t xml:space="preserve">, </w:t>
      </w:r>
      <w:r w:rsidR="000A670F" w:rsidRPr="000606DE">
        <w:t>findings</w:t>
      </w:r>
      <w:r w:rsidR="00D801D1" w:rsidRPr="000606DE">
        <w:t xml:space="preserve"> indicate that </w:t>
      </w:r>
      <w:r w:rsidR="000A670F" w:rsidRPr="000606DE">
        <w:t>minimising the use of external lawyers and ensuring their adherence to model litigant obligations would improve participants’ experience. The findings also support giving participants the chance to discuss their matter with someone with expertise in their disability early in the process. Government should incorporate these considerations in the design of the new administrative review process that will replace the AAT.</w:t>
      </w:r>
    </w:p>
    <w:p w14:paraId="0AC9926A" w14:textId="77777777" w:rsidR="000A670F" w:rsidRDefault="000A670F" w:rsidP="005C2DA6"/>
    <w:p w14:paraId="18EB746A" w14:textId="191E8D53" w:rsidR="00915EDD" w:rsidRPr="00155F8C" w:rsidRDefault="00A878E7" w:rsidP="00952E11">
      <w:pPr>
        <w:pStyle w:val="ESheading4"/>
      </w:pPr>
      <w:r>
        <w:t xml:space="preserve">Broader </w:t>
      </w:r>
      <w:r w:rsidR="008E0ABA">
        <w:t>administrative decision</w:t>
      </w:r>
      <w:r w:rsidR="00B56675">
        <w:t>-</w:t>
      </w:r>
      <w:r w:rsidR="008E0ABA">
        <w:t xml:space="preserve">making </w:t>
      </w:r>
      <w:r w:rsidR="005271A9">
        <w:t xml:space="preserve">and dispute resolution </w:t>
      </w:r>
      <w:r w:rsidR="008E0ABA">
        <w:t>processes</w:t>
      </w:r>
    </w:p>
    <w:p w14:paraId="30AD39B2" w14:textId="17705669" w:rsidR="00FF3428" w:rsidRDefault="001132DD" w:rsidP="00712E5C">
      <w:r>
        <w:t xml:space="preserve">Although only a small percentage of NDIS support-related decisions escalate to internal and then external review, </w:t>
      </w:r>
      <w:r w:rsidR="004A75A2">
        <w:t xml:space="preserve">the evaluation findings highlight some important </w:t>
      </w:r>
      <w:r w:rsidR="004A75A2">
        <w:lastRenderedPageBreak/>
        <w:t xml:space="preserve">principles to embed throughout </w:t>
      </w:r>
      <w:r w:rsidR="000C3764">
        <w:t xml:space="preserve">the </w:t>
      </w:r>
      <w:r w:rsidR="002437F0">
        <w:t xml:space="preserve">Agency’s administrative </w:t>
      </w:r>
      <w:r w:rsidR="00B56675">
        <w:t>decision-making</w:t>
      </w:r>
      <w:r w:rsidR="002437F0">
        <w:t xml:space="preserve"> processes.</w:t>
      </w:r>
      <w:r w:rsidR="00240BA3">
        <w:t xml:space="preserve"> The IERP</w:t>
      </w:r>
      <w:r w:rsidR="00B35CA9">
        <w:t xml:space="preserve"> trial </w:t>
      </w:r>
      <w:r w:rsidR="00CD7CF8">
        <w:t>has</w:t>
      </w:r>
      <w:r w:rsidR="003E3459">
        <w:t xml:space="preserve"> inform</w:t>
      </w:r>
      <w:r w:rsidR="00CD7CF8">
        <w:t>ed</w:t>
      </w:r>
      <w:r w:rsidR="003E3459">
        <w:t xml:space="preserve"> </w:t>
      </w:r>
      <w:r w:rsidR="00C66D72">
        <w:t xml:space="preserve">areas for </w:t>
      </w:r>
      <w:r w:rsidR="00692889">
        <w:t>ongoing improvements</w:t>
      </w:r>
      <w:r w:rsidR="0029079F">
        <w:t xml:space="preserve">, in particular the effectiveness </w:t>
      </w:r>
      <w:r w:rsidR="009D164A">
        <w:t>of being participant-centric</w:t>
      </w:r>
      <w:r w:rsidR="002F56B1">
        <w:t xml:space="preserve"> and engaging in a collaborative </w:t>
      </w:r>
      <w:r w:rsidR="000B6D8E">
        <w:t xml:space="preserve">way to determine </w:t>
      </w:r>
      <w:r w:rsidR="002008A5">
        <w:t>appropriate supports</w:t>
      </w:r>
      <w:r w:rsidR="00692889">
        <w:t xml:space="preserve"> </w:t>
      </w:r>
      <w:r w:rsidR="00C9336D">
        <w:t>and dispute resolution strategy</w:t>
      </w:r>
      <w:r w:rsidR="00C80E0C">
        <w:t>.</w:t>
      </w:r>
      <w:r w:rsidR="00692889">
        <w:t xml:space="preserve"> </w:t>
      </w:r>
    </w:p>
    <w:p w14:paraId="602AB4B4" w14:textId="4C0B49BF" w:rsidR="00394D41" w:rsidRDefault="00712E5C" w:rsidP="00712E5C">
      <w:r>
        <w:t xml:space="preserve">Stakeholder feedback consistently indicated that actively engaging with participants throughout the decision making and appeals process is essential to minimising disputes and optimising resolution processes. </w:t>
      </w:r>
      <w:r w:rsidR="00923F8F">
        <w:t xml:space="preserve">Based on feedback from IERP participants and their </w:t>
      </w:r>
      <w:r w:rsidR="008400AD">
        <w:t>representatives</w:t>
      </w:r>
      <w:r w:rsidR="00923F8F">
        <w:t>, p</w:t>
      </w:r>
      <w:r w:rsidR="00494898">
        <w:t xml:space="preserve">articipants want </w:t>
      </w:r>
      <w:r w:rsidR="00A25955">
        <w:t xml:space="preserve">greater opportunity to </w:t>
      </w:r>
      <w:r w:rsidR="00831814">
        <w:t>discuss their needs</w:t>
      </w:r>
      <w:r w:rsidR="00E57688">
        <w:t xml:space="preserve"> during planning and internal review processes</w:t>
      </w:r>
      <w:r w:rsidR="00A25955">
        <w:t xml:space="preserve">, assurance that </w:t>
      </w:r>
      <w:r w:rsidR="00D06B20">
        <w:t xml:space="preserve">planners and internal review officers have considered </w:t>
      </w:r>
      <w:r w:rsidR="00D1402C">
        <w:t xml:space="preserve">their needs and reviewed </w:t>
      </w:r>
      <w:r w:rsidR="00A25955">
        <w:t xml:space="preserve">all their evidence and a </w:t>
      </w:r>
      <w:r w:rsidR="00923F8F">
        <w:t>better explanation of decisions.</w:t>
      </w:r>
    </w:p>
    <w:p w14:paraId="16E0FD39" w14:textId="6D041999" w:rsidR="005271A9" w:rsidRDefault="00CE2FB5" w:rsidP="00712E5C">
      <w:r>
        <w:t>T</w:t>
      </w:r>
      <w:r w:rsidR="00D1402C">
        <w:t xml:space="preserve">he Agency has </w:t>
      </w:r>
      <w:r w:rsidR="00522D42">
        <w:t xml:space="preserve">already </w:t>
      </w:r>
      <w:r w:rsidR="00D1402C">
        <w:t xml:space="preserve">made </w:t>
      </w:r>
      <w:r w:rsidR="002437F0">
        <w:t xml:space="preserve">successful </w:t>
      </w:r>
      <w:r w:rsidR="00D1402C">
        <w:t>enhancements to internal review</w:t>
      </w:r>
      <w:r>
        <w:t xml:space="preserve">s that align </w:t>
      </w:r>
      <w:r w:rsidR="00522D42">
        <w:t xml:space="preserve">with </w:t>
      </w:r>
      <w:r>
        <w:t>participant and stakeholder concerns</w:t>
      </w:r>
      <w:r w:rsidR="00522D42">
        <w:t xml:space="preserve"> reported in this evaluation</w:t>
      </w:r>
      <w:r>
        <w:t xml:space="preserve">. </w:t>
      </w:r>
      <w:r w:rsidR="00522D42">
        <w:t>T</w:t>
      </w:r>
      <w:r>
        <w:t>he</w:t>
      </w:r>
      <w:r w:rsidR="00C24297">
        <w:t xml:space="preserve"> evaluation findings suggest </w:t>
      </w:r>
      <w:r w:rsidR="00522D42">
        <w:t xml:space="preserve">ways to build on these to </w:t>
      </w:r>
      <w:r w:rsidR="00C24297">
        <w:t xml:space="preserve">further </w:t>
      </w:r>
      <w:r w:rsidR="00522D42">
        <w:t xml:space="preserve">improve </w:t>
      </w:r>
      <w:r w:rsidR="005271A9">
        <w:t>engagement</w:t>
      </w:r>
      <w:r w:rsidR="00C24297">
        <w:t xml:space="preserve"> and </w:t>
      </w:r>
      <w:r w:rsidR="005271A9">
        <w:t>communication</w:t>
      </w:r>
      <w:r w:rsidR="00C24297">
        <w:t xml:space="preserve"> with participants around </w:t>
      </w:r>
      <w:r w:rsidR="00B56675">
        <w:t>administrative</w:t>
      </w:r>
      <w:r w:rsidR="00B75C2D">
        <w:t xml:space="preserve"> decisions.</w:t>
      </w:r>
    </w:p>
    <w:p w14:paraId="5C2A7B33" w14:textId="04A69133" w:rsidR="0056636E" w:rsidRDefault="00B56675" w:rsidP="00712E5C">
      <w:r>
        <w:t>At the planning stage, this could include</w:t>
      </w:r>
      <w:r w:rsidR="00B75C2D">
        <w:t xml:space="preserve"> </w:t>
      </w:r>
      <w:r w:rsidR="001352FF">
        <w:t>providing participants with draft plans</w:t>
      </w:r>
      <w:r>
        <w:t xml:space="preserve"> pending recommendations from the NDIS review. </w:t>
      </w:r>
      <w:r w:rsidR="005271A9">
        <w:t>For</w:t>
      </w:r>
      <w:r w:rsidR="0056636E">
        <w:t xml:space="preserve"> internal reviews</w:t>
      </w:r>
      <w:r w:rsidR="005271A9">
        <w:t>,</w:t>
      </w:r>
      <w:r w:rsidR="00CB5B2C">
        <w:t xml:space="preserve"> participants </w:t>
      </w:r>
      <w:r w:rsidR="005271A9">
        <w:t xml:space="preserve">would likely value </w:t>
      </w:r>
      <w:r w:rsidR="0056636E" w:rsidRPr="0056636E">
        <w:t>the chance to speak with</w:t>
      </w:r>
      <w:r w:rsidR="00BA1673">
        <w:t xml:space="preserve"> the </w:t>
      </w:r>
      <w:r w:rsidR="0056636E" w:rsidRPr="0056636E">
        <w:t xml:space="preserve">internal review officer about their decision. Although this is part of the Participant Service Guarantee, current internal review </w:t>
      </w:r>
      <w:r w:rsidR="006151A3">
        <w:t xml:space="preserve">decision letters </w:t>
      </w:r>
      <w:r w:rsidR="0056636E" w:rsidRPr="0056636E">
        <w:t xml:space="preserve">do not flag this option. </w:t>
      </w:r>
      <w:r w:rsidR="005271A9">
        <w:t>This</w:t>
      </w:r>
      <w:r w:rsidR="0056636E" w:rsidRPr="0056636E">
        <w:t xml:space="preserve"> may not be feasible in all cases given the volume</w:t>
      </w:r>
      <w:r w:rsidR="006151A3">
        <w:t xml:space="preserve"> </w:t>
      </w:r>
      <w:r w:rsidR="00C90F86">
        <w:t>of</w:t>
      </w:r>
      <w:r w:rsidR="00AC5AEF">
        <w:t xml:space="preserve"> </w:t>
      </w:r>
      <w:r w:rsidR="00712E5C">
        <w:t xml:space="preserve">internal </w:t>
      </w:r>
      <w:r w:rsidR="0056636E" w:rsidRPr="0056636E">
        <w:t>reviews. However, it may be valuable around</w:t>
      </w:r>
      <w:r w:rsidR="00C90F86">
        <w:t xml:space="preserve"> </w:t>
      </w:r>
      <w:r w:rsidR="00712E5C">
        <w:t>matters mo</w:t>
      </w:r>
      <w:r w:rsidR="004A532E">
        <w:t>st</w:t>
      </w:r>
      <w:r w:rsidR="00712E5C">
        <w:t xml:space="preserve"> likely to </w:t>
      </w:r>
      <w:r w:rsidR="00C90F86">
        <w:t>escalate</w:t>
      </w:r>
      <w:r w:rsidR="0056636E" w:rsidRPr="0056636E">
        <w:t xml:space="preserve"> to external review, such as those related to SDA and major capital, SIL, children and participants with complex support needs</w:t>
      </w:r>
      <w:r w:rsidR="006A126F">
        <w:t>.</w:t>
      </w:r>
    </w:p>
    <w:p w14:paraId="6E8EA820" w14:textId="051D0F7F" w:rsidR="00600C86" w:rsidRDefault="006A126F" w:rsidP="00712E5C">
      <w:r>
        <w:t xml:space="preserve">At the external review stage, principles underpinning the IERP </w:t>
      </w:r>
      <w:r w:rsidR="00BD3A72">
        <w:t xml:space="preserve">are already consistent with </w:t>
      </w:r>
      <w:r w:rsidR="00560F74">
        <w:t>the newly introduced accelerated case</w:t>
      </w:r>
      <w:r w:rsidR="00A83A28">
        <w:t>load</w:t>
      </w:r>
      <w:r w:rsidR="00560F74">
        <w:t xml:space="preserve"> and early assessment </w:t>
      </w:r>
      <w:r w:rsidR="00657DC7">
        <w:t>reviews</w:t>
      </w:r>
      <w:r w:rsidR="001728FD">
        <w:t>.</w:t>
      </w:r>
      <w:r w:rsidR="00560F74">
        <w:t xml:space="preserve"> However, given some </w:t>
      </w:r>
      <w:r w:rsidR="00EB4882">
        <w:t>cases will inevitably progress to the formal AAT process</w:t>
      </w:r>
      <w:r w:rsidR="00F762EA">
        <w:t xml:space="preserve">, the </w:t>
      </w:r>
      <w:r w:rsidR="00506894">
        <w:t xml:space="preserve">success of the IERP suggests limiting the use of external lawyers where possible and </w:t>
      </w:r>
      <w:r w:rsidR="00506894" w:rsidRPr="00506894">
        <w:t>giving participants the chance to discuss their matter with someone from the Agency with expertise in their disability early in the process</w:t>
      </w:r>
      <w:r w:rsidR="001728FD">
        <w:t>.</w:t>
      </w:r>
    </w:p>
    <w:p w14:paraId="203E75AA" w14:textId="5E74BE71" w:rsidR="00DD3965" w:rsidRDefault="00DD3965" w:rsidP="00681331">
      <w:pPr>
        <w:sectPr w:rsidR="00DD3965" w:rsidSect="00C45DDE">
          <w:headerReference w:type="default" r:id="rId14"/>
          <w:footerReference w:type="default" r:id="rId15"/>
          <w:pgSz w:w="11906" w:h="16838"/>
          <w:pgMar w:top="1440" w:right="1440" w:bottom="1440" w:left="1440" w:header="709" w:footer="0" w:gutter="0"/>
          <w:pgNumType w:fmt="lowerRoman" w:start="1"/>
          <w:cols w:space="708"/>
          <w:docGrid w:linePitch="360"/>
        </w:sectPr>
      </w:pPr>
    </w:p>
    <w:p w14:paraId="083B5424" w14:textId="61D1B2A1" w:rsidR="00245193" w:rsidRPr="00A01FA6" w:rsidRDefault="0054140D" w:rsidP="00275AD3">
      <w:pPr>
        <w:pStyle w:val="Heading2"/>
        <w:numPr>
          <w:ilvl w:val="0"/>
          <w:numId w:val="7"/>
        </w:numPr>
        <w:ind w:left="1134" w:hanging="1134"/>
      </w:pPr>
      <w:bookmarkStart w:id="34" w:name="_Toc142918580"/>
      <w:r>
        <w:lastRenderedPageBreak/>
        <w:t>Introduction</w:t>
      </w:r>
      <w:bookmarkEnd w:id="34"/>
    </w:p>
    <w:p w14:paraId="07167ED7" w14:textId="1048776E" w:rsidR="00AF54CF" w:rsidRDefault="002C4A21" w:rsidP="00A01FA6">
      <w:pPr>
        <w:pStyle w:val="Heading3"/>
      </w:pPr>
      <w:bookmarkStart w:id="35" w:name="_Toc133655496"/>
      <w:bookmarkStart w:id="36" w:name="_Toc142918581"/>
      <w:r>
        <w:t>Dispute resolution in the NDIS</w:t>
      </w:r>
      <w:bookmarkEnd w:id="35"/>
      <w:bookmarkEnd w:id="36"/>
    </w:p>
    <w:p w14:paraId="628ED2A9" w14:textId="32257E55" w:rsidR="00A20F10" w:rsidRDefault="00F24CCD" w:rsidP="00DE60E6">
      <w:r>
        <w:t xml:space="preserve">The </w:t>
      </w:r>
      <w:r w:rsidR="00DE60E6">
        <w:t xml:space="preserve">National Disability Insurance </w:t>
      </w:r>
      <w:r w:rsidR="00B22113">
        <w:t xml:space="preserve">Agency </w:t>
      </w:r>
      <w:r w:rsidR="00DE60E6">
        <w:t>(</w:t>
      </w:r>
      <w:r w:rsidR="00B22113">
        <w:t>NDIA</w:t>
      </w:r>
      <w:r w:rsidR="00DE60E6">
        <w:t>)</w:t>
      </w:r>
      <w:r>
        <w:t xml:space="preserve"> </w:t>
      </w:r>
      <w:r w:rsidR="00A23E35">
        <w:t>ha</w:t>
      </w:r>
      <w:r w:rsidR="00970CFD">
        <w:t>s</w:t>
      </w:r>
      <w:r w:rsidR="00A23E35">
        <w:t xml:space="preserve"> </w:t>
      </w:r>
      <w:r w:rsidR="00173B49">
        <w:t>multiple pathways available to resolve disputes</w:t>
      </w:r>
      <w:r w:rsidR="00851D0F">
        <w:t xml:space="preserve"> with participants</w:t>
      </w:r>
      <w:r w:rsidR="00D0602F">
        <w:t xml:space="preserve">. </w:t>
      </w:r>
      <w:r w:rsidR="005F6385">
        <w:t xml:space="preserve">Routine practice involves an </w:t>
      </w:r>
      <w:r w:rsidR="00FF3395">
        <w:t xml:space="preserve">Agency </w:t>
      </w:r>
      <w:r w:rsidR="005F6385">
        <w:t>access delegate</w:t>
      </w:r>
      <w:r w:rsidR="00F81D8F">
        <w:t xml:space="preserve"> </w:t>
      </w:r>
      <w:r w:rsidR="001F6538" w:rsidRPr="00E72D96">
        <w:t>collati</w:t>
      </w:r>
      <w:r w:rsidR="001F6538">
        <w:t xml:space="preserve">ng </w:t>
      </w:r>
      <w:r w:rsidR="00E72D96" w:rsidRPr="00E72D96">
        <w:t>and review</w:t>
      </w:r>
      <w:r w:rsidR="001F6538">
        <w:t>ing</w:t>
      </w:r>
      <w:r w:rsidR="00E72D96" w:rsidRPr="00E72D96">
        <w:t xml:space="preserve"> all relevant information to determine </w:t>
      </w:r>
      <w:r w:rsidR="00E72D96">
        <w:t>the participant’s access request</w:t>
      </w:r>
      <w:r w:rsidR="00294F36">
        <w:rPr>
          <w:rStyle w:val="FootnoteReference"/>
        </w:rPr>
        <w:footnoteReference w:id="9"/>
      </w:r>
      <w:r w:rsidR="00962571">
        <w:t xml:space="preserve">. </w:t>
      </w:r>
      <w:r w:rsidR="003343FE">
        <w:t xml:space="preserve">If access is approved, </w:t>
      </w:r>
      <w:r w:rsidR="00DF2095">
        <w:t>a</w:t>
      </w:r>
      <w:r w:rsidR="005F6385">
        <w:t xml:space="preserve"> plann</w:t>
      </w:r>
      <w:r w:rsidR="00B941C2">
        <w:t>ing</w:t>
      </w:r>
      <w:r w:rsidR="00D734C2">
        <w:t xml:space="preserve"> delegate </w:t>
      </w:r>
      <w:r w:rsidR="005F6385">
        <w:t xml:space="preserve">works with </w:t>
      </w:r>
      <w:r w:rsidR="00DF2095">
        <w:t>the</w:t>
      </w:r>
      <w:r w:rsidR="00EE4F6C">
        <w:t xml:space="preserve"> </w:t>
      </w:r>
      <w:r w:rsidR="005F6385">
        <w:t xml:space="preserve">participant to determine their goals and the </w:t>
      </w:r>
      <w:r w:rsidR="00361A47">
        <w:t>nature and extent of</w:t>
      </w:r>
      <w:r w:rsidR="00E72D96" w:rsidRPr="00E72D96">
        <w:t xml:space="preserve"> funded supports to include in </w:t>
      </w:r>
      <w:r w:rsidR="00F81D8F">
        <w:t>their</w:t>
      </w:r>
      <w:r w:rsidR="00E72D96" w:rsidRPr="00E72D96">
        <w:t xml:space="preserve"> plan. The participant and/or their supports contribute to this process </w:t>
      </w:r>
      <w:r w:rsidR="00F81D8F">
        <w:t xml:space="preserve">by providing </w:t>
      </w:r>
      <w:r w:rsidR="0072513F">
        <w:t xml:space="preserve">the </w:t>
      </w:r>
      <w:r w:rsidR="00F81D8F">
        <w:t xml:space="preserve">necessary evidence to support their request. </w:t>
      </w:r>
      <w:r w:rsidR="00F81D8F" w:rsidRPr="00DF09F8">
        <w:t xml:space="preserve">If there is disagreement regarding the </w:t>
      </w:r>
      <w:r w:rsidR="00F81D8F">
        <w:t>delegate’s decision</w:t>
      </w:r>
      <w:r w:rsidR="00F81D8F" w:rsidRPr="00DF09F8">
        <w:t xml:space="preserve">, the participant </w:t>
      </w:r>
      <w:r w:rsidR="00F81D8F">
        <w:t xml:space="preserve">or their nominee </w:t>
      </w:r>
      <w:r w:rsidR="00F81D8F" w:rsidRPr="00DF09F8">
        <w:t xml:space="preserve">has several </w:t>
      </w:r>
      <w:r w:rsidR="003D0109">
        <w:t xml:space="preserve">dispute resolution </w:t>
      </w:r>
      <w:r w:rsidR="00F81D8F" w:rsidRPr="00DF09F8">
        <w:t xml:space="preserve">options available </w:t>
      </w:r>
      <w:r w:rsidR="003D0109">
        <w:t>to them</w:t>
      </w:r>
      <w:r w:rsidR="0087394A">
        <w:t>,</w:t>
      </w:r>
      <w:r w:rsidR="003D0109">
        <w:t xml:space="preserve"> </w:t>
      </w:r>
      <w:r w:rsidR="00F81D8F" w:rsidRPr="00DF09F8">
        <w:t>dependent on the nature of the issue.</w:t>
      </w:r>
      <w:r w:rsidR="007C5713">
        <w:t xml:space="preserve"> Dispute resolution related to planning matters is the focus of this evaluation.</w:t>
      </w:r>
    </w:p>
    <w:p w14:paraId="43FA7E2C" w14:textId="27539DC2" w:rsidR="00A20F10" w:rsidRPr="007B7D4D" w:rsidRDefault="00A20F10" w:rsidP="00952E11">
      <w:pPr>
        <w:pStyle w:val="Heading4"/>
      </w:pPr>
      <w:r>
        <w:t>Internal review</w:t>
      </w:r>
      <w:r w:rsidR="005A02CD">
        <w:t>s</w:t>
      </w:r>
    </w:p>
    <w:p w14:paraId="33715F43" w14:textId="71C41A1F" w:rsidR="00DE60E6" w:rsidRDefault="009D0743" w:rsidP="00DE60E6">
      <w:r>
        <w:t xml:space="preserve">Within </w:t>
      </w:r>
      <w:r w:rsidR="00182AEB">
        <w:t xml:space="preserve">three </w:t>
      </w:r>
      <w:r>
        <w:t xml:space="preserve">months of the original </w:t>
      </w:r>
      <w:r w:rsidR="00471FB3">
        <w:t xml:space="preserve">planning </w:t>
      </w:r>
      <w:r>
        <w:t>decision, t</w:t>
      </w:r>
      <w:r w:rsidR="00F81D8F" w:rsidRPr="00DF09F8">
        <w:t xml:space="preserve">he participant </w:t>
      </w:r>
      <w:r>
        <w:t xml:space="preserve">or their nominee </w:t>
      </w:r>
      <w:r w:rsidR="00F81D8F" w:rsidRPr="00DF09F8">
        <w:t xml:space="preserve">may </w:t>
      </w:r>
      <w:r w:rsidR="00F81D8F">
        <w:t>request</w:t>
      </w:r>
      <w:r w:rsidR="00F81D8F" w:rsidRPr="00DF09F8">
        <w:t xml:space="preserve"> an internal </w:t>
      </w:r>
      <w:r w:rsidR="00F81D8F">
        <w:t xml:space="preserve">NDIA </w:t>
      </w:r>
      <w:r w:rsidR="00F81D8F" w:rsidRPr="00DF09F8">
        <w:t xml:space="preserve">review </w:t>
      </w:r>
      <w:r w:rsidR="00F81D8F">
        <w:t>of the decision under section 100 of the NDIS Act</w:t>
      </w:r>
      <w:r w:rsidR="005F6385">
        <w:t xml:space="preserve">. This is known as </w:t>
      </w:r>
      <w:r w:rsidR="00F81D8F">
        <w:t>an s</w:t>
      </w:r>
      <w:r w:rsidR="00F81D8F" w:rsidRPr="00DF09F8">
        <w:t>100</w:t>
      </w:r>
      <w:r w:rsidR="00DE60E6">
        <w:t xml:space="preserve"> review. </w:t>
      </w:r>
      <w:r w:rsidR="00B7069F">
        <w:t>A</w:t>
      </w:r>
      <w:r w:rsidR="005F6385">
        <w:t>n</w:t>
      </w:r>
      <w:r w:rsidR="00CF664C">
        <w:t xml:space="preserve"> NDIA officer </w:t>
      </w:r>
      <w:r w:rsidR="005F6385">
        <w:t xml:space="preserve">independent from </w:t>
      </w:r>
      <w:r w:rsidR="00CF664C">
        <w:t xml:space="preserve">the original </w:t>
      </w:r>
      <w:r w:rsidR="00F5047F">
        <w:t>decision-making</w:t>
      </w:r>
      <w:r w:rsidR="005F6385">
        <w:t xml:space="preserve"> process </w:t>
      </w:r>
      <w:r w:rsidR="00CF664C">
        <w:t xml:space="preserve">undertakes </w:t>
      </w:r>
      <w:r w:rsidR="0047603E">
        <w:t xml:space="preserve">the </w:t>
      </w:r>
      <w:r w:rsidR="00CF664C">
        <w:t>internal review</w:t>
      </w:r>
      <w:r w:rsidR="00015933">
        <w:rPr>
          <w:rStyle w:val="FootnoteReference"/>
        </w:rPr>
        <w:footnoteReference w:id="10"/>
      </w:r>
      <w:r w:rsidR="00015933">
        <w:t>.</w:t>
      </w:r>
      <w:r w:rsidR="00CF664C">
        <w:t xml:space="preserve"> </w:t>
      </w:r>
    </w:p>
    <w:p w14:paraId="1F606B74" w14:textId="594529CC" w:rsidR="00DE60E6" w:rsidRDefault="00DE60E6" w:rsidP="00DE60E6">
      <w:r>
        <w:t>The internal review considers</w:t>
      </w:r>
      <w:r w:rsidR="004F1F44">
        <w:t xml:space="preserve"> </w:t>
      </w:r>
      <w:r>
        <w:t xml:space="preserve">evidence </w:t>
      </w:r>
      <w:r w:rsidR="004F1F44">
        <w:t xml:space="preserve">provided by the participant </w:t>
      </w:r>
      <w:r>
        <w:t xml:space="preserve">and </w:t>
      </w:r>
      <w:r w:rsidR="00BA38DB">
        <w:t xml:space="preserve">the justification </w:t>
      </w:r>
      <w:r>
        <w:t>for the</w:t>
      </w:r>
      <w:r w:rsidR="00B64BD4">
        <w:t xml:space="preserve"> Agency’s original planning </w:t>
      </w:r>
      <w:r>
        <w:t>decision</w:t>
      </w:r>
      <w:r w:rsidR="00BA38DB">
        <w:t>. A</w:t>
      </w:r>
      <w:r>
        <w:t xml:space="preserve">dditional information </w:t>
      </w:r>
      <w:r w:rsidR="00BA38DB">
        <w:t xml:space="preserve">may </w:t>
      </w:r>
      <w:r w:rsidR="00DD5E7B">
        <w:t xml:space="preserve">be </w:t>
      </w:r>
      <w:r>
        <w:t xml:space="preserve">presented for the review, </w:t>
      </w:r>
      <w:r w:rsidR="00F75C41">
        <w:t xml:space="preserve">including </w:t>
      </w:r>
      <w:r w:rsidR="00C971EC">
        <w:t xml:space="preserve">participant </w:t>
      </w:r>
      <w:r>
        <w:t>facts and circumstances at the time of the decision</w:t>
      </w:r>
      <w:r w:rsidR="00941192">
        <w:t>,</w:t>
      </w:r>
      <w:r>
        <w:t xml:space="preserve"> and any subsequent changes to those circumstances. </w:t>
      </w:r>
      <w:r w:rsidR="00A20F10">
        <w:t xml:space="preserve">The review officer </w:t>
      </w:r>
      <w:r w:rsidR="001E13EA">
        <w:t xml:space="preserve">provides an opportunity to speak to the </w:t>
      </w:r>
      <w:r w:rsidR="00311146">
        <w:t>participant</w:t>
      </w:r>
      <w:r w:rsidR="00E719F3">
        <w:t xml:space="preserve"> </w:t>
      </w:r>
      <w:r w:rsidR="00A20F10">
        <w:t>or their nominee</w:t>
      </w:r>
      <w:r>
        <w:t xml:space="preserve"> to confirm information</w:t>
      </w:r>
      <w:r w:rsidR="00BA38DB">
        <w:t xml:space="preserve"> received is correct and current</w:t>
      </w:r>
      <w:r>
        <w:t xml:space="preserve">, </w:t>
      </w:r>
      <w:r w:rsidR="00BA38DB">
        <w:t xml:space="preserve">assess </w:t>
      </w:r>
      <w:r w:rsidR="004869F7">
        <w:t>the</w:t>
      </w:r>
      <w:r w:rsidR="00BA38DB">
        <w:t xml:space="preserve"> other supports the </w:t>
      </w:r>
      <w:r w:rsidR="00A25959">
        <w:t>participant</w:t>
      </w:r>
      <w:r w:rsidR="00BA38DB">
        <w:t xml:space="preserve"> accesses </w:t>
      </w:r>
      <w:r>
        <w:t>and request additional information if required.</w:t>
      </w:r>
      <w:r w:rsidR="00BE5559">
        <w:t xml:space="preserve"> If the review </w:t>
      </w:r>
      <w:r w:rsidR="00BA38DB">
        <w:t>officer</w:t>
      </w:r>
      <w:r w:rsidR="00BE5559">
        <w:t xml:space="preserve"> asks for more information</w:t>
      </w:r>
      <w:r w:rsidR="00A954F9">
        <w:t>,</w:t>
      </w:r>
      <w:r w:rsidR="00BE5559">
        <w:t xml:space="preserve"> or the participant wants to provide more</w:t>
      </w:r>
      <w:r w:rsidR="00DA6B1D">
        <w:t>, th</w:t>
      </w:r>
      <w:r w:rsidR="00BA72AD">
        <w:t xml:space="preserve">e </w:t>
      </w:r>
      <w:r w:rsidR="00BA38DB">
        <w:t xml:space="preserve">participant has </w:t>
      </w:r>
      <w:r w:rsidR="00BA72AD">
        <w:t xml:space="preserve">28 days </w:t>
      </w:r>
      <w:r w:rsidR="00BA38DB">
        <w:t xml:space="preserve">to present the </w:t>
      </w:r>
      <w:r w:rsidR="00994FC9">
        <w:t>additional</w:t>
      </w:r>
      <w:r w:rsidR="00BA72AD">
        <w:t xml:space="preserve"> information.</w:t>
      </w:r>
      <w:r w:rsidR="00F96530">
        <w:t xml:space="preserve"> </w:t>
      </w:r>
      <w:r w:rsidR="00866916">
        <w:t>T</w:t>
      </w:r>
      <w:r w:rsidR="00BA38DB">
        <w:t xml:space="preserve">he </w:t>
      </w:r>
      <w:r w:rsidR="00A25959">
        <w:t xml:space="preserve">review </w:t>
      </w:r>
      <w:r w:rsidR="00BA38DB">
        <w:t xml:space="preserve">officer </w:t>
      </w:r>
      <w:r w:rsidR="00866916">
        <w:t xml:space="preserve">then </w:t>
      </w:r>
      <w:r w:rsidR="0018379A">
        <w:t xml:space="preserve">makes a </w:t>
      </w:r>
      <w:r w:rsidR="00D21041">
        <w:t>decision</w:t>
      </w:r>
      <w:r>
        <w:t xml:space="preserve"> </w:t>
      </w:r>
      <w:r w:rsidR="00BA38DB">
        <w:lastRenderedPageBreak/>
        <w:t>in accordance with</w:t>
      </w:r>
      <w:r>
        <w:t xml:space="preserve"> the NDIS Act, Rules</w:t>
      </w:r>
      <w:r w:rsidR="00CE3410">
        <w:t xml:space="preserve"> and</w:t>
      </w:r>
      <w:r>
        <w:t xml:space="preserve"> Operational Guidelines (OGs). Participants </w:t>
      </w:r>
      <w:r w:rsidR="00A25959">
        <w:t>receive</w:t>
      </w:r>
      <w:r>
        <w:t xml:space="preserve"> a letter notifying them of the </w:t>
      </w:r>
      <w:r w:rsidR="00B83554">
        <w:t xml:space="preserve">results of the review </w:t>
      </w:r>
      <w:r>
        <w:t>and an explanation</w:t>
      </w:r>
      <w:r w:rsidR="00B83554">
        <w:t xml:space="preserve"> for the decision</w:t>
      </w:r>
      <w:r>
        <w:t xml:space="preserve">. </w:t>
      </w:r>
    </w:p>
    <w:p w14:paraId="7B5AF0D4" w14:textId="6FB9F500" w:rsidR="005A1BA9" w:rsidRPr="007B7D4D" w:rsidRDefault="005A1BA9" w:rsidP="00952E11">
      <w:pPr>
        <w:pStyle w:val="Heading4"/>
      </w:pPr>
      <w:r>
        <w:t>External reviews</w:t>
      </w:r>
    </w:p>
    <w:p w14:paraId="5C406EE9" w14:textId="16FC40B8" w:rsidR="002C4C93" w:rsidRDefault="00A10782" w:rsidP="003C4076">
      <w:r>
        <w:t>I</w:t>
      </w:r>
      <w:r w:rsidR="003916A4">
        <w:t xml:space="preserve">f </w:t>
      </w:r>
      <w:r w:rsidR="00471FB3">
        <w:t xml:space="preserve">a </w:t>
      </w:r>
      <w:r w:rsidR="004C3867">
        <w:t xml:space="preserve">participant or their nominee </w:t>
      </w:r>
      <w:r w:rsidR="003916A4">
        <w:t xml:space="preserve">wishes to dispute an </w:t>
      </w:r>
      <w:r w:rsidR="004C3867">
        <w:t>internal review decision, the</w:t>
      </w:r>
      <w:r w:rsidR="003916A4">
        <w:t xml:space="preserve">re is a </w:t>
      </w:r>
      <w:r w:rsidR="00522261">
        <w:t>28-day</w:t>
      </w:r>
      <w:r w:rsidR="003916A4">
        <w:t xml:space="preserve"> window </w:t>
      </w:r>
      <w:r w:rsidR="004C3867">
        <w:t xml:space="preserve">to request an external review </w:t>
      </w:r>
      <w:r w:rsidR="003916A4">
        <w:t>from</w:t>
      </w:r>
      <w:r w:rsidR="00FB608E">
        <w:t xml:space="preserve"> </w:t>
      </w:r>
      <w:r w:rsidR="00615B13">
        <w:t xml:space="preserve">the </w:t>
      </w:r>
      <w:r w:rsidR="00FB608E">
        <w:t>Administrative Appeals Tribunal (</w:t>
      </w:r>
      <w:r w:rsidR="004C3867">
        <w:t>AAT</w:t>
      </w:r>
      <w:r w:rsidR="00FB608E">
        <w:t>)</w:t>
      </w:r>
      <w:r w:rsidR="004C3867">
        <w:t xml:space="preserve">. </w:t>
      </w:r>
      <w:r w:rsidR="005A1BA9">
        <w:t xml:space="preserve">The AAT is </w:t>
      </w:r>
      <w:r w:rsidR="003916A4">
        <w:t xml:space="preserve">an independent </w:t>
      </w:r>
      <w:r w:rsidR="005A1BA9">
        <w:t xml:space="preserve">body that reviews administrative decisions made under Commonwealth law, </w:t>
      </w:r>
      <w:r w:rsidR="003916A4">
        <w:t xml:space="preserve">which </w:t>
      </w:r>
      <w:r w:rsidR="005A1BA9">
        <w:t>includ</w:t>
      </w:r>
      <w:r w:rsidR="003916A4">
        <w:t>es</w:t>
      </w:r>
      <w:r w:rsidR="005A1BA9">
        <w:t xml:space="preserve"> reviewable decisions made by the NDIA. </w:t>
      </w:r>
      <w:r w:rsidR="002400F9">
        <w:fldChar w:fldCharType="begin"/>
      </w:r>
      <w:r w:rsidR="002400F9">
        <w:instrText xml:space="preserve"> REF _Ref133761836 \h </w:instrText>
      </w:r>
      <w:r w:rsidR="002400F9">
        <w:fldChar w:fldCharType="separate"/>
      </w:r>
      <w:r w:rsidR="000F1876" w:rsidRPr="00EB3D5D">
        <w:t xml:space="preserve">Figure </w:t>
      </w:r>
      <w:r w:rsidR="000F1876">
        <w:rPr>
          <w:noProof/>
        </w:rPr>
        <w:t>1</w:t>
      </w:r>
      <w:r w:rsidR="002400F9">
        <w:fldChar w:fldCharType="end"/>
      </w:r>
      <w:r w:rsidR="002400F9">
        <w:t xml:space="preserve"> outlines the AAT process</w:t>
      </w:r>
      <w:r w:rsidR="00B27FEC">
        <w:t>,</w:t>
      </w:r>
      <w:r w:rsidR="002400F9">
        <w:t xml:space="preserve"> which</w:t>
      </w:r>
      <w:r w:rsidR="005A1BA9">
        <w:t xml:space="preserve"> involves a ‘merits review’ </w:t>
      </w:r>
      <w:r w:rsidR="00DD44A4">
        <w:t>to assess</w:t>
      </w:r>
      <w:r w:rsidR="005A1BA9">
        <w:t xml:space="preserve"> the </w:t>
      </w:r>
      <w:r w:rsidR="001927E6">
        <w:t>internal review</w:t>
      </w:r>
      <w:r w:rsidR="005A1BA9">
        <w:t xml:space="preserve"> decision </w:t>
      </w:r>
      <w:r w:rsidR="00092B7C">
        <w:t>and</w:t>
      </w:r>
      <w:r w:rsidR="005A1BA9">
        <w:t xml:space="preserve"> determine if </w:t>
      </w:r>
      <w:r w:rsidR="00DD44A4">
        <w:t xml:space="preserve">it was </w:t>
      </w:r>
      <w:r w:rsidR="002C6B9A">
        <w:t xml:space="preserve">the </w:t>
      </w:r>
      <w:r w:rsidR="00DD44A4">
        <w:t xml:space="preserve">correct </w:t>
      </w:r>
      <w:r w:rsidR="002C6B9A">
        <w:t xml:space="preserve">and preferable decision </w:t>
      </w:r>
      <w:r w:rsidR="005A1BA9">
        <w:t>based on the evidence provided.</w:t>
      </w:r>
      <w:r w:rsidR="00291AA7">
        <w:t xml:space="preserve"> This may include additional supports or information not part of the original or internal review decision</w:t>
      </w:r>
      <w:r w:rsidR="00011380">
        <w:t>s</w:t>
      </w:r>
      <w:r w:rsidR="00291AA7" w:rsidRPr="00B85D06">
        <w:t>.</w:t>
      </w:r>
      <w:r w:rsidR="00ED29C7" w:rsidRPr="00B85D06">
        <w:t xml:space="preserve"> </w:t>
      </w:r>
      <w:r w:rsidR="003C4076" w:rsidRPr="00B85D06">
        <w:rPr>
          <w:lang w:eastAsia="en-AU"/>
        </w:rPr>
        <w:t xml:space="preserve">The vast majority (98.75%) of external reviews do not reach an AAT hearing and instead are resolved via other pathways. </w:t>
      </w:r>
      <w:r w:rsidR="00CC5FFD" w:rsidRPr="00B85D06">
        <w:t xml:space="preserve">The current process includes </w:t>
      </w:r>
      <w:r w:rsidR="00C7295C" w:rsidRPr="00B85D06">
        <w:t xml:space="preserve">the following </w:t>
      </w:r>
      <w:r w:rsidR="00CC5FFD" w:rsidRPr="00B85D06">
        <w:t>two new initiatives</w:t>
      </w:r>
      <w:r w:rsidR="00C7295C" w:rsidRPr="00B85D06">
        <w:t>:</w:t>
      </w:r>
      <w:r w:rsidR="00C7295C">
        <w:t xml:space="preserve"> </w:t>
      </w:r>
    </w:p>
    <w:p w14:paraId="0D480B28" w14:textId="19222CB4" w:rsidR="008A7703" w:rsidRDefault="008A7703" w:rsidP="000705FE">
      <w:pPr>
        <w:pStyle w:val="ListParagraph"/>
        <w:numPr>
          <w:ilvl w:val="0"/>
          <w:numId w:val="14"/>
        </w:numPr>
        <w:spacing w:before="120" w:after="120"/>
        <w:ind w:left="714" w:hanging="357"/>
      </w:pPr>
      <w:r>
        <w:t xml:space="preserve">Early </w:t>
      </w:r>
      <w:r w:rsidR="00EE18BE">
        <w:t>A</w:t>
      </w:r>
      <w:r>
        <w:t>ssessments for new matters lodged with the AAT</w:t>
      </w:r>
      <w:r w:rsidR="00C076C8">
        <w:t xml:space="preserve"> (Step 2 of </w:t>
      </w:r>
      <w:r w:rsidR="00C076C8">
        <w:fldChar w:fldCharType="begin"/>
      </w:r>
      <w:r w:rsidR="00C076C8">
        <w:instrText xml:space="preserve"> REF _Ref133761836 \h </w:instrText>
      </w:r>
      <w:r w:rsidR="00C076C8">
        <w:fldChar w:fldCharType="separate"/>
      </w:r>
      <w:r w:rsidR="000F1876" w:rsidRPr="00EB3D5D">
        <w:t xml:space="preserve">Figure </w:t>
      </w:r>
      <w:r w:rsidR="000F1876">
        <w:rPr>
          <w:noProof/>
        </w:rPr>
        <w:t>1</w:t>
      </w:r>
      <w:r w:rsidR="00C076C8">
        <w:fldChar w:fldCharType="end"/>
      </w:r>
      <w:r w:rsidR="00C076C8">
        <w:t>)</w:t>
      </w:r>
      <w:r w:rsidR="00F0350D">
        <w:t xml:space="preserve"> (commenced in June 2022)</w:t>
      </w:r>
      <w:r>
        <w:t xml:space="preserve">. When participants lodge a matter with the AAT for review, the </w:t>
      </w:r>
      <w:r w:rsidR="003916A4">
        <w:t xml:space="preserve">NDIA </w:t>
      </w:r>
      <w:r w:rsidR="003F221C">
        <w:t>co</w:t>
      </w:r>
      <w:r w:rsidR="00AB3552">
        <w:t xml:space="preserve">ntacts </w:t>
      </w:r>
      <w:r>
        <w:t xml:space="preserve">them to better understand their circumstances and the disputed </w:t>
      </w:r>
      <w:r w:rsidR="00D77795">
        <w:t>issues</w:t>
      </w:r>
      <w:r w:rsidR="003916A4">
        <w:t>. At this point</w:t>
      </w:r>
      <w:r w:rsidR="00033B24">
        <w:t>,</w:t>
      </w:r>
      <w:r w:rsidR="003916A4">
        <w:t xml:space="preserve"> a resolution is attempted</w:t>
      </w:r>
      <w:r>
        <w:t xml:space="preserve"> before it </w:t>
      </w:r>
      <w:r w:rsidR="00C076C8">
        <w:t xml:space="preserve">progresses </w:t>
      </w:r>
      <w:r w:rsidR="00A9215F">
        <w:t>fur</w:t>
      </w:r>
      <w:r w:rsidR="00FF51F5">
        <w:t xml:space="preserve">ther </w:t>
      </w:r>
      <w:r w:rsidR="00C076C8">
        <w:t>through the AAT process</w:t>
      </w:r>
      <w:r>
        <w:t>.</w:t>
      </w:r>
    </w:p>
    <w:p w14:paraId="48EA782E" w14:textId="69F3E7D7" w:rsidR="00071844" w:rsidRDefault="008A7703" w:rsidP="000705FE">
      <w:pPr>
        <w:pStyle w:val="ListParagraph"/>
        <w:numPr>
          <w:ilvl w:val="0"/>
          <w:numId w:val="14"/>
        </w:numPr>
        <w:spacing w:before="120" w:after="200"/>
        <w:ind w:left="714" w:hanging="357"/>
      </w:pPr>
      <w:r>
        <w:t xml:space="preserve">A voluntary process for a non-binding and confidential review by an </w:t>
      </w:r>
      <w:r w:rsidR="00E8385E">
        <w:t>i</w:t>
      </w:r>
      <w:r>
        <w:t xml:space="preserve">ndependent </w:t>
      </w:r>
      <w:r w:rsidR="00E8385E">
        <w:t>e</w:t>
      </w:r>
      <w:r>
        <w:t xml:space="preserve">xpert </w:t>
      </w:r>
      <w:r w:rsidR="00D77795">
        <w:t>to</w:t>
      </w:r>
      <w:r>
        <w:t xml:space="preserve"> assist participants </w:t>
      </w:r>
      <w:r w:rsidR="000515C5">
        <w:t xml:space="preserve">to </w:t>
      </w:r>
      <w:r>
        <w:t xml:space="preserve">resolve their matter prior to an AAT hearing, particularly </w:t>
      </w:r>
      <w:r w:rsidR="008A6488">
        <w:t xml:space="preserve">for </w:t>
      </w:r>
      <w:r>
        <w:t xml:space="preserve">those that have been in the AAT for extended periods of time. A pilot phase of this Independent Expert Review </w:t>
      </w:r>
      <w:r w:rsidR="00F069FF">
        <w:t>P</w:t>
      </w:r>
      <w:r>
        <w:t xml:space="preserve">rogram </w:t>
      </w:r>
      <w:r w:rsidR="00F069FF">
        <w:t xml:space="preserve">(IERP) </w:t>
      </w:r>
      <w:r>
        <w:t xml:space="preserve">commenced </w:t>
      </w:r>
      <w:r w:rsidR="00A6726C">
        <w:t xml:space="preserve">in </w:t>
      </w:r>
      <w:r>
        <w:t>October 2022</w:t>
      </w:r>
      <w:r w:rsidR="002F7DB7">
        <w:t xml:space="preserve"> and is </w:t>
      </w:r>
      <w:r w:rsidR="00F15BB2">
        <w:t xml:space="preserve">described in </w:t>
      </w:r>
      <w:r w:rsidR="002F7DB7">
        <w:t xml:space="preserve">further detail in </w:t>
      </w:r>
      <w:r w:rsidR="00E86A72">
        <w:t>section 1.2 below</w:t>
      </w:r>
      <w:r>
        <w:t>.</w:t>
      </w:r>
    </w:p>
    <w:p w14:paraId="49B96E4D" w14:textId="34C5B5D9" w:rsidR="002C4C93" w:rsidRPr="00EB3D5D" w:rsidRDefault="002C4C93" w:rsidP="00A86241">
      <w:pPr>
        <w:pStyle w:val="Caption"/>
      </w:pPr>
      <w:bookmarkStart w:id="37" w:name="_Ref133761836"/>
      <w:bookmarkStart w:id="38" w:name="_Ref133761802"/>
      <w:r w:rsidRPr="00EB3D5D">
        <w:lastRenderedPageBreak/>
        <w:t xml:space="preserve">Figure </w:t>
      </w:r>
      <w:r w:rsidRPr="00EB3D5D">
        <w:fldChar w:fldCharType="begin"/>
      </w:r>
      <w:r w:rsidRPr="00EB3D5D">
        <w:instrText>SEQ Figure \* ARABIC</w:instrText>
      </w:r>
      <w:r w:rsidRPr="00EB3D5D">
        <w:fldChar w:fldCharType="separate"/>
      </w:r>
      <w:r w:rsidR="000F1876">
        <w:rPr>
          <w:noProof/>
        </w:rPr>
        <w:t>1</w:t>
      </w:r>
      <w:r w:rsidRPr="00EB3D5D">
        <w:fldChar w:fldCharType="end"/>
      </w:r>
      <w:bookmarkEnd w:id="37"/>
      <w:r w:rsidRPr="00EB3D5D">
        <w:t>: The AAT process</w:t>
      </w:r>
      <w:bookmarkEnd w:id="38"/>
    </w:p>
    <w:p w14:paraId="69C95C82" w14:textId="3A1D9B61" w:rsidR="002C4C93" w:rsidRDefault="003D250D" w:rsidP="00F0350D">
      <w:r>
        <w:rPr>
          <w:noProof/>
        </w:rPr>
        <w:drawing>
          <wp:inline distT="0" distB="0" distL="0" distR="0" wp14:anchorId="67DBD8BA" wp14:editId="35638530">
            <wp:extent cx="5276850" cy="5015865"/>
            <wp:effectExtent l="0" t="0" r="0" b="0"/>
            <wp:docPr id="16" name="Picture 16" descr="The AAT process participant journey map.&#10;Step 1- Individual makes application to AAT.&#10;AAT notifies NDIA, NDIA prepares AAT documents, NDIA allocates case manager.&#10;Step 2- Early assessment.&#10;NDIA conducts early assessment to determine complexity, information gaps, further information.&#10;Step 3- First case conference.&#10;All parties attend AAT Registrar meeting to identify information gaps, steps to acquire information, emerging issues that could be resolved.&#10;Step 4- Further information.&#10;Additional information provided at first case conference, identify any issues resolved and/or remaining.&#10;If the dispute is resolved then NDIA implements agreed plan.&#10;If the dispute is not resolved, there is an option to the new pathway of either:&#10;1. An Independent Expert review.&#10;2. Continue on AAT process.&#10;If option 1- An independent expert review:&#10;NDIA and participant enter IERP for recommendation to assist in dispute resolution.&#10;If the dispute is resolved, the NDIA implements the agreed plan.&#10;If the dispute is not resolved, the case goes to an AAT hearing (step 7).&#10;If option 2- Continue on AAT process:&#10;Step 5- Additional case conference(s).&#10;Parties meet AAT representative to identify steps for full hearing.&#10;Step 6- Prepare for hearing.&#10;Participant provides final evidence and submissions for hearing.&#10;Step 7 - Hearing at AAT.&#10;Full AAT hearing and a decision is given. Then either:&#10;1. NDIA implements the plan in line with AAT decision&#10;2. Appeal the AAT decision&#10;&#10;Steps apply where:&#10;Matter relates to NDIA internal review decision. No extension of time required. No other jurisdictional issu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he AAT process participant journey map.&#10;Step 1- Individual makes application to AAT.&#10;AAT notifies NDIA, NDIA prepares AAT documents, NDIA allocates case manager.&#10;Step 2- Early assessment.&#10;NDIA conducts early assessment to determine complexity, information gaps, further information.&#10;Step 3- First case conference.&#10;All parties attend AAT Registrar meeting to identify information gaps, steps to acquire information, emerging issues that could be resolved.&#10;Step 4- Further information.&#10;Additional information provided at first case conference, identify any issues resolved and/or remaining.&#10;If the dispute is resolved then NDIA implements agreed plan.&#10;If the dispute is not resolved, there is an option to the new pathway of either:&#10;1. An Independent Expert review.&#10;2. Continue on AAT process.&#10;If option 1- An independent expert review:&#10;NDIA and participant enter IERP for recommendation to assist in dispute resolution.&#10;If the dispute is resolved, the NDIA implements the agreed plan.&#10;If the dispute is not resolved, the case goes to an AAT hearing (step 7).&#10;If option 2- Continue on AAT process:&#10;Step 5- Additional case conference(s).&#10;Parties meet AAT representative to identify steps for full hearing.&#10;Step 6- Prepare for hearing.&#10;Participant provides final evidence and submissions for hearing.&#10;Step 7 - Hearing at AAT.&#10;Full AAT hearing and a decision is given. Then either:&#10;1. NDIA implements the plan in line with AAT decision&#10;2. Appeal the AAT decision&#10;&#10;Steps apply where:&#10;Matter relates to NDIA internal review decision. No extension of time required. No other jurisdictional issues.&#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83629" cy="5022309"/>
                    </a:xfrm>
                    <a:prstGeom prst="rect">
                      <a:avLst/>
                    </a:prstGeom>
                    <a:noFill/>
                  </pic:spPr>
                </pic:pic>
              </a:graphicData>
            </a:graphic>
          </wp:inline>
        </w:drawing>
      </w:r>
    </w:p>
    <w:p w14:paraId="63CA6C37" w14:textId="7E2492BF" w:rsidR="003357D2" w:rsidRPr="00EB3D5D" w:rsidRDefault="003357D2" w:rsidP="00C42763">
      <w:pPr>
        <w:spacing w:before="0" w:after="0"/>
        <w:rPr>
          <w:szCs w:val="22"/>
        </w:rPr>
      </w:pPr>
      <w:r w:rsidRPr="00EB3D5D">
        <w:rPr>
          <w:szCs w:val="22"/>
        </w:rPr>
        <w:t xml:space="preserve">Source: </w:t>
      </w:r>
      <w:r w:rsidR="009E1636" w:rsidRPr="00EB3D5D">
        <w:rPr>
          <w:szCs w:val="22"/>
        </w:rPr>
        <w:t xml:space="preserve">Adapted from </w:t>
      </w:r>
      <w:r w:rsidR="000A47FB" w:rsidRPr="00EB3D5D">
        <w:rPr>
          <w:szCs w:val="22"/>
        </w:rPr>
        <w:t xml:space="preserve">IERP process diagram from the </w:t>
      </w:r>
      <w:r w:rsidRPr="00EB3D5D">
        <w:rPr>
          <w:szCs w:val="22"/>
        </w:rPr>
        <w:t>Chief Counsel Division.</w:t>
      </w:r>
    </w:p>
    <w:p w14:paraId="40C3B42A" w14:textId="77777777" w:rsidR="004823C4" w:rsidRDefault="004823C4" w:rsidP="00952E11">
      <w:pPr>
        <w:pStyle w:val="Heading4"/>
      </w:pPr>
      <w:r>
        <w:t>Plan variations or reassessments</w:t>
      </w:r>
    </w:p>
    <w:p w14:paraId="2EE3831B" w14:textId="05EB14A7" w:rsidR="004823C4" w:rsidRDefault="004823C4" w:rsidP="004823C4">
      <w:r>
        <w:t xml:space="preserve">In </w:t>
      </w:r>
      <w:r w:rsidR="00D5339F">
        <w:t>some</w:t>
      </w:r>
      <w:r>
        <w:t xml:space="preserve"> situations, a participant can request minor variations to certain supports in their plan under section 47A of the NDIS Act</w:t>
      </w:r>
      <w:r w:rsidR="00722FB2">
        <w:rPr>
          <w:rStyle w:val="FootnoteReference"/>
        </w:rPr>
        <w:footnoteReference w:id="11"/>
      </w:r>
      <w:r>
        <w:t xml:space="preserve">. </w:t>
      </w:r>
      <w:r w:rsidR="00715195" w:rsidRPr="00DF09F8">
        <w:t>These circumstances include the correction of small errors or updating provider details, the receipt of requested information, or whe</w:t>
      </w:r>
      <w:r w:rsidR="001971C4">
        <w:t>n</w:t>
      </w:r>
      <w:r w:rsidR="00715195" w:rsidRPr="00DF09F8">
        <w:t xml:space="preserve"> a participant requires crisis or emergency funding</w:t>
      </w:r>
      <w:r w:rsidR="00722FB2">
        <w:t>.</w:t>
      </w:r>
    </w:p>
    <w:p w14:paraId="69296019" w14:textId="5D255819" w:rsidR="004823C4" w:rsidRDefault="004823C4" w:rsidP="004823C4">
      <w:r>
        <w:lastRenderedPageBreak/>
        <w:t>A plan reassessment under section 48 of the NDIS Act assesses the whole plan</w:t>
      </w:r>
      <w:r w:rsidR="00D5339F">
        <w:t xml:space="preserve">. </w:t>
      </w:r>
      <w:r>
        <w:t xml:space="preserve">This can occur if there are significant changes to the participant’s situation or if the plan reaches its reassessment date and requires </w:t>
      </w:r>
      <w:r w:rsidR="003C0698">
        <w:t>adjustment</w:t>
      </w:r>
      <w:r>
        <w:t>.</w:t>
      </w:r>
    </w:p>
    <w:p w14:paraId="4C278408" w14:textId="21B2E0F6" w:rsidR="00802ED5" w:rsidRDefault="34FAC543" w:rsidP="00A01FA6">
      <w:pPr>
        <w:pStyle w:val="Heading3"/>
      </w:pPr>
      <w:bookmarkStart w:id="39" w:name="_Toc133655497"/>
      <w:bookmarkStart w:id="40" w:name="_Ref133761986"/>
      <w:bookmarkStart w:id="41" w:name="_Toc142918582"/>
      <w:r>
        <w:t>The Independent Expert Review Program</w:t>
      </w:r>
      <w:bookmarkEnd w:id="39"/>
      <w:bookmarkEnd w:id="40"/>
      <w:bookmarkEnd w:id="41"/>
    </w:p>
    <w:p w14:paraId="76C03E39" w14:textId="465C44BC" w:rsidR="00270F61" w:rsidRPr="00270F61" w:rsidRDefault="00270F61" w:rsidP="00952E11">
      <w:pPr>
        <w:pStyle w:val="Heading4"/>
      </w:pPr>
      <w:r>
        <w:t>Overview</w:t>
      </w:r>
    </w:p>
    <w:p w14:paraId="27D8FFCD" w14:textId="69C849FD" w:rsidR="00EA1C69" w:rsidRDefault="008F716E" w:rsidP="00F069FF">
      <w:pPr>
        <w:rPr>
          <w:rFonts w:eastAsia="Arial" w:cs="Arial"/>
          <w:color w:val="000000" w:themeColor="text1"/>
          <w:szCs w:val="22"/>
        </w:rPr>
      </w:pPr>
      <w:r w:rsidRPr="002E37DB">
        <w:t>The</w:t>
      </w:r>
      <w:r w:rsidR="00DE5ECF">
        <w:t xml:space="preserve"> Agency </w:t>
      </w:r>
      <w:r w:rsidR="005834EA">
        <w:t>commenc</w:t>
      </w:r>
      <w:r w:rsidR="00D5339F">
        <w:t xml:space="preserve">ed </w:t>
      </w:r>
      <w:r w:rsidR="00F069FF">
        <w:t xml:space="preserve">the </w:t>
      </w:r>
      <w:r w:rsidR="006573E6" w:rsidRPr="00A6726C">
        <w:t xml:space="preserve">IERP </w:t>
      </w:r>
      <w:r w:rsidR="00DE5ECF">
        <w:t xml:space="preserve">on </w:t>
      </w:r>
      <w:r w:rsidR="00223F00">
        <w:t>4 October 2022.</w:t>
      </w:r>
      <w:r w:rsidRPr="002E37DB">
        <w:t xml:space="preserve"> </w:t>
      </w:r>
      <w:r w:rsidR="00F25A27">
        <w:t>The IERP</w:t>
      </w:r>
      <w:r w:rsidR="00AB2851" w:rsidRPr="002E37DB">
        <w:t xml:space="preserve"> </w:t>
      </w:r>
      <w:r w:rsidR="00DE6402">
        <w:t>is</w:t>
      </w:r>
      <w:r w:rsidR="00DE6402">
        <w:rPr>
          <w:rFonts w:eastAsia="Arial" w:cs="Arial"/>
          <w:color w:val="000000" w:themeColor="text1"/>
          <w:szCs w:val="22"/>
        </w:rPr>
        <w:t xml:space="preserve"> </w:t>
      </w:r>
      <w:r w:rsidR="006765E4">
        <w:rPr>
          <w:rFonts w:eastAsia="Arial" w:cs="Arial"/>
          <w:color w:val="000000" w:themeColor="text1"/>
          <w:szCs w:val="22"/>
        </w:rPr>
        <w:t xml:space="preserve">a </w:t>
      </w:r>
      <w:r w:rsidR="00A40106" w:rsidRPr="00AF15C0">
        <w:rPr>
          <w:rFonts w:eastAsia="Arial" w:cs="Arial"/>
          <w:color w:val="000000" w:themeColor="text1"/>
          <w:szCs w:val="22"/>
        </w:rPr>
        <w:t xml:space="preserve">free, </w:t>
      </w:r>
      <w:r w:rsidR="00363920" w:rsidRPr="00AF15C0">
        <w:rPr>
          <w:rFonts w:eastAsia="Arial" w:cs="Arial"/>
          <w:color w:val="000000" w:themeColor="text1"/>
          <w:szCs w:val="22"/>
        </w:rPr>
        <w:t>voluntary,</w:t>
      </w:r>
      <w:r w:rsidR="00A40106" w:rsidRPr="00AF15C0">
        <w:rPr>
          <w:rFonts w:eastAsia="Arial" w:cs="Arial"/>
          <w:color w:val="000000" w:themeColor="text1"/>
          <w:szCs w:val="22"/>
        </w:rPr>
        <w:t xml:space="preserve"> and confidential </w:t>
      </w:r>
      <w:r w:rsidR="00DA6C99">
        <w:rPr>
          <w:rFonts w:eastAsia="Arial" w:cs="Arial"/>
          <w:color w:val="000000" w:themeColor="text1"/>
          <w:szCs w:val="22"/>
        </w:rPr>
        <w:t xml:space="preserve">alternative dispute resolution </w:t>
      </w:r>
      <w:r w:rsidR="00A60E42">
        <w:rPr>
          <w:rFonts w:eastAsia="Arial" w:cs="Arial"/>
          <w:color w:val="000000" w:themeColor="text1"/>
          <w:szCs w:val="22"/>
        </w:rPr>
        <w:t xml:space="preserve">(ADR) pathway to resolve matters before they reach </w:t>
      </w:r>
      <w:r w:rsidR="00DA6C99">
        <w:rPr>
          <w:rFonts w:eastAsia="Arial" w:cs="Arial"/>
          <w:color w:val="000000" w:themeColor="text1"/>
          <w:szCs w:val="22"/>
        </w:rPr>
        <w:t>an AAT hearing</w:t>
      </w:r>
      <w:r w:rsidR="00A60E42">
        <w:rPr>
          <w:rFonts w:eastAsia="Arial" w:cs="Arial"/>
          <w:color w:val="000000" w:themeColor="text1"/>
          <w:szCs w:val="22"/>
        </w:rPr>
        <w:t>.</w:t>
      </w:r>
      <w:r w:rsidR="001315C8">
        <w:rPr>
          <w:rFonts w:eastAsia="Arial" w:cs="Arial"/>
          <w:color w:val="000000" w:themeColor="text1"/>
          <w:szCs w:val="22"/>
        </w:rPr>
        <w:t xml:space="preserve"> </w:t>
      </w:r>
      <w:r w:rsidR="005849E1">
        <w:rPr>
          <w:rFonts w:eastAsia="Arial" w:cs="Arial"/>
          <w:color w:val="000000" w:themeColor="text1"/>
          <w:szCs w:val="22"/>
        </w:rPr>
        <w:t xml:space="preserve">The IERP </w:t>
      </w:r>
      <w:r w:rsidR="006A143E">
        <w:rPr>
          <w:rFonts w:eastAsia="Arial" w:cs="Arial"/>
          <w:color w:val="000000" w:themeColor="text1"/>
          <w:szCs w:val="22"/>
        </w:rPr>
        <w:t xml:space="preserve">was established following </w:t>
      </w:r>
      <w:r w:rsidR="00CD3358">
        <w:rPr>
          <w:rFonts w:eastAsia="Arial" w:cs="Arial"/>
          <w:color w:val="000000" w:themeColor="text1"/>
          <w:szCs w:val="22"/>
        </w:rPr>
        <w:t>consultation</w:t>
      </w:r>
      <w:r w:rsidR="0048001B">
        <w:rPr>
          <w:rFonts w:eastAsia="Arial" w:cs="Arial"/>
          <w:color w:val="000000" w:themeColor="text1"/>
          <w:szCs w:val="22"/>
        </w:rPr>
        <w:t xml:space="preserve"> </w:t>
      </w:r>
      <w:r w:rsidR="004D6750">
        <w:rPr>
          <w:rFonts w:eastAsia="Arial" w:cs="Arial"/>
          <w:color w:val="000000" w:themeColor="text1"/>
          <w:szCs w:val="22"/>
        </w:rPr>
        <w:t xml:space="preserve">with </w:t>
      </w:r>
      <w:r w:rsidR="0048001B">
        <w:rPr>
          <w:rFonts w:eastAsia="Arial" w:cs="Arial"/>
          <w:color w:val="000000" w:themeColor="text1"/>
          <w:szCs w:val="22"/>
        </w:rPr>
        <w:t>the disability sector</w:t>
      </w:r>
      <w:r w:rsidR="00E434C4">
        <w:rPr>
          <w:rFonts w:eastAsia="Arial" w:cs="Arial"/>
          <w:color w:val="000000" w:themeColor="text1"/>
          <w:szCs w:val="22"/>
        </w:rPr>
        <w:t xml:space="preserve"> </w:t>
      </w:r>
      <w:r w:rsidR="002F2FF2">
        <w:rPr>
          <w:rFonts w:eastAsia="Arial" w:cs="Arial"/>
          <w:color w:val="000000" w:themeColor="text1"/>
          <w:szCs w:val="22"/>
        </w:rPr>
        <w:t xml:space="preserve">to increase the </w:t>
      </w:r>
      <w:r w:rsidR="003B7C0B">
        <w:rPr>
          <w:rFonts w:eastAsia="Arial" w:cs="Arial"/>
          <w:color w:val="000000" w:themeColor="text1"/>
          <w:szCs w:val="22"/>
        </w:rPr>
        <w:t xml:space="preserve">fairness, </w:t>
      </w:r>
      <w:r w:rsidR="00013AC7">
        <w:rPr>
          <w:rFonts w:eastAsia="Arial" w:cs="Arial"/>
          <w:color w:val="000000" w:themeColor="text1"/>
          <w:szCs w:val="22"/>
        </w:rPr>
        <w:t>e</w:t>
      </w:r>
      <w:r w:rsidR="002F2FF2">
        <w:rPr>
          <w:rFonts w:eastAsia="Arial" w:cs="Arial"/>
          <w:color w:val="000000" w:themeColor="text1"/>
          <w:szCs w:val="22"/>
        </w:rPr>
        <w:t>fficiency</w:t>
      </w:r>
      <w:r w:rsidR="00F22A0B">
        <w:rPr>
          <w:rFonts w:eastAsia="Arial" w:cs="Arial"/>
          <w:color w:val="000000" w:themeColor="text1"/>
          <w:szCs w:val="22"/>
        </w:rPr>
        <w:t xml:space="preserve"> and transparency of NDIS decision making</w:t>
      </w:r>
      <w:r w:rsidR="00EA1C69">
        <w:rPr>
          <w:rFonts w:eastAsia="Arial" w:cs="Arial"/>
          <w:color w:val="000000" w:themeColor="text1"/>
          <w:szCs w:val="22"/>
        </w:rPr>
        <w:t>,</w:t>
      </w:r>
      <w:r w:rsidR="00F22A0B">
        <w:rPr>
          <w:rFonts w:eastAsia="Arial" w:cs="Arial"/>
          <w:color w:val="000000" w:themeColor="text1"/>
          <w:szCs w:val="22"/>
        </w:rPr>
        <w:t xml:space="preserve"> </w:t>
      </w:r>
      <w:r w:rsidR="00DA6C99" w:rsidRPr="003F5B6F">
        <w:rPr>
          <w:rFonts w:eastAsia="Arial" w:cs="Arial"/>
          <w:color w:val="000000" w:themeColor="text1"/>
          <w:szCs w:val="22"/>
        </w:rPr>
        <w:t>reduc</w:t>
      </w:r>
      <w:r w:rsidR="00DA6C99">
        <w:rPr>
          <w:rFonts w:eastAsia="Arial" w:cs="Arial"/>
          <w:color w:val="000000" w:themeColor="text1"/>
          <w:szCs w:val="22"/>
        </w:rPr>
        <w:t>e</w:t>
      </w:r>
      <w:r w:rsidR="00DA6C99" w:rsidRPr="003F5B6F">
        <w:rPr>
          <w:rFonts w:eastAsia="Arial" w:cs="Arial"/>
          <w:color w:val="000000" w:themeColor="text1"/>
          <w:szCs w:val="22"/>
        </w:rPr>
        <w:t xml:space="preserve"> the AAT caseload</w:t>
      </w:r>
      <w:r w:rsidR="00EA1C69">
        <w:rPr>
          <w:rFonts w:eastAsia="Arial" w:cs="Arial"/>
          <w:color w:val="000000" w:themeColor="text1"/>
          <w:szCs w:val="22"/>
        </w:rPr>
        <w:t xml:space="preserve"> and importantly</w:t>
      </w:r>
      <w:r w:rsidR="0039158E">
        <w:rPr>
          <w:rFonts w:eastAsia="Arial" w:cs="Arial"/>
          <w:color w:val="000000" w:themeColor="text1"/>
          <w:szCs w:val="22"/>
        </w:rPr>
        <w:t>,</w:t>
      </w:r>
      <w:r w:rsidR="00EA1C69">
        <w:rPr>
          <w:rFonts w:eastAsia="Arial" w:cs="Arial"/>
          <w:color w:val="000000" w:themeColor="text1"/>
          <w:szCs w:val="22"/>
        </w:rPr>
        <w:t xml:space="preserve"> be less </w:t>
      </w:r>
      <w:r w:rsidR="005524EB">
        <w:rPr>
          <w:rFonts w:eastAsia="Arial" w:cs="Arial"/>
          <w:color w:val="000000" w:themeColor="text1"/>
          <w:szCs w:val="22"/>
        </w:rPr>
        <w:t xml:space="preserve">adversarial and legalistic </w:t>
      </w:r>
      <w:r w:rsidR="00FB745C">
        <w:rPr>
          <w:rFonts w:eastAsia="Arial" w:cs="Arial"/>
          <w:color w:val="000000" w:themeColor="text1"/>
          <w:szCs w:val="22"/>
        </w:rPr>
        <w:t>for participants</w:t>
      </w:r>
      <w:r w:rsidR="005524EB">
        <w:rPr>
          <w:rFonts w:eastAsia="Arial" w:cs="Arial"/>
          <w:color w:val="000000" w:themeColor="text1"/>
          <w:szCs w:val="22"/>
        </w:rPr>
        <w:t>.</w:t>
      </w:r>
    </w:p>
    <w:p w14:paraId="639273EF" w14:textId="46A1BC8E" w:rsidR="000F1228" w:rsidRDefault="000F1228" w:rsidP="000F1228">
      <w:pPr>
        <w:rPr>
          <w:rFonts w:eastAsia="Arial" w:cs="Arial"/>
          <w:color w:val="000000" w:themeColor="text1"/>
          <w:szCs w:val="22"/>
        </w:rPr>
      </w:pPr>
      <w:r>
        <w:rPr>
          <w:rFonts w:eastAsia="Arial" w:cs="Arial"/>
          <w:color w:val="000000" w:themeColor="text1"/>
          <w:szCs w:val="22"/>
        </w:rPr>
        <w:t>The IERP uses experts who are independent of both the participant and the Agency. The</w:t>
      </w:r>
      <w:r w:rsidR="00FF454F">
        <w:rPr>
          <w:rFonts w:eastAsia="Arial" w:cs="Arial"/>
          <w:color w:val="000000" w:themeColor="text1"/>
          <w:szCs w:val="22"/>
        </w:rPr>
        <w:t xml:space="preserve"> experts </w:t>
      </w:r>
      <w:r>
        <w:rPr>
          <w:rFonts w:eastAsia="Arial" w:cs="Arial"/>
          <w:color w:val="000000" w:themeColor="text1"/>
          <w:szCs w:val="22"/>
        </w:rPr>
        <w:t xml:space="preserve">all have experience with the disability sector and a demonstrated ability to interpret and apply legislation. They </w:t>
      </w:r>
      <w:r w:rsidR="00814DC0">
        <w:rPr>
          <w:rFonts w:eastAsia="Arial" w:cs="Arial"/>
          <w:color w:val="000000" w:themeColor="text1"/>
          <w:szCs w:val="22"/>
        </w:rPr>
        <w:t>come</w:t>
      </w:r>
      <w:r>
        <w:rPr>
          <w:rFonts w:eastAsia="Arial" w:cs="Arial"/>
          <w:color w:val="000000" w:themeColor="text1"/>
          <w:szCs w:val="22"/>
        </w:rPr>
        <w:t xml:space="preserve"> from vari</w:t>
      </w:r>
      <w:r w:rsidR="00FF454F">
        <w:rPr>
          <w:rFonts w:eastAsia="Arial" w:cs="Arial"/>
          <w:color w:val="000000" w:themeColor="text1"/>
          <w:szCs w:val="22"/>
        </w:rPr>
        <w:t xml:space="preserve">ous </w:t>
      </w:r>
      <w:r>
        <w:rPr>
          <w:rFonts w:eastAsia="Arial" w:cs="Arial"/>
          <w:color w:val="000000" w:themeColor="text1"/>
          <w:szCs w:val="22"/>
        </w:rPr>
        <w:t>professional backgrounds including tribunal or judicial members, lawyers, advocates, allied health workers and/or experience in neutral evaluation, mediation, or arbitration</w:t>
      </w:r>
      <w:r>
        <w:rPr>
          <w:rStyle w:val="FootnoteReference"/>
          <w:rFonts w:eastAsia="Arial" w:cs="Arial"/>
          <w:color w:val="000000" w:themeColor="text1"/>
          <w:szCs w:val="22"/>
        </w:rPr>
        <w:footnoteReference w:id="12"/>
      </w:r>
      <w:r>
        <w:rPr>
          <w:rFonts w:eastAsia="Arial" w:cs="Arial"/>
          <w:color w:val="000000" w:themeColor="text1"/>
          <w:szCs w:val="22"/>
        </w:rPr>
        <w:t xml:space="preserve">. </w:t>
      </w:r>
      <w:r w:rsidR="008D50C6">
        <w:rPr>
          <w:rFonts w:eastAsia="Arial" w:cs="Arial"/>
          <w:color w:val="000000" w:themeColor="text1"/>
          <w:szCs w:val="22"/>
        </w:rPr>
        <w:t>S</w:t>
      </w:r>
      <w:r w:rsidR="0065193D">
        <w:rPr>
          <w:rFonts w:eastAsia="Arial" w:cs="Arial"/>
          <w:color w:val="000000" w:themeColor="text1"/>
          <w:szCs w:val="22"/>
        </w:rPr>
        <w:t xml:space="preserve">pecialists in a particular </w:t>
      </w:r>
      <w:r w:rsidR="00663032">
        <w:rPr>
          <w:rFonts w:eastAsia="Arial" w:cs="Arial"/>
          <w:color w:val="000000" w:themeColor="text1"/>
          <w:szCs w:val="22"/>
        </w:rPr>
        <w:t xml:space="preserve">disability area </w:t>
      </w:r>
      <w:r w:rsidR="00F30B55">
        <w:rPr>
          <w:rFonts w:eastAsia="Arial" w:cs="Arial"/>
          <w:color w:val="000000" w:themeColor="text1"/>
          <w:szCs w:val="22"/>
        </w:rPr>
        <w:t xml:space="preserve">were not </w:t>
      </w:r>
      <w:r w:rsidR="00B40FBB">
        <w:rPr>
          <w:rFonts w:eastAsia="Arial" w:cs="Arial"/>
          <w:color w:val="000000" w:themeColor="text1"/>
          <w:szCs w:val="22"/>
        </w:rPr>
        <w:t xml:space="preserve">appointed </w:t>
      </w:r>
      <w:r w:rsidR="00C715E0">
        <w:rPr>
          <w:rFonts w:eastAsia="Arial" w:cs="Arial"/>
          <w:color w:val="000000" w:themeColor="text1"/>
          <w:szCs w:val="22"/>
        </w:rPr>
        <w:t xml:space="preserve">as </w:t>
      </w:r>
      <w:r w:rsidR="007D6487">
        <w:rPr>
          <w:rFonts w:eastAsia="Arial" w:cs="Arial"/>
          <w:color w:val="000000" w:themeColor="text1"/>
          <w:szCs w:val="22"/>
        </w:rPr>
        <w:t xml:space="preserve">it was considered </w:t>
      </w:r>
      <w:r w:rsidR="000565DA">
        <w:rPr>
          <w:rFonts w:eastAsia="Arial" w:cs="Arial"/>
          <w:color w:val="000000" w:themeColor="text1"/>
          <w:szCs w:val="22"/>
        </w:rPr>
        <w:t xml:space="preserve">this could result </w:t>
      </w:r>
      <w:r w:rsidR="007D2C02">
        <w:rPr>
          <w:rFonts w:eastAsia="Arial" w:cs="Arial"/>
          <w:color w:val="000000" w:themeColor="text1"/>
          <w:szCs w:val="22"/>
        </w:rPr>
        <w:t xml:space="preserve">in an independent expert </w:t>
      </w:r>
      <w:r w:rsidR="00AE28E2">
        <w:rPr>
          <w:rFonts w:eastAsia="Arial" w:cs="Arial"/>
          <w:color w:val="000000" w:themeColor="text1"/>
          <w:szCs w:val="22"/>
        </w:rPr>
        <w:t xml:space="preserve">taking into consideration </w:t>
      </w:r>
      <w:r w:rsidR="000C78C7">
        <w:rPr>
          <w:rFonts w:eastAsia="Arial" w:cs="Arial"/>
          <w:color w:val="000000" w:themeColor="text1"/>
          <w:szCs w:val="22"/>
        </w:rPr>
        <w:t xml:space="preserve">factors outside </w:t>
      </w:r>
      <w:r w:rsidR="00EC66E1">
        <w:rPr>
          <w:rFonts w:eastAsia="Arial" w:cs="Arial"/>
          <w:color w:val="000000" w:themeColor="text1"/>
          <w:szCs w:val="22"/>
        </w:rPr>
        <w:t>of the information</w:t>
      </w:r>
      <w:r w:rsidR="00593B91">
        <w:rPr>
          <w:rFonts w:eastAsia="Arial" w:cs="Arial"/>
          <w:color w:val="000000" w:themeColor="text1"/>
          <w:szCs w:val="22"/>
        </w:rPr>
        <w:t xml:space="preserve"> actually presented</w:t>
      </w:r>
      <w:r w:rsidR="00A2627A">
        <w:rPr>
          <w:rFonts w:eastAsia="Arial" w:cs="Arial"/>
          <w:color w:val="000000" w:themeColor="text1"/>
          <w:szCs w:val="22"/>
        </w:rPr>
        <w:t>.</w:t>
      </w:r>
      <w:r w:rsidR="00EC66E1">
        <w:rPr>
          <w:rFonts w:eastAsia="Arial" w:cs="Arial"/>
          <w:color w:val="000000" w:themeColor="text1"/>
          <w:szCs w:val="22"/>
        </w:rPr>
        <w:t xml:space="preserve"> </w:t>
      </w:r>
      <w:r>
        <w:rPr>
          <w:rFonts w:eastAsia="Arial" w:cs="Arial"/>
          <w:color w:val="000000" w:themeColor="text1"/>
          <w:szCs w:val="22"/>
        </w:rPr>
        <w:t xml:space="preserve">Prior to starting in the IERP, </w:t>
      </w:r>
      <w:r w:rsidR="00C82E99">
        <w:rPr>
          <w:rFonts w:eastAsia="Arial" w:cs="Arial"/>
          <w:color w:val="000000" w:themeColor="text1"/>
          <w:szCs w:val="22"/>
        </w:rPr>
        <w:t>all</w:t>
      </w:r>
      <w:r w:rsidR="00FF454F">
        <w:rPr>
          <w:rFonts w:eastAsia="Arial" w:cs="Arial"/>
          <w:color w:val="000000" w:themeColor="text1"/>
          <w:szCs w:val="22"/>
        </w:rPr>
        <w:t xml:space="preserve"> the panel experts</w:t>
      </w:r>
      <w:r>
        <w:rPr>
          <w:rFonts w:eastAsia="Arial" w:cs="Arial"/>
          <w:color w:val="000000" w:themeColor="text1"/>
          <w:szCs w:val="22"/>
        </w:rPr>
        <w:t xml:space="preserve"> receive</w:t>
      </w:r>
      <w:r w:rsidR="00104B49">
        <w:rPr>
          <w:rFonts w:eastAsia="Arial" w:cs="Arial"/>
          <w:color w:val="000000" w:themeColor="text1"/>
          <w:szCs w:val="22"/>
        </w:rPr>
        <w:t>d</w:t>
      </w:r>
      <w:r>
        <w:rPr>
          <w:rFonts w:eastAsia="Arial" w:cs="Arial"/>
          <w:color w:val="000000" w:themeColor="text1"/>
          <w:szCs w:val="22"/>
        </w:rPr>
        <w:t xml:space="preserve"> NDIA</w:t>
      </w:r>
      <w:r w:rsidR="00FF454F">
        <w:rPr>
          <w:rFonts w:eastAsia="Arial" w:cs="Arial"/>
          <w:color w:val="000000" w:themeColor="text1"/>
          <w:szCs w:val="22"/>
        </w:rPr>
        <w:t xml:space="preserve"> delivered </w:t>
      </w:r>
      <w:r>
        <w:rPr>
          <w:rFonts w:eastAsia="Arial" w:cs="Arial"/>
          <w:color w:val="000000" w:themeColor="text1"/>
          <w:szCs w:val="22"/>
        </w:rPr>
        <w:t xml:space="preserve">training on </w:t>
      </w:r>
      <w:r w:rsidDel="00A65B4E">
        <w:rPr>
          <w:rFonts w:eastAsia="Arial" w:cs="Arial"/>
          <w:color w:val="000000" w:themeColor="text1"/>
          <w:szCs w:val="22"/>
        </w:rPr>
        <w:t xml:space="preserve">the </w:t>
      </w:r>
      <w:r>
        <w:rPr>
          <w:rFonts w:eastAsia="Arial" w:cs="Arial"/>
          <w:color w:val="000000" w:themeColor="text1"/>
          <w:szCs w:val="22"/>
        </w:rPr>
        <w:t xml:space="preserve">IERP process, NDIS Act, NDIS Rules and </w:t>
      </w:r>
      <w:r w:rsidR="00B21C23">
        <w:rPr>
          <w:rFonts w:eastAsia="Arial" w:cs="Arial"/>
          <w:color w:val="000000" w:themeColor="text1"/>
          <w:szCs w:val="22"/>
        </w:rPr>
        <w:t>OGs</w:t>
      </w:r>
      <w:r w:rsidR="00E3122C">
        <w:rPr>
          <w:rFonts w:eastAsia="Arial" w:cs="Arial"/>
          <w:color w:val="000000" w:themeColor="text1"/>
          <w:szCs w:val="22"/>
        </w:rPr>
        <w:t>.</w:t>
      </w:r>
    </w:p>
    <w:p w14:paraId="047687D9" w14:textId="1E6C2830" w:rsidR="000F1228" w:rsidRDefault="000F1228" w:rsidP="000F1228">
      <w:pPr>
        <w:rPr>
          <w:rFonts w:eastAsia="Arial" w:cs="Arial"/>
          <w:color w:val="000000" w:themeColor="text1"/>
          <w:szCs w:val="22"/>
        </w:rPr>
      </w:pPr>
      <w:r>
        <w:rPr>
          <w:rFonts w:eastAsia="Arial" w:cs="Arial"/>
          <w:color w:val="000000" w:themeColor="text1"/>
          <w:szCs w:val="22"/>
        </w:rPr>
        <w:t xml:space="preserve">The IERP </w:t>
      </w:r>
      <w:r w:rsidR="004847B5">
        <w:rPr>
          <w:rFonts w:eastAsia="Arial" w:cs="Arial"/>
          <w:color w:val="000000" w:themeColor="text1"/>
          <w:szCs w:val="22"/>
        </w:rPr>
        <w:t>initially</w:t>
      </w:r>
      <w:r>
        <w:rPr>
          <w:rFonts w:eastAsia="Arial" w:cs="Arial"/>
          <w:color w:val="000000" w:themeColor="text1"/>
          <w:szCs w:val="22"/>
        </w:rPr>
        <w:t xml:space="preserve"> prioritised </w:t>
      </w:r>
      <w:r w:rsidR="00FF454F">
        <w:rPr>
          <w:rFonts w:eastAsia="Arial" w:cs="Arial"/>
          <w:color w:val="000000" w:themeColor="text1"/>
          <w:szCs w:val="22"/>
        </w:rPr>
        <w:t>participant cases which met the following criteria</w:t>
      </w:r>
      <w:r w:rsidR="00C1361D">
        <w:rPr>
          <w:rStyle w:val="FootnoteReference"/>
          <w:rFonts w:eastAsia="Arial" w:cs="Arial"/>
          <w:color w:val="000000" w:themeColor="text1"/>
          <w:szCs w:val="22"/>
        </w:rPr>
        <w:footnoteReference w:id="13"/>
      </w:r>
      <w:r>
        <w:rPr>
          <w:rFonts w:eastAsia="Arial" w:cs="Arial"/>
          <w:color w:val="000000" w:themeColor="text1"/>
          <w:szCs w:val="22"/>
        </w:rPr>
        <w:t>:</w:t>
      </w:r>
    </w:p>
    <w:p w14:paraId="52463226" w14:textId="26CAB78B" w:rsidR="000F1228" w:rsidRPr="000F148D" w:rsidRDefault="00D65433" w:rsidP="000705FE">
      <w:pPr>
        <w:pStyle w:val="ListParagraph"/>
        <w:numPr>
          <w:ilvl w:val="7"/>
          <w:numId w:val="51"/>
        </w:numPr>
        <w:spacing w:before="120" w:after="200"/>
        <w:contextualSpacing/>
        <w:rPr>
          <w:rFonts w:eastAsia="Arial" w:cs="Arial"/>
          <w:color w:val="000000" w:themeColor="text1"/>
          <w:szCs w:val="22"/>
        </w:rPr>
      </w:pPr>
      <w:r w:rsidRPr="00313BE2">
        <w:rPr>
          <w:rFonts w:eastAsia="Arial" w:cs="Arial"/>
          <w:color w:val="000000" w:themeColor="text1"/>
          <w:szCs w:val="22"/>
        </w:rPr>
        <w:t>ha</w:t>
      </w:r>
      <w:r w:rsidR="00410987">
        <w:rPr>
          <w:rFonts w:eastAsia="Arial" w:cs="Arial"/>
          <w:color w:val="000000" w:themeColor="text1"/>
          <w:szCs w:val="22"/>
        </w:rPr>
        <w:t>ve</w:t>
      </w:r>
      <w:r w:rsidRPr="00313BE2">
        <w:rPr>
          <w:rFonts w:eastAsia="Arial" w:cs="Arial"/>
          <w:color w:val="000000" w:themeColor="text1"/>
          <w:szCs w:val="22"/>
        </w:rPr>
        <w:t xml:space="preserve"> been </w:t>
      </w:r>
      <w:r w:rsidR="000F1228" w:rsidRPr="000F148D">
        <w:rPr>
          <w:rFonts w:eastAsia="Arial" w:cs="Arial"/>
          <w:color w:val="000000" w:themeColor="text1"/>
          <w:szCs w:val="22"/>
        </w:rPr>
        <w:t xml:space="preserve">in the AAT </w:t>
      </w:r>
      <w:r w:rsidR="000F1228">
        <w:rPr>
          <w:rFonts w:eastAsia="Arial" w:cs="Arial"/>
          <w:color w:val="000000" w:themeColor="text1"/>
          <w:szCs w:val="22"/>
        </w:rPr>
        <w:t xml:space="preserve">process </w:t>
      </w:r>
      <w:r w:rsidR="000F1228" w:rsidRPr="000F148D">
        <w:rPr>
          <w:rFonts w:eastAsia="Arial" w:cs="Arial"/>
          <w:color w:val="000000" w:themeColor="text1"/>
          <w:szCs w:val="22"/>
        </w:rPr>
        <w:t xml:space="preserve">for </w:t>
      </w:r>
      <w:r w:rsidR="000F1228">
        <w:rPr>
          <w:rFonts w:eastAsia="Arial" w:cs="Arial"/>
          <w:color w:val="000000" w:themeColor="text1"/>
          <w:szCs w:val="22"/>
        </w:rPr>
        <w:t>at least nine months</w:t>
      </w:r>
    </w:p>
    <w:p w14:paraId="69FEBCFC" w14:textId="59E12AC0" w:rsidR="000F1228" w:rsidRPr="000F148D" w:rsidRDefault="00602B4E" w:rsidP="000705FE">
      <w:pPr>
        <w:pStyle w:val="ListParagraph"/>
        <w:numPr>
          <w:ilvl w:val="7"/>
          <w:numId w:val="51"/>
        </w:numPr>
        <w:spacing w:before="120" w:after="200"/>
        <w:ind w:left="714" w:hanging="357"/>
        <w:contextualSpacing/>
        <w:rPr>
          <w:rFonts w:eastAsia="Arial" w:cs="Arial"/>
          <w:color w:val="000000" w:themeColor="text1"/>
          <w:szCs w:val="22"/>
        </w:rPr>
      </w:pPr>
      <w:r>
        <w:rPr>
          <w:rFonts w:eastAsia="Arial" w:cs="Arial"/>
          <w:color w:val="000000" w:themeColor="text1"/>
          <w:szCs w:val="22"/>
        </w:rPr>
        <w:t>are</w:t>
      </w:r>
      <w:r w:rsidR="00D65433" w:rsidRPr="00313BE2">
        <w:rPr>
          <w:rFonts w:eastAsia="Arial" w:cs="Arial"/>
          <w:color w:val="000000" w:themeColor="text1"/>
          <w:szCs w:val="22"/>
        </w:rPr>
        <w:t xml:space="preserve"> </w:t>
      </w:r>
      <w:r w:rsidR="000F1228">
        <w:rPr>
          <w:rFonts w:eastAsia="Arial" w:cs="Arial"/>
          <w:color w:val="000000" w:themeColor="text1"/>
          <w:szCs w:val="22"/>
        </w:rPr>
        <w:t>the subject of a</w:t>
      </w:r>
      <w:r w:rsidR="000F1228" w:rsidRPr="000F148D">
        <w:rPr>
          <w:rFonts w:eastAsia="Arial" w:cs="Arial"/>
          <w:color w:val="000000" w:themeColor="text1"/>
          <w:szCs w:val="22"/>
        </w:rPr>
        <w:t xml:space="preserve"> plan reduction of 20% or more</w:t>
      </w:r>
      <w:r w:rsidR="006A16B5">
        <w:rPr>
          <w:rFonts w:eastAsia="Arial" w:cs="Arial"/>
          <w:color w:val="000000" w:themeColor="text1"/>
          <w:szCs w:val="22"/>
        </w:rPr>
        <w:t>.</w:t>
      </w:r>
    </w:p>
    <w:p w14:paraId="4D3F0103" w14:textId="323BB07C" w:rsidR="005524EB" w:rsidRDefault="005524EB" w:rsidP="00AA2AF6">
      <w:pPr>
        <w:rPr>
          <w:rFonts w:eastAsia="Arial" w:cs="Arial"/>
          <w:color w:val="000000" w:themeColor="text1"/>
          <w:szCs w:val="22"/>
        </w:rPr>
      </w:pPr>
      <w:r>
        <w:rPr>
          <w:rFonts w:eastAsia="Arial" w:cs="Arial"/>
          <w:color w:val="000000" w:themeColor="text1"/>
          <w:szCs w:val="22"/>
        </w:rPr>
        <w:lastRenderedPageBreak/>
        <w:t xml:space="preserve">An Oversight Committee </w:t>
      </w:r>
      <w:r w:rsidR="00D8435B">
        <w:rPr>
          <w:rFonts w:eastAsia="Arial" w:cs="Arial"/>
          <w:color w:val="000000" w:themeColor="text1"/>
          <w:szCs w:val="22"/>
        </w:rPr>
        <w:t>(</w:t>
      </w:r>
      <w:r w:rsidR="001F15E7">
        <w:rPr>
          <w:rFonts w:eastAsia="Arial" w:cs="Arial"/>
          <w:color w:val="000000" w:themeColor="text1"/>
          <w:szCs w:val="22"/>
        </w:rPr>
        <w:t xml:space="preserve">refer </w:t>
      </w:r>
      <w:r w:rsidR="005758CE">
        <w:rPr>
          <w:rFonts w:eastAsia="Arial" w:cs="Arial"/>
          <w:color w:val="000000" w:themeColor="text1"/>
          <w:szCs w:val="22"/>
        </w:rPr>
        <w:t>Appendix A</w:t>
      </w:r>
      <w:r w:rsidR="004D2BB8">
        <w:rPr>
          <w:rFonts w:eastAsia="Arial" w:cs="Arial"/>
          <w:color w:val="000000" w:themeColor="text1"/>
          <w:szCs w:val="22"/>
        </w:rPr>
        <w:t xml:space="preserve"> for committee </w:t>
      </w:r>
      <w:r w:rsidR="002931D0">
        <w:rPr>
          <w:rFonts w:eastAsia="Arial" w:cs="Arial"/>
          <w:color w:val="000000" w:themeColor="text1"/>
          <w:szCs w:val="22"/>
        </w:rPr>
        <w:t>member details</w:t>
      </w:r>
      <w:r w:rsidR="006E5108">
        <w:rPr>
          <w:rFonts w:eastAsia="Arial" w:cs="Arial"/>
          <w:color w:val="000000" w:themeColor="text1"/>
          <w:szCs w:val="22"/>
        </w:rPr>
        <w:t xml:space="preserve">) </w:t>
      </w:r>
      <w:r w:rsidR="00F25A27">
        <w:rPr>
          <w:rFonts w:eastAsia="Arial" w:cs="Arial"/>
          <w:color w:val="000000" w:themeColor="text1"/>
          <w:szCs w:val="22"/>
        </w:rPr>
        <w:t xml:space="preserve">monitors </w:t>
      </w:r>
      <w:r w:rsidR="005C1F5C">
        <w:rPr>
          <w:rFonts w:eastAsia="Arial" w:cs="Arial"/>
          <w:color w:val="000000" w:themeColor="text1"/>
          <w:szCs w:val="22"/>
        </w:rPr>
        <w:t xml:space="preserve">the </w:t>
      </w:r>
      <w:r w:rsidR="00AA2AF6">
        <w:rPr>
          <w:rFonts w:eastAsia="Arial" w:cs="Arial"/>
          <w:color w:val="000000" w:themeColor="text1"/>
          <w:szCs w:val="22"/>
        </w:rPr>
        <w:t>IERP implementation</w:t>
      </w:r>
      <w:r>
        <w:rPr>
          <w:rFonts w:eastAsia="Arial" w:cs="Arial"/>
          <w:color w:val="000000" w:themeColor="text1"/>
          <w:szCs w:val="22"/>
        </w:rPr>
        <w:t>, processes</w:t>
      </w:r>
      <w:r w:rsidR="00A32913">
        <w:rPr>
          <w:rFonts w:eastAsia="Arial" w:cs="Arial"/>
          <w:color w:val="000000" w:themeColor="text1"/>
          <w:szCs w:val="22"/>
        </w:rPr>
        <w:t>,</w:t>
      </w:r>
      <w:r>
        <w:rPr>
          <w:rFonts w:eastAsia="Arial" w:cs="Arial"/>
          <w:color w:val="000000" w:themeColor="text1"/>
          <w:szCs w:val="22"/>
        </w:rPr>
        <w:t xml:space="preserve"> and outcomes</w:t>
      </w:r>
      <w:r>
        <w:rPr>
          <w:rStyle w:val="FootnoteReference"/>
          <w:rFonts w:eastAsia="Arial" w:cs="Arial"/>
          <w:color w:val="000000" w:themeColor="text1"/>
          <w:szCs w:val="22"/>
        </w:rPr>
        <w:footnoteReference w:id="14"/>
      </w:r>
      <w:r>
        <w:rPr>
          <w:rFonts w:eastAsia="Arial" w:cs="Arial"/>
          <w:color w:val="000000" w:themeColor="text1"/>
          <w:szCs w:val="22"/>
        </w:rPr>
        <w:t xml:space="preserve">. This includes ensuring its independence from the Agency, </w:t>
      </w:r>
      <w:r w:rsidR="007B5694">
        <w:rPr>
          <w:rFonts w:eastAsia="Arial" w:cs="Arial"/>
          <w:color w:val="000000" w:themeColor="text1"/>
          <w:szCs w:val="22"/>
        </w:rPr>
        <w:t xml:space="preserve">that </w:t>
      </w:r>
      <w:r w:rsidR="00C118DC">
        <w:rPr>
          <w:rFonts w:eastAsia="Arial" w:cs="Arial"/>
          <w:color w:val="000000" w:themeColor="text1"/>
          <w:szCs w:val="22"/>
        </w:rPr>
        <w:t>the IERP</w:t>
      </w:r>
      <w:r w:rsidR="007B5694">
        <w:rPr>
          <w:rFonts w:eastAsia="Arial" w:cs="Arial"/>
          <w:color w:val="000000" w:themeColor="text1"/>
          <w:szCs w:val="22"/>
        </w:rPr>
        <w:t xml:space="preserve"> </w:t>
      </w:r>
      <w:r w:rsidR="00E81B76">
        <w:rPr>
          <w:rFonts w:eastAsia="Arial" w:cs="Arial"/>
          <w:color w:val="000000" w:themeColor="text1"/>
          <w:szCs w:val="22"/>
        </w:rPr>
        <w:t>incorporat</w:t>
      </w:r>
      <w:r w:rsidR="007B5694">
        <w:rPr>
          <w:rFonts w:eastAsia="Arial" w:cs="Arial"/>
          <w:color w:val="000000" w:themeColor="text1"/>
          <w:szCs w:val="22"/>
        </w:rPr>
        <w:t>es</w:t>
      </w:r>
      <w:r>
        <w:rPr>
          <w:rFonts w:eastAsia="Arial" w:cs="Arial"/>
          <w:color w:val="000000" w:themeColor="text1"/>
          <w:szCs w:val="22"/>
        </w:rPr>
        <w:t xml:space="preserve"> disability sector perspectives into </w:t>
      </w:r>
      <w:r w:rsidR="00FF454F">
        <w:rPr>
          <w:rFonts w:eastAsia="Arial" w:cs="Arial"/>
          <w:color w:val="000000" w:themeColor="text1"/>
          <w:szCs w:val="22"/>
        </w:rPr>
        <w:t xml:space="preserve">its model </w:t>
      </w:r>
      <w:r>
        <w:rPr>
          <w:rFonts w:eastAsia="Arial" w:cs="Arial"/>
          <w:color w:val="000000" w:themeColor="text1"/>
          <w:szCs w:val="22"/>
        </w:rPr>
        <w:t xml:space="preserve">and </w:t>
      </w:r>
      <w:r w:rsidR="007B5694">
        <w:rPr>
          <w:rFonts w:eastAsia="Arial" w:cs="Arial"/>
          <w:color w:val="000000" w:themeColor="text1"/>
          <w:szCs w:val="22"/>
        </w:rPr>
        <w:t xml:space="preserve">is </w:t>
      </w:r>
      <w:r>
        <w:rPr>
          <w:rFonts w:eastAsia="Arial" w:cs="Arial"/>
          <w:color w:val="000000" w:themeColor="text1"/>
          <w:szCs w:val="22"/>
        </w:rPr>
        <w:t>transparen</w:t>
      </w:r>
      <w:r w:rsidR="007B5694">
        <w:rPr>
          <w:rFonts w:eastAsia="Arial" w:cs="Arial"/>
          <w:color w:val="000000" w:themeColor="text1"/>
          <w:szCs w:val="22"/>
        </w:rPr>
        <w:t>t</w:t>
      </w:r>
      <w:r>
        <w:rPr>
          <w:rFonts w:eastAsia="Arial" w:cs="Arial"/>
          <w:color w:val="000000" w:themeColor="text1"/>
          <w:szCs w:val="22"/>
        </w:rPr>
        <w:t xml:space="preserve"> on progress and </w:t>
      </w:r>
      <w:r w:rsidRPr="00B85D06">
        <w:rPr>
          <w:rFonts w:eastAsia="Arial" w:cs="Arial"/>
          <w:color w:val="000000" w:themeColor="text1"/>
          <w:szCs w:val="22"/>
        </w:rPr>
        <w:t>outcomes.</w:t>
      </w:r>
      <w:r w:rsidR="00250C7D" w:rsidRPr="00B85D06">
        <w:rPr>
          <w:rFonts w:eastAsia="Arial" w:cs="Arial"/>
          <w:color w:val="000000" w:themeColor="text1"/>
          <w:szCs w:val="22"/>
        </w:rPr>
        <w:t xml:space="preserve"> The </w:t>
      </w:r>
      <w:r w:rsidR="00AA65F7" w:rsidRPr="00B85D06">
        <w:rPr>
          <w:rFonts w:eastAsia="Arial" w:cs="Arial"/>
          <w:color w:val="000000" w:themeColor="text1"/>
          <w:szCs w:val="22"/>
        </w:rPr>
        <w:t xml:space="preserve">Oversight Committee </w:t>
      </w:r>
      <w:r w:rsidR="00937EA8" w:rsidRPr="00B85D06">
        <w:rPr>
          <w:rFonts w:eastAsia="Arial" w:cs="Arial"/>
          <w:color w:val="000000" w:themeColor="text1"/>
          <w:szCs w:val="22"/>
        </w:rPr>
        <w:t xml:space="preserve">also </w:t>
      </w:r>
      <w:r w:rsidR="005577ED" w:rsidRPr="00B85D06">
        <w:rPr>
          <w:rFonts w:eastAsia="Arial" w:cs="Arial"/>
          <w:color w:val="000000" w:themeColor="text1"/>
          <w:szCs w:val="22"/>
        </w:rPr>
        <w:t xml:space="preserve">provided an </w:t>
      </w:r>
      <w:r w:rsidR="00937EA8" w:rsidRPr="00B85D06">
        <w:rPr>
          <w:rFonts w:eastAsia="Arial" w:cs="Arial"/>
          <w:color w:val="000000" w:themeColor="text1"/>
          <w:szCs w:val="22"/>
        </w:rPr>
        <w:t>i</w:t>
      </w:r>
      <w:r w:rsidR="00C815D7" w:rsidRPr="00B85D06">
        <w:rPr>
          <w:rFonts w:eastAsia="Arial" w:cs="Arial"/>
          <w:color w:val="000000" w:themeColor="text1"/>
          <w:szCs w:val="22"/>
        </w:rPr>
        <w:t xml:space="preserve">nterim </w:t>
      </w:r>
      <w:r w:rsidR="00937EA8" w:rsidRPr="00B85D06">
        <w:rPr>
          <w:rFonts w:eastAsia="Arial" w:cs="Arial"/>
          <w:color w:val="000000" w:themeColor="text1"/>
          <w:szCs w:val="22"/>
        </w:rPr>
        <w:t>r</w:t>
      </w:r>
      <w:r w:rsidR="00C815D7" w:rsidRPr="00B85D06">
        <w:rPr>
          <w:rFonts w:eastAsia="Arial" w:cs="Arial"/>
          <w:color w:val="000000" w:themeColor="text1"/>
          <w:szCs w:val="22"/>
        </w:rPr>
        <w:t>eport</w:t>
      </w:r>
      <w:r w:rsidR="000F7334" w:rsidRPr="00B85D06">
        <w:rPr>
          <w:rFonts w:eastAsia="Arial" w:cs="Arial"/>
          <w:color w:val="000000" w:themeColor="text1"/>
          <w:szCs w:val="22"/>
        </w:rPr>
        <w:t xml:space="preserve"> </w:t>
      </w:r>
      <w:r w:rsidR="00DE65BF" w:rsidRPr="00B85D06">
        <w:rPr>
          <w:rFonts w:eastAsia="Arial" w:cs="Arial"/>
          <w:color w:val="000000" w:themeColor="text1"/>
          <w:szCs w:val="22"/>
        </w:rPr>
        <w:t xml:space="preserve">on possible </w:t>
      </w:r>
      <w:r w:rsidR="00E20596" w:rsidRPr="00B85D06">
        <w:rPr>
          <w:rFonts w:eastAsia="Arial" w:cs="Arial"/>
          <w:color w:val="000000" w:themeColor="text1"/>
          <w:szCs w:val="22"/>
        </w:rPr>
        <w:t xml:space="preserve">structural </w:t>
      </w:r>
      <w:r w:rsidR="00714847" w:rsidRPr="00B85D06">
        <w:rPr>
          <w:rFonts w:eastAsia="Arial" w:cs="Arial"/>
          <w:color w:val="000000" w:themeColor="text1"/>
          <w:szCs w:val="22"/>
        </w:rPr>
        <w:t>solutions</w:t>
      </w:r>
      <w:r w:rsidR="00986618" w:rsidRPr="00B85D06">
        <w:rPr>
          <w:rFonts w:eastAsia="Arial" w:cs="Arial"/>
          <w:color w:val="000000" w:themeColor="text1"/>
          <w:szCs w:val="22"/>
        </w:rPr>
        <w:t xml:space="preserve"> to improve </w:t>
      </w:r>
      <w:r w:rsidR="008A0F48" w:rsidRPr="00B85D06">
        <w:rPr>
          <w:rFonts w:eastAsia="Arial" w:cs="Arial"/>
          <w:color w:val="000000" w:themeColor="text1"/>
          <w:szCs w:val="22"/>
        </w:rPr>
        <w:t xml:space="preserve">NDIS </w:t>
      </w:r>
      <w:r w:rsidR="0071474E" w:rsidRPr="00B85D06">
        <w:rPr>
          <w:rFonts w:eastAsia="Arial" w:cs="Arial"/>
          <w:color w:val="000000" w:themeColor="text1"/>
          <w:szCs w:val="22"/>
        </w:rPr>
        <w:t>dispute resolution processes</w:t>
      </w:r>
      <w:r w:rsidR="00714847" w:rsidRPr="00B85D06">
        <w:rPr>
          <w:rFonts w:eastAsia="Arial" w:cs="Arial"/>
          <w:color w:val="000000" w:themeColor="text1"/>
          <w:szCs w:val="22"/>
        </w:rPr>
        <w:t xml:space="preserve"> </w:t>
      </w:r>
      <w:r w:rsidR="0068623C" w:rsidRPr="00B85D06">
        <w:rPr>
          <w:rFonts w:eastAsia="Arial" w:cs="Arial"/>
          <w:color w:val="000000" w:themeColor="text1"/>
          <w:szCs w:val="22"/>
        </w:rPr>
        <w:t xml:space="preserve">based on </w:t>
      </w:r>
      <w:r w:rsidR="00AD37FC" w:rsidRPr="00B85D06">
        <w:rPr>
          <w:rFonts w:eastAsia="Arial" w:cs="Arial"/>
          <w:color w:val="000000" w:themeColor="text1"/>
          <w:szCs w:val="22"/>
        </w:rPr>
        <w:t xml:space="preserve">their early experiences with the </w:t>
      </w:r>
      <w:r w:rsidR="00081F80" w:rsidRPr="00B85D06">
        <w:rPr>
          <w:rFonts w:eastAsia="Arial" w:cs="Arial"/>
          <w:color w:val="000000" w:themeColor="text1"/>
          <w:szCs w:val="22"/>
        </w:rPr>
        <w:t xml:space="preserve">IERP </w:t>
      </w:r>
      <w:r w:rsidR="00E55550" w:rsidRPr="00B85D06">
        <w:rPr>
          <w:rFonts w:eastAsia="Arial" w:cs="Arial"/>
          <w:color w:val="000000" w:themeColor="text1"/>
          <w:szCs w:val="22"/>
        </w:rPr>
        <w:t xml:space="preserve">and broader </w:t>
      </w:r>
      <w:r w:rsidR="00930DC0" w:rsidRPr="00B85D06">
        <w:rPr>
          <w:rFonts w:eastAsia="Arial" w:cs="Arial"/>
          <w:color w:val="000000" w:themeColor="text1"/>
          <w:szCs w:val="22"/>
        </w:rPr>
        <w:t>disability sector consultations</w:t>
      </w:r>
      <w:r w:rsidR="002C0694" w:rsidRPr="00B85D06">
        <w:rPr>
          <w:rStyle w:val="FootnoteReference"/>
          <w:rFonts w:eastAsia="Arial" w:cs="Arial"/>
          <w:color w:val="000000" w:themeColor="text1"/>
          <w:szCs w:val="22"/>
        </w:rPr>
        <w:footnoteReference w:id="15"/>
      </w:r>
      <w:r w:rsidR="00930DC0" w:rsidRPr="00B85D06">
        <w:rPr>
          <w:rFonts w:eastAsia="Arial" w:cs="Arial"/>
          <w:color w:val="000000" w:themeColor="text1"/>
          <w:szCs w:val="22"/>
        </w:rPr>
        <w:t>.</w:t>
      </w:r>
    </w:p>
    <w:p w14:paraId="354D4A74" w14:textId="7F1C4C26" w:rsidR="00780EAF" w:rsidRDefault="00780EAF" w:rsidP="00952E11">
      <w:pPr>
        <w:pStyle w:val="Heading4"/>
      </w:pPr>
      <w:r>
        <w:t>Referrals to the IERP</w:t>
      </w:r>
    </w:p>
    <w:p w14:paraId="712E12BD" w14:textId="240BF3F5" w:rsidR="00780EAF" w:rsidRDefault="00780EAF" w:rsidP="00780EAF">
      <w:r>
        <w:t xml:space="preserve">The Agency initially </w:t>
      </w:r>
      <w:r w:rsidR="0093164F">
        <w:t>estimated</w:t>
      </w:r>
      <w:r>
        <w:t xml:space="preserve"> the IERP would </w:t>
      </w:r>
      <w:r w:rsidR="00FB4F67">
        <w:t xml:space="preserve">resolve </w:t>
      </w:r>
      <w:r w:rsidR="00D94BEA">
        <w:t>up to</w:t>
      </w:r>
      <w:r>
        <w:t xml:space="preserve"> 1,000 referrals by 30 June 2023</w:t>
      </w:r>
      <w:r w:rsidR="00021A9A">
        <w:t>,</w:t>
      </w:r>
      <w:r>
        <w:t xml:space="preserve"> but </w:t>
      </w:r>
      <w:r w:rsidR="00314435">
        <w:t xml:space="preserve">substantially </w:t>
      </w:r>
      <w:r>
        <w:t xml:space="preserve">revised this </w:t>
      </w:r>
      <w:r w:rsidR="00314435">
        <w:t xml:space="preserve">figure </w:t>
      </w:r>
      <w:r>
        <w:t xml:space="preserve">to approximately </w:t>
      </w:r>
      <w:r w:rsidR="00DA35B7">
        <w:t>1</w:t>
      </w:r>
      <w:r w:rsidR="00DA35B7" w:rsidRPr="00DA35B7">
        <w:t>5</w:t>
      </w:r>
      <w:r w:rsidRPr="00DA35B7">
        <w:t>0</w:t>
      </w:r>
      <w:r>
        <w:t xml:space="preserve"> due to two key factors:</w:t>
      </w:r>
    </w:p>
    <w:p w14:paraId="08745E51" w14:textId="77434501" w:rsidR="00AB5C26" w:rsidRDefault="00780EAF" w:rsidP="000705FE">
      <w:pPr>
        <w:pStyle w:val="ListParagraph"/>
        <w:numPr>
          <w:ilvl w:val="0"/>
          <w:numId w:val="16"/>
        </w:numPr>
        <w:spacing w:before="120" w:after="200"/>
        <w:ind w:left="714" w:hanging="357"/>
      </w:pPr>
      <w:r>
        <w:t>The success of other initiatives</w:t>
      </w:r>
      <w:r w:rsidDel="009B57A2">
        <w:t xml:space="preserve"> </w:t>
      </w:r>
      <w:r>
        <w:t xml:space="preserve">such as </w:t>
      </w:r>
      <w:r w:rsidR="00987968">
        <w:t>accelerated</w:t>
      </w:r>
      <w:r>
        <w:t xml:space="preserve"> case</w:t>
      </w:r>
      <w:r w:rsidR="00987968">
        <w:t>load</w:t>
      </w:r>
      <w:r>
        <w:t xml:space="preserve"> reviews </w:t>
      </w:r>
      <w:r w:rsidR="00B27D0C">
        <w:t>of aged matters</w:t>
      </w:r>
      <w:r w:rsidR="00024FB2">
        <w:t xml:space="preserve">, </w:t>
      </w:r>
      <w:r>
        <w:t>and early assessment</w:t>
      </w:r>
      <w:r w:rsidR="00A2677D">
        <w:t xml:space="preserve"> of </w:t>
      </w:r>
      <w:r w:rsidR="002C3565">
        <w:t>new appeals lodged with th</w:t>
      </w:r>
      <w:r w:rsidR="00715D17">
        <w:t>e</w:t>
      </w:r>
      <w:r w:rsidR="002C3565">
        <w:t xml:space="preserve"> AAT</w:t>
      </w:r>
      <w:r>
        <w:t>, which have substantially reduced the backlog of AAT matters. This has resulted in the Agency reserving the IERP for highly complex matters likely to go to hearing at the AAT.</w:t>
      </w:r>
    </w:p>
    <w:p w14:paraId="355B371B" w14:textId="402884B4" w:rsidR="00AB5C26" w:rsidRDefault="00692CEE" w:rsidP="000705FE">
      <w:pPr>
        <w:pStyle w:val="ListParagraph"/>
        <w:numPr>
          <w:ilvl w:val="0"/>
          <w:numId w:val="16"/>
        </w:numPr>
        <w:spacing w:before="120" w:after="200"/>
        <w:ind w:left="714" w:hanging="357"/>
      </w:pPr>
      <w:r>
        <w:t>Sho</w:t>
      </w:r>
      <w:r w:rsidR="00BC78DB">
        <w:t>rt timeframes to commence</w:t>
      </w:r>
      <w:r w:rsidR="00EB516C">
        <w:t xml:space="preserve"> the </w:t>
      </w:r>
      <w:r w:rsidR="00B2169C">
        <w:t>IERP</w:t>
      </w:r>
      <w:r w:rsidR="00EB516C">
        <w:t xml:space="preserve"> </w:t>
      </w:r>
      <w:r w:rsidR="006A25F9">
        <w:t>re</w:t>
      </w:r>
      <w:r w:rsidR="0030209C">
        <w:t xml:space="preserve">sulted </w:t>
      </w:r>
      <w:r w:rsidR="00ED53A6">
        <w:t>i</w:t>
      </w:r>
      <w:r w:rsidR="00762B94">
        <w:t xml:space="preserve">n </w:t>
      </w:r>
      <w:r w:rsidR="007364E6">
        <w:t xml:space="preserve">difficulties </w:t>
      </w:r>
      <w:r w:rsidR="00424C90">
        <w:t xml:space="preserve">in </w:t>
      </w:r>
      <w:r w:rsidR="00460F8F">
        <w:t xml:space="preserve">fully </w:t>
      </w:r>
      <w:r w:rsidR="00985902">
        <w:t>exploring model design options</w:t>
      </w:r>
      <w:r w:rsidR="0092762C">
        <w:t xml:space="preserve">, recruitment </w:t>
      </w:r>
      <w:r w:rsidR="00937027">
        <w:t>and training staff from other branches</w:t>
      </w:r>
      <w:r w:rsidR="00937540">
        <w:t xml:space="preserve">, </w:t>
      </w:r>
      <w:r w:rsidR="00AB5C26">
        <w:t>recruitment of appropriate independent experts, development of a legal funding program to work with participants, establishment of the Oversight Committee and stakeholder engagement in program design</w:t>
      </w:r>
      <w:r w:rsidR="00A1341B">
        <w:t xml:space="preserve"> and processes</w:t>
      </w:r>
      <w:r w:rsidR="00AB5C26">
        <w:t>.</w:t>
      </w:r>
    </w:p>
    <w:p w14:paraId="58195709" w14:textId="35F14333" w:rsidR="00270F61" w:rsidRDefault="00270F61" w:rsidP="00952E11">
      <w:pPr>
        <w:pStyle w:val="Heading4"/>
      </w:pPr>
      <w:bookmarkStart w:id="42" w:name="_Ref142906631"/>
      <w:r>
        <w:t>IERP process</w:t>
      </w:r>
      <w:bookmarkEnd w:id="42"/>
    </w:p>
    <w:p w14:paraId="01AE3D33" w14:textId="006CE285" w:rsidR="00733E41" w:rsidRDefault="00B750D9" w:rsidP="51C7B53D">
      <w:pPr>
        <w:rPr>
          <w:rFonts w:eastAsia="Arial" w:cs="Arial"/>
          <w:color w:val="000000" w:themeColor="text1"/>
          <w:szCs w:val="22"/>
        </w:rPr>
      </w:pPr>
      <w:r>
        <w:rPr>
          <w:rFonts w:eastAsia="Arial" w:cs="Arial"/>
          <w:color w:val="000000" w:themeColor="text1"/>
          <w:szCs w:val="22"/>
        </w:rPr>
        <w:fldChar w:fldCharType="begin"/>
      </w:r>
      <w:r>
        <w:rPr>
          <w:rFonts w:eastAsia="Arial" w:cs="Arial"/>
          <w:color w:val="000000" w:themeColor="text1"/>
          <w:szCs w:val="22"/>
        </w:rPr>
        <w:instrText xml:space="preserve"> REF _Ref137799686 \h </w:instrText>
      </w:r>
      <w:r>
        <w:rPr>
          <w:rFonts w:eastAsia="Arial" w:cs="Arial"/>
          <w:color w:val="000000" w:themeColor="text1"/>
          <w:szCs w:val="22"/>
        </w:rPr>
      </w:r>
      <w:r>
        <w:rPr>
          <w:rFonts w:eastAsia="Arial" w:cs="Arial"/>
          <w:color w:val="000000" w:themeColor="text1"/>
          <w:szCs w:val="22"/>
        </w:rPr>
        <w:fldChar w:fldCharType="separate"/>
      </w:r>
      <w:r w:rsidR="000F1876" w:rsidRPr="00EB3D5D">
        <w:t xml:space="preserve">Figure </w:t>
      </w:r>
      <w:r w:rsidR="000F1876">
        <w:rPr>
          <w:noProof/>
        </w:rPr>
        <w:t>2</w:t>
      </w:r>
      <w:r>
        <w:rPr>
          <w:rFonts w:eastAsia="Arial" w:cs="Arial"/>
          <w:color w:val="000000" w:themeColor="text1"/>
          <w:szCs w:val="22"/>
        </w:rPr>
        <w:fldChar w:fldCharType="end"/>
      </w:r>
      <w:r>
        <w:rPr>
          <w:rFonts w:eastAsia="Arial" w:cs="Arial"/>
          <w:color w:val="000000" w:themeColor="text1"/>
          <w:szCs w:val="22"/>
        </w:rPr>
        <w:t xml:space="preserve"> </w:t>
      </w:r>
      <w:r w:rsidR="00ED0A56">
        <w:rPr>
          <w:rFonts w:eastAsia="Arial" w:cs="Arial"/>
          <w:color w:val="000000" w:themeColor="text1"/>
          <w:szCs w:val="22"/>
        </w:rPr>
        <w:t xml:space="preserve">presents an overview of </w:t>
      </w:r>
      <w:r w:rsidR="005D2F3D">
        <w:rPr>
          <w:rFonts w:eastAsia="Arial" w:cs="Arial"/>
          <w:color w:val="000000" w:themeColor="text1"/>
          <w:szCs w:val="22"/>
        </w:rPr>
        <w:t>the IERP.</w:t>
      </w:r>
      <w:r w:rsidR="002311EA">
        <w:rPr>
          <w:rFonts w:eastAsia="Arial" w:cs="Arial"/>
          <w:color w:val="000000" w:themeColor="text1"/>
          <w:szCs w:val="22"/>
        </w:rPr>
        <w:t xml:space="preserve"> </w:t>
      </w:r>
      <w:r w:rsidR="00733E41">
        <w:rPr>
          <w:rFonts w:eastAsia="Arial" w:cs="Arial"/>
          <w:color w:val="000000" w:themeColor="text1"/>
          <w:szCs w:val="22"/>
        </w:rPr>
        <w:t>In summary:</w:t>
      </w:r>
    </w:p>
    <w:p w14:paraId="6907E4E3" w14:textId="5405D2B5" w:rsidR="51C7B53D" w:rsidRDefault="00733E41" w:rsidP="000705FE">
      <w:pPr>
        <w:pStyle w:val="ListParagraph"/>
        <w:numPr>
          <w:ilvl w:val="0"/>
          <w:numId w:val="15"/>
        </w:numPr>
        <w:spacing w:before="120" w:after="120"/>
        <w:contextualSpacing/>
        <w:rPr>
          <w:rFonts w:eastAsia="Arial" w:cs="Arial"/>
          <w:color w:val="000000" w:themeColor="text1"/>
          <w:szCs w:val="22"/>
        </w:rPr>
      </w:pPr>
      <w:r w:rsidRPr="002E37DB">
        <w:rPr>
          <w:rFonts w:eastAsia="Arial" w:cs="Arial"/>
          <w:color w:val="000000" w:themeColor="text1"/>
          <w:szCs w:val="22"/>
        </w:rPr>
        <w:lastRenderedPageBreak/>
        <w:t>O</w:t>
      </w:r>
      <w:r w:rsidR="002311EA" w:rsidRPr="002E37DB">
        <w:rPr>
          <w:rFonts w:eastAsia="Arial" w:cs="Arial"/>
          <w:color w:val="000000" w:themeColor="text1"/>
          <w:szCs w:val="22"/>
        </w:rPr>
        <w:t>nce</w:t>
      </w:r>
      <w:r w:rsidR="002311EA" w:rsidRPr="000B5C24">
        <w:rPr>
          <w:rFonts w:eastAsia="Arial" w:cs="Arial"/>
          <w:color w:val="000000" w:themeColor="text1"/>
          <w:szCs w:val="22"/>
        </w:rPr>
        <w:t xml:space="preserve"> an eligible participant accepts </w:t>
      </w:r>
      <w:r w:rsidR="00FF454F">
        <w:rPr>
          <w:rFonts w:eastAsia="Arial" w:cs="Arial"/>
          <w:color w:val="000000" w:themeColor="text1"/>
          <w:szCs w:val="22"/>
        </w:rPr>
        <w:t xml:space="preserve">an </w:t>
      </w:r>
      <w:r w:rsidR="002311EA" w:rsidRPr="000B5C24">
        <w:rPr>
          <w:rFonts w:eastAsia="Arial" w:cs="Arial"/>
          <w:color w:val="000000" w:themeColor="text1"/>
          <w:szCs w:val="22"/>
        </w:rPr>
        <w:t xml:space="preserve">invitation to enter the program, the Agency </w:t>
      </w:r>
      <w:r w:rsidR="008C6666">
        <w:rPr>
          <w:rFonts w:eastAsia="Arial" w:cs="Arial"/>
          <w:color w:val="000000" w:themeColor="text1"/>
          <w:szCs w:val="22"/>
        </w:rPr>
        <w:t>appoints</w:t>
      </w:r>
      <w:r w:rsidR="002311EA" w:rsidRPr="000B5C24">
        <w:rPr>
          <w:rFonts w:eastAsia="Arial" w:cs="Arial"/>
          <w:color w:val="000000" w:themeColor="text1"/>
          <w:szCs w:val="22"/>
        </w:rPr>
        <w:t xml:space="preserve"> </w:t>
      </w:r>
      <w:r w:rsidR="006C4EA7" w:rsidRPr="000B5C24">
        <w:rPr>
          <w:rFonts w:eastAsia="Arial" w:cs="Arial"/>
          <w:color w:val="000000" w:themeColor="text1"/>
          <w:szCs w:val="22"/>
        </w:rPr>
        <w:t xml:space="preserve">an independent expert to review the matter and </w:t>
      </w:r>
      <w:r>
        <w:rPr>
          <w:rFonts w:eastAsia="Arial" w:cs="Arial"/>
          <w:color w:val="000000" w:themeColor="text1"/>
          <w:szCs w:val="22"/>
        </w:rPr>
        <w:t>prepares the referral materials</w:t>
      </w:r>
      <w:r w:rsidR="002E4A7D">
        <w:rPr>
          <w:rFonts w:eastAsia="Arial" w:cs="Arial"/>
          <w:color w:val="000000" w:themeColor="text1"/>
          <w:szCs w:val="22"/>
        </w:rPr>
        <w:t xml:space="preserve"> </w:t>
      </w:r>
      <w:r w:rsidR="002E4A7D" w:rsidRPr="002E37DB">
        <w:rPr>
          <w:rFonts w:eastAsia="Arial" w:cs="Arial"/>
          <w:b/>
          <w:color w:val="000000" w:themeColor="text1"/>
          <w:szCs w:val="22"/>
        </w:rPr>
        <w:t>(Steps 1 and 2)</w:t>
      </w:r>
      <w:r>
        <w:rPr>
          <w:rFonts w:eastAsia="Arial" w:cs="Arial"/>
          <w:color w:val="000000" w:themeColor="text1"/>
          <w:szCs w:val="22"/>
        </w:rPr>
        <w:t>. This includes:</w:t>
      </w:r>
    </w:p>
    <w:p w14:paraId="7F8BFAEC" w14:textId="152B8BC1" w:rsidR="00733E41" w:rsidRDefault="00733E41" w:rsidP="000705FE">
      <w:pPr>
        <w:pStyle w:val="ListParagraph"/>
        <w:numPr>
          <w:ilvl w:val="1"/>
          <w:numId w:val="15"/>
        </w:numPr>
        <w:spacing w:before="120" w:after="120"/>
        <w:contextualSpacing/>
      </w:pPr>
      <w:r>
        <w:t>a summary of the matters to be considered and t</w:t>
      </w:r>
      <w:r w:rsidRPr="00B346E3">
        <w:t>he Agenc</w:t>
      </w:r>
      <w:r>
        <w:t>y’s</w:t>
      </w:r>
      <w:r w:rsidRPr="00B346E3">
        <w:t xml:space="preserve"> position</w:t>
      </w:r>
    </w:p>
    <w:p w14:paraId="382623A6" w14:textId="03A8DB6C" w:rsidR="00733E41" w:rsidRDefault="00733E41" w:rsidP="000705FE">
      <w:pPr>
        <w:pStyle w:val="ListParagraph"/>
        <w:numPr>
          <w:ilvl w:val="1"/>
          <w:numId w:val="15"/>
        </w:numPr>
        <w:spacing w:before="120" w:after="120"/>
        <w:contextualSpacing/>
      </w:pPr>
      <w:r>
        <w:t>i</w:t>
      </w:r>
      <w:r w:rsidRPr="00B346E3">
        <w:t xml:space="preserve">nformation on the </w:t>
      </w:r>
      <w:r>
        <w:t>p</w:t>
      </w:r>
      <w:r w:rsidRPr="00B346E3">
        <w:t>articipant</w:t>
      </w:r>
      <w:r>
        <w:t>’</w:t>
      </w:r>
      <w:r w:rsidRPr="00B346E3">
        <w:t>s plan</w:t>
      </w:r>
    </w:p>
    <w:p w14:paraId="2A327125" w14:textId="67B1739B" w:rsidR="00733E41" w:rsidRDefault="00733E41" w:rsidP="000705FE">
      <w:pPr>
        <w:pStyle w:val="ListParagraph"/>
        <w:numPr>
          <w:ilvl w:val="1"/>
          <w:numId w:val="15"/>
        </w:numPr>
        <w:spacing w:before="120" w:after="120"/>
        <w:contextualSpacing/>
      </w:pPr>
      <w:r>
        <w:t>tribunal (T)</w:t>
      </w:r>
      <w:r w:rsidRPr="00E93A81">
        <w:t>-</w:t>
      </w:r>
      <w:r>
        <w:t>d</w:t>
      </w:r>
      <w:r w:rsidRPr="00E93A81">
        <w:t>ocuments</w:t>
      </w:r>
      <w:r>
        <w:t xml:space="preserve"> (</w:t>
      </w:r>
      <w:r w:rsidR="003E3897">
        <w:t>i.e.,</w:t>
      </w:r>
      <w:r>
        <w:t xml:space="preserve"> evidence </w:t>
      </w:r>
      <w:r w:rsidR="00067F62">
        <w:t xml:space="preserve">provided </w:t>
      </w:r>
      <w:r w:rsidR="000E7F51">
        <w:t xml:space="preserve">to </w:t>
      </w:r>
      <w:r>
        <w:t>the AAT</w:t>
      </w:r>
      <w:r w:rsidR="000E7F51">
        <w:t xml:space="preserve"> relating to the internal review decision</w:t>
      </w:r>
      <w:r>
        <w:t>)</w:t>
      </w:r>
    </w:p>
    <w:p w14:paraId="6C2B6A1C" w14:textId="763DF92E" w:rsidR="00733E41" w:rsidRPr="00170D0B" w:rsidRDefault="00733E41" w:rsidP="000705FE">
      <w:pPr>
        <w:pStyle w:val="ListParagraph"/>
        <w:numPr>
          <w:ilvl w:val="1"/>
          <w:numId w:val="15"/>
        </w:numPr>
        <w:spacing w:before="120" w:after="120"/>
        <w:contextualSpacing/>
      </w:pPr>
      <w:r>
        <w:t>supplementary (</w:t>
      </w:r>
      <w:r w:rsidRPr="009431B4">
        <w:t>S</w:t>
      </w:r>
      <w:r>
        <w:t>)</w:t>
      </w:r>
      <w:r w:rsidRPr="009431B4">
        <w:t>-</w:t>
      </w:r>
      <w:r>
        <w:t>d</w:t>
      </w:r>
      <w:r w:rsidRPr="009431B4">
        <w:t>ocuments</w:t>
      </w:r>
      <w:r>
        <w:t xml:space="preserve"> (</w:t>
      </w:r>
      <w:r w:rsidR="003E3897">
        <w:t>i.e.,</w:t>
      </w:r>
      <w:r w:rsidRPr="009431B4">
        <w:t xml:space="preserve"> </w:t>
      </w:r>
      <w:r>
        <w:t>a</w:t>
      </w:r>
      <w:r w:rsidRPr="004D5860">
        <w:t xml:space="preserve">ll other evidence </w:t>
      </w:r>
      <w:r>
        <w:t>the p</w:t>
      </w:r>
      <w:r w:rsidRPr="004D5860">
        <w:t xml:space="preserve">articipant </w:t>
      </w:r>
      <w:r>
        <w:t xml:space="preserve">provides </w:t>
      </w:r>
      <w:r w:rsidRPr="004D5860">
        <w:t xml:space="preserve">the </w:t>
      </w:r>
      <w:r w:rsidR="000320D5">
        <w:t>AAT</w:t>
      </w:r>
      <w:r w:rsidRPr="004D5860">
        <w:t xml:space="preserve"> and all documents obtained by </w:t>
      </w:r>
      <w:r w:rsidR="00201493">
        <w:t xml:space="preserve">the </w:t>
      </w:r>
      <w:r w:rsidRPr="004D5860">
        <w:t>Agency relevant to issues for review</w:t>
      </w:r>
      <w:r w:rsidR="00201493">
        <w:t>,</w:t>
      </w:r>
      <w:r w:rsidRPr="004D5860">
        <w:t xml:space="preserve"> </w:t>
      </w:r>
      <w:r w:rsidR="00ED36BF">
        <w:t xml:space="preserve">such as </w:t>
      </w:r>
      <w:r w:rsidRPr="004D5860">
        <w:t>summons documents</w:t>
      </w:r>
      <w:r w:rsidR="008F3616">
        <w:t xml:space="preserve">, </w:t>
      </w:r>
      <w:r w:rsidRPr="004D5860">
        <w:t>expert reports</w:t>
      </w:r>
      <w:r w:rsidR="00552D9C">
        <w:t xml:space="preserve"> and any submissions </w:t>
      </w:r>
      <w:r w:rsidR="008F7EEC">
        <w:t>provided to the AAT</w:t>
      </w:r>
      <w:r w:rsidRPr="004D5860">
        <w:t>)</w:t>
      </w:r>
    </w:p>
    <w:p w14:paraId="5892B3EC" w14:textId="459B8856" w:rsidR="00733E41" w:rsidRPr="00E11030" w:rsidRDefault="00733E41" w:rsidP="000705FE">
      <w:pPr>
        <w:pStyle w:val="ListParagraph"/>
        <w:numPr>
          <w:ilvl w:val="1"/>
          <w:numId w:val="15"/>
        </w:numPr>
        <w:spacing w:before="120" w:after="120"/>
        <w:ind w:left="1434" w:hanging="357"/>
      </w:pPr>
      <w:r w:rsidRPr="00E11030">
        <w:t>IER</w:t>
      </w:r>
      <w:r w:rsidR="00DD2394">
        <w:t>P</w:t>
      </w:r>
      <w:r w:rsidRPr="00E11030">
        <w:t xml:space="preserve"> Agreement</w:t>
      </w:r>
      <w:r w:rsidR="002E4A7D">
        <w:t>.</w:t>
      </w:r>
    </w:p>
    <w:p w14:paraId="71308E9D" w14:textId="2D359AF3" w:rsidR="002E4A7D" w:rsidRDefault="002E4A7D" w:rsidP="000705FE">
      <w:pPr>
        <w:pStyle w:val="ListParagraph"/>
        <w:numPr>
          <w:ilvl w:val="0"/>
          <w:numId w:val="15"/>
        </w:numPr>
        <w:spacing w:before="120" w:after="120"/>
        <w:ind w:left="714" w:hanging="357"/>
        <w:rPr>
          <w:rFonts w:eastAsia="Arial" w:cs="Arial"/>
          <w:color w:val="000000" w:themeColor="text1"/>
          <w:szCs w:val="22"/>
        </w:rPr>
      </w:pPr>
      <w:r>
        <w:rPr>
          <w:rFonts w:eastAsia="Arial" w:cs="Arial"/>
          <w:color w:val="000000" w:themeColor="text1"/>
          <w:szCs w:val="22"/>
        </w:rPr>
        <w:t xml:space="preserve">The independent expert reviews all materials </w:t>
      </w:r>
      <w:r w:rsidRPr="002E4A7D">
        <w:rPr>
          <w:rFonts w:eastAsia="Arial" w:cs="Arial"/>
          <w:color w:val="000000" w:themeColor="text1"/>
          <w:szCs w:val="22"/>
        </w:rPr>
        <w:t xml:space="preserve">and then uses their independent, professional judgement to provide a non-binding, confidential, written recommendation on the appropriate outcome of issues </w:t>
      </w:r>
      <w:r w:rsidR="00A95ABF">
        <w:rPr>
          <w:rFonts w:eastAsia="Arial" w:cs="Arial"/>
          <w:color w:val="000000" w:themeColor="text1"/>
          <w:szCs w:val="22"/>
        </w:rPr>
        <w:t xml:space="preserve">within the legislative framework. </w:t>
      </w:r>
      <w:r>
        <w:rPr>
          <w:rFonts w:eastAsia="Arial" w:cs="Arial"/>
          <w:color w:val="000000" w:themeColor="text1"/>
          <w:szCs w:val="22"/>
        </w:rPr>
        <w:t>The independent expert may</w:t>
      </w:r>
      <w:r w:rsidRPr="002E4A7D">
        <w:rPr>
          <w:rFonts w:eastAsia="Arial" w:cs="Arial"/>
          <w:color w:val="000000" w:themeColor="text1"/>
          <w:szCs w:val="22"/>
        </w:rPr>
        <w:t xml:space="preserve"> seek clarification </w:t>
      </w:r>
      <w:r>
        <w:rPr>
          <w:rFonts w:eastAsia="Arial" w:cs="Arial"/>
          <w:color w:val="000000" w:themeColor="text1"/>
          <w:szCs w:val="22"/>
        </w:rPr>
        <w:t xml:space="preserve">from the participants and Agency as </w:t>
      </w:r>
      <w:r w:rsidR="007E3582">
        <w:rPr>
          <w:rFonts w:eastAsia="Arial" w:cs="Arial"/>
          <w:color w:val="000000" w:themeColor="text1"/>
          <w:szCs w:val="22"/>
        </w:rPr>
        <w:t xml:space="preserve">necessary </w:t>
      </w:r>
      <w:r w:rsidR="007E3582" w:rsidRPr="002E37DB">
        <w:rPr>
          <w:rFonts w:eastAsia="Arial" w:cs="Arial"/>
          <w:b/>
          <w:color w:val="000000" w:themeColor="text1"/>
          <w:szCs w:val="22"/>
        </w:rPr>
        <w:t>(Step</w:t>
      </w:r>
      <w:r w:rsidR="00C12BFF" w:rsidRPr="002E37DB">
        <w:rPr>
          <w:rFonts w:eastAsia="Arial" w:cs="Arial"/>
          <w:b/>
          <w:color w:val="000000" w:themeColor="text1"/>
          <w:szCs w:val="22"/>
        </w:rPr>
        <w:t>s</w:t>
      </w:r>
      <w:r w:rsidR="007E3582" w:rsidRPr="002E37DB">
        <w:rPr>
          <w:rFonts w:eastAsia="Arial" w:cs="Arial"/>
          <w:b/>
          <w:color w:val="000000" w:themeColor="text1"/>
          <w:szCs w:val="22"/>
        </w:rPr>
        <w:t xml:space="preserve"> 3</w:t>
      </w:r>
      <w:r w:rsidR="00C12BFF" w:rsidRPr="002E37DB">
        <w:rPr>
          <w:rFonts w:eastAsia="Arial" w:cs="Arial"/>
          <w:b/>
          <w:color w:val="000000" w:themeColor="text1"/>
          <w:szCs w:val="22"/>
        </w:rPr>
        <w:t xml:space="preserve"> and 4</w:t>
      </w:r>
      <w:r w:rsidR="007E3582" w:rsidRPr="002E37DB">
        <w:rPr>
          <w:rFonts w:eastAsia="Arial" w:cs="Arial"/>
          <w:b/>
          <w:color w:val="000000" w:themeColor="text1"/>
          <w:szCs w:val="22"/>
        </w:rPr>
        <w:t>)</w:t>
      </w:r>
      <w:r w:rsidR="007E3582">
        <w:rPr>
          <w:rFonts w:eastAsia="Arial" w:cs="Arial"/>
          <w:color w:val="000000" w:themeColor="text1"/>
          <w:szCs w:val="22"/>
        </w:rPr>
        <w:t>.</w:t>
      </w:r>
    </w:p>
    <w:p w14:paraId="6A54C717" w14:textId="04441B24" w:rsidR="007E3582" w:rsidRPr="007E3582" w:rsidRDefault="007E3582" w:rsidP="000705FE">
      <w:pPr>
        <w:pStyle w:val="ListParagraph"/>
        <w:numPr>
          <w:ilvl w:val="0"/>
          <w:numId w:val="15"/>
        </w:numPr>
        <w:spacing w:before="120"/>
        <w:rPr>
          <w:rFonts w:eastAsia="Arial" w:cs="Arial"/>
          <w:color w:val="000000" w:themeColor="text1"/>
          <w:szCs w:val="22"/>
        </w:rPr>
      </w:pPr>
      <w:r>
        <w:rPr>
          <w:rFonts w:eastAsia="Arial" w:cs="Arial"/>
          <w:color w:val="000000" w:themeColor="text1"/>
          <w:szCs w:val="22"/>
        </w:rPr>
        <w:t xml:space="preserve">The participant and Agency </w:t>
      </w:r>
      <w:r w:rsidR="005A0982">
        <w:rPr>
          <w:rFonts w:eastAsia="Arial" w:cs="Arial"/>
          <w:color w:val="000000" w:themeColor="text1"/>
          <w:szCs w:val="22"/>
        </w:rPr>
        <w:t>decide</w:t>
      </w:r>
      <w:r w:rsidR="00A95ABF">
        <w:rPr>
          <w:rFonts w:eastAsia="Arial" w:cs="Arial"/>
          <w:color w:val="000000" w:themeColor="text1"/>
          <w:szCs w:val="22"/>
        </w:rPr>
        <w:t xml:space="preserve"> </w:t>
      </w:r>
      <w:r>
        <w:rPr>
          <w:rFonts w:eastAsia="Arial" w:cs="Arial"/>
          <w:color w:val="000000" w:themeColor="text1"/>
          <w:szCs w:val="22"/>
        </w:rPr>
        <w:t>whether to accept the independent expert’s recommendation/</w:t>
      </w:r>
      <w:r w:rsidRPr="007E3582">
        <w:rPr>
          <w:rFonts w:eastAsia="Arial" w:cs="Arial"/>
          <w:color w:val="000000" w:themeColor="text1"/>
          <w:szCs w:val="22"/>
        </w:rPr>
        <w:t>s</w:t>
      </w:r>
      <w:r w:rsidR="009441B9">
        <w:rPr>
          <w:rFonts w:eastAsia="Arial" w:cs="Arial"/>
          <w:color w:val="000000" w:themeColor="text1"/>
          <w:szCs w:val="22"/>
        </w:rPr>
        <w:t xml:space="preserve"> </w:t>
      </w:r>
      <w:r w:rsidR="009441B9" w:rsidRPr="002E37DB">
        <w:rPr>
          <w:rFonts w:eastAsia="Arial" w:cs="Arial"/>
          <w:b/>
          <w:color w:val="000000" w:themeColor="text1"/>
          <w:szCs w:val="22"/>
        </w:rPr>
        <w:t>(Step 5)</w:t>
      </w:r>
      <w:r>
        <w:rPr>
          <w:rFonts w:eastAsia="Arial" w:cs="Arial"/>
          <w:color w:val="000000" w:themeColor="text1"/>
          <w:szCs w:val="22"/>
        </w:rPr>
        <w:t xml:space="preserve">. During the </w:t>
      </w:r>
      <w:r w:rsidR="00282F6A">
        <w:rPr>
          <w:rFonts w:eastAsia="Arial" w:cs="Arial"/>
          <w:color w:val="000000" w:themeColor="text1"/>
          <w:szCs w:val="22"/>
        </w:rPr>
        <w:t xml:space="preserve">IERP pilot phase, the Agency committed to accepting the independent </w:t>
      </w:r>
      <w:r w:rsidR="00C12BFF">
        <w:rPr>
          <w:rFonts w:eastAsia="Arial" w:cs="Arial"/>
          <w:color w:val="000000" w:themeColor="text1"/>
          <w:szCs w:val="22"/>
        </w:rPr>
        <w:t>expert’s</w:t>
      </w:r>
      <w:r w:rsidR="00282F6A">
        <w:rPr>
          <w:rFonts w:eastAsia="Arial" w:cs="Arial"/>
          <w:color w:val="000000" w:themeColor="text1"/>
          <w:szCs w:val="22"/>
        </w:rPr>
        <w:t xml:space="preserve"> recommendation/s unless they</w:t>
      </w:r>
      <w:r w:rsidR="0025105C">
        <w:rPr>
          <w:rFonts w:eastAsia="Arial" w:cs="Arial"/>
          <w:color w:val="000000" w:themeColor="text1"/>
          <w:szCs w:val="22"/>
        </w:rPr>
        <w:t>:</w:t>
      </w:r>
    </w:p>
    <w:p w14:paraId="5A35C408" w14:textId="2FBD4CCE" w:rsidR="006D4A74" w:rsidRPr="00B85D06" w:rsidRDefault="009F2BDA" w:rsidP="000705FE">
      <w:pPr>
        <w:pStyle w:val="ListParagraph"/>
        <w:numPr>
          <w:ilvl w:val="1"/>
          <w:numId w:val="15"/>
        </w:numPr>
        <w:spacing w:before="120"/>
        <w:ind w:left="1434" w:hanging="357"/>
        <w:contextualSpacing/>
        <w:rPr>
          <w:rFonts w:eastAsia="Arial" w:cs="Arial"/>
          <w:color w:val="000000" w:themeColor="text1"/>
          <w:szCs w:val="22"/>
        </w:rPr>
      </w:pPr>
      <w:r w:rsidRPr="00B85D06">
        <w:rPr>
          <w:rFonts w:eastAsia="Arial" w:cs="Arial"/>
          <w:color w:val="000000" w:themeColor="text1"/>
          <w:szCs w:val="22"/>
        </w:rPr>
        <w:t>w</w:t>
      </w:r>
      <w:r w:rsidR="00A95ABF" w:rsidRPr="00B85D06">
        <w:rPr>
          <w:rFonts w:eastAsia="Arial" w:cs="Arial"/>
          <w:color w:val="000000" w:themeColor="text1"/>
          <w:szCs w:val="22"/>
        </w:rPr>
        <w:t xml:space="preserve">ere </w:t>
      </w:r>
      <w:r w:rsidR="007E3582" w:rsidRPr="00B85D06">
        <w:rPr>
          <w:rFonts w:eastAsia="Arial" w:cs="Arial"/>
          <w:color w:val="000000" w:themeColor="text1"/>
          <w:szCs w:val="22"/>
        </w:rPr>
        <w:t>unlawful</w:t>
      </w:r>
      <w:r w:rsidR="006D4A74" w:rsidRPr="00B85D06">
        <w:rPr>
          <w:rFonts w:eastAsia="Arial" w:cs="Arial"/>
          <w:color w:val="000000" w:themeColor="text1"/>
          <w:szCs w:val="22"/>
        </w:rPr>
        <w:t>,</w:t>
      </w:r>
      <w:r w:rsidR="00C83D85" w:rsidRPr="00B85D06">
        <w:rPr>
          <w:rFonts w:eastAsia="Arial" w:cs="Arial"/>
          <w:color w:val="000000" w:themeColor="text1"/>
          <w:szCs w:val="22"/>
        </w:rPr>
        <w:t xml:space="preserve"> </w:t>
      </w:r>
      <w:r w:rsidR="006D4A74" w:rsidRPr="00B85D06">
        <w:rPr>
          <w:rFonts w:eastAsia="Arial" w:cs="Arial"/>
          <w:color w:val="000000" w:themeColor="text1"/>
          <w:szCs w:val="22"/>
        </w:rPr>
        <w:t>such as where it is outside the power of the Agency to provide a support recommended or make a decision as recommended</w:t>
      </w:r>
      <w:r w:rsidR="00360724" w:rsidRPr="00B85D06">
        <w:rPr>
          <w:rFonts w:eastAsia="Arial" w:cs="Arial"/>
          <w:color w:val="000000" w:themeColor="text1"/>
          <w:szCs w:val="22"/>
        </w:rPr>
        <w:t>,</w:t>
      </w:r>
      <w:r w:rsidR="006D4A74" w:rsidRPr="00B85D06">
        <w:rPr>
          <w:rFonts w:eastAsia="Arial" w:cs="Arial"/>
          <w:color w:val="000000" w:themeColor="text1"/>
          <w:szCs w:val="22"/>
        </w:rPr>
        <w:t xml:space="preserve"> </w:t>
      </w:r>
    </w:p>
    <w:p w14:paraId="4250431B" w14:textId="1827E648" w:rsidR="007E3582" w:rsidRPr="00B85D06" w:rsidRDefault="007E3582" w:rsidP="000705FE">
      <w:pPr>
        <w:pStyle w:val="ListParagraph"/>
        <w:numPr>
          <w:ilvl w:val="1"/>
          <w:numId w:val="15"/>
        </w:numPr>
        <w:spacing w:before="120" w:after="120"/>
        <w:ind w:left="1434" w:hanging="357"/>
        <w:contextualSpacing/>
        <w:rPr>
          <w:rFonts w:eastAsia="Arial" w:cs="Arial"/>
          <w:color w:val="000000" w:themeColor="text1"/>
          <w:szCs w:val="22"/>
        </w:rPr>
      </w:pPr>
      <w:r w:rsidRPr="00B85D06">
        <w:rPr>
          <w:rFonts w:eastAsia="Arial" w:cs="Arial"/>
          <w:color w:val="000000" w:themeColor="text1"/>
          <w:szCs w:val="22"/>
        </w:rPr>
        <w:t>contain</w:t>
      </w:r>
      <w:r w:rsidR="00A95ABF" w:rsidRPr="00B85D06">
        <w:rPr>
          <w:rFonts w:eastAsia="Arial" w:cs="Arial"/>
          <w:color w:val="000000" w:themeColor="text1"/>
          <w:szCs w:val="22"/>
        </w:rPr>
        <w:t>ed</w:t>
      </w:r>
      <w:r w:rsidRPr="00B85D06">
        <w:rPr>
          <w:rFonts w:eastAsia="Arial" w:cs="Arial"/>
          <w:color w:val="000000" w:themeColor="text1"/>
          <w:szCs w:val="22"/>
        </w:rPr>
        <w:t xml:space="preserve"> a significant </w:t>
      </w:r>
      <w:r w:rsidR="00262BAD" w:rsidRPr="00B85D06">
        <w:rPr>
          <w:rFonts w:eastAsia="Arial" w:cs="Arial"/>
          <w:color w:val="000000" w:themeColor="text1"/>
          <w:szCs w:val="22"/>
        </w:rPr>
        <w:t xml:space="preserve">or material </w:t>
      </w:r>
      <w:r w:rsidRPr="00B85D06">
        <w:rPr>
          <w:rFonts w:eastAsia="Arial" w:cs="Arial"/>
          <w:color w:val="000000" w:themeColor="text1"/>
          <w:szCs w:val="22"/>
        </w:rPr>
        <w:t>error of fact</w:t>
      </w:r>
      <w:r w:rsidR="00473BFF" w:rsidRPr="00B85D06">
        <w:rPr>
          <w:rFonts w:eastAsia="Arial" w:cs="Arial"/>
          <w:color w:val="000000" w:themeColor="text1"/>
          <w:szCs w:val="22"/>
        </w:rPr>
        <w:t xml:space="preserve"> or law</w:t>
      </w:r>
      <w:r w:rsidR="00360724" w:rsidRPr="00B85D06">
        <w:rPr>
          <w:rFonts w:eastAsia="Arial" w:cs="Arial"/>
          <w:color w:val="000000" w:themeColor="text1"/>
          <w:szCs w:val="22"/>
        </w:rPr>
        <w:t>, or</w:t>
      </w:r>
    </w:p>
    <w:p w14:paraId="1C2B3F0C" w14:textId="362039C1" w:rsidR="007E3582" w:rsidRPr="00B85D06" w:rsidRDefault="00A95ABF" w:rsidP="000705FE">
      <w:pPr>
        <w:pStyle w:val="ListParagraph"/>
        <w:numPr>
          <w:ilvl w:val="1"/>
          <w:numId w:val="15"/>
        </w:numPr>
        <w:spacing w:before="120" w:after="120"/>
        <w:ind w:left="1434" w:hanging="357"/>
        <w:rPr>
          <w:rFonts w:eastAsia="Arial" w:cs="Arial"/>
          <w:color w:val="000000" w:themeColor="text1"/>
          <w:szCs w:val="22"/>
        </w:rPr>
      </w:pPr>
      <w:r w:rsidRPr="00B85D06">
        <w:rPr>
          <w:rFonts w:eastAsia="Arial" w:cs="Arial"/>
          <w:color w:val="000000" w:themeColor="text1"/>
          <w:szCs w:val="22"/>
        </w:rPr>
        <w:t xml:space="preserve">were </w:t>
      </w:r>
      <w:r w:rsidR="007E3582" w:rsidRPr="00B85D06">
        <w:rPr>
          <w:rFonts w:eastAsia="Arial" w:cs="Arial"/>
          <w:color w:val="000000" w:themeColor="text1"/>
          <w:szCs w:val="22"/>
        </w:rPr>
        <w:t xml:space="preserve">inconsistent with </w:t>
      </w:r>
      <w:r w:rsidR="008A044B" w:rsidRPr="00B85D06">
        <w:rPr>
          <w:rFonts w:eastAsia="Arial" w:cs="Arial"/>
          <w:color w:val="000000" w:themeColor="text1"/>
          <w:szCs w:val="22"/>
        </w:rPr>
        <w:t xml:space="preserve">the Agency’s </w:t>
      </w:r>
      <w:r w:rsidR="00703052" w:rsidRPr="00B85D06">
        <w:rPr>
          <w:rFonts w:eastAsia="Arial" w:cs="Arial"/>
          <w:color w:val="000000" w:themeColor="text1"/>
          <w:szCs w:val="22"/>
        </w:rPr>
        <w:t>OGs</w:t>
      </w:r>
      <w:r w:rsidR="007E3582" w:rsidRPr="00B85D06">
        <w:rPr>
          <w:rFonts w:eastAsia="Arial" w:cs="Arial"/>
          <w:color w:val="000000" w:themeColor="text1"/>
          <w:szCs w:val="22"/>
        </w:rPr>
        <w:t xml:space="preserve"> and </w:t>
      </w:r>
      <w:r w:rsidR="001826A6" w:rsidRPr="00B85D06">
        <w:rPr>
          <w:rFonts w:eastAsia="Arial" w:cs="Arial"/>
          <w:color w:val="000000" w:themeColor="text1"/>
          <w:szCs w:val="22"/>
        </w:rPr>
        <w:t xml:space="preserve">cannot be </w:t>
      </w:r>
      <w:r w:rsidR="00FF343E" w:rsidRPr="00B85D06">
        <w:rPr>
          <w:rFonts w:eastAsia="Arial" w:cs="Arial"/>
          <w:color w:val="000000" w:themeColor="text1"/>
          <w:szCs w:val="22"/>
        </w:rPr>
        <w:t>reconciled as an appropriate</w:t>
      </w:r>
      <w:r w:rsidR="007E3582" w:rsidRPr="00B85D06">
        <w:rPr>
          <w:rFonts w:eastAsia="Arial" w:cs="Arial"/>
          <w:color w:val="000000" w:themeColor="text1"/>
          <w:szCs w:val="22"/>
        </w:rPr>
        <w:t xml:space="preserve"> exception. </w:t>
      </w:r>
    </w:p>
    <w:p w14:paraId="2C36C1C3" w14:textId="4DBA1D3D" w:rsidR="007E3582" w:rsidRPr="002E37DB" w:rsidRDefault="007E3582" w:rsidP="000705FE">
      <w:pPr>
        <w:pStyle w:val="ListParagraph"/>
        <w:numPr>
          <w:ilvl w:val="0"/>
          <w:numId w:val="15"/>
        </w:numPr>
        <w:spacing w:before="120" w:after="120"/>
        <w:ind w:left="714" w:hanging="357"/>
        <w:rPr>
          <w:rFonts w:eastAsia="Arial" w:cs="Arial"/>
          <w:color w:val="000000" w:themeColor="text1"/>
          <w:szCs w:val="22"/>
        </w:rPr>
      </w:pPr>
      <w:r w:rsidRPr="00B85D06">
        <w:rPr>
          <w:rFonts w:eastAsia="Arial" w:cs="Arial"/>
          <w:color w:val="000000" w:themeColor="text1"/>
          <w:szCs w:val="22"/>
        </w:rPr>
        <w:t xml:space="preserve">When both </w:t>
      </w:r>
      <w:r w:rsidR="005535B9" w:rsidRPr="00B85D06">
        <w:rPr>
          <w:rFonts w:eastAsia="Arial" w:cs="Arial"/>
          <w:color w:val="000000" w:themeColor="text1"/>
          <w:szCs w:val="22"/>
        </w:rPr>
        <w:t>the participant and Agency</w:t>
      </w:r>
      <w:r w:rsidRPr="00B85D06">
        <w:rPr>
          <w:rFonts w:eastAsia="Arial" w:cs="Arial"/>
          <w:color w:val="000000" w:themeColor="text1"/>
          <w:szCs w:val="22"/>
        </w:rPr>
        <w:t xml:space="preserve"> accept the recommendation</w:t>
      </w:r>
      <w:r w:rsidR="003002CA" w:rsidRPr="00B85D06">
        <w:rPr>
          <w:rFonts w:eastAsia="Arial" w:cs="Arial"/>
          <w:color w:val="000000" w:themeColor="text1"/>
          <w:szCs w:val="22"/>
        </w:rPr>
        <w:t>/</w:t>
      </w:r>
      <w:r w:rsidRPr="00B85D06">
        <w:rPr>
          <w:rFonts w:eastAsia="Arial" w:cs="Arial"/>
          <w:color w:val="000000" w:themeColor="text1"/>
          <w:szCs w:val="22"/>
        </w:rPr>
        <w:t xml:space="preserve">s, the Agency prepares consent orders to resolve AAT proceedings and </w:t>
      </w:r>
      <w:r w:rsidR="005535B9" w:rsidRPr="00B85D06">
        <w:rPr>
          <w:rFonts w:eastAsia="Arial" w:cs="Arial"/>
          <w:color w:val="000000" w:themeColor="text1"/>
          <w:szCs w:val="22"/>
        </w:rPr>
        <w:t>issues the participant a new plan</w:t>
      </w:r>
      <w:r w:rsidRPr="00B85D06">
        <w:rPr>
          <w:rFonts w:eastAsia="Arial" w:cs="Arial"/>
          <w:color w:val="000000" w:themeColor="text1"/>
          <w:szCs w:val="22"/>
        </w:rPr>
        <w:t xml:space="preserve">. </w:t>
      </w:r>
      <w:r w:rsidR="00014AA7" w:rsidRPr="00B85D06">
        <w:rPr>
          <w:rFonts w:eastAsia="Arial" w:cs="Arial"/>
          <w:color w:val="000000" w:themeColor="text1"/>
          <w:szCs w:val="22"/>
        </w:rPr>
        <w:t xml:space="preserve">In circumstances </w:t>
      </w:r>
      <w:r w:rsidR="00A14C54" w:rsidRPr="00B85D06">
        <w:rPr>
          <w:rFonts w:eastAsia="Arial" w:cs="Arial"/>
          <w:color w:val="000000" w:themeColor="text1"/>
          <w:szCs w:val="22"/>
        </w:rPr>
        <w:t xml:space="preserve">where </w:t>
      </w:r>
      <w:r w:rsidR="0099357E" w:rsidRPr="00B85D06">
        <w:rPr>
          <w:rFonts w:eastAsia="Arial" w:cs="Arial"/>
          <w:color w:val="000000" w:themeColor="text1"/>
          <w:szCs w:val="22"/>
        </w:rPr>
        <w:t>some but not all recommendations are a</w:t>
      </w:r>
      <w:r w:rsidR="00EA290F" w:rsidRPr="00B85D06">
        <w:rPr>
          <w:rFonts w:eastAsia="Arial" w:cs="Arial"/>
          <w:color w:val="000000" w:themeColor="text1"/>
          <w:szCs w:val="22"/>
        </w:rPr>
        <w:t>ccepted</w:t>
      </w:r>
      <w:r w:rsidR="00F54494" w:rsidRPr="00B85D06">
        <w:rPr>
          <w:rFonts w:eastAsia="Arial" w:cs="Arial"/>
          <w:color w:val="000000" w:themeColor="text1"/>
          <w:szCs w:val="22"/>
        </w:rPr>
        <w:t>,</w:t>
      </w:r>
      <w:r w:rsidR="00331448" w:rsidRPr="00B85D06">
        <w:rPr>
          <w:rFonts w:eastAsia="Arial" w:cs="Arial"/>
          <w:color w:val="000000" w:themeColor="text1"/>
          <w:szCs w:val="22"/>
        </w:rPr>
        <w:t xml:space="preserve"> those that have been accepted are implemented </w:t>
      </w:r>
      <w:r w:rsidR="00602D57" w:rsidRPr="00B85D06">
        <w:rPr>
          <w:rFonts w:eastAsia="Arial" w:cs="Arial"/>
          <w:color w:val="000000" w:themeColor="text1"/>
          <w:szCs w:val="22"/>
        </w:rPr>
        <w:t xml:space="preserve">and the remaining issues in dispute proceed to the AAT. </w:t>
      </w:r>
      <w:r w:rsidRPr="00B85D06">
        <w:rPr>
          <w:rFonts w:eastAsia="Arial" w:cs="Arial"/>
          <w:color w:val="000000" w:themeColor="text1"/>
          <w:szCs w:val="22"/>
        </w:rPr>
        <w:t xml:space="preserve">When </w:t>
      </w:r>
      <w:r w:rsidR="005535B9" w:rsidRPr="00B85D06">
        <w:rPr>
          <w:rFonts w:eastAsia="Arial" w:cs="Arial"/>
          <w:color w:val="000000" w:themeColor="text1"/>
          <w:szCs w:val="22"/>
        </w:rPr>
        <w:lastRenderedPageBreak/>
        <w:t>either</w:t>
      </w:r>
      <w:r w:rsidR="005535B9">
        <w:rPr>
          <w:rFonts w:eastAsia="Arial" w:cs="Arial"/>
          <w:color w:val="000000" w:themeColor="text1"/>
          <w:szCs w:val="22"/>
        </w:rPr>
        <w:t xml:space="preserve"> party does not</w:t>
      </w:r>
      <w:r w:rsidRPr="007E3582">
        <w:rPr>
          <w:rFonts w:eastAsia="Arial" w:cs="Arial"/>
          <w:color w:val="000000" w:themeColor="text1"/>
          <w:szCs w:val="22"/>
        </w:rPr>
        <w:t xml:space="preserve"> accept the recommendations, the matter continues to the AAT with</w:t>
      </w:r>
      <w:r w:rsidR="00E627A0">
        <w:rPr>
          <w:rFonts w:eastAsia="Arial" w:cs="Arial"/>
          <w:color w:val="000000" w:themeColor="text1"/>
          <w:szCs w:val="22"/>
        </w:rPr>
        <w:t>out</w:t>
      </w:r>
      <w:r w:rsidRPr="007E3582">
        <w:rPr>
          <w:rFonts w:eastAsia="Arial" w:cs="Arial"/>
          <w:color w:val="000000" w:themeColor="text1"/>
          <w:szCs w:val="22"/>
        </w:rPr>
        <w:t xml:space="preserve"> loss of priority</w:t>
      </w:r>
      <w:r w:rsidR="005535B9">
        <w:rPr>
          <w:rFonts w:eastAsia="Arial" w:cs="Arial"/>
          <w:color w:val="000000" w:themeColor="text1"/>
          <w:szCs w:val="22"/>
        </w:rPr>
        <w:t xml:space="preserve"> </w:t>
      </w:r>
      <w:r w:rsidR="005535B9" w:rsidRPr="002E37DB">
        <w:rPr>
          <w:rFonts w:eastAsia="Arial" w:cs="Arial"/>
          <w:b/>
          <w:color w:val="000000" w:themeColor="text1"/>
          <w:szCs w:val="22"/>
        </w:rPr>
        <w:t>(Step 6)</w:t>
      </w:r>
      <w:r w:rsidRPr="007E3582">
        <w:rPr>
          <w:rFonts w:eastAsia="Arial" w:cs="Arial"/>
          <w:color w:val="000000" w:themeColor="text1"/>
          <w:szCs w:val="22"/>
        </w:rPr>
        <w:t>.</w:t>
      </w:r>
    </w:p>
    <w:p w14:paraId="579A0B7C" w14:textId="6AE63E6A" w:rsidR="005D2F3D" w:rsidRPr="00EB3D5D" w:rsidRDefault="005D2F3D" w:rsidP="00A86241">
      <w:pPr>
        <w:pStyle w:val="Caption"/>
      </w:pPr>
      <w:bookmarkStart w:id="43" w:name="_Ref137799686"/>
      <w:r w:rsidRPr="00EB3D5D">
        <w:t xml:space="preserve">Figure </w:t>
      </w:r>
      <w:r w:rsidRPr="00EB3D5D">
        <w:fldChar w:fldCharType="begin"/>
      </w:r>
      <w:r w:rsidRPr="00EB3D5D">
        <w:instrText>SEQ Figure \* ARABIC</w:instrText>
      </w:r>
      <w:r w:rsidRPr="00EB3D5D">
        <w:fldChar w:fldCharType="separate"/>
      </w:r>
      <w:r w:rsidR="000F1876">
        <w:rPr>
          <w:noProof/>
        </w:rPr>
        <w:t>2</w:t>
      </w:r>
      <w:r w:rsidRPr="00EB3D5D">
        <w:fldChar w:fldCharType="end"/>
      </w:r>
      <w:bookmarkEnd w:id="43"/>
      <w:r w:rsidRPr="00EB3D5D">
        <w:t xml:space="preserve">: </w:t>
      </w:r>
      <w:r w:rsidR="00814DC0" w:rsidRPr="00EB3D5D">
        <w:t>IERP</w:t>
      </w:r>
      <w:r w:rsidRPr="00EB3D5D">
        <w:t xml:space="preserve"> participant journey</w:t>
      </w:r>
    </w:p>
    <w:p w14:paraId="4BB78B68" w14:textId="76B3D083" w:rsidR="005D2F3D" w:rsidRPr="004E67FE" w:rsidRDefault="00E26804" w:rsidP="00863F22">
      <w:pPr>
        <w:jc w:val="both"/>
        <w:rPr>
          <w:sz w:val="20"/>
          <w:szCs w:val="20"/>
        </w:rPr>
      </w:pPr>
      <w:r>
        <w:rPr>
          <w:noProof/>
          <w:sz w:val="20"/>
          <w:szCs w:val="20"/>
        </w:rPr>
        <w:drawing>
          <wp:inline distT="0" distB="0" distL="0" distR="0" wp14:anchorId="54D6795E" wp14:editId="0A57B70B">
            <wp:extent cx="5422900" cy="5169237"/>
            <wp:effectExtent l="0" t="0" r="6350" b="0"/>
            <wp:docPr id="11" name="Picture 11" descr="An IERP participant journey map.&#10;Step 1 – Enter IER program.&#10;Participant is invited or requests to take part in IERP program, FAQs provided.&#10;Agency prepares IER agreement.&#10;Participant seeks advice about the IER process from the Independent Expert Review Advice Service (IERAS) Information line and/or advocacy support.&#10;Step 2 – IER referral prepared.&#10;Agency prepares material for referral to the Independent Expert.&#10;Participant may seek referral to funded advocacy services for free support and assistance from the IERAS Information line.&#10;Participant elects whether to have direct contact with the Independent Expert. &#10; Step 3 – Independent Expert reviews material&#10;Independent Expert reviews material and contacts participant.&#10;Participant may have support if required.&#10;Independent Expert may seek clarification of matters raised from the Agency.&#10;Step 4 – Independent expert recommendation provided.&#10;Independent Expert provides written recommendation to the participant, their representative if appropriate, and the Agency.&#10;Step 5 – Decision to accept or not accept.&#10;Agency informs participant if it accepts recommendation.&#10;Participant may seek legal advice and assistance following receipt of a recommendation by contacting the IERAS Information hotline and decides whether or not to accept recommendation in full or in part.&#10;Step 6 – Outcome&#10; If parties accept, settlement agreement is signed and filed with AAT, and the participant’s NDIS plan is updated.&#10;If parties do not accept, the AAT matter continu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n IERP participant journey map.&#10;Step 1 – Enter IER program.&#10;Participant is invited or requests to take part in IERP program, FAQs provided.&#10;Agency prepares IER agreement.&#10;Participant seeks advice about the IER process from the Independent Expert Review Advice Service (IERAS) Information line and/or advocacy support.&#10;Step 2 – IER referral prepared.&#10;Agency prepares material for referral to the Independent Expert.&#10;Participant may seek referral to funded advocacy services for free support and assistance from the IERAS Information line.&#10;Participant elects whether to have direct contact with the Independent Expert. &#10; Step 3 – Independent Expert reviews material&#10;Independent Expert reviews material and contacts participant.&#10;Participant may have support if required.&#10;Independent Expert may seek clarification of matters raised from the Agency.&#10;Step 4 – Independent expert recommendation provided.&#10;Independent Expert provides written recommendation to the participant, their representative if appropriate, and the Agency.&#10;Step 5 – Decision to accept or not accept.&#10;Agency informs participant if it accepts recommendation.&#10;Participant may seek legal advice and assistance following receipt of a recommendation by contacting the IERAS Information hotline and decides whether or not to accept recommendation in full or in part.&#10;Step 6 – Outcome&#10; If parties accept, settlement agreement is signed and filed with AAT, and the participant’s NDIS plan is updated.&#10;If parties do not accept, the AAT matter continues.&#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49011" cy="5194127"/>
                    </a:xfrm>
                    <a:prstGeom prst="rect">
                      <a:avLst/>
                    </a:prstGeom>
                    <a:noFill/>
                  </pic:spPr>
                </pic:pic>
              </a:graphicData>
            </a:graphic>
          </wp:inline>
        </w:drawing>
      </w:r>
    </w:p>
    <w:p w14:paraId="5B6BFC2E" w14:textId="77777777" w:rsidR="005D2F3D" w:rsidRPr="00EB3D5D" w:rsidRDefault="005D2F3D" w:rsidP="004F18B4">
      <w:pPr>
        <w:spacing w:before="120"/>
        <w:rPr>
          <w:szCs w:val="22"/>
        </w:rPr>
      </w:pPr>
      <w:r w:rsidRPr="00EB3D5D">
        <w:rPr>
          <w:szCs w:val="22"/>
        </w:rPr>
        <w:t>Source: Independent Expert Review Project team, Chief Counsel Division.</w:t>
      </w:r>
    </w:p>
    <w:p w14:paraId="18B6A5C7" w14:textId="77777777" w:rsidR="00937EA8" w:rsidRPr="00B85D06" w:rsidRDefault="00937EA8" w:rsidP="00937EA8">
      <w:pPr>
        <w:pStyle w:val="Heading3"/>
      </w:pPr>
      <w:bookmarkStart w:id="44" w:name="_Toc142918583"/>
      <w:r w:rsidRPr="00B85D06">
        <w:t>Case resolution through new NDIA initiatives</w:t>
      </w:r>
      <w:bookmarkEnd w:id="44"/>
      <w:r w:rsidRPr="00B85D06">
        <w:t xml:space="preserve"> </w:t>
      </w:r>
    </w:p>
    <w:p w14:paraId="32027A4B" w14:textId="477F0E44" w:rsidR="00937EA8" w:rsidRPr="00B85D06" w:rsidRDefault="00937EA8" w:rsidP="00937EA8">
      <w:pPr>
        <w:spacing w:before="120" w:after="200"/>
      </w:pPr>
      <w:r w:rsidRPr="00B85D06">
        <w:t>There has been a substantial increase in the number of NDIS-related AAT cases in recent years, increasing from 1,600 at 30 June 2021 to 4,501 at 27 May 2022</w:t>
      </w:r>
      <w:r w:rsidRPr="00B85D06">
        <w:rPr>
          <w:rStyle w:val="FootnoteReference"/>
        </w:rPr>
        <w:footnoteReference w:id="16"/>
      </w:r>
      <w:r w:rsidRPr="00B85D06">
        <w:t xml:space="preserve">. To address this, the NDIS Chief Council Division introduced several ADR initiatives in </w:t>
      </w:r>
      <w:r w:rsidRPr="00B85D06">
        <w:lastRenderedPageBreak/>
        <w:t xml:space="preserve">the 2022-23 financial year in addition to the IERP, which </w:t>
      </w:r>
      <w:r w:rsidRPr="000C5E05">
        <w:t>together have resolved 6,5</w:t>
      </w:r>
      <w:r w:rsidR="005C0A24" w:rsidRPr="000C5E05">
        <w:t>15</w:t>
      </w:r>
      <w:r w:rsidRPr="000C5E05">
        <w:t xml:space="preserve"> planning and access matters</w:t>
      </w:r>
      <w:r w:rsidRPr="00B85D06">
        <w:t xml:space="preserve"> </w:t>
      </w:r>
      <w:r w:rsidR="00360724" w:rsidRPr="00B85D06">
        <w:t xml:space="preserve">and small numbers of </w:t>
      </w:r>
      <w:r w:rsidRPr="00B85D06">
        <w:t xml:space="preserve">compensation, </w:t>
      </w:r>
      <w:r w:rsidR="003715F8" w:rsidRPr="00B85D06">
        <w:t>jurisdiction,</w:t>
      </w:r>
      <w:r w:rsidRPr="00B85D06">
        <w:t xml:space="preserve"> and extension of time applications.</w:t>
      </w:r>
    </w:p>
    <w:p w14:paraId="2282DEA2" w14:textId="6A3FF1F5" w:rsidR="00937EA8" w:rsidRPr="00B85D06" w:rsidRDefault="00360724" w:rsidP="00360724">
      <w:pPr>
        <w:spacing w:before="120" w:after="200"/>
      </w:pPr>
      <w:r w:rsidRPr="00B85D06">
        <w:t xml:space="preserve">These initiatives have reduced the </w:t>
      </w:r>
      <w:r w:rsidR="00937EA8" w:rsidRPr="00B85D06">
        <w:t>active caseload from 4,501 cases at 27 May 2022 to 2,972 at 30 July 2023</w:t>
      </w:r>
      <w:r w:rsidRPr="00B85D06">
        <w:t xml:space="preserve"> (-34%) and resolved </w:t>
      </w:r>
      <w:r w:rsidR="00937EA8" w:rsidRPr="00B85D06">
        <w:t xml:space="preserve">87% of legacy AAT matters that were active </w:t>
      </w:r>
      <w:r w:rsidRPr="00B85D06">
        <w:t>at</w:t>
      </w:r>
      <w:r w:rsidR="00937EA8" w:rsidRPr="00B85D06">
        <w:t xml:space="preserve"> </w:t>
      </w:r>
      <w:r w:rsidR="00D3326E">
        <w:t xml:space="preserve">30 </w:t>
      </w:r>
      <w:r w:rsidR="00937EA8" w:rsidRPr="00B85D06">
        <w:t>June 2022.</w:t>
      </w:r>
    </w:p>
    <w:p w14:paraId="39A8CA52" w14:textId="68BC3E56" w:rsidR="00802ED5" w:rsidRDefault="00802ED5" w:rsidP="00547E41">
      <w:pPr>
        <w:pStyle w:val="Heading3"/>
      </w:pPr>
      <w:bookmarkStart w:id="45" w:name="_Toc111206313"/>
      <w:bookmarkStart w:id="46" w:name="_Toc111206427"/>
      <w:bookmarkStart w:id="47" w:name="_Toc133655498"/>
      <w:bookmarkStart w:id="48" w:name="_Toc142918584"/>
      <w:r>
        <w:t xml:space="preserve">The </w:t>
      </w:r>
      <w:r w:rsidR="00C34E35">
        <w:t>e</w:t>
      </w:r>
      <w:r>
        <w:t>valuation</w:t>
      </w:r>
      <w:bookmarkEnd w:id="45"/>
      <w:bookmarkEnd w:id="46"/>
      <w:bookmarkEnd w:id="47"/>
      <w:bookmarkEnd w:id="48"/>
    </w:p>
    <w:p w14:paraId="1E95F703" w14:textId="2E8FCE73" w:rsidR="00E33C14" w:rsidRPr="00E33C14" w:rsidRDefault="00E33C14" w:rsidP="00952E11">
      <w:pPr>
        <w:pStyle w:val="Heading4"/>
      </w:pPr>
      <w:r>
        <w:t>Objectives</w:t>
      </w:r>
    </w:p>
    <w:p w14:paraId="21C2D93C" w14:textId="7E3A3A12" w:rsidR="00D24039" w:rsidRPr="0006269C" w:rsidRDefault="00D24039" w:rsidP="2BFCA18C">
      <w:r w:rsidRPr="0006269C">
        <w:t>Th</w:t>
      </w:r>
      <w:r w:rsidR="00A95ABF">
        <w:t xml:space="preserve">is </w:t>
      </w:r>
      <w:r w:rsidRPr="0006269C">
        <w:t>evaluation’s overarching objectives were</w:t>
      </w:r>
      <w:r w:rsidR="001A21B9">
        <w:t xml:space="preserve"> to</w:t>
      </w:r>
      <w:r w:rsidRPr="0006269C">
        <w:t>:</w:t>
      </w:r>
    </w:p>
    <w:p w14:paraId="0B084479" w14:textId="21CA26EC" w:rsidR="00D24039" w:rsidRPr="0006269C" w:rsidRDefault="00D24039" w:rsidP="000705FE">
      <w:pPr>
        <w:pStyle w:val="ListParagraph"/>
        <w:numPr>
          <w:ilvl w:val="0"/>
          <w:numId w:val="11"/>
        </w:numPr>
        <w:ind w:left="714" w:hanging="357"/>
      </w:pPr>
      <w:r w:rsidRPr="0006269C">
        <w:t>Evaluate the acceptability, effectiveness, efficiency</w:t>
      </w:r>
      <w:r w:rsidR="009B48BB" w:rsidRPr="0006269C">
        <w:t>,</w:t>
      </w:r>
      <w:r w:rsidRPr="0006269C">
        <w:t xml:space="preserve"> and sustainability of the IER</w:t>
      </w:r>
      <w:r w:rsidR="00656314">
        <w:t>P</w:t>
      </w:r>
      <w:r w:rsidRPr="0006269C">
        <w:t>.</w:t>
      </w:r>
    </w:p>
    <w:p w14:paraId="5D3D111B" w14:textId="2C013A66" w:rsidR="00D24039" w:rsidRPr="0006269C" w:rsidRDefault="00D24039" w:rsidP="000705FE">
      <w:pPr>
        <w:pStyle w:val="ListParagraph"/>
        <w:numPr>
          <w:ilvl w:val="0"/>
          <w:numId w:val="11"/>
        </w:numPr>
        <w:ind w:left="714" w:hanging="357"/>
      </w:pPr>
      <w:r w:rsidRPr="0006269C">
        <w:t>Identify lessons for broader Agency administrative decision making and related policy around NDIS planning and appeals processes.</w:t>
      </w:r>
    </w:p>
    <w:p w14:paraId="79BF7CE8" w14:textId="5117E16A" w:rsidR="00D24039" w:rsidRPr="00B35F61" w:rsidRDefault="00D24039" w:rsidP="005D2F6A">
      <w:pPr>
        <w:spacing w:before="0" w:after="200" w:line="276" w:lineRule="auto"/>
      </w:pPr>
      <w:r w:rsidRPr="00B35F61">
        <w:t xml:space="preserve">In line with these objectives, the evaluation </w:t>
      </w:r>
      <w:r w:rsidR="00656314">
        <w:t>addresses</w:t>
      </w:r>
      <w:r w:rsidRPr="00B35F61">
        <w:t xml:space="preserve"> the following questions:</w:t>
      </w:r>
    </w:p>
    <w:p w14:paraId="4227D581" w14:textId="1B5EC32F" w:rsidR="00D24039" w:rsidRPr="00B35F61" w:rsidRDefault="00D24039" w:rsidP="000705FE">
      <w:pPr>
        <w:pStyle w:val="ListParagraph"/>
        <w:numPr>
          <w:ilvl w:val="0"/>
          <w:numId w:val="10"/>
        </w:numPr>
        <w:ind w:left="426" w:hanging="357"/>
      </w:pPr>
      <w:r w:rsidRPr="00B35F61">
        <w:t>To what extent is the IER</w:t>
      </w:r>
      <w:r w:rsidR="00656314">
        <w:t>P</w:t>
      </w:r>
      <w:r w:rsidRPr="00B35F61">
        <w:t xml:space="preserve"> acceptable to participants and stakeholders?</w:t>
      </w:r>
    </w:p>
    <w:p w14:paraId="746A121A" w14:textId="1D72AA3C" w:rsidR="00B44C88" w:rsidRPr="00B35F61" w:rsidRDefault="00B44C88" w:rsidP="000705FE">
      <w:pPr>
        <w:pStyle w:val="ListParagraph"/>
        <w:numPr>
          <w:ilvl w:val="0"/>
          <w:numId w:val="10"/>
        </w:numPr>
        <w:ind w:left="426" w:hanging="357"/>
      </w:pPr>
      <w:r w:rsidRPr="00B35F61">
        <w:t>What has been the experience of participants involved in the IER</w:t>
      </w:r>
      <w:r w:rsidR="00656314">
        <w:t>P</w:t>
      </w:r>
      <w:r w:rsidRPr="00B35F61">
        <w:t xml:space="preserve"> process?</w:t>
      </w:r>
    </w:p>
    <w:p w14:paraId="0D368E35" w14:textId="46523B67" w:rsidR="00D24039" w:rsidRPr="00B35F61" w:rsidRDefault="00D24039" w:rsidP="000705FE">
      <w:pPr>
        <w:pStyle w:val="ListParagraph"/>
        <w:numPr>
          <w:ilvl w:val="0"/>
          <w:numId w:val="10"/>
        </w:numPr>
        <w:ind w:left="426" w:hanging="357"/>
      </w:pPr>
      <w:r w:rsidRPr="00B35F61">
        <w:t>To what extent is the IER</w:t>
      </w:r>
      <w:r w:rsidR="00656314">
        <w:t>P</w:t>
      </w:r>
      <w:r w:rsidRPr="00B35F61">
        <w:t xml:space="preserve"> an effective dispute resolution approach for NDIS matters?</w:t>
      </w:r>
    </w:p>
    <w:p w14:paraId="00FA40A7" w14:textId="1A9453A8" w:rsidR="00D24039" w:rsidRPr="00B35F61" w:rsidRDefault="00D24039" w:rsidP="000705FE">
      <w:pPr>
        <w:pStyle w:val="ListParagraph"/>
        <w:numPr>
          <w:ilvl w:val="0"/>
          <w:numId w:val="10"/>
        </w:numPr>
        <w:ind w:left="426" w:hanging="357"/>
      </w:pPr>
      <w:r w:rsidRPr="00B35F61">
        <w:t>To what extent is the IER</w:t>
      </w:r>
      <w:r w:rsidR="00656314">
        <w:t>P</w:t>
      </w:r>
      <w:r w:rsidRPr="00B35F61">
        <w:t xml:space="preserve"> increasing the efficiency of dispute resolution for NDIS matters?</w:t>
      </w:r>
    </w:p>
    <w:p w14:paraId="57E8660F" w14:textId="0C176C35" w:rsidR="00D24039" w:rsidRPr="00B35F61" w:rsidRDefault="00D24039" w:rsidP="000705FE">
      <w:pPr>
        <w:pStyle w:val="ListParagraph"/>
        <w:numPr>
          <w:ilvl w:val="0"/>
          <w:numId w:val="10"/>
        </w:numPr>
        <w:ind w:left="426" w:hanging="357"/>
      </w:pPr>
      <w:r w:rsidRPr="00B35F61">
        <w:t>How sustainable is the IER</w:t>
      </w:r>
      <w:r w:rsidR="007E4BBD">
        <w:t>P</w:t>
      </w:r>
      <w:r w:rsidRPr="00B35F61">
        <w:t>?</w:t>
      </w:r>
    </w:p>
    <w:p w14:paraId="274B52C9" w14:textId="196B13FB" w:rsidR="00DC2BF3" w:rsidRDefault="00D24039" w:rsidP="000705FE">
      <w:pPr>
        <w:pStyle w:val="ListParagraph"/>
        <w:numPr>
          <w:ilvl w:val="0"/>
          <w:numId w:val="10"/>
        </w:numPr>
        <w:ind w:left="426" w:hanging="357"/>
      </w:pPr>
      <w:r w:rsidRPr="00B35F61">
        <w:t xml:space="preserve">What </w:t>
      </w:r>
      <w:r w:rsidR="007E4BBD">
        <w:t xml:space="preserve">can </w:t>
      </w:r>
      <w:r w:rsidR="00DE3EE6">
        <w:t>the Agency learn about broader</w:t>
      </w:r>
      <w:r w:rsidRPr="00B35F61">
        <w:t xml:space="preserve"> administrative decision making </w:t>
      </w:r>
      <w:r w:rsidR="00DE3EE6">
        <w:t xml:space="preserve">and dispute resolution and </w:t>
      </w:r>
      <w:r w:rsidRPr="00B35F61">
        <w:t>related polic</w:t>
      </w:r>
      <w:r w:rsidR="00DE3EE6">
        <w:t>ies</w:t>
      </w:r>
      <w:r w:rsidRPr="00B35F61">
        <w:t>?</w:t>
      </w:r>
    </w:p>
    <w:p w14:paraId="0DEF3D95" w14:textId="0E9A5F2D" w:rsidR="00D82F2F" w:rsidRDefault="00D82F2F" w:rsidP="004A11F5">
      <w:r w:rsidRPr="00B85D06">
        <w:t>Th</w:t>
      </w:r>
      <w:r w:rsidR="00497024" w:rsidRPr="00B85D06">
        <w:t>e</w:t>
      </w:r>
      <w:r w:rsidRPr="00B85D06">
        <w:t xml:space="preserve"> evaluation </w:t>
      </w:r>
      <w:r w:rsidR="009D0FF6" w:rsidRPr="00B85D06">
        <w:t>includes</w:t>
      </w:r>
      <w:r w:rsidR="005567AE" w:rsidRPr="00B85D06">
        <w:t xml:space="preserve"> individual case and issue analysis </w:t>
      </w:r>
      <w:r w:rsidR="00E4212F" w:rsidRPr="00B85D06">
        <w:t xml:space="preserve">from </w:t>
      </w:r>
      <w:r w:rsidR="00CE2511" w:rsidRPr="00B85D06">
        <w:t xml:space="preserve">4 October 2022 </w:t>
      </w:r>
      <w:r w:rsidR="005567AE" w:rsidRPr="00B85D06">
        <w:t>to 31 January 2023, survey responses for those involved in the IERP up to 31 March 2023 and costing data and other relevant program metrics up to 31 July 2023.</w:t>
      </w:r>
    </w:p>
    <w:p w14:paraId="665529B4" w14:textId="308F2821" w:rsidR="00802ED5" w:rsidRDefault="00802ED5" w:rsidP="00952E11">
      <w:pPr>
        <w:pStyle w:val="Heading4"/>
      </w:pPr>
      <w:bookmarkStart w:id="49" w:name="_Toc111206314"/>
      <w:bookmarkStart w:id="50" w:name="_Toc111206428"/>
      <w:bookmarkStart w:id="51" w:name="_Toc133655499"/>
      <w:r>
        <w:t>Limitations</w:t>
      </w:r>
      <w:bookmarkEnd w:id="49"/>
      <w:bookmarkEnd w:id="50"/>
      <w:bookmarkEnd w:id="51"/>
    </w:p>
    <w:p w14:paraId="31CF4B6C" w14:textId="78725B43" w:rsidR="34E5A24B" w:rsidRPr="009258BA" w:rsidRDefault="34E5A24B">
      <w:r>
        <w:t xml:space="preserve">The </w:t>
      </w:r>
      <w:r w:rsidR="00183B50">
        <w:t>evaluation has the following limitations</w:t>
      </w:r>
      <w:r w:rsidR="501F941A" w:rsidRPr="009258BA">
        <w:t xml:space="preserve">: </w:t>
      </w:r>
    </w:p>
    <w:p w14:paraId="0C56D308" w14:textId="17E39B89" w:rsidR="56009769" w:rsidRDefault="56009769" w:rsidP="000705FE">
      <w:pPr>
        <w:pStyle w:val="ListParagraph"/>
        <w:numPr>
          <w:ilvl w:val="0"/>
          <w:numId w:val="56"/>
        </w:numPr>
        <w:ind w:left="425" w:hanging="357"/>
      </w:pPr>
      <w:r w:rsidRPr="009258BA">
        <w:lastRenderedPageBreak/>
        <w:t>The IER</w:t>
      </w:r>
      <w:r w:rsidR="00B57332">
        <w:t>P</w:t>
      </w:r>
      <w:r w:rsidRPr="009258BA">
        <w:t xml:space="preserve"> has been in operation for less than a year and is not at </w:t>
      </w:r>
      <w:r w:rsidR="00DD208C">
        <w:t xml:space="preserve">full </w:t>
      </w:r>
      <w:r w:rsidRPr="009258BA">
        <w:t xml:space="preserve">scale or </w:t>
      </w:r>
      <w:r w:rsidR="00DD208C">
        <w:t xml:space="preserve">operational </w:t>
      </w:r>
      <w:r w:rsidRPr="009258BA">
        <w:t>capacity.</w:t>
      </w:r>
      <w:r w:rsidR="00650B11">
        <w:t xml:space="preserve"> </w:t>
      </w:r>
      <w:r w:rsidR="00B57332">
        <w:t>IERP s</w:t>
      </w:r>
      <w:r w:rsidR="04ACD614" w:rsidRPr="009258BA">
        <w:t xml:space="preserve">taff </w:t>
      </w:r>
      <w:r w:rsidR="00155599">
        <w:t>have been</w:t>
      </w:r>
      <w:r w:rsidR="0029449B">
        <w:t xml:space="preserve"> actively engaged in</w:t>
      </w:r>
      <w:r w:rsidR="04ACD614" w:rsidRPr="009258BA">
        <w:t xml:space="preserve"> </w:t>
      </w:r>
      <w:r w:rsidR="00650B11">
        <w:t xml:space="preserve">program </w:t>
      </w:r>
      <w:r w:rsidR="04ACD614" w:rsidRPr="009258BA">
        <w:t>setup a</w:t>
      </w:r>
      <w:r w:rsidR="0029449B">
        <w:t>ctivities</w:t>
      </w:r>
      <w:r w:rsidR="00FF6E8F">
        <w:t xml:space="preserve"> in addition to</w:t>
      </w:r>
      <w:r w:rsidR="009215E6">
        <w:t xml:space="preserve"> </w:t>
      </w:r>
      <w:r w:rsidR="00BD03B7">
        <w:t>case work</w:t>
      </w:r>
      <w:r w:rsidR="4A3D2FD8" w:rsidRPr="009258BA">
        <w:t xml:space="preserve">. </w:t>
      </w:r>
      <w:r w:rsidR="00B467F1">
        <w:t>Th</w:t>
      </w:r>
      <w:r w:rsidR="00BD03B7">
        <w:t xml:space="preserve">is </w:t>
      </w:r>
      <w:r w:rsidR="007F5AEF">
        <w:t xml:space="preserve">may </w:t>
      </w:r>
      <w:r w:rsidR="00DF60AB">
        <w:t xml:space="preserve">have </w:t>
      </w:r>
      <w:r w:rsidR="00B467F1">
        <w:t xml:space="preserve">led to overestimates of </w:t>
      </w:r>
      <w:r w:rsidR="00B67848">
        <w:t xml:space="preserve">program </w:t>
      </w:r>
      <w:r w:rsidR="00B467F1">
        <w:t>cost</w:t>
      </w:r>
      <w:r w:rsidR="00B67848">
        <w:t>s</w:t>
      </w:r>
      <w:r w:rsidR="00B467F1">
        <w:t xml:space="preserve"> </w:t>
      </w:r>
      <w:r w:rsidR="0094481A">
        <w:t xml:space="preserve">and </w:t>
      </w:r>
      <w:r w:rsidR="00CA7FBF">
        <w:t xml:space="preserve">a </w:t>
      </w:r>
      <w:r w:rsidR="00B467F1">
        <w:t xml:space="preserve">reduced </w:t>
      </w:r>
      <w:r w:rsidR="00CA7FBF">
        <w:t>number of resolved cases</w:t>
      </w:r>
      <w:r w:rsidR="0094481A">
        <w:t>.</w:t>
      </w:r>
      <w:r w:rsidR="73881471" w:rsidRPr="009258BA">
        <w:t xml:space="preserve"> </w:t>
      </w:r>
    </w:p>
    <w:p w14:paraId="37D52DBB" w14:textId="1795FCE2" w:rsidR="00C970B7" w:rsidRPr="00B85D06" w:rsidRDefault="00782221" w:rsidP="000705FE">
      <w:pPr>
        <w:pStyle w:val="ListParagraph"/>
        <w:numPr>
          <w:ilvl w:val="0"/>
          <w:numId w:val="56"/>
        </w:numPr>
        <w:ind w:left="425" w:hanging="357"/>
      </w:pPr>
      <w:r w:rsidRPr="00B85D06">
        <w:t xml:space="preserve">The IERP pilot </w:t>
      </w:r>
      <w:r w:rsidR="00706F7B" w:rsidRPr="00B85D06">
        <w:t xml:space="preserve">was largely restricted to planning </w:t>
      </w:r>
      <w:r w:rsidR="002B29CD" w:rsidRPr="00B85D06">
        <w:t>matters</w:t>
      </w:r>
      <w:r w:rsidR="00A966A0" w:rsidRPr="00B85D06">
        <w:t>, with very few</w:t>
      </w:r>
      <w:r w:rsidR="00BA6FB3" w:rsidRPr="00B85D06">
        <w:t xml:space="preserve"> access matters</w:t>
      </w:r>
      <w:r w:rsidR="00B87BA4" w:rsidRPr="00B85D06">
        <w:t>.</w:t>
      </w:r>
    </w:p>
    <w:p w14:paraId="77CE692A" w14:textId="012DA4CF" w:rsidR="003C4218" w:rsidRPr="00B85D06" w:rsidRDefault="0089182E" w:rsidP="000705FE">
      <w:pPr>
        <w:pStyle w:val="ListParagraph"/>
        <w:numPr>
          <w:ilvl w:val="0"/>
          <w:numId w:val="56"/>
        </w:numPr>
        <w:ind w:left="425" w:hanging="357"/>
      </w:pPr>
      <w:r w:rsidRPr="00B85D06">
        <w:t>Due to the timing, the evaluation could only access specific d</w:t>
      </w:r>
      <w:r w:rsidR="005759D7" w:rsidRPr="00B85D06">
        <w:t xml:space="preserve">etails </w:t>
      </w:r>
      <w:r w:rsidRPr="00B85D06">
        <w:t>about cases and independent expert recommendations of the IERP</w:t>
      </w:r>
      <w:r w:rsidR="00850434" w:rsidRPr="00B85D06">
        <w:t xml:space="preserve"> up to 31 January 2023</w:t>
      </w:r>
      <w:r w:rsidR="00515F3D" w:rsidRPr="00B85D06">
        <w:t>. T</w:t>
      </w:r>
      <w:r w:rsidR="00EE1B81" w:rsidRPr="00B85D06">
        <w:t>his covered 23 NDIS plan-related cases with a total of 1</w:t>
      </w:r>
      <w:r w:rsidR="006607F0" w:rsidRPr="00B85D06">
        <w:t>14</w:t>
      </w:r>
      <w:r w:rsidR="00EE1B81" w:rsidRPr="00B85D06">
        <w:t xml:space="preserve"> matters under review. </w:t>
      </w:r>
      <w:r w:rsidR="00D51464" w:rsidRPr="00B85D06">
        <w:t>The</w:t>
      </w:r>
      <w:r w:rsidR="00EE1B81" w:rsidRPr="00B85D06">
        <w:t xml:space="preserve"> complexity of these cases limited the pool of AAT cases over a similar period available to compare outcomes and costs</w:t>
      </w:r>
      <w:r w:rsidR="00484E27" w:rsidRPr="00B85D06">
        <w:t xml:space="preserve">. </w:t>
      </w:r>
    </w:p>
    <w:p w14:paraId="50927DA5" w14:textId="40CC74C9" w:rsidR="002C4A21" w:rsidRPr="00B85D06" w:rsidRDefault="00FF2E7E" w:rsidP="000705FE">
      <w:pPr>
        <w:pStyle w:val="ListParagraph"/>
        <w:numPr>
          <w:ilvl w:val="0"/>
          <w:numId w:val="56"/>
        </w:numPr>
        <w:ind w:left="425" w:hanging="357"/>
      </w:pPr>
      <w:r w:rsidRPr="00B85D06">
        <w:t xml:space="preserve">Due to the unique nature of IERP and AAT cases, it </w:t>
      </w:r>
      <w:r w:rsidR="00931F92" w:rsidRPr="00B85D06">
        <w:t>wa</w:t>
      </w:r>
      <w:r w:rsidRPr="00B85D06">
        <w:t xml:space="preserve">s </w:t>
      </w:r>
      <w:r w:rsidR="0039098C" w:rsidRPr="00B85D06">
        <w:t xml:space="preserve">difficult to identify a robust </w:t>
      </w:r>
      <w:r w:rsidR="003E7DF1" w:rsidRPr="00B85D06">
        <w:t>comparison group</w:t>
      </w:r>
      <w:r w:rsidR="0039098C" w:rsidRPr="00B85D06">
        <w:t xml:space="preserve"> for the IERP. </w:t>
      </w:r>
      <w:r w:rsidR="00D800BF" w:rsidRPr="00B85D06">
        <w:t>Estimates are therefore calculated on an average per matter basis which creates uncertainty around estimates of the IERP’s impact on operational costs and the financial sustainability of the Scheme.</w:t>
      </w:r>
    </w:p>
    <w:p w14:paraId="5048F383" w14:textId="7C627D68" w:rsidR="009143CB" w:rsidRPr="00B85D06" w:rsidRDefault="003607B1" w:rsidP="000705FE">
      <w:pPr>
        <w:pStyle w:val="ListParagraph"/>
        <w:numPr>
          <w:ilvl w:val="0"/>
          <w:numId w:val="56"/>
        </w:numPr>
        <w:spacing w:after="200"/>
        <w:ind w:left="425" w:hanging="357"/>
      </w:pPr>
      <w:r w:rsidRPr="00B85D06">
        <w:t>The Techn</w:t>
      </w:r>
      <w:r w:rsidR="00127441" w:rsidRPr="00B85D06">
        <w:t xml:space="preserve">ical and Advisory Branch </w:t>
      </w:r>
      <w:r w:rsidR="00911CA0" w:rsidRPr="00B85D06">
        <w:t xml:space="preserve">(TAB) </w:t>
      </w:r>
      <w:r w:rsidR="002670BE" w:rsidRPr="00B85D06">
        <w:t xml:space="preserve">were not provided with full case details </w:t>
      </w:r>
      <w:r w:rsidR="00D100D6" w:rsidRPr="00B85D06">
        <w:t xml:space="preserve">and </w:t>
      </w:r>
      <w:r w:rsidR="002D2DB1" w:rsidRPr="00B85D06">
        <w:t xml:space="preserve">only considered </w:t>
      </w:r>
      <w:r w:rsidR="00D100D6" w:rsidRPr="00B85D06">
        <w:t xml:space="preserve">whether </w:t>
      </w:r>
      <w:r w:rsidR="002D2DB1" w:rsidRPr="00B85D06">
        <w:t xml:space="preserve">recommendations </w:t>
      </w:r>
      <w:r w:rsidR="00D100D6" w:rsidRPr="00B85D06">
        <w:t>aligned with</w:t>
      </w:r>
      <w:r w:rsidR="00155EC1" w:rsidRPr="00B85D06">
        <w:t xml:space="preserve"> the NDIS Act, </w:t>
      </w:r>
      <w:r w:rsidR="00D64ADF" w:rsidRPr="00B85D06">
        <w:t>Rules,</w:t>
      </w:r>
      <w:r w:rsidR="00155EC1" w:rsidRPr="00B85D06">
        <w:t xml:space="preserve"> </w:t>
      </w:r>
      <w:r w:rsidR="009431CD" w:rsidRPr="00B85D06">
        <w:t xml:space="preserve">and </w:t>
      </w:r>
      <w:r w:rsidR="00CF63BB" w:rsidRPr="00B85D06">
        <w:t>OGs</w:t>
      </w:r>
      <w:r w:rsidR="00D100D6" w:rsidRPr="00B85D06">
        <w:t>.</w:t>
      </w:r>
    </w:p>
    <w:p w14:paraId="1BEB1732" w14:textId="116CE83B" w:rsidR="00E33C14" w:rsidRPr="00B85D06" w:rsidRDefault="00E33C14" w:rsidP="00D3509A">
      <w:pPr>
        <w:pStyle w:val="Heading3"/>
      </w:pPr>
      <w:bookmarkStart w:id="52" w:name="_Toc142918585"/>
      <w:r w:rsidRPr="00B85D06">
        <w:t>This report</w:t>
      </w:r>
      <w:bookmarkEnd w:id="52"/>
    </w:p>
    <w:p w14:paraId="24E5AC09" w14:textId="77777777" w:rsidR="00E33C14" w:rsidRPr="00B85D06" w:rsidRDefault="00E33C14" w:rsidP="00E33C14">
      <w:r w:rsidRPr="00B85D06">
        <w:t>The structure of the rest of this report is as follows:</w:t>
      </w:r>
    </w:p>
    <w:p w14:paraId="1A05AB11" w14:textId="77777777" w:rsidR="00E33C14" w:rsidRPr="00B85D06" w:rsidRDefault="00E33C14" w:rsidP="00E33C14">
      <w:pPr>
        <w:pStyle w:val="Bulletlist"/>
      </w:pPr>
      <w:r w:rsidRPr="00B85D06">
        <w:t>Chapter 2</w:t>
      </w:r>
      <w:r w:rsidRPr="00B85D06">
        <w:tab/>
        <w:t>Data and methods</w:t>
      </w:r>
    </w:p>
    <w:p w14:paraId="66805DD3" w14:textId="471351E9" w:rsidR="00E33C14" w:rsidRPr="00B85D06" w:rsidRDefault="00E33C14" w:rsidP="00E33C14">
      <w:pPr>
        <w:pStyle w:val="Bulletlist"/>
      </w:pPr>
      <w:r w:rsidRPr="00B85D06">
        <w:t>Chapter 3</w:t>
      </w:r>
      <w:r w:rsidRPr="00B85D06">
        <w:tab/>
      </w:r>
      <w:r w:rsidR="000B2447" w:rsidRPr="00B85D06">
        <w:t>Participant satisfaction and</w:t>
      </w:r>
      <w:r w:rsidRPr="00B85D06">
        <w:t xml:space="preserve"> experience</w:t>
      </w:r>
      <w:r w:rsidR="00FE284A" w:rsidRPr="00B85D06">
        <w:t xml:space="preserve"> with the IERP</w:t>
      </w:r>
    </w:p>
    <w:p w14:paraId="659C5FC3" w14:textId="0BE7D9E7" w:rsidR="00E33C14" w:rsidRPr="00B85D06" w:rsidRDefault="00E33C14" w:rsidP="00E33C14">
      <w:pPr>
        <w:pStyle w:val="Bulletlist"/>
      </w:pPr>
      <w:r w:rsidRPr="00B85D06">
        <w:t>Chapter 4</w:t>
      </w:r>
      <w:r w:rsidRPr="00B85D06">
        <w:tab/>
      </w:r>
      <w:r w:rsidR="00FE284A" w:rsidRPr="00B85D06">
        <w:t>The e</w:t>
      </w:r>
      <w:r w:rsidRPr="00B85D06">
        <w:t>ffectiveness and efficiency of the IER</w:t>
      </w:r>
      <w:r w:rsidR="00AE0431" w:rsidRPr="00B85D06">
        <w:t>P</w:t>
      </w:r>
    </w:p>
    <w:p w14:paraId="3B129C33" w14:textId="0C60707C" w:rsidR="00E33C14" w:rsidRPr="00B85D06" w:rsidRDefault="00E33C14" w:rsidP="00E33C14">
      <w:pPr>
        <w:pStyle w:val="Bulletlist"/>
      </w:pPr>
      <w:r w:rsidRPr="00B85D06">
        <w:t>Chapter 5</w:t>
      </w:r>
      <w:r w:rsidRPr="00B85D06">
        <w:tab/>
      </w:r>
      <w:r w:rsidR="00FE284A" w:rsidRPr="00B85D06">
        <w:t>Costs</w:t>
      </w:r>
      <w:r w:rsidRPr="00B85D06">
        <w:t xml:space="preserve"> of the IER</w:t>
      </w:r>
      <w:r w:rsidR="00AE0431" w:rsidRPr="00B85D06">
        <w:t>P</w:t>
      </w:r>
    </w:p>
    <w:p w14:paraId="53FF1AA1" w14:textId="1EF8B5C4" w:rsidR="00E33C14" w:rsidRPr="00B85D06" w:rsidRDefault="00E33C14" w:rsidP="00E33C14">
      <w:pPr>
        <w:pStyle w:val="Bulletlist"/>
      </w:pPr>
      <w:r w:rsidRPr="00B85D06">
        <w:t xml:space="preserve">Chapter </w:t>
      </w:r>
      <w:r w:rsidR="00E212F1" w:rsidRPr="00B85D06">
        <w:t>6</w:t>
      </w:r>
      <w:r w:rsidRPr="00B85D06">
        <w:tab/>
      </w:r>
      <w:r w:rsidR="00EC3FCD" w:rsidRPr="00B85D06">
        <w:t>Learnings for b</w:t>
      </w:r>
      <w:r w:rsidRPr="00B85D06">
        <w:t>roader administrative decision-making and appeals</w:t>
      </w:r>
      <w:r w:rsidR="00671CFF" w:rsidRPr="00B85D06">
        <w:t xml:space="preserve"> processes</w:t>
      </w:r>
    </w:p>
    <w:p w14:paraId="45910AB6" w14:textId="3466D056" w:rsidR="00FF6857" w:rsidRPr="00B85D06" w:rsidRDefault="00E33C14" w:rsidP="00E33C14">
      <w:pPr>
        <w:pStyle w:val="Bulletlist"/>
      </w:pPr>
      <w:r w:rsidRPr="00B85D06">
        <w:t xml:space="preserve">Chapter </w:t>
      </w:r>
      <w:r w:rsidR="00E212F1" w:rsidRPr="00B85D06">
        <w:t>7</w:t>
      </w:r>
      <w:r w:rsidRPr="00B85D06">
        <w:tab/>
        <w:t>Conclusions</w:t>
      </w:r>
    </w:p>
    <w:p w14:paraId="6034D109" w14:textId="1CB1CC7A" w:rsidR="00D57070" w:rsidRPr="00B85D06" w:rsidRDefault="00671CFF" w:rsidP="00DD70C5">
      <w:pPr>
        <w:pStyle w:val="Bulletlist"/>
      </w:pPr>
      <w:r w:rsidRPr="00B85D06">
        <w:t>Appendices</w:t>
      </w:r>
      <w:r w:rsidR="00E33C14" w:rsidRPr="00B85D06">
        <w:t xml:space="preserve"> A-</w:t>
      </w:r>
      <w:r w:rsidR="00A063AE" w:rsidRPr="00B85D06">
        <w:t>F</w:t>
      </w:r>
      <w:r w:rsidR="00E33C14" w:rsidRPr="00B85D06">
        <w:t xml:space="preserve"> – Supplemental </w:t>
      </w:r>
      <w:r w:rsidR="00D57070" w:rsidRPr="00B85D06">
        <w:t>methods</w:t>
      </w:r>
    </w:p>
    <w:p w14:paraId="592D02FD" w14:textId="2B2576B6" w:rsidR="00E33C14" w:rsidRDefault="00D57070">
      <w:pPr>
        <w:pStyle w:val="Bulletlist"/>
      </w:pPr>
      <w:r>
        <w:t xml:space="preserve">Appendix </w:t>
      </w:r>
      <w:r w:rsidR="00A063AE">
        <w:t>G</w:t>
      </w:r>
      <w:r w:rsidR="00B91548">
        <w:t xml:space="preserve"> </w:t>
      </w:r>
      <w:r>
        <w:t xml:space="preserve">– </w:t>
      </w:r>
      <w:r w:rsidR="00372798" w:rsidRPr="00372798">
        <w:t>Feedback from Independent Experts and NDIA stakeholders</w:t>
      </w:r>
      <w:r w:rsidR="00803CCB">
        <w:t>.</w:t>
      </w:r>
    </w:p>
    <w:p w14:paraId="329EC0E7" w14:textId="268DDE5E" w:rsidR="00C640FC" w:rsidRPr="00A01FA6" w:rsidRDefault="005E4F39" w:rsidP="00A01FA6">
      <w:pPr>
        <w:pStyle w:val="Heading2"/>
      </w:pPr>
      <w:bookmarkStart w:id="53" w:name="_Toc111206316"/>
      <w:bookmarkStart w:id="54" w:name="_Toc111206430"/>
      <w:bookmarkStart w:id="55" w:name="_Ref115783786"/>
      <w:bookmarkStart w:id="56" w:name="_Toc133655501"/>
      <w:bookmarkStart w:id="57" w:name="_Toc142918586"/>
      <w:r w:rsidRPr="00A01FA6">
        <w:lastRenderedPageBreak/>
        <w:t>Data and methods</w:t>
      </w:r>
      <w:bookmarkEnd w:id="53"/>
      <w:bookmarkEnd w:id="54"/>
      <w:bookmarkEnd w:id="55"/>
      <w:bookmarkEnd w:id="56"/>
      <w:bookmarkEnd w:id="57"/>
    </w:p>
    <w:p w14:paraId="2B9882BC" w14:textId="79763E22" w:rsidR="005E4F39" w:rsidRPr="005E4F39" w:rsidRDefault="00604E31" w:rsidP="005E4F39">
      <w:r w:rsidRPr="00604E31">
        <w:t xml:space="preserve">The following data and methods </w:t>
      </w:r>
      <w:r w:rsidR="00744148">
        <w:t xml:space="preserve">were utilised </w:t>
      </w:r>
      <w:r w:rsidRPr="00604E31">
        <w:t xml:space="preserve">for this </w:t>
      </w:r>
      <w:r w:rsidR="007026E0">
        <w:t>evaluation</w:t>
      </w:r>
      <w:r w:rsidRPr="00604E31">
        <w:t>.</w:t>
      </w:r>
    </w:p>
    <w:p w14:paraId="1B06F2DB" w14:textId="2A278C3D" w:rsidR="00681331" w:rsidRPr="00A01FA6" w:rsidRDefault="00BA124F" w:rsidP="00A01FA6">
      <w:pPr>
        <w:pStyle w:val="Heading3"/>
      </w:pPr>
      <w:bookmarkStart w:id="58" w:name="_Toc111206317"/>
      <w:bookmarkStart w:id="59" w:name="_Toc111206431"/>
      <w:bookmarkStart w:id="60" w:name="_Toc133655502"/>
      <w:bookmarkStart w:id="61" w:name="_Toc142918587"/>
      <w:r w:rsidRPr="00A01FA6">
        <w:t>Administrative data and documents</w:t>
      </w:r>
      <w:bookmarkEnd w:id="58"/>
      <w:bookmarkEnd w:id="59"/>
      <w:bookmarkEnd w:id="60"/>
      <w:bookmarkEnd w:id="61"/>
    </w:p>
    <w:p w14:paraId="7B0D0768" w14:textId="30EA26D7" w:rsidR="0027458B" w:rsidRDefault="00DE5B21" w:rsidP="0027458B">
      <w:r>
        <w:rPr>
          <w:color w:val="2B579A"/>
          <w:shd w:val="clear" w:color="auto" w:fill="E6E6E6"/>
        </w:rPr>
        <w:fldChar w:fldCharType="begin"/>
      </w:r>
      <w:r>
        <w:instrText xml:space="preserve"> REF _Ref113270048 \h </w:instrText>
      </w:r>
      <w:r>
        <w:rPr>
          <w:color w:val="2B579A"/>
          <w:shd w:val="clear" w:color="auto" w:fill="E6E6E6"/>
        </w:rPr>
      </w:r>
      <w:r>
        <w:rPr>
          <w:color w:val="2B579A"/>
          <w:shd w:val="clear" w:color="auto" w:fill="E6E6E6"/>
        </w:rPr>
        <w:fldChar w:fldCharType="separate"/>
      </w:r>
      <w:r w:rsidR="000F1876" w:rsidRPr="00EB3D5D">
        <w:t xml:space="preserve">Table </w:t>
      </w:r>
      <w:r w:rsidR="000F1876">
        <w:rPr>
          <w:noProof/>
        </w:rPr>
        <w:t>1</w:t>
      </w:r>
      <w:r>
        <w:rPr>
          <w:color w:val="2B579A"/>
          <w:shd w:val="clear" w:color="auto" w:fill="E6E6E6"/>
        </w:rPr>
        <w:fldChar w:fldCharType="end"/>
      </w:r>
      <w:r w:rsidR="00F434E3" w:rsidRPr="00014D8A">
        <w:rPr>
          <w:color w:val="2B579A"/>
        </w:rPr>
        <w:t xml:space="preserve"> </w:t>
      </w:r>
      <w:r w:rsidR="0027458B" w:rsidRPr="00A6761C">
        <w:t>s</w:t>
      </w:r>
      <w:r w:rsidR="0027458B">
        <w:t>hows the administrative data and documents analysed for this report.</w:t>
      </w:r>
    </w:p>
    <w:p w14:paraId="36E1A084" w14:textId="78C6F111" w:rsidR="00D76154" w:rsidRPr="00EB3D5D" w:rsidRDefault="00932998" w:rsidP="00A86241">
      <w:pPr>
        <w:pStyle w:val="Caption-H4"/>
      </w:pPr>
      <w:bookmarkStart w:id="62" w:name="_Ref113270048"/>
      <w:r w:rsidRPr="00EB3D5D">
        <w:t xml:space="preserve">Table </w:t>
      </w:r>
      <w:r w:rsidRPr="00EB3D5D">
        <w:fldChar w:fldCharType="begin"/>
      </w:r>
      <w:r w:rsidRPr="00EB3D5D">
        <w:instrText>SEQ Table \* ARABIC</w:instrText>
      </w:r>
      <w:r w:rsidRPr="00EB3D5D">
        <w:fldChar w:fldCharType="separate"/>
      </w:r>
      <w:r w:rsidR="000F1876">
        <w:rPr>
          <w:noProof/>
        </w:rPr>
        <w:t>1</w:t>
      </w:r>
      <w:r w:rsidRPr="00EB3D5D">
        <w:fldChar w:fldCharType="end"/>
      </w:r>
      <w:bookmarkEnd w:id="62"/>
      <w:r w:rsidR="0027458B" w:rsidRPr="00EB3D5D">
        <w:t>: Administrative data and documents analysed</w:t>
      </w:r>
    </w:p>
    <w:tbl>
      <w:tblPr>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Caption w:val="Administrative data and documents analysed"/>
        <w:tblDescription w:val="2 columns and 7 rows&#10;This table details the data used and the sources of these data for analysis in the IERP evaluation."/>
      </w:tblPr>
      <w:tblGrid>
        <w:gridCol w:w="6091"/>
        <w:gridCol w:w="2925"/>
      </w:tblGrid>
      <w:tr w:rsidR="00855118" w:rsidRPr="0079449C" w14:paraId="38C177B7" w14:textId="77777777" w:rsidTr="51C7B53D">
        <w:trPr>
          <w:trHeight w:val="357"/>
          <w:tblHeader/>
        </w:trPr>
        <w:tc>
          <w:tcPr>
            <w:tcW w:w="3378" w:type="pct"/>
            <w:shd w:val="clear" w:color="auto" w:fill="6A2875"/>
          </w:tcPr>
          <w:p w14:paraId="6AEBF01E" w14:textId="77777777" w:rsidR="00855118" w:rsidRPr="00EB3D5D" w:rsidRDefault="00855118">
            <w:pPr>
              <w:spacing w:before="0" w:after="0"/>
              <w:rPr>
                <w:b/>
                <w:color w:val="FEFFFF" w:themeColor="background1"/>
                <w:szCs w:val="22"/>
              </w:rPr>
            </w:pPr>
            <w:r w:rsidRPr="00EB3D5D">
              <w:rPr>
                <w:b/>
                <w:color w:val="FEFFFF" w:themeColor="background1"/>
                <w:szCs w:val="22"/>
              </w:rPr>
              <w:t>Data and documents</w:t>
            </w:r>
          </w:p>
        </w:tc>
        <w:tc>
          <w:tcPr>
            <w:tcW w:w="1622" w:type="pct"/>
            <w:shd w:val="clear" w:color="auto" w:fill="6A2875"/>
          </w:tcPr>
          <w:p w14:paraId="786794B9" w14:textId="77777777" w:rsidR="00855118" w:rsidRPr="00EB3D5D" w:rsidRDefault="00855118">
            <w:pPr>
              <w:spacing w:before="0" w:after="0"/>
              <w:rPr>
                <w:b/>
                <w:color w:val="FEFFFF" w:themeColor="background1"/>
                <w:szCs w:val="22"/>
              </w:rPr>
            </w:pPr>
            <w:r w:rsidRPr="00EB3D5D">
              <w:rPr>
                <w:b/>
                <w:color w:val="FEFFFF" w:themeColor="background1"/>
                <w:szCs w:val="22"/>
              </w:rPr>
              <w:t>Source</w:t>
            </w:r>
          </w:p>
        </w:tc>
      </w:tr>
      <w:tr w:rsidR="00855118" w:rsidRPr="0079449C" w14:paraId="03979B13" w14:textId="77777777" w:rsidTr="00E50832">
        <w:trPr>
          <w:trHeight w:val="647"/>
        </w:trPr>
        <w:tc>
          <w:tcPr>
            <w:tcW w:w="3378" w:type="pct"/>
            <w:shd w:val="clear" w:color="auto" w:fill="F7EEF7"/>
          </w:tcPr>
          <w:p w14:paraId="7CB1F6C1" w14:textId="3A2C7483" w:rsidR="00855118" w:rsidRPr="00EB3D5D" w:rsidRDefault="55E4EC31" w:rsidP="00E50832">
            <w:pPr>
              <w:pStyle w:val="BodyText1"/>
              <w:spacing w:before="0" w:after="0"/>
              <w:rPr>
                <w:rFonts w:cs="Arial"/>
                <w:szCs w:val="22"/>
              </w:rPr>
            </w:pPr>
            <w:r w:rsidRPr="00EB3D5D">
              <w:rPr>
                <w:rFonts w:cs="Arial"/>
                <w:szCs w:val="22"/>
              </w:rPr>
              <w:t>IERP tracking sheet</w:t>
            </w:r>
            <w:r w:rsidR="13A448B5" w:rsidRPr="00EB3D5D">
              <w:rPr>
                <w:rFonts w:cs="Arial"/>
                <w:szCs w:val="22"/>
              </w:rPr>
              <w:t xml:space="preserve"> (</w:t>
            </w:r>
            <w:r w:rsidR="00E05950">
              <w:rPr>
                <w:rFonts w:cs="Arial"/>
                <w:szCs w:val="22"/>
              </w:rPr>
              <w:t>three</w:t>
            </w:r>
            <w:r w:rsidR="13A448B5" w:rsidRPr="00EB3D5D">
              <w:rPr>
                <w:rFonts w:cs="Arial"/>
                <w:szCs w:val="22"/>
              </w:rPr>
              <w:t xml:space="preserve"> versions, dated January 2023</w:t>
            </w:r>
            <w:r w:rsidR="00E05950">
              <w:rPr>
                <w:rFonts w:cs="Arial"/>
                <w:szCs w:val="22"/>
              </w:rPr>
              <w:t>,</w:t>
            </w:r>
            <w:r w:rsidR="0043601D" w:rsidRPr="00EB3D5D">
              <w:rPr>
                <w:rFonts w:cs="Arial"/>
                <w:szCs w:val="22"/>
              </w:rPr>
              <w:t xml:space="preserve"> </w:t>
            </w:r>
            <w:r w:rsidR="00920434" w:rsidRPr="00EB3D5D">
              <w:rPr>
                <w:rFonts w:cs="Arial"/>
                <w:szCs w:val="22"/>
              </w:rPr>
              <w:t>March 2023</w:t>
            </w:r>
            <w:r w:rsidR="00E05950">
              <w:rPr>
                <w:rFonts w:cs="Arial"/>
                <w:szCs w:val="22"/>
              </w:rPr>
              <w:t>, and Ju</w:t>
            </w:r>
            <w:r w:rsidR="00CE13C2">
              <w:rPr>
                <w:rFonts w:cs="Arial"/>
                <w:szCs w:val="22"/>
              </w:rPr>
              <w:t>ly</w:t>
            </w:r>
            <w:r w:rsidR="00E05950">
              <w:rPr>
                <w:rFonts w:cs="Arial"/>
                <w:szCs w:val="22"/>
              </w:rPr>
              <w:t xml:space="preserve"> 2023</w:t>
            </w:r>
            <w:r w:rsidR="13A448B5" w:rsidRPr="00EB3D5D">
              <w:rPr>
                <w:rFonts w:cs="Arial"/>
                <w:szCs w:val="22"/>
              </w:rPr>
              <w:t>)</w:t>
            </w:r>
          </w:p>
        </w:tc>
        <w:tc>
          <w:tcPr>
            <w:tcW w:w="1622" w:type="pct"/>
            <w:shd w:val="clear" w:color="auto" w:fill="F7EEF7"/>
          </w:tcPr>
          <w:p w14:paraId="5254358F" w14:textId="573E875E" w:rsidR="00855118" w:rsidRPr="00DD4FEE" w:rsidRDefault="72F6BB4D" w:rsidP="00E50832">
            <w:pPr>
              <w:spacing w:before="0" w:after="0"/>
              <w:rPr>
                <w:szCs w:val="22"/>
              </w:rPr>
            </w:pPr>
            <w:r w:rsidRPr="00EB3D5D">
              <w:rPr>
                <w:szCs w:val="22"/>
              </w:rPr>
              <w:t>IERP project team</w:t>
            </w:r>
          </w:p>
        </w:tc>
      </w:tr>
      <w:tr w:rsidR="00855118" w:rsidRPr="0079449C" w14:paraId="7D7CA9A8" w14:textId="77777777" w:rsidTr="00E50832">
        <w:trPr>
          <w:trHeight w:val="382"/>
        </w:trPr>
        <w:tc>
          <w:tcPr>
            <w:tcW w:w="3378" w:type="pct"/>
            <w:shd w:val="clear" w:color="auto" w:fill="FEFFFF" w:themeFill="background1"/>
          </w:tcPr>
          <w:p w14:paraId="39FC9E0C" w14:textId="43EAA85C" w:rsidR="00855118" w:rsidRPr="00EB3D5D" w:rsidRDefault="06C543FB" w:rsidP="00E50832">
            <w:pPr>
              <w:spacing w:before="0" w:after="0"/>
              <w:rPr>
                <w:szCs w:val="22"/>
              </w:rPr>
            </w:pPr>
            <w:r w:rsidRPr="00EB3D5D">
              <w:rPr>
                <w:szCs w:val="22"/>
              </w:rPr>
              <w:t xml:space="preserve">IERP costings related to </w:t>
            </w:r>
            <w:r w:rsidR="73EE7186" w:rsidRPr="00EB3D5D">
              <w:rPr>
                <w:szCs w:val="22"/>
              </w:rPr>
              <w:t>IER reviews and meetings</w:t>
            </w:r>
            <w:r w:rsidR="000B24B1" w:rsidRPr="00EB3D5D">
              <w:rPr>
                <w:szCs w:val="22"/>
              </w:rPr>
              <w:t>:</w:t>
            </w:r>
          </w:p>
          <w:p w14:paraId="46A187A6" w14:textId="7CA277CE" w:rsidR="00855118" w:rsidRPr="00EB3D5D" w:rsidRDefault="00103497" w:rsidP="000705FE">
            <w:pPr>
              <w:pStyle w:val="ListParagraph"/>
              <w:numPr>
                <w:ilvl w:val="0"/>
                <w:numId w:val="17"/>
              </w:numPr>
              <w:spacing w:before="0" w:after="0"/>
              <w:ind w:left="641" w:hanging="357"/>
              <w:rPr>
                <w:szCs w:val="22"/>
              </w:rPr>
            </w:pPr>
            <w:r w:rsidRPr="00EB3D5D">
              <w:rPr>
                <w:szCs w:val="22"/>
              </w:rPr>
              <w:t>IER</w:t>
            </w:r>
            <w:r w:rsidR="00F47ACE" w:rsidRPr="00EB3D5D">
              <w:rPr>
                <w:szCs w:val="22"/>
              </w:rPr>
              <w:t>P</w:t>
            </w:r>
            <w:r w:rsidRPr="00EB3D5D">
              <w:rPr>
                <w:szCs w:val="22"/>
              </w:rPr>
              <w:t xml:space="preserve"> </w:t>
            </w:r>
            <w:r w:rsidR="001B4ECF" w:rsidRPr="00EB3D5D">
              <w:rPr>
                <w:szCs w:val="22"/>
              </w:rPr>
              <w:t>costs</w:t>
            </w:r>
          </w:p>
        </w:tc>
        <w:tc>
          <w:tcPr>
            <w:tcW w:w="1622" w:type="pct"/>
            <w:shd w:val="clear" w:color="auto" w:fill="FEFFFF" w:themeFill="background1"/>
          </w:tcPr>
          <w:p w14:paraId="3DDDB52F" w14:textId="47C77A15" w:rsidR="00855118" w:rsidRPr="00DD4FEE" w:rsidRDefault="73EE7186" w:rsidP="00E50832">
            <w:pPr>
              <w:spacing w:before="0" w:after="0"/>
              <w:rPr>
                <w:szCs w:val="22"/>
              </w:rPr>
            </w:pPr>
            <w:r w:rsidRPr="00EB3D5D">
              <w:rPr>
                <w:szCs w:val="22"/>
              </w:rPr>
              <w:t>IERP project team</w:t>
            </w:r>
          </w:p>
        </w:tc>
      </w:tr>
      <w:tr w:rsidR="00855118" w:rsidRPr="004B00EA" w14:paraId="686CE3D1" w14:textId="77777777" w:rsidTr="00E50832">
        <w:trPr>
          <w:trHeight w:val="257"/>
        </w:trPr>
        <w:tc>
          <w:tcPr>
            <w:tcW w:w="3378" w:type="pct"/>
            <w:shd w:val="clear" w:color="auto" w:fill="F7EEF7"/>
          </w:tcPr>
          <w:p w14:paraId="296DB350" w14:textId="73F75DCD" w:rsidR="00103497" w:rsidRPr="00EB3D5D" w:rsidRDefault="00C04CE7" w:rsidP="00E50832">
            <w:pPr>
              <w:spacing w:before="0" w:after="0"/>
              <w:rPr>
                <w:szCs w:val="22"/>
              </w:rPr>
            </w:pPr>
            <w:r w:rsidRPr="00EB3D5D">
              <w:rPr>
                <w:szCs w:val="22"/>
              </w:rPr>
              <w:t>s</w:t>
            </w:r>
            <w:r w:rsidR="46C3EBBB" w:rsidRPr="00EB3D5D">
              <w:rPr>
                <w:szCs w:val="22"/>
              </w:rPr>
              <w:t>100 data</w:t>
            </w:r>
          </w:p>
          <w:p w14:paraId="12FAF0D3" w14:textId="2AB2D3A2" w:rsidR="72AFB815" w:rsidRPr="00EB3D5D" w:rsidRDefault="46C3EBBB" w:rsidP="000705FE">
            <w:pPr>
              <w:pStyle w:val="ListParagraph"/>
              <w:numPr>
                <w:ilvl w:val="0"/>
                <w:numId w:val="17"/>
              </w:numPr>
              <w:spacing w:before="0" w:after="0"/>
              <w:ind w:left="641" w:hanging="357"/>
              <w:rPr>
                <w:szCs w:val="22"/>
              </w:rPr>
            </w:pPr>
            <w:r w:rsidRPr="00EB3D5D">
              <w:rPr>
                <w:szCs w:val="22"/>
              </w:rPr>
              <w:t>DSREPMA.TMP_S100_CASES</w:t>
            </w:r>
          </w:p>
          <w:p w14:paraId="5A20B774" w14:textId="02235DA9" w:rsidR="72AFB815" w:rsidRPr="00EB3D5D" w:rsidRDefault="74C7C33D" w:rsidP="000705FE">
            <w:pPr>
              <w:pStyle w:val="ListParagraph"/>
              <w:numPr>
                <w:ilvl w:val="0"/>
                <w:numId w:val="17"/>
              </w:numPr>
              <w:spacing w:before="0" w:after="0"/>
              <w:ind w:left="641" w:hanging="357"/>
              <w:rPr>
                <w:szCs w:val="22"/>
              </w:rPr>
            </w:pPr>
            <w:r w:rsidRPr="00EB3D5D">
              <w:rPr>
                <w:szCs w:val="22"/>
              </w:rPr>
              <w:t>DSREPMA.TMP_S100_</w:t>
            </w:r>
            <w:r w:rsidR="3089668E" w:rsidRPr="00EB3D5D">
              <w:rPr>
                <w:szCs w:val="22"/>
              </w:rPr>
              <w:t>REQUESTS</w:t>
            </w:r>
          </w:p>
          <w:p w14:paraId="0280AA6E" w14:textId="613EBA46" w:rsidR="72AFB815" w:rsidRPr="00EB3D5D" w:rsidRDefault="3089668E" w:rsidP="000705FE">
            <w:pPr>
              <w:pStyle w:val="ListParagraph"/>
              <w:numPr>
                <w:ilvl w:val="0"/>
                <w:numId w:val="17"/>
              </w:numPr>
              <w:spacing w:before="0" w:after="0"/>
              <w:ind w:left="641" w:hanging="357"/>
              <w:rPr>
                <w:szCs w:val="22"/>
              </w:rPr>
            </w:pPr>
            <w:r w:rsidRPr="00EB3D5D">
              <w:rPr>
                <w:szCs w:val="22"/>
              </w:rPr>
              <w:t>DSREPMA.TMP_S100_TRIAGE</w:t>
            </w:r>
          </w:p>
        </w:tc>
        <w:tc>
          <w:tcPr>
            <w:tcW w:w="1622" w:type="pct"/>
            <w:shd w:val="clear" w:color="auto" w:fill="F7EEF7"/>
          </w:tcPr>
          <w:p w14:paraId="08543297" w14:textId="349F37E7" w:rsidR="72AFB815" w:rsidRPr="00EB3D5D" w:rsidRDefault="00C04CE7" w:rsidP="00E50832">
            <w:pPr>
              <w:spacing w:before="0" w:after="0"/>
              <w:rPr>
                <w:szCs w:val="22"/>
              </w:rPr>
            </w:pPr>
            <w:r w:rsidRPr="00EB3D5D">
              <w:rPr>
                <w:szCs w:val="22"/>
              </w:rPr>
              <w:t xml:space="preserve">NDIA </w:t>
            </w:r>
            <w:r w:rsidR="72AFB815" w:rsidRPr="00EB3D5D">
              <w:rPr>
                <w:szCs w:val="22"/>
              </w:rPr>
              <w:t>Enterprise Data Warehouse</w:t>
            </w:r>
          </w:p>
        </w:tc>
      </w:tr>
      <w:tr w:rsidR="00855118" w:rsidRPr="0079449C" w14:paraId="21FA37B5" w14:textId="77777777" w:rsidTr="00E50832">
        <w:trPr>
          <w:trHeight w:val="291"/>
        </w:trPr>
        <w:tc>
          <w:tcPr>
            <w:tcW w:w="3378" w:type="pct"/>
            <w:shd w:val="clear" w:color="auto" w:fill="auto"/>
          </w:tcPr>
          <w:p w14:paraId="12F11DA0" w14:textId="157186F9" w:rsidR="72AFB815" w:rsidRPr="00EB3D5D" w:rsidRDefault="4B1DDE20" w:rsidP="00E50832">
            <w:pPr>
              <w:spacing w:before="0" w:after="0"/>
              <w:rPr>
                <w:szCs w:val="22"/>
              </w:rPr>
            </w:pPr>
            <w:r w:rsidRPr="00EB3D5D">
              <w:rPr>
                <w:szCs w:val="22"/>
              </w:rPr>
              <w:t xml:space="preserve">LEX </w:t>
            </w:r>
            <w:r w:rsidR="350F18DE" w:rsidRPr="00EB3D5D">
              <w:rPr>
                <w:szCs w:val="22"/>
              </w:rPr>
              <w:t xml:space="preserve">data </w:t>
            </w:r>
            <w:r w:rsidRPr="00EB3D5D">
              <w:rPr>
                <w:szCs w:val="22"/>
              </w:rPr>
              <w:t xml:space="preserve">related to </w:t>
            </w:r>
            <w:r w:rsidR="158006CC" w:rsidRPr="00EB3D5D">
              <w:rPr>
                <w:szCs w:val="22"/>
              </w:rPr>
              <w:t xml:space="preserve">AAT </w:t>
            </w:r>
            <w:r w:rsidR="26377A26" w:rsidRPr="00EB3D5D">
              <w:rPr>
                <w:szCs w:val="22"/>
              </w:rPr>
              <w:t>partici</w:t>
            </w:r>
            <w:r w:rsidR="158006CC" w:rsidRPr="00EB3D5D">
              <w:rPr>
                <w:szCs w:val="22"/>
              </w:rPr>
              <w:t>pation,</w:t>
            </w:r>
            <w:r w:rsidRPr="00EB3D5D">
              <w:rPr>
                <w:szCs w:val="22"/>
              </w:rPr>
              <w:t xml:space="preserve"> activity and costings</w:t>
            </w:r>
          </w:p>
        </w:tc>
        <w:tc>
          <w:tcPr>
            <w:tcW w:w="1622" w:type="pct"/>
            <w:shd w:val="clear" w:color="auto" w:fill="auto"/>
          </w:tcPr>
          <w:p w14:paraId="6D519120" w14:textId="36CBDDF8" w:rsidR="72AFB815" w:rsidRPr="00EB3D5D" w:rsidRDefault="72AFB815" w:rsidP="00E50832">
            <w:pPr>
              <w:spacing w:before="0" w:after="0"/>
              <w:rPr>
                <w:szCs w:val="22"/>
              </w:rPr>
            </w:pPr>
            <w:r w:rsidRPr="00EB3D5D">
              <w:rPr>
                <w:szCs w:val="22"/>
              </w:rPr>
              <w:t>Chief Counsel Division</w:t>
            </w:r>
          </w:p>
        </w:tc>
      </w:tr>
      <w:tr w:rsidR="00855118" w:rsidRPr="004B00EA" w14:paraId="253AA1C4" w14:textId="77777777" w:rsidTr="00E50832">
        <w:trPr>
          <w:trHeight w:val="382"/>
        </w:trPr>
        <w:tc>
          <w:tcPr>
            <w:tcW w:w="3378" w:type="pct"/>
            <w:shd w:val="clear" w:color="auto" w:fill="F7EEF7"/>
          </w:tcPr>
          <w:p w14:paraId="4F182003" w14:textId="77777777" w:rsidR="00855118" w:rsidRPr="00EB3D5D" w:rsidRDefault="7A6D7C9D" w:rsidP="00E50832">
            <w:pPr>
              <w:spacing w:before="0" w:after="0"/>
              <w:rPr>
                <w:color w:val="000000"/>
                <w:szCs w:val="22"/>
              </w:rPr>
            </w:pPr>
            <w:r w:rsidRPr="00EB3D5D">
              <w:rPr>
                <w:color w:val="000000" w:themeColor="text1"/>
                <w:szCs w:val="22"/>
              </w:rPr>
              <w:t>Participant Demographics</w:t>
            </w:r>
          </w:p>
          <w:p w14:paraId="237DE47C" w14:textId="6298EB0D" w:rsidR="0052678E" w:rsidRPr="00EB3D5D" w:rsidRDefault="0052678E" w:rsidP="000705FE">
            <w:pPr>
              <w:pStyle w:val="ListParagraph"/>
              <w:numPr>
                <w:ilvl w:val="0"/>
                <w:numId w:val="17"/>
              </w:numPr>
              <w:spacing w:before="0" w:after="0"/>
              <w:ind w:left="641" w:hanging="357"/>
              <w:rPr>
                <w:szCs w:val="22"/>
              </w:rPr>
            </w:pPr>
            <w:r w:rsidRPr="00EB3D5D">
              <w:rPr>
                <w:szCs w:val="22"/>
              </w:rPr>
              <w:t>ACARRMA.R03_</w:t>
            </w:r>
            <w:r w:rsidR="00FD5CCF" w:rsidRPr="00EB3D5D">
              <w:rPr>
                <w:szCs w:val="22"/>
              </w:rPr>
              <w:t>REG</w:t>
            </w:r>
            <w:r w:rsidRPr="00EB3D5D">
              <w:rPr>
                <w:szCs w:val="22"/>
              </w:rPr>
              <w:t>_</w:t>
            </w:r>
            <w:r w:rsidR="00FD5CCF" w:rsidRPr="00EB3D5D">
              <w:rPr>
                <w:szCs w:val="22"/>
              </w:rPr>
              <w:t>ALL</w:t>
            </w:r>
            <w:r w:rsidRPr="00EB3D5D">
              <w:rPr>
                <w:szCs w:val="22"/>
              </w:rPr>
              <w:t>_</w:t>
            </w:r>
            <w:r w:rsidR="00FD5CCF" w:rsidRPr="00EB3D5D">
              <w:rPr>
                <w:szCs w:val="22"/>
              </w:rPr>
              <w:t>PLANS</w:t>
            </w:r>
          </w:p>
          <w:p w14:paraId="1737D81F" w14:textId="022673B0" w:rsidR="00855118" w:rsidRPr="00EB3D5D" w:rsidRDefault="0052678E" w:rsidP="000705FE">
            <w:pPr>
              <w:pStyle w:val="ListParagraph"/>
              <w:numPr>
                <w:ilvl w:val="0"/>
                <w:numId w:val="17"/>
              </w:numPr>
              <w:spacing w:before="0" w:after="0"/>
              <w:ind w:left="641" w:hanging="357"/>
              <w:rPr>
                <w:color w:val="000000"/>
                <w:szCs w:val="22"/>
              </w:rPr>
            </w:pPr>
            <w:r w:rsidRPr="00EB3D5D">
              <w:rPr>
                <w:szCs w:val="22"/>
              </w:rPr>
              <w:t>DSNAROM.PARTICIPANTDEMOGRAPHICS</w:t>
            </w:r>
          </w:p>
        </w:tc>
        <w:tc>
          <w:tcPr>
            <w:tcW w:w="1622" w:type="pct"/>
            <w:shd w:val="clear" w:color="auto" w:fill="F7EEF7"/>
          </w:tcPr>
          <w:p w14:paraId="546AEE09" w14:textId="18D9F5A7" w:rsidR="00855118" w:rsidRPr="00EB3D5D" w:rsidRDefault="00DD70C5" w:rsidP="00E50832">
            <w:pPr>
              <w:spacing w:before="0" w:after="0"/>
              <w:rPr>
                <w:szCs w:val="22"/>
              </w:rPr>
            </w:pPr>
            <w:r w:rsidRPr="00EB3D5D">
              <w:rPr>
                <w:szCs w:val="22"/>
              </w:rPr>
              <w:t xml:space="preserve">NDIA </w:t>
            </w:r>
            <w:r w:rsidR="7A6D7C9D" w:rsidRPr="00EB3D5D">
              <w:rPr>
                <w:szCs w:val="22"/>
              </w:rPr>
              <w:t>Enterprise Data Warehouse</w:t>
            </w:r>
          </w:p>
        </w:tc>
      </w:tr>
      <w:tr w:rsidR="00855118" w:rsidRPr="0079449C" w14:paraId="534DB546" w14:textId="77777777" w:rsidTr="00E50832">
        <w:trPr>
          <w:trHeight w:val="382"/>
        </w:trPr>
        <w:tc>
          <w:tcPr>
            <w:tcW w:w="3378" w:type="pct"/>
            <w:shd w:val="clear" w:color="auto" w:fill="auto"/>
          </w:tcPr>
          <w:p w14:paraId="268B16EC" w14:textId="77777777" w:rsidR="00855118" w:rsidRPr="00EB3D5D" w:rsidRDefault="0052678E" w:rsidP="00E50832">
            <w:pPr>
              <w:spacing w:before="0" w:after="0"/>
              <w:rPr>
                <w:rFonts w:eastAsia="MS PGothic" w:cs="Arial"/>
                <w:szCs w:val="22"/>
              </w:rPr>
            </w:pPr>
            <w:r w:rsidRPr="00EB3D5D">
              <w:rPr>
                <w:rFonts w:eastAsia="MS PGothic" w:cs="Arial"/>
                <w:szCs w:val="22"/>
              </w:rPr>
              <w:t>Plan Costs</w:t>
            </w:r>
          </w:p>
          <w:p w14:paraId="6375BEFE" w14:textId="77777777" w:rsidR="0052678E" w:rsidRPr="00EB3D5D" w:rsidRDefault="00103497" w:rsidP="000705FE">
            <w:pPr>
              <w:pStyle w:val="ListParagraph"/>
              <w:numPr>
                <w:ilvl w:val="0"/>
                <w:numId w:val="17"/>
              </w:numPr>
              <w:spacing w:before="0" w:after="0"/>
              <w:ind w:left="641" w:hanging="357"/>
              <w:rPr>
                <w:rFonts w:eastAsia="MS PGothic" w:cs="Arial"/>
                <w:szCs w:val="22"/>
              </w:rPr>
            </w:pPr>
            <w:r w:rsidRPr="00EB3D5D">
              <w:rPr>
                <w:rFonts w:eastAsia="MS PGothic" w:cs="Arial"/>
                <w:szCs w:val="22"/>
              </w:rPr>
              <w:t>DSREPMA.PLANSMRYBDGT</w:t>
            </w:r>
          </w:p>
          <w:p w14:paraId="555CB584" w14:textId="21B7B4DC" w:rsidR="00855118" w:rsidRPr="00EB3D5D" w:rsidRDefault="00103497" w:rsidP="000705FE">
            <w:pPr>
              <w:pStyle w:val="ListParagraph"/>
              <w:numPr>
                <w:ilvl w:val="0"/>
                <w:numId w:val="17"/>
              </w:numPr>
              <w:spacing w:before="0" w:after="0"/>
              <w:ind w:left="641" w:hanging="357"/>
              <w:rPr>
                <w:rFonts w:eastAsia="MS PGothic" w:cs="Arial"/>
                <w:szCs w:val="22"/>
              </w:rPr>
            </w:pPr>
            <w:r w:rsidRPr="00EB3D5D">
              <w:rPr>
                <w:rFonts w:eastAsia="MS PGothic" w:cs="Arial"/>
                <w:szCs w:val="22"/>
              </w:rPr>
              <w:t>DSREPMA.</w:t>
            </w:r>
            <w:r w:rsidR="001B4ECF" w:rsidRPr="00EB3D5D">
              <w:rPr>
                <w:rFonts w:eastAsia="MS PGothic" w:cs="Arial"/>
                <w:szCs w:val="22"/>
              </w:rPr>
              <w:t>PLANDTL</w:t>
            </w:r>
          </w:p>
        </w:tc>
        <w:tc>
          <w:tcPr>
            <w:tcW w:w="1622" w:type="pct"/>
            <w:shd w:val="clear" w:color="auto" w:fill="auto"/>
          </w:tcPr>
          <w:p w14:paraId="60AC7692" w14:textId="5ED3ACF1" w:rsidR="00855118" w:rsidRPr="00EB3D5D" w:rsidRDefault="00DD70C5" w:rsidP="00E50832">
            <w:pPr>
              <w:spacing w:before="0" w:after="0"/>
              <w:rPr>
                <w:szCs w:val="22"/>
              </w:rPr>
            </w:pPr>
            <w:r w:rsidRPr="00EB3D5D">
              <w:rPr>
                <w:szCs w:val="22"/>
              </w:rPr>
              <w:t xml:space="preserve">NDIA </w:t>
            </w:r>
            <w:r w:rsidR="00103497" w:rsidRPr="00EB3D5D">
              <w:rPr>
                <w:szCs w:val="22"/>
              </w:rPr>
              <w:t>Enterprise Data Warehouse</w:t>
            </w:r>
          </w:p>
        </w:tc>
      </w:tr>
    </w:tbl>
    <w:p w14:paraId="115382E1" w14:textId="6FA2AC0B" w:rsidR="00A83F2C" w:rsidRPr="002A2AC2" w:rsidRDefault="003D281F" w:rsidP="00A3656C">
      <w:pPr>
        <w:rPr>
          <w:szCs w:val="22"/>
        </w:rPr>
      </w:pPr>
      <w:bookmarkStart w:id="63" w:name="_Toc111206318"/>
      <w:bookmarkStart w:id="64" w:name="_Toc111206432"/>
      <w:bookmarkStart w:id="65" w:name="_Toc133655503"/>
      <w:r w:rsidRPr="00EB3D5D">
        <w:rPr>
          <w:szCs w:val="22"/>
        </w:rPr>
        <w:t xml:space="preserve">Source: Research and Evaluation Branch summary. </w:t>
      </w:r>
    </w:p>
    <w:p w14:paraId="09709E1D" w14:textId="4DBAC63A" w:rsidR="00D42B93" w:rsidRDefault="003558A5" w:rsidP="003558A5">
      <w:pPr>
        <w:pStyle w:val="Heading3"/>
        <w:spacing w:before="240"/>
      </w:pPr>
      <w:bookmarkStart w:id="66" w:name="_Toc142918588"/>
      <w:r>
        <w:t xml:space="preserve">Stakeholder </w:t>
      </w:r>
      <w:bookmarkEnd w:id="63"/>
      <w:bookmarkEnd w:id="64"/>
      <w:r>
        <w:t>interviews</w:t>
      </w:r>
      <w:bookmarkEnd w:id="65"/>
      <w:bookmarkEnd w:id="66"/>
    </w:p>
    <w:p w14:paraId="76178742" w14:textId="21456F99" w:rsidR="00145216" w:rsidRDefault="001820F8" w:rsidP="003F154A">
      <w:pPr>
        <w:pStyle w:val="BodyText1"/>
      </w:pPr>
      <w:r>
        <w:t xml:space="preserve">Independent </w:t>
      </w:r>
      <w:r w:rsidR="00646B4B">
        <w:t>e</w:t>
      </w:r>
      <w:r>
        <w:t>xperts</w:t>
      </w:r>
      <w:r w:rsidR="00867132">
        <w:t>,</w:t>
      </w:r>
      <w:r w:rsidR="004907B6">
        <w:t xml:space="preserve"> </w:t>
      </w:r>
      <w:r w:rsidR="00501ADF">
        <w:t xml:space="preserve">participant </w:t>
      </w:r>
      <w:r w:rsidR="008400AD">
        <w:t>representatives</w:t>
      </w:r>
      <w:r w:rsidR="00501ADF">
        <w:t xml:space="preserve"> </w:t>
      </w:r>
      <w:r w:rsidR="00D70033">
        <w:t xml:space="preserve">and </w:t>
      </w:r>
      <w:r w:rsidR="00601532">
        <w:t>representatives from D</w:t>
      </w:r>
      <w:r w:rsidR="00E44B43">
        <w:t xml:space="preserve">isability </w:t>
      </w:r>
      <w:r w:rsidR="00601532">
        <w:t>R</w:t>
      </w:r>
      <w:r w:rsidR="00E44B43">
        <w:t xml:space="preserve">epresentative and </w:t>
      </w:r>
      <w:r w:rsidR="00601532">
        <w:t>C</w:t>
      </w:r>
      <w:r w:rsidR="00E44B43">
        <w:t xml:space="preserve">arer </w:t>
      </w:r>
      <w:r w:rsidR="00601532">
        <w:t>O</w:t>
      </w:r>
      <w:r w:rsidR="00E44B43">
        <w:t xml:space="preserve">rganisations (DRCOs) </w:t>
      </w:r>
      <w:r w:rsidR="00D70033">
        <w:t xml:space="preserve">were invited </w:t>
      </w:r>
      <w:r w:rsidR="00D9578E">
        <w:t>to participate in a</w:t>
      </w:r>
      <w:r w:rsidR="008E12D4">
        <w:t xml:space="preserve"> </w:t>
      </w:r>
      <w:r w:rsidR="005D6D01">
        <w:lastRenderedPageBreak/>
        <w:t xml:space="preserve">semi-structured </w:t>
      </w:r>
      <w:r w:rsidR="008E12D4">
        <w:t xml:space="preserve">telephone or </w:t>
      </w:r>
      <w:r w:rsidR="008953CD">
        <w:t xml:space="preserve">Microsoft Teams </w:t>
      </w:r>
      <w:r w:rsidR="00D9578E">
        <w:t>interview</w:t>
      </w:r>
      <w:r w:rsidR="00994AF5">
        <w:t>.</w:t>
      </w:r>
      <w:r w:rsidR="00874712">
        <w:t xml:space="preserve"> </w:t>
      </w:r>
      <w:r w:rsidR="005D6D01">
        <w:t>Interviewees</w:t>
      </w:r>
      <w:r w:rsidR="00145216">
        <w:t xml:space="preserve"> </w:t>
      </w:r>
      <w:r w:rsidR="00CA23BE">
        <w:t>gave</w:t>
      </w:r>
      <w:r w:rsidR="00145216">
        <w:t xml:space="preserve"> v</w:t>
      </w:r>
      <w:r w:rsidR="00E624B4">
        <w:t xml:space="preserve">erbal </w:t>
      </w:r>
      <w:r w:rsidR="00874712">
        <w:t xml:space="preserve">consent </w:t>
      </w:r>
      <w:r w:rsidR="00145216">
        <w:t xml:space="preserve">before the interview started. Interviews were recorded and auto transcribed </w:t>
      </w:r>
      <w:r w:rsidR="00372349" w:rsidRPr="00DB42F1">
        <w:rPr>
          <w:rStyle w:val="normaltextrun"/>
          <w:rFonts w:cs="Arial"/>
          <w:szCs w:val="22"/>
        </w:rPr>
        <w:t>using Adobe Premiere Pro</w:t>
      </w:r>
      <w:r w:rsidR="00372349">
        <w:t xml:space="preserve"> </w:t>
      </w:r>
      <w:r w:rsidR="00145216">
        <w:t>with the permission of interviewees.</w:t>
      </w:r>
    </w:p>
    <w:p w14:paraId="79170D44" w14:textId="2AE9962C" w:rsidR="003F154A" w:rsidRDefault="00A53D88" w:rsidP="003F154A">
      <w:pPr>
        <w:pStyle w:val="BodyText1"/>
      </w:pPr>
      <w:r>
        <w:t>A total of</w:t>
      </w:r>
      <w:r w:rsidR="003F154A">
        <w:t xml:space="preserve"> </w:t>
      </w:r>
      <w:r w:rsidR="009D4307">
        <w:t>13</w:t>
      </w:r>
      <w:r w:rsidR="003F154A">
        <w:t xml:space="preserve"> </w:t>
      </w:r>
      <w:r w:rsidR="00746717">
        <w:t>of the 1</w:t>
      </w:r>
      <w:r w:rsidR="0010799B">
        <w:t>7</w:t>
      </w:r>
      <w:r w:rsidR="00746717">
        <w:t xml:space="preserve"> </w:t>
      </w:r>
      <w:r w:rsidR="003F154A">
        <w:t>independent expert</w:t>
      </w:r>
      <w:r w:rsidR="00746717">
        <w:t>s</w:t>
      </w:r>
      <w:r w:rsidR="00E21263">
        <w:t xml:space="preserve"> who have reviewed </w:t>
      </w:r>
      <w:r w:rsidR="00950EA6">
        <w:t xml:space="preserve">IERP </w:t>
      </w:r>
      <w:r w:rsidR="00E21263">
        <w:t>matters</w:t>
      </w:r>
      <w:r w:rsidR="003F154A">
        <w:t xml:space="preserve">, </w:t>
      </w:r>
      <w:r w:rsidR="00331FBA">
        <w:t>1</w:t>
      </w:r>
      <w:r w:rsidR="00EE6A99">
        <w:t>2</w:t>
      </w:r>
      <w:r w:rsidR="003F154A">
        <w:t xml:space="preserve"> participant </w:t>
      </w:r>
      <w:r w:rsidR="00437ED1">
        <w:t>representatives</w:t>
      </w:r>
      <w:r w:rsidR="003F154A">
        <w:t>,</w:t>
      </w:r>
      <w:r w:rsidR="009F416D">
        <w:t xml:space="preserve"> and</w:t>
      </w:r>
      <w:r w:rsidR="003F154A">
        <w:t xml:space="preserve"> </w:t>
      </w:r>
      <w:r w:rsidR="00D41D3E">
        <w:t>nine</w:t>
      </w:r>
      <w:r w:rsidR="003F154A">
        <w:t xml:space="preserve"> </w:t>
      </w:r>
      <w:r w:rsidR="00994AF5">
        <w:t>DRCOs</w:t>
      </w:r>
      <w:r>
        <w:t xml:space="preserve"> </w:t>
      </w:r>
      <w:r w:rsidR="00E21263">
        <w:t xml:space="preserve">agreed to </w:t>
      </w:r>
      <w:r>
        <w:t>an interview (</w:t>
      </w:r>
      <w:r w:rsidR="00F6131D">
        <w:t>see</w:t>
      </w:r>
      <w:r>
        <w:t xml:space="preserve"> Appendix </w:t>
      </w:r>
      <w:r w:rsidR="00C13E52">
        <w:t>B</w:t>
      </w:r>
      <w:r w:rsidR="000335AF">
        <w:t>)</w:t>
      </w:r>
      <w:r w:rsidR="00407242">
        <w:t>.</w:t>
      </w:r>
      <w:r w:rsidR="004846B5">
        <w:t xml:space="preserve"> </w:t>
      </w:r>
    </w:p>
    <w:p w14:paraId="3605CBFD" w14:textId="14A189A8" w:rsidR="009C50D2" w:rsidRDefault="00213545" w:rsidP="003F154A">
      <w:pPr>
        <w:pStyle w:val="BodyText1"/>
      </w:pPr>
      <w:r>
        <w:t xml:space="preserve">The Evaluation Team also interviewed </w:t>
      </w:r>
      <w:r w:rsidR="002B6D36">
        <w:t>seven</w:t>
      </w:r>
      <w:r w:rsidR="007C4418">
        <w:t xml:space="preserve"> </w:t>
      </w:r>
      <w:r>
        <w:t>i</w:t>
      </w:r>
      <w:r w:rsidR="000541D3">
        <w:t xml:space="preserve">nternal NDIA </w:t>
      </w:r>
      <w:r w:rsidR="000271B5">
        <w:t xml:space="preserve">IERP managers and </w:t>
      </w:r>
      <w:r w:rsidR="000541D3">
        <w:t xml:space="preserve">subject matter experts </w:t>
      </w:r>
      <w:r w:rsidR="00BF175A">
        <w:t xml:space="preserve">to provide </w:t>
      </w:r>
      <w:r w:rsidR="00526714">
        <w:t>background</w:t>
      </w:r>
      <w:r w:rsidR="00EF0696">
        <w:t xml:space="preserve"> </w:t>
      </w:r>
      <w:r w:rsidR="00E3430B">
        <w:t xml:space="preserve">on </w:t>
      </w:r>
      <w:r w:rsidR="00DF6E43">
        <w:t xml:space="preserve">the </w:t>
      </w:r>
      <w:r w:rsidR="007C4418">
        <w:t xml:space="preserve">IERP’s </w:t>
      </w:r>
      <w:r w:rsidR="00DF6E43">
        <w:t xml:space="preserve">design, </w:t>
      </w:r>
      <w:r w:rsidR="007344E7">
        <w:t>implementation,</w:t>
      </w:r>
      <w:r w:rsidR="00DF6E43">
        <w:t xml:space="preserve"> and scope, </w:t>
      </w:r>
      <w:r w:rsidR="007C4418">
        <w:t xml:space="preserve">and the NDIA’s </w:t>
      </w:r>
      <w:r w:rsidR="000271B5">
        <w:t xml:space="preserve">dispute resolution processes (see Appendix </w:t>
      </w:r>
      <w:r w:rsidR="00C13E52">
        <w:t>B</w:t>
      </w:r>
      <w:r w:rsidR="000271B5">
        <w:t>).</w:t>
      </w:r>
    </w:p>
    <w:p w14:paraId="3C3429F9" w14:textId="254CC561" w:rsidR="00D42B93" w:rsidRDefault="003558A5" w:rsidP="00A01FA6">
      <w:pPr>
        <w:pStyle w:val="Heading3"/>
      </w:pPr>
      <w:bookmarkStart w:id="67" w:name="_Toc133655504"/>
      <w:bookmarkStart w:id="68" w:name="_Toc142918589"/>
      <w:r>
        <w:t>Online surveys</w:t>
      </w:r>
      <w:bookmarkEnd w:id="67"/>
      <w:bookmarkEnd w:id="68"/>
    </w:p>
    <w:p w14:paraId="0A2C90DF" w14:textId="7848E7FC" w:rsidR="003F154A" w:rsidRDefault="00D73149" w:rsidP="00A63F9F">
      <w:bookmarkStart w:id="69" w:name="_Toc111206320"/>
      <w:bookmarkStart w:id="70" w:name="_Toc111206434"/>
      <w:r>
        <w:t xml:space="preserve">The Evaluation Team, </w:t>
      </w:r>
      <w:r w:rsidR="00CA1998">
        <w:t>IER</w:t>
      </w:r>
      <w:r>
        <w:t>P</w:t>
      </w:r>
      <w:r w:rsidR="00CA1998">
        <w:t xml:space="preserve"> </w:t>
      </w:r>
      <w:r w:rsidR="00293FF9">
        <w:t>team</w:t>
      </w:r>
      <w:r w:rsidR="00766F1C">
        <w:t xml:space="preserve"> (Chief Counsel Division</w:t>
      </w:r>
      <w:r w:rsidR="00F6131D">
        <w:t>)</w:t>
      </w:r>
      <w:r>
        <w:t xml:space="preserve"> </w:t>
      </w:r>
      <w:r w:rsidR="005F7D3C">
        <w:t xml:space="preserve">and the </w:t>
      </w:r>
      <w:r w:rsidR="00A858D9">
        <w:t>IER</w:t>
      </w:r>
      <w:r w:rsidR="00E41669">
        <w:t>P</w:t>
      </w:r>
      <w:r w:rsidR="00A858D9">
        <w:t xml:space="preserve"> </w:t>
      </w:r>
      <w:r w:rsidR="00C73507">
        <w:t xml:space="preserve">Hearing </w:t>
      </w:r>
      <w:r w:rsidR="00A858D9">
        <w:t xml:space="preserve">Oversight </w:t>
      </w:r>
      <w:r w:rsidR="00F364FA">
        <w:t xml:space="preserve">Committee </w:t>
      </w:r>
      <w:r w:rsidR="00C73507">
        <w:t xml:space="preserve">(HOC) </w:t>
      </w:r>
      <w:r>
        <w:t xml:space="preserve">collaboratively developed online surveys for participants in the IERP, their </w:t>
      </w:r>
      <w:r w:rsidR="008400AD">
        <w:t>representatives</w:t>
      </w:r>
      <w:r>
        <w:t xml:space="preserve"> and independent experts. The surveys were programmed into For</w:t>
      </w:r>
      <w:r w:rsidR="008F31E4">
        <w:t xml:space="preserve">ms.io and links </w:t>
      </w:r>
      <w:r w:rsidR="00C10469">
        <w:t xml:space="preserve">were </w:t>
      </w:r>
      <w:r w:rsidR="008F31E4">
        <w:t>emailed to target respondents</w:t>
      </w:r>
      <w:r w:rsidR="00F92CBC">
        <w:t xml:space="preserve">, including two reminders </w:t>
      </w:r>
      <w:r w:rsidR="0080152A">
        <w:t>one</w:t>
      </w:r>
      <w:r w:rsidR="00F92CBC">
        <w:t xml:space="preserve"> week apart. R</w:t>
      </w:r>
      <w:r w:rsidR="00A63F9F">
        <w:t>esponse</w:t>
      </w:r>
      <w:r w:rsidR="0080152A">
        <w:t>s</w:t>
      </w:r>
      <w:r w:rsidR="00ED5773">
        <w:t xml:space="preserve"> </w:t>
      </w:r>
      <w:r w:rsidR="00B7293E">
        <w:t>received</w:t>
      </w:r>
      <w:r w:rsidR="0039417D">
        <w:t xml:space="preserve"> were</w:t>
      </w:r>
      <w:r w:rsidR="00A63F9F">
        <w:t>:</w:t>
      </w:r>
    </w:p>
    <w:p w14:paraId="35BFA646" w14:textId="1C4AA3B2" w:rsidR="00A63F9F" w:rsidRDefault="006605F8" w:rsidP="000F60FA">
      <w:pPr>
        <w:pStyle w:val="ListParagraph"/>
        <w:numPr>
          <w:ilvl w:val="0"/>
          <w:numId w:val="4"/>
        </w:numPr>
      </w:pPr>
      <w:r>
        <w:t>13</w:t>
      </w:r>
      <w:r w:rsidR="00A63F9F">
        <w:t xml:space="preserve"> </w:t>
      </w:r>
      <w:r w:rsidR="00BF6076">
        <w:t xml:space="preserve">(of </w:t>
      </w:r>
      <w:r w:rsidR="00127440">
        <w:t>2</w:t>
      </w:r>
      <w:r w:rsidR="00CA7007">
        <w:t>8</w:t>
      </w:r>
      <w:r w:rsidR="00BF6076">
        <w:t xml:space="preserve">) </w:t>
      </w:r>
      <w:r w:rsidR="00A63F9F">
        <w:t>participants or their nominees</w:t>
      </w:r>
      <w:r w:rsidR="000811AB">
        <w:t xml:space="preserve"> </w:t>
      </w:r>
      <w:r w:rsidR="00BF6076">
        <w:t>who took part in the IERP</w:t>
      </w:r>
      <w:r w:rsidR="00CA7007">
        <w:t xml:space="preserve"> (46% response rate</w:t>
      </w:r>
      <w:r w:rsidR="00335F1D">
        <w:t xml:space="preserve">, see Appendix </w:t>
      </w:r>
      <w:r w:rsidR="009176A0">
        <w:t>C</w:t>
      </w:r>
      <w:r w:rsidR="00335F1D">
        <w:t xml:space="preserve"> for disabilit</w:t>
      </w:r>
      <w:r w:rsidR="002C09B6">
        <w:t xml:space="preserve">y </w:t>
      </w:r>
      <w:r w:rsidR="00364DC4">
        <w:t>categories</w:t>
      </w:r>
      <w:r w:rsidR="00CA7007">
        <w:t>)</w:t>
      </w:r>
    </w:p>
    <w:p w14:paraId="6844FD10" w14:textId="1F74EE9B" w:rsidR="00A63F9F" w:rsidRDefault="006605F8" w:rsidP="000F60FA">
      <w:pPr>
        <w:pStyle w:val="ListParagraph"/>
        <w:numPr>
          <w:ilvl w:val="0"/>
          <w:numId w:val="4"/>
        </w:numPr>
      </w:pPr>
      <w:r>
        <w:t>6</w:t>
      </w:r>
      <w:r w:rsidR="00A63F9F">
        <w:t xml:space="preserve"> </w:t>
      </w:r>
      <w:r w:rsidR="00F251AA">
        <w:t>(of 1</w:t>
      </w:r>
      <w:r w:rsidR="00CA7007">
        <w:t>4</w:t>
      </w:r>
      <w:r w:rsidR="00F251AA">
        <w:t xml:space="preserve">) </w:t>
      </w:r>
      <w:r w:rsidR="00A63F9F">
        <w:t xml:space="preserve">participant </w:t>
      </w:r>
      <w:r w:rsidR="008400AD">
        <w:t>representatives</w:t>
      </w:r>
      <w:r w:rsidR="00CA7007">
        <w:t xml:space="preserve"> </w:t>
      </w:r>
      <w:r w:rsidR="00540593">
        <w:t>(</w:t>
      </w:r>
      <w:r w:rsidR="003C78B2">
        <w:t>43% response rate)</w:t>
      </w:r>
    </w:p>
    <w:p w14:paraId="35287C83" w14:textId="3F7CEB2B" w:rsidR="00A63F9F" w:rsidRPr="003F154A" w:rsidRDefault="00AC3E93" w:rsidP="000F60FA">
      <w:pPr>
        <w:pStyle w:val="ListParagraph"/>
        <w:numPr>
          <w:ilvl w:val="0"/>
          <w:numId w:val="4"/>
        </w:numPr>
      </w:pPr>
      <w:r>
        <w:t>13</w:t>
      </w:r>
      <w:r w:rsidR="000811AB">
        <w:t xml:space="preserve"> (of 17)</w:t>
      </w:r>
      <w:r w:rsidR="00A63F9F">
        <w:t xml:space="preserve"> independent experts</w:t>
      </w:r>
      <w:r w:rsidR="00486271">
        <w:t xml:space="preserve"> (76% response rate)</w:t>
      </w:r>
      <w:r w:rsidR="00A63F9F">
        <w:t>.</w:t>
      </w:r>
    </w:p>
    <w:p w14:paraId="48F5EEED" w14:textId="4EA5DFF7" w:rsidR="00A63F9F" w:rsidRDefault="00A63F9F" w:rsidP="003F154A">
      <w:r w:rsidRPr="000D0313">
        <w:t xml:space="preserve">Appendix </w:t>
      </w:r>
      <w:r w:rsidR="009B44E9">
        <w:t>D</w:t>
      </w:r>
      <w:r>
        <w:t xml:space="preserve"> presents the online surveys.</w:t>
      </w:r>
    </w:p>
    <w:p w14:paraId="7E612411" w14:textId="0572CCB1" w:rsidR="00D42B93" w:rsidRDefault="00D42B93" w:rsidP="00A01FA6">
      <w:pPr>
        <w:pStyle w:val="Heading3"/>
      </w:pPr>
      <w:bookmarkStart w:id="71" w:name="_Ref119069754"/>
      <w:bookmarkStart w:id="72" w:name="_Toc133655505"/>
      <w:bookmarkStart w:id="73" w:name="_Toc142918590"/>
      <w:r>
        <w:t>Data analysis</w:t>
      </w:r>
      <w:bookmarkEnd w:id="69"/>
      <w:bookmarkEnd w:id="70"/>
      <w:bookmarkEnd w:id="71"/>
      <w:bookmarkEnd w:id="72"/>
      <w:bookmarkEnd w:id="73"/>
    </w:p>
    <w:p w14:paraId="45FBF611" w14:textId="1E3F89F0" w:rsidR="000C7E2D" w:rsidRPr="00160247" w:rsidRDefault="00F552AC" w:rsidP="00952E11">
      <w:pPr>
        <w:pStyle w:val="Heading4"/>
      </w:pPr>
      <w:r>
        <w:t>Comparison of I</w:t>
      </w:r>
      <w:r w:rsidR="003558A5">
        <w:t>ER</w:t>
      </w:r>
      <w:r w:rsidR="00064919">
        <w:t>P</w:t>
      </w:r>
      <w:r w:rsidR="003558A5">
        <w:t xml:space="preserve"> and AAT </w:t>
      </w:r>
      <w:r w:rsidR="004C3B62">
        <w:t>matters</w:t>
      </w:r>
    </w:p>
    <w:p w14:paraId="5668C21D" w14:textId="4FE73CB3" w:rsidR="007B0895" w:rsidRDefault="00064919" w:rsidP="001B4ECF">
      <w:r>
        <w:t xml:space="preserve">IERP </w:t>
      </w:r>
      <w:r w:rsidR="00A06250">
        <w:t>matters</w:t>
      </w:r>
      <w:r w:rsidR="00504D5B">
        <w:t xml:space="preserve"> </w:t>
      </w:r>
      <w:r w:rsidR="00362A35">
        <w:t xml:space="preserve">were compared </w:t>
      </w:r>
      <w:r w:rsidR="00504D5B">
        <w:t>with</w:t>
      </w:r>
      <w:r w:rsidR="00D115E1">
        <w:t xml:space="preserve"> </w:t>
      </w:r>
      <w:r w:rsidR="00504D5B">
        <w:t xml:space="preserve">similar </w:t>
      </w:r>
      <w:r w:rsidR="00D115E1">
        <w:t>cases</w:t>
      </w:r>
      <w:r w:rsidR="00504D5B">
        <w:t xml:space="preserve"> that ha</w:t>
      </w:r>
      <w:r w:rsidR="00BB7700">
        <w:t>d</w:t>
      </w:r>
      <w:r w:rsidR="00504D5B">
        <w:t xml:space="preserve"> </w:t>
      </w:r>
      <w:r w:rsidR="00D115E1">
        <w:t>completed</w:t>
      </w:r>
      <w:r w:rsidR="00504D5B">
        <w:t xml:space="preserve"> the AAT process </w:t>
      </w:r>
      <w:r w:rsidR="00266B29">
        <w:t>based on the following characteristics:</w:t>
      </w:r>
    </w:p>
    <w:p w14:paraId="1675D03F" w14:textId="19226876" w:rsidR="00017B46" w:rsidRDefault="00017B46" w:rsidP="000705FE">
      <w:pPr>
        <w:pStyle w:val="ListParagraph"/>
        <w:numPr>
          <w:ilvl w:val="0"/>
          <w:numId w:val="13"/>
        </w:numPr>
        <w:spacing w:before="120" w:after="120"/>
        <w:ind w:left="714" w:hanging="357"/>
        <w:contextualSpacing/>
      </w:pPr>
      <w:r>
        <w:t>matters</w:t>
      </w:r>
      <w:r w:rsidR="00733D89">
        <w:t xml:space="preserve"> focused on NDIS plan</w:t>
      </w:r>
      <w:r w:rsidR="00FB2A3D">
        <w:t xml:space="preserve">ning </w:t>
      </w:r>
      <w:r w:rsidR="00733D89">
        <w:t>as opposed to access</w:t>
      </w:r>
      <w:r w:rsidR="00372801">
        <w:t xml:space="preserve"> matters</w:t>
      </w:r>
    </w:p>
    <w:p w14:paraId="4837695E" w14:textId="73A8313C" w:rsidR="00ED41F4" w:rsidRDefault="00FC61DB" w:rsidP="000705FE">
      <w:pPr>
        <w:pStyle w:val="ListParagraph"/>
        <w:numPr>
          <w:ilvl w:val="0"/>
          <w:numId w:val="13"/>
        </w:numPr>
        <w:spacing w:before="120" w:after="120"/>
        <w:ind w:left="714" w:hanging="357"/>
        <w:contextualSpacing/>
      </w:pPr>
      <w:r>
        <w:t xml:space="preserve">matters completed </w:t>
      </w:r>
      <w:r w:rsidR="00B31865">
        <w:t xml:space="preserve">during </w:t>
      </w:r>
      <w:r w:rsidR="00360253">
        <w:t>the</w:t>
      </w:r>
      <w:r w:rsidR="00017B46">
        <w:t xml:space="preserve"> same</w:t>
      </w:r>
      <w:r w:rsidR="00B31865">
        <w:t xml:space="preserve"> </w:t>
      </w:r>
      <w:r w:rsidR="00017B46">
        <w:t>calendar</w:t>
      </w:r>
      <w:r w:rsidR="00B31865">
        <w:t xml:space="preserve"> </w:t>
      </w:r>
      <w:r w:rsidR="00266B29">
        <w:t>period</w:t>
      </w:r>
      <w:r w:rsidR="00B31865">
        <w:t xml:space="preserve"> </w:t>
      </w:r>
      <w:r w:rsidR="00017B46">
        <w:t>as</w:t>
      </w:r>
      <w:r w:rsidR="00B31865">
        <w:t xml:space="preserve"> the </w:t>
      </w:r>
      <w:r w:rsidR="00266B29">
        <w:t>IERP</w:t>
      </w:r>
    </w:p>
    <w:p w14:paraId="6089B7E4" w14:textId="5DD855AD" w:rsidR="00ED41F4" w:rsidRDefault="006D55FA" w:rsidP="000705FE">
      <w:pPr>
        <w:pStyle w:val="ListParagraph"/>
        <w:numPr>
          <w:ilvl w:val="0"/>
          <w:numId w:val="13"/>
        </w:numPr>
        <w:spacing w:before="120" w:after="120"/>
        <w:ind w:left="714" w:hanging="357"/>
        <w:contextualSpacing/>
      </w:pPr>
      <w:r>
        <w:lastRenderedPageBreak/>
        <w:t>m</w:t>
      </w:r>
      <w:r w:rsidR="00ED41F4">
        <w:t>atters</w:t>
      </w:r>
      <w:r w:rsidR="00FC61DB">
        <w:t xml:space="preserve"> active</w:t>
      </w:r>
      <w:r w:rsidR="00017B46">
        <w:t>ly in dispute</w:t>
      </w:r>
      <w:r w:rsidR="00FC61DB">
        <w:t xml:space="preserve"> for longer</w:t>
      </w:r>
      <w:r w:rsidR="00095C5F">
        <w:t xml:space="preserve"> than nine months in the AAT</w:t>
      </w:r>
      <w:r w:rsidR="00D06EC9">
        <w:rPr>
          <w:rStyle w:val="FootnoteReference"/>
        </w:rPr>
        <w:footnoteReference w:id="17"/>
      </w:r>
    </w:p>
    <w:p w14:paraId="67A9F55B" w14:textId="53B6EB2A" w:rsidR="00B912E4" w:rsidRDefault="006D55FA" w:rsidP="000705FE">
      <w:pPr>
        <w:pStyle w:val="ListParagraph"/>
        <w:numPr>
          <w:ilvl w:val="0"/>
          <w:numId w:val="13"/>
        </w:numPr>
        <w:spacing w:before="120" w:after="200"/>
        <w:ind w:left="714" w:hanging="357"/>
      </w:pPr>
      <w:r>
        <w:t xml:space="preserve">matters involving </w:t>
      </w:r>
      <w:r w:rsidR="00095C5F">
        <w:t xml:space="preserve">more than </w:t>
      </w:r>
      <w:r w:rsidR="00FC61DB">
        <w:t xml:space="preserve">a </w:t>
      </w:r>
      <w:r w:rsidR="00095C5F">
        <w:t xml:space="preserve">20% </w:t>
      </w:r>
      <w:r w:rsidR="00BB7A44">
        <w:t>of the underlying</w:t>
      </w:r>
      <w:r w:rsidR="001B4ECF">
        <w:t xml:space="preserve"> </w:t>
      </w:r>
      <w:r w:rsidR="00017B46">
        <w:t xml:space="preserve">NDIS </w:t>
      </w:r>
      <w:r w:rsidR="001B4ECF">
        <w:t>plan budget</w:t>
      </w:r>
      <w:r w:rsidR="00FD26AE">
        <w:rPr>
          <w:rStyle w:val="FootnoteReference"/>
        </w:rPr>
        <w:footnoteReference w:id="18"/>
      </w:r>
      <w:r w:rsidR="00266B29">
        <w:t>.</w:t>
      </w:r>
    </w:p>
    <w:p w14:paraId="27F6D6B4" w14:textId="0C59C57F" w:rsidR="0086221D" w:rsidRDefault="00F97756" w:rsidP="00B912E4">
      <w:r>
        <w:t>Using the criteria above</w:t>
      </w:r>
      <w:r w:rsidR="00490C2D">
        <w:t xml:space="preserve">, 119 AAT matters were identified as similar. This sample was reduced further by </w:t>
      </w:r>
      <w:r w:rsidR="005A6720">
        <w:t xml:space="preserve">identifying </w:t>
      </w:r>
      <w:r w:rsidR="0054699C">
        <w:t>similar</w:t>
      </w:r>
      <w:r w:rsidR="005A6720">
        <w:t xml:space="preserve"> </w:t>
      </w:r>
      <w:r w:rsidR="0054699C">
        <w:t>participant</w:t>
      </w:r>
      <w:r w:rsidR="00F927CA">
        <w:t xml:space="preserve"> characteristics</w:t>
      </w:r>
      <w:r w:rsidR="005A6720">
        <w:t>, similar area</w:t>
      </w:r>
      <w:r w:rsidR="003A6B8E">
        <w:t>/state/region,</w:t>
      </w:r>
      <w:r w:rsidR="0086221D">
        <w:t xml:space="preserve"> and </w:t>
      </w:r>
      <w:r w:rsidR="003A6B8E">
        <w:t>similar</w:t>
      </w:r>
      <w:r w:rsidR="0086221D">
        <w:t xml:space="preserve"> </w:t>
      </w:r>
      <w:r w:rsidR="0054699C">
        <w:t>support/s in dispute</w:t>
      </w:r>
      <w:r w:rsidR="0086221D">
        <w:t>.</w:t>
      </w:r>
      <w:r w:rsidR="003A6B8E">
        <w:t xml:space="preserve"> This left</w:t>
      </w:r>
      <w:r w:rsidR="00360253">
        <w:t xml:space="preserve"> 35 highly similar AAT matters to compare to IERP matters in review.</w:t>
      </w:r>
    </w:p>
    <w:p w14:paraId="0286BE3B" w14:textId="68A13C62" w:rsidR="00BE0273" w:rsidRDefault="004C3B62" w:rsidP="00952E11">
      <w:pPr>
        <w:pStyle w:val="Heading4"/>
      </w:pPr>
      <w:r>
        <w:t>Compliance of IERP recommendations</w:t>
      </w:r>
    </w:p>
    <w:p w14:paraId="3E0BA74F" w14:textId="4BC36CAC" w:rsidR="00F73D7A" w:rsidRDefault="00D677EE" w:rsidP="001E7B79">
      <w:r>
        <w:t xml:space="preserve">IERP </w:t>
      </w:r>
      <w:r w:rsidR="00F27A2D">
        <w:t>team l</w:t>
      </w:r>
      <w:r>
        <w:t>eads</w:t>
      </w:r>
      <w:r w:rsidR="00FC3BF6">
        <w:t xml:space="preserve"> </w:t>
      </w:r>
      <w:r w:rsidR="00016E5E">
        <w:t xml:space="preserve">and </w:t>
      </w:r>
      <w:r w:rsidR="00FC3BF6">
        <w:t xml:space="preserve">the </w:t>
      </w:r>
      <w:r>
        <w:t>NDIA’s Technical Advisory Branch</w:t>
      </w:r>
      <w:r w:rsidR="00FC3BF6">
        <w:t xml:space="preserve"> </w:t>
      </w:r>
      <w:r w:rsidR="00016E5E">
        <w:t>(TAB) both</w:t>
      </w:r>
      <w:r w:rsidR="007E24F8">
        <w:t xml:space="preserve"> reviewed independent expert recommendations </w:t>
      </w:r>
      <w:r w:rsidR="00F733C9">
        <w:t xml:space="preserve">made during Phase 1 of the IERP </w:t>
      </w:r>
      <w:r w:rsidR="007E24F8">
        <w:t xml:space="preserve">to </w:t>
      </w:r>
      <w:r w:rsidR="00FB1090">
        <w:t xml:space="preserve">assess their compliance </w:t>
      </w:r>
      <w:r w:rsidR="003B161D">
        <w:t xml:space="preserve">with </w:t>
      </w:r>
      <w:r w:rsidR="00FB1090">
        <w:t xml:space="preserve">section 34 of the </w:t>
      </w:r>
      <w:r w:rsidR="003B161D">
        <w:t xml:space="preserve">NDIS Act, NDIS </w:t>
      </w:r>
      <w:r w:rsidR="00AB39F2">
        <w:t>Rules,</w:t>
      </w:r>
      <w:r w:rsidR="003B161D">
        <w:t xml:space="preserve"> and NDIA </w:t>
      </w:r>
      <w:r w:rsidR="00145FA5">
        <w:t>OGs</w:t>
      </w:r>
      <w:r w:rsidR="00FB1090">
        <w:t>.</w:t>
      </w:r>
      <w:r w:rsidR="00F733C9">
        <w:t xml:space="preserve"> The Evaluation Team analysed differences in opinion and the rationale.</w:t>
      </w:r>
    </w:p>
    <w:p w14:paraId="3B4364ED" w14:textId="7E3CE026" w:rsidR="00F73D7A" w:rsidRPr="00160247" w:rsidRDefault="00F73D7A" w:rsidP="00952E11">
      <w:pPr>
        <w:pStyle w:val="Heading4"/>
      </w:pPr>
      <w:r>
        <w:t>Survey and interview data</w:t>
      </w:r>
    </w:p>
    <w:p w14:paraId="6EC5968B" w14:textId="319AEE77" w:rsidR="00F52082" w:rsidRPr="008F61FE" w:rsidRDefault="005F5B26" w:rsidP="00986B2B">
      <w:pPr>
        <w:pStyle w:val="paragraph"/>
        <w:spacing w:before="240" w:beforeAutospacing="0" w:after="120" w:afterAutospacing="0" w:line="360" w:lineRule="auto"/>
        <w:textAlignment w:val="baseline"/>
        <w:rPr>
          <w:rStyle w:val="normaltextrun"/>
          <w:rFonts w:ascii="Arial" w:hAnsi="Arial" w:cs="Arial"/>
        </w:rPr>
      </w:pPr>
      <w:r w:rsidRPr="008F61FE">
        <w:rPr>
          <w:rStyle w:val="normaltextrun"/>
          <w:rFonts w:ascii="Arial" w:hAnsi="Arial" w:cs="Arial"/>
        </w:rPr>
        <w:t xml:space="preserve">The Evaluation Team thematically coded </w:t>
      </w:r>
      <w:r w:rsidR="00372349" w:rsidRPr="008F61FE">
        <w:rPr>
          <w:rStyle w:val="normaltextrun"/>
          <w:rFonts w:ascii="Arial" w:hAnsi="Arial" w:cs="Arial"/>
        </w:rPr>
        <w:t xml:space="preserve">interview transcripts and </w:t>
      </w:r>
      <w:r w:rsidR="00706081" w:rsidRPr="008F61FE">
        <w:rPr>
          <w:rStyle w:val="normaltextrun"/>
          <w:rFonts w:ascii="Arial" w:hAnsi="Arial" w:cs="Arial"/>
        </w:rPr>
        <w:t>free text</w:t>
      </w:r>
      <w:r w:rsidR="00372349" w:rsidRPr="008F61FE">
        <w:rPr>
          <w:rStyle w:val="normaltextrun"/>
          <w:rFonts w:ascii="Arial" w:hAnsi="Arial" w:cs="Arial"/>
        </w:rPr>
        <w:t xml:space="preserve"> survey responses </w:t>
      </w:r>
      <w:r w:rsidRPr="008F61FE">
        <w:rPr>
          <w:rStyle w:val="normaltextrun"/>
          <w:rFonts w:ascii="Arial" w:hAnsi="Arial" w:cs="Arial"/>
        </w:rPr>
        <w:t>using Microsoft Excel</w:t>
      </w:r>
      <w:r w:rsidR="00372349" w:rsidRPr="008F61FE">
        <w:rPr>
          <w:rStyle w:val="normaltextrun"/>
          <w:rFonts w:ascii="Arial" w:hAnsi="Arial" w:cs="Arial"/>
        </w:rPr>
        <w:t xml:space="preserve"> </w:t>
      </w:r>
      <w:r w:rsidR="00F52082" w:rsidRPr="008F61FE">
        <w:rPr>
          <w:rStyle w:val="normaltextrun"/>
          <w:rFonts w:ascii="Arial" w:hAnsi="Arial" w:cs="Arial"/>
        </w:rPr>
        <w:t xml:space="preserve">(see Appendix </w:t>
      </w:r>
      <w:r w:rsidR="00492ABD" w:rsidRPr="008F61FE">
        <w:rPr>
          <w:rStyle w:val="normaltextrun"/>
          <w:rFonts w:ascii="Arial" w:hAnsi="Arial" w:cs="Arial"/>
        </w:rPr>
        <w:t>F</w:t>
      </w:r>
      <w:r w:rsidR="00375FFD" w:rsidRPr="008F61FE">
        <w:rPr>
          <w:rStyle w:val="normaltextrun"/>
          <w:rFonts w:ascii="Arial" w:hAnsi="Arial" w:cs="Arial"/>
        </w:rPr>
        <w:t xml:space="preserve"> </w:t>
      </w:r>
      <w:r w:rsidR="00F52082" w:rsidRPr="008F61FE">
        <w:rPr>
          <w:rStyle w:val="normaltextrun"/>
          <w:rFonts w:ascii="Arial" w:hAnsi="Arial" w:cs="Arial"/>
        </w:rPr>
        <w:t>for the code frames).</w:t>
      </w:r>
    </w:p>
    <w:p w14:paraId="6F7B3999" w14:textId="418003D5" w:rsidR="00A26DCA" w:rsidRDefault="00706081" w:rsidP="00A26DCA">
      <w:r>
        <w:t>The Evaluation Team descriptively analysed c</w:t>
      </w:r>
      <w:r w:rsidR="00A26DCA" w:rsidRPr="00FE6633">
        <w:t xml:space="preserve">ategorical </w:t>
      </w:r>
      <w:r w:rsidR="005356AA" w:rsidRPr="00FE6633">
        <w:t xml:space="preserve">and </w:t>
      </w:r>
      <w:r w:rsidR="00A26DCA" w:rsidRPr="00FE6633">
        <w:t xml:space="preserve">ordinal </w:t>
      </w:r>
      <w:r w:rsidR="00E1024E">
        <w:t>survey d</w:t>
      </w:r>
      <w:r>
        <w:t xml:space="preserve">ata using Microsoft Excel. Due to the small </w:t>
      </w:r>
      <w:r w:rsidR="00EF0BE0">
        <w:t>sample size for each survey</w:t>
      </w:r>
      <w:r w:rsidR="008E2B7A">
        <w:t>,</w:t>
      </w:r>
      <w:r w:rsidR="00D21BC8">
        <w:t xml:space="preserve"> </w:t>
      </w:r>
      <w:r>
        <w:t>data analys</w:t>
      </w:r>
      <w:r w:rsidR="008E2B7A">
        <w:t>i</w:t>
      </w:r>
      <w:r>
        <w:t xml:space="preserve">s did not </w:t>
      </w:r>
      <w:r w:rsidR="008E2B7A">
        <w:t xml:space="preserve">include </w:t>
      </w:r>
      <w:r w:rsidR="0063002F" w:rsidRPr="00FE6633">
        <w:t>statistical tests of inference</w:t>
      </w:r>
      <w:r w:rsidR="00BE7E14" w:rsidRPr="00FE6633">
        <w:t>.</w:t>
      </w:r>
    </w:p>
    <w:p w14:paraId="642373F7" w14:textId="5FBB3F33" w:rsidR="00CE2707" w:rsidRPr="003558A5" w:rsidRDefault="00CE2707" w:rsidP="00952E11">
      <w:pPr>
        <w:pStyle w:val="Heading4"/>
      </w:pPr>
      <w:r>
        <w:t>Internal (s100) review</w:t>
      </w:r>
      <w:r w:rsidR="00F733C9">
        <w:t xml:space="preserve"> data</w:t>
      </w:r>
    </w:p>
    <w:p w14:paraId="07DD9B08" w14:textId="49604DBE" w:rsidR="00844752" w:rsidRDefault="00CE2707" w:rsidP="00CE2707">
      <w:pPr>
        <w:spacing w:before="0" w:after="200"/>
      </w:pPr>
      <w:r>
        <w:t xml:space="preserve">A Gradient Boosting Machine (GBM) model was used to identify the factors associated with a matter moving from </w:t>
      </w:r>
      <w:r w:rsidR="003F3A26">
        <w:t>internal NDIA review</w:t>
      </w:r>
      <w:r>
        <w:t xml:space="preserve"> to the AAT</w:t>
      </w:r>
      <w:r w:rsidR="003F3A26">
        <w:t xml:space="preserve"> process</w:t>
      </w:r>
      <w:r>
        <w:t xml:space="preserve">. The GBM model </w:t>
      </w:r>
      <w:r w:rsidR="00440D4B">
        <w:t>uses a machine learning algorithm to</w:t>
      </w:r>
      <w:r>
        <w:t xml:space="preserve"> place factor</w:t>
      </w:r>
      <w:r w:rsidR="004B1E65">
        <w:t>s</w:t>
      </w:r>
      <w:r>
        <w:t xml:space="preserve"> in a hierarchy of relative influence</w:t>
      </w:r>
      <w:r w:rsidR="00440D4B">
        <w:t xml:space="preserve"> on the outcome of interest</w:t>
      </w:r>
      <w:r w:rsidR="0023041D">
        <w:t>;</w:t>
      </w:r>
      <w:r w:rsidR="005E50C1">
        <w:t xml:space="preserve"> in this case</w:t>
      </w:r>
      <w:r w:rsidR="0023041D">
        <w:t>,</w:t>
      </w:r>
      <w:r w:rsidR="005E50C1">
        <w:t xml:space="preserve"> the l</w:t>
      </w:r>
      <w:r w:rsidR="00844752">
        <w:t>ikelihood a participant will request an external review of a decision</w:t>
      </w:r>
      <w:r>
        <w:t>.</w:t>
      </w:r>
      <w:r w:rsidDel="00844752">
        <w:t xml:space="preserve"> </w:t>
      </w:r>
      <w:r>
        <w:t xml:space="preserve">The relative </w:t>
      </w:r>
      <w:r w:rsidR="00844752">
        <w:t xml:space="preserve">influence </w:t>
      </w:r>
      <w:r>
        <w:t xml:space="preserve">of a factor is based on the number of times a </w:t>
      </w:r>
      <w:r w:rsidR="006F56DF">
        <w:t>model select</w:t>
      </w:r>
      <w:r w:rsidR="00B04A03">
        <w:t xml:space="preserve">s the factor as a contributor </w:t>
      </w:r>
      <w:r w:rsidR="00F61977">
        <w:t>to</w:t>
      </w:r>
      <w:r w:rsidR="00B04A03">
        <w:t xml:space="preserve"> the </w:t>
      </w:r>
      <w:r w:rsidR="00B04A03">
        <w:lastRenderedPageBreak/>
        <w:t xml:space="preserve">outcome of interest </w:t>
      </w:r>
      <w:r>
        <w:t xml:space="preserve">and how much its selection improves the model’s predictive power. </w:t>
      </w:r>
    </w:p>
    <w:p w14:paraId="7EF6DC91" w14:textId="434608DC" w:rsidR="00451451" w:rsidRDefault="009D5454" w:rsidP="00451451">
      <w:pPr>
        <w:spacing w:before="0" w:after="200"/>
      </w:pPr>
      <w:r>
        <w:t xml:space="preserve">Logistic regression modelling complimented the GBM as </w:t>
      </w:r>
      <w:r w:rsidR="0008604B" w:rsidRPr="0008604B">
        <w:t>a predictive model that estimates the probability of an event occurring</w:t>
      </w:r>
      <w:r w:rsidR="00AF00B4">
        <w:t xml:space="preserve"> via </w:t>
      </w:r>
      <w:r w:rsidR="00AF00B4" w:rsidRPr="00AF00B4">
        <w:t xml:space="preserve">a linear combination </w:t>
      </w:r>
      <w:r w:rsidR="003469A8">
        <w:t xml:space="preserve">of the </w:t>
      </w:r>
      <w:r w:rsidR="00451451">
        <w:t xml:space="preserve">external review factors. The logistic regression </w:t>
      </w:r>
      <w:r w:rsidR="003469A8">
        <w:t>produce</w:t>
      </w:r>
      <w:r w:rsidR="00C62A83">
        <w:t>s</w:t>
      </w:r>
      <w:r w:rsidR="003469A8">
        <w:t xml:space="preserve"> estimates of </w:t>
      </w:r>
      <w:r w:rsidR="003469A8" w:rsidRPr="003469A8">
        <w:t xml:space="preserve">the direction and significance of the </w:t>
      </w:r>
      <w:r w:rsidR="003469A8">
        <w:t xml:space="preserve">independent </w:t>
      </w:r>
      <w:r w:rsidR="003469A8" w:rsidRPr="003469A8">
        <w:t>variable</w:t>
      </w:r>
      <w:r w:rsidR="006C0662">
        <w:t>’</w:t>
      </w:r>
      <w:r w:rsidR="003469A8" w:rsidRPr="003469A8">
        <w:t>s</w:t>
      </w:r>
      <w:r w:rsidR="00B44742">
        <w:t xml:space="preserve"> effect on the probability that an </w:t>
      </w:r>
      <w:r w:rsidR="006C0662">
        <w:t>s</w:t>
      </w:r>
      <w:r w:rsidR="00B44742">
        <w:t xml:space="preserve">100 matter </w:t>
      </w:r>
      <w:r w:rsidR="008F06B1">
        <w:t>escalates to the AAT</w:t>
      </w:r>
      <w:r w:rsidR="003469A8" w:rsidRPr="003469A8">
        <w:t>.</w:t>
      </w:r>
      <w:r w:rsidR="003469A8">
        <w:t xml:space="preserve"> </w:t>
      </w:r>
    </w:p>
    <w:p w14:paraId="3348937F" w14:textId="1CD69BB4" w:rsidR="00C62C34" w:rsidRDefault="00CE2707" w:rsidP="00451451">
      <w:pPr>
        <w:spacing w:before="0" w:after="200"/>
      </w:pPr>
      <w:r w:rsidRPr="008C41FE">
        <w:t>A</w:t>
      </w:r>
      <w:r w:rsidR="00F11208" w:rsidRPr="008C41FE">
        <w:t xml:space="preserve">ppendix </w:t>
      </w:r>
      <w:r w:rsidR="00FF18A6">
        <w:t>E</w:t>
      </w:r>
      <w:r w:rsidR="00F11208" w:rsidRPr="008C41FE">
        <w:t xml:space="preserve"> </w:t>
      </w:r>
      <w:r w:rsidR="00F40A00">
        <w:t>provides</w:t>
      </w:r>
      <w:r w:rsidR="00F11208" w:rsidRPr="008C41FE">
        <w:t xml:space="preserve"> a</w:t>
      </w:r>
      <w:r w:rsidRPr="008C41FE">
        <w:t xml:space="preserve"> more detailed description of the </w:t>
      </w:r>
      <w:r w:rsidR="00F11208" w:rsidRPr="008C41FE">
        <w:t>GBM modelling</w:t>
      </w:r>
      <w:r w:rsidR="00C62C34">
        <w:t xml:space="preserve"> and logistic regression.</w:t>
      </w:r>
    </w:p>
    <w:p w14:paraId="16F70752" w14:textId="549E7E7D" w:rsidR="003558A5" w:rsidRDefault="003558A5" w:rsidP="003558A5">
      <w:pPr>
        <w:pStyle w:val="Heading3"/>
      </w:pPr>
      <w:bookmarkStart w:id="74" w:name="_Toc133655506"/>
      <w:bookmarkStart w:id="75" w:name="_Toc142918591"/>
      <w:r>
        <w:t>IERP cost analysis</w:t>
      </w:r>
      <w:bookmarkEnd w:id="74"/>
      <w:bookmarkEnd w:id="75"/>
    </w:p>
    <w:p w14:paraId="4C4920C5" w14:textId="5037EE50" w:rsidR="000B24B1" w:rsidRDefault="001B4ECF" w:rsidP="00A941B0">
      <w:r>
        <w:t>IER</w:t>
      </w:r>
      <w:r w:rsidR="006C7714">
        <w:t>P</w:t>
      </w:r>
      <w:r>
        <w:t xml:space="preserve"> costs were </w:t>
      </w:r>
      <w:r w:rsidR="007C51DA">
        <w:t>compared</w:t>
      </w:r>
      <w:r>
        <w:t xml:space="preserve"> to </w:t>
      </w:r>
      <w:r w:rsidR="00507622">
        <w:t>the</w:t>
      </w:r>
      <w:r>
        <w:t xml:space="preserve"> costs </w:t>
      </w:r>
      <w:r w:rsidR="00507622">
        <w:t xml:space="preserve">of resolving AAT cases </w:t>
      </w:r>
      <w:r w:rsidR="008378A1">
        <w:t>via</w:t>
      </w:r>
      <w:r>
        <w:t xml:space="preserve"> a </w:t>
      </w:r>
      <w:r w:rsidR="008378A1">
        <w:t>hearing with considerations to the rate at which AAT cases go to hearing</w:t>
      </w:r>
      <w:r w:rsidR="00297343">
        <w:t xml:space="preserve"> and </w:t>
      </w:r>
      <w:r w:rsidR="009C2ACB">
        <w:t>pre-AAT resolution costs</w:t>
      </w:r>
      <w:r w:rsidR="008378A1">
        <w:t>.</w:t>
      </w:r>
      <w:r>
        <w:t xml:space="preserve"> </w:t>
      </w:r>
      <w:r w:rsidR="006C7714">
        <w:t>The costs</w:t>
      </w:r>
      <w:r w:rsidR="008378A1">
        <w:t xml:space="preserve"> are</w:t>
      </w:r>
      <w:r w:rsidR="006C7714">
        <w:t xml:space="preserve"> divided </w:t>
      </w:r>
      <w:r>
        <w:t>into</w:t>
      </w:r>
      <w:r w:rsidR="006C7714">
        <w:t xml:space="preserve"> the following categories</w:t>
      </w:r>
      <w:r>
        <w:t xml:space="preserve">: </w:t>
      </w:r>
    </w:p>
    <w:p w14:paraId="56241CEB" w14:textId="2BD3245C" w:rsidR="00A72FB1" w:rsidRDefault="00CE6FF8" w:rsidP="000705FE">
      <w:pPr>
        <w:pStyle w:val="ListParagraph"/>
        <w:numPr>
          <w:ilvl w:val="0"/>
          <w:numId w:val="12"/>
        </w:numPr>
        <w:rPr>
          <w:b/>
          <w:bCs/>
        </w:rPr>
      </w:pPr>
      <w:r>
        <w:rPr>
          <w:b/>
          <w:bCs/>
        </w:rPr>
        <w:t>Internal</w:t>
      </w:r>
      <w:r w:rsidR="00A72FB1">
        <w:rPr>
          <w:b/>
          <w:bCs/>
        </w:rPr>
        <w:t xml:space="preserve"> costs: </w:t>
      </w:r>
      <w:r w:rsidR="00A72FB1">
        <w:t xml:space="preserve">This included </w:t>
      </w:r>
      <w:r w:rsidR="002D03C6">
        <w:t>full-time</w:t>
      </w:r>
      <w:r w:rsidR="00DF164E">
        <w:t xml:space="preserve"> employee</w:t>
      </w:r>
      <w:r w:rsidR="00A25CC8">
        <w:t>s</w:t>
      </w:r>
      <w:r w:rsidR="00DF164E">
        <w:t xml:space="preserve"> (</w:t>
      </w:r>
      <w:r w:rsidR="001B4F49">
        <w:t>FTE</w:t>
      </w:r>
      <w:r w:rsidR="00DF164E">
        <w:t>)</w:t>
      </w:r>
      <w:r w:rsidR="001B4F49">
        <w:t xml:space="preserve"> </w:t>
      </w:r>
      <w:r w:rsidR="00A80638">
        <w:t>in</w:t>
      </w:r>
      <w:r w:rsidR="001B4F49">
        <w:t xml:space="preserve"> the AAT or IER</w:t>
      </w:r>
      <w:r w:rsidR="00C6564E">
        <w:t>P</w:t>
      </w:r>
      <w:r w:rsidR="001B4F49">
        <w:t xml:space="preserve"> </w:t>
      </w:r>
      <w:r w:rsidR="00A80638">
        <w:t>teams</w:t>
      </w:r>
      <w:r w:rsidR="000120B8">
        <w:t xml:space="preserve"> t</w:t>
      </w:r>
      <w:r w:rsidR="00EF7565">
        <w:t>h</w:t>
      </w:r>
      <w:r w:rsidR="000120B8">
        <w:t xml:space="preserve">at worked in </w:t>
      </w:r>
      <w:r w:rsidR="002B356E">
        <w:t xml:space="preserve">reviews, referrals, </w:t>
      </w:r>
      <w:r w:rsidR="00EF7565">
        <w:t>administration,</w:t>
      </w:r>
      <w:r w:rsidR="002B356E">
        <w:t xml:space="preserve"> and case management of </w:t>
      </w:r>
      <w:r w:rsidR="00EE765F">
        <w:t xml:space="preserve">IERP or AAT </w:t>
      </w:r>
      <w:r w:rsidR="002B356E">
        <w:t>matters</w:t>
      </w:r>
      <w:r w:rsidR="001B4F49">
        <w:t>. This includes all superannuation and leave payments</w:t>
      </w:r>
      <w:r w:rsidR="00051802">
        <w:t>,</w:t>
      </w:r>
      <w:r w:rsidR="001B4F49">
        <w:t xml:space="preserve"> where applicable. These costs are considered internal fixed costs to the </w:t>
      </w:r>
      <w:r w:rsidR="00C4784B">
        <w:t>A</w:t>
      </w:r>
      <w:r w:rsidR="001B4F49">
        <w:t>gency.</w:t>
      </w:r>
    </w:p>
    <w:p w14:paraId="6B1D9357" w14:textId="74D79B30" w:rsidR="00A72FB1" w:rsidRPr="00F4445F" w:rsidRDefault="00CE6FF8" w:rsidP="000705FE">
      <w:pPr>
        <w:pStyle w:val="ListParagraph"/>
        <w:numPr>
          <w:ilvl w:val="0"/>
          <w:numId w:val="12"/>
        </w:numPr>
        <w:rPr>
          <w:b/>
          <w:bCs/>
        </w:rPr>
      </w:pPr>
      <w:r>
        <w:rPr>
          <w:b/>
          <w:bCs/>
        </w:rPr>
        <w:t>External</w:t>
      </w:r>
      <w:r w:rsidR="00A72FB1">
        <w:rPr>
          <w:b/>
          <w:bCs/>
        </w:rPr>
        <w:t xml:space="preserve"> costs:</w:t>
      </w:r>
      <w:r w:rsidR="001B4F49">
        <w:rPr>
          <w:b/>
          <w:bCs/>
        </w:rPr>
        <w:t xml:space="preserve"> </w:t>
      </w:r>
      <w:r w:rsidR="001B4F49">
        <w:t>this includes</w:t>
      </w:r>
      <w:r w:rsidR="00A25381">
        <w:t xml:space="preserve"> all independent expert</w:t>
      </w:r>
      <w:r w:rsidR="00401515">
        <w:t xml:space="preserve"> invoices</w:t>
      </w:r>
      <w:r w:rsidR="00A25381">
        <w:t xml:space="preserve">, </w:t>
      </w:r>
      <w:r w:rsidR="000F28F1">
        <w:t xml:space="preserve">external </w:t>
      </w:r>
      <w:r w:rsidR="00A25381">
        <w:t>legal</w:t>
      </w:r>
      <w:r w:rsidR="00401515">
        <w:t xml:space="preserve"> and law firm costs</w:t>
      </w:r>
      <w:r w:rsidR="00A25381">
        <w:t>,</w:t>
      </w:r>
      <w:r w:rsidR="001D026B">
        <w:t xml:space="preserve"> initial case costs,</w:t>
      </w:r>
      <w:r w:rsidR="00A25381">
        <w:t xml:space="preserve"> </w:t>
      </w:r>
      <w:r w:rsidR="00EF7565">
        <w:t>hearing</w:t>
      </w:r>
      <w:r w:rsidR="00C5189D">
        <w:t xml:space="preserve"> costs, hearing preparation costs, counsel costs</w:t>
      </w:r>
      <w:r w:rsidR="00EF7565">
        <w:t>, and medical and</w:t>
      </w:r>
      <w:r w:rsidR="00A25381">
        <w:t xml:space="preserve"> </w:t>
      </w:r>
      <w:r w:rsidR="004457F1">
        <w:t>participant assessment costs</w:t>
      </w:r>
      <w:r w:rsidR="00220250">
        <w:t xml:space="preserve"> for either IER</w:t>
      </w:r>
      <w:r w:rsidR="00E5601D">
        <w:t>P</w:t>
      </w:r>
      <w:r w:rsidR="00220250">
        <w:t xml:space="preserve"> or AAT</w:t>
      </w:r>
      <w:r w:rsidR="004457F1">
        <w:t xml:space="preserve">. These costs are considered external variable costs the </w:t>
      </w:r>
      <w:r w:rsidR="00E5601D">
        <w:t>A</w:t>
      </w:r>
      <w:r w:rsidR="004457F1">
        <w:t xml:space="preserve">gency incurs as a </w:t>
      </w:r>
      <w:r w:rsidR="00F4445F">
        <w:t>result of each AAT or IER</w:t>
      </w:r>
      <w:r w:rsidR="008D37D9">
        <w:t>P</w:t>
      </w:r>
      <w:r w:rsidR="00F4445F">
        <w:t xml:space="preserve"> matter</w:t>
      </w:r>
      <w:r w:rsidR="004457F1">
        <w:t>.</w:t>
      </w:r>
    </w:p>
    <w:p w14:paraId="78885D60" w14:textId="38596A50" w:rsidR="00F4445F" w:rsidRPr="00F4445F" w:rsidRDefault="00F4445F" w:rsidP="000705FE">
      <w:pPr>
        <w:pStyle w:val="ListParagraph"/>
        <w:numPr>
          <w:ilvl w:val="0"/>
          <w:numId w:val="12"/>
        </w:numPr>
        <w:rPr>
          <w:b/>
          <w:bCs/>
        </w:rPr>
      </w:pPr>
      <w:r>
        <w:rPr>
          <w:b/>
          <w:bCs/>
        </w:rPr>
        <w:t>Costs to the NDIS:</w:t>
      </w:r>
      <w:r>
        <w:t xml:space="preserve"> The cost of the supports recommended by independent experts (which was compared to similar AAT cases) as determined by the difference between the value of the </w:t>
      </w:r>
      <w:r w:rsidR="00220250">
        <w:t xml:space="preserve">NDIS </w:t>
      </w:r>
      <w:r>
        <w:t>plans in dispute and the next plan after resolution.</w:t>
      </w:r>
    </w:p>
    <w:p w14:paraId="5104864F" w14:textId="1EA818A8" w:rsidR="005D6D01" w:rsidRDefault="005D6D01" w:rsidP="003558A5">
      <w:pPr>
        <w:pStyle w:val="Heading3"/>
      </w:pPr>
      <w:bookmarkStart w:id="76" w:name="_Toc142918592"/>
      <w:bookmarkStart w:id="77" w:name="_Toc133655507"/>
      <w:r>
        <w:lastRenderedPageBreak/>
        <w:t>Ethic</w:t>
      </w:r>
      <w:r w:rsidR="00B672F3">
        <w:t>al considerations</w:t>
      </w:r>
      <w:bookmarkEnd w:id="76"/>
    </w:p>
    <w:bookmarkEnd w:id="77"/>
    <w:p w14:paraId="3EBDC3D5" w14:textId="437731D6" w:rsidR="00ED17A5" w:rsidRDefault="00ED17A5" w:rsidP="00ED17A5">
      <w:r>
        <w:t>The NDIA has established a range of policies and procedures to ensure compliance with, and maintenance of, ethical standards as prescribed by National Health and Medical Research Council guidelines (‘the NHMRC guidelines’)</w:t>
      </w:r>
      <w:r w:rsidR="00A01326">
        <w:t>. These policies</w:t>
      </w:r>
      <w:r>
        <w:t xml:space="preserve"> recognis</w:t>
      </w:r>
      <w:r w:rsidR="006136CE">
        <w:t>e</w:t>
      </w:r>
      <w:r>
        <w:t xml:space="preserve"> that participants, being people with a disability, may</w:t>
      </w:r>
      <w:r w:rsidR="001803ED">
        <w:t xml:space="preserve"> </w:t>
      </w:r>
      <w:r>
        <w:t xml:space="preserve">be a vulnerable group in accordance with these guidelines. </w:t>
      </w:r>
    </w:p>
    <w:p w14:paraId="774710A0" w14:textId="490920A8" w:rsidR="00ED17A5" w:rsidRDefault="00ED17A5" w:rsidP="00ED17A5">
      <w:r>
        <w:t>The approach for the IERP pilot is based upon advice provided to the NDIA from the NHMRC in 2021 in relation to how the NDIA conducts service improvement pilots. The advice was</w:t>
      </w:r>
      <w:r w:rsidR="00D73CB6">
        <w:t>,</w:t>
      </w:r>
      <w:r>
        <w:t xml:space="preserve"> that while independent oversight and/or review of pilots are necessary, human research ethics committee review processes are often not the optimal pathway for review of quality assurance and evaluation activities. </w:t>
      </w:r>
      <w:r w:rsidR="00180BF3">
        <w:t>The IERP pilot falls within the scope of a quality assurance (of a service enhancement) in accordance with the National Health and Medical Research Council (NHMRC) guidelines</w:t>
      </w:r>
      <w:r w:rsidR="00180BF3">
        <w:rPr>
          <w:rStyle w:val="FootnoteReference"/>
        </w:rPr>
        <w:footnoteReference w:id="19"/>
      </w:r>
      <w:r w:rsidR="00180BF3">
        <w:t xml:space="preserve">. </w:t>
      </w:r>
      <w:r w:rsidR="00FA0017">
        <w:t>W</w:t>
      </w:r>
      <w:r>
        <w:t xml:space="preserve">hat matters </w:t>
      </w:r>
      <w:r w:rsidR="00180BF3">
        <w:t>in quality assurance activities is</w:t>
      </w:r>
      <w:r>
        <w:t xml:space="preserve"> that:</w:t>
      </w:r>
    </w:p>
    <w:p w14:paraId="02FAA1C9" w14:textId="38538A41" w:rsidR="00ED17A5" w:rsidRDefault="00FA0017" w:rsidP="000705FE">
      <w:pPr>
        <w:pStyle w:val="ListParagraph"/>
        <w:numPr>
          <w:ilvl w:val="0"/>
          <w:numId w:val="18"/>
        </w:numPr>
        <w:spacing w:before="120" w:after="120"/>
        <w:ind w:left="714" w:hanging="357"/>
        <w:contextualSpacing/>
      </w:pPr>
      <w:r>
        <w:t>p</w:t>
      </w:r>
      <w:r w:rsidR="00ED17A5">
        <w:t>articipants are afforded appropriate protections and respect</w:t>
      </w:r>
    </w:p>
    <w:p w14:paraId="641D4FCB" w14:textId="72D23817" w:rsidR="00ED17A5" w:rsidRDefault="00FA0017" w:rsidP="000705FE">
      <w:pPr>
        <w:pStyle w:val="ListParagraph"/>
        <w:numPr>
          <w:ilvl w:val="0"/>
          <w:numId w:val="18"/>
        </w:numPr>
        <w:spacing w:before="120" w:after="120"/>
        <w:ind w:left="714" w:hanging="357"/>
        <w:contextualSpacing/>
      </w:pPr>
      <w:r>
        <w:t>t</w:t>
      </w:r>
      <w:r w:rsidR="00ED17A5">
        <w:t xml:space="preserve">hose who undertake </w:t>
      </w:r>
      <w:r w:rsidR="008D5923">
        <w:t xml:space="preserve">quality assurance </w:t>
      </w:r>
      <w:r w:rsidR="00ED17A5">
        <w:t xml:space="preserve">adhere to relevant ethical principles and state, </w:t>
      </w:r>
      <w:r w:rsidR="000E2C3D">
        <w:t>territory,</w:t>
      </w:r>
      <w:r w:rsidR="00ED17A5">
        <w:t xml:space="preserve"> and Commonwealth legislation</w:t>
      </w:r>
    </w:p>
    <w:p w14:paraId="538B0C4B" w14:textId="28163A8F" w:rsidR="00ED17A5" w:rsidRDefault="00FA0017" w:rsidP="000705FE">
      <w:pPr>
        <w:pStyle w:val="ListParagraph"/>
        <w:numPr>
          <w:ilvl w:val="0"/>
          <w:numId w:val="18"/>
        </w:numPr>
        <w:spacing w:before="120" w:after="120"/>
        <w:ind w:left="714" w:hanging="357"/>
        <w:contextualSpacing/>
      </w:pPr>
      <w:r>
        <w:t>o</w:t>
      </w:r>
      <w:r w:rsidR="00ED17A5">
        <w:t xml:space="preserve">rganisations provide guidance and oversight to ensure </w:t>
      </w:r>
      <w:r w:rsidR="009A24C2">
        <w:t xml:space="preserve">they conduct </w:t>
      </w:r>
      <w:r w:rsidR="00ED17A5">
        <w:t xml:space="preserve">activities ethically, including a pathway to address concerns. </w:t>
      </w:r>
    </w:p>
    <w:p w14:paraId="704F0B74" w14:textId="75694F1D" w:rsidR="00ED17A5" w:rsidRDefault="00ED17A5" w:rsidP="00ED17A5">
      <w:r>
        <w:t xml:space="preserve">Given the nature of the pilot, a committee </w:t>
      </w:r>
      <w:r w:rsidR="00EB4997">
        <w:t>c</w:t>
      </w:r>
      <w:r>
        <w:t xml:space="preserve">haired by Graeme Innes AM </w:t>
      </w:r>
      <w:r w:rsidR="00B24F2F">
        <w:t>oversaw all aspects of the IERP. The committee is</w:t>
      </w:r>
      <w:r>
        <w:t xml:space="preserve"> comprised of </w:t>
      </w:r>
      <w:r w:rsidR="00783A49">
        <w:t>nine</w:t>
      </w:r>
      <w:r>
        <w:t xml:space="preserve"> independent members representing the disability sector as well as </w:t>
      </w:r>
      <w:r w:rsidR="00783A49">
        <w:t>three</w:t>
      </w:r>
      <w:r>
        <w:t xml:space="preserve"> ex-officio members (</w:t>
      </w:r>
      <w:r w:rsidR="00783A49">
        <w:t>two</w:t>
      </w:r>
      <w:r>
        <w:t xml:space="preserve"> from NDIA and </w:t>
      </w:r>
      <w:r w:rsidR="00783A49">
        <w:t>one</w:t>
      </w:r>
      <w:r>
        <w:t xml:space="preserve"> from </w:t>
      </w:r>
      <w:r w:rsidR="004B0006">
        <w:t>the Department of Social Services</w:t>
      </w:r>
      <w:r>
        <w:t>). The committee oversaw the accountability and transparency of the IERP</w:t>
      </w:r>
      <w:r w:rsidR="0076189B">
        <w:t>,</w:t>
      </w:r>
      <w:r>
        <w:t xml:space="preserve"> including quality assurance and complaint management processes to ensure feedback could be acted upon in a timely way. Participation in the pilot was voluntary.</w:t>
      </w:r>
    </w:p>
    <w:p w14:paraId="5B921EFB" w14:textId="44DC7F77" w:rsidR="00ED17A5" w:rsidRDefault="00ED17A5" w:rsidP="00ED17A5">
      <w:r>
        <w:t xml:space="preserve">The </w:t>
      </w:r>
      <w:r w:rsidR="00267C7E">
        <w:t xml:space="preserve">IERP pilot </w:t>
      </w:r>
      <w:r>
        <w:t xml:space="preserve">evaluation </w:t>
      </w:r>
      <w:r w:rsidR="00B672F3">
        <w:t>in</w:t>
      </w:r>
      <w:r w:rsidR="00CF196E">
        <w:t>cluded</w:t>
      </w:r>
      <w:r>
        <w:t xml:space="preserve"> collecting and analysing non-identifiable </w:t>
      </w:r>
      <w:r w:rsidR="001B6061">
        <w:t>survey</w:t>
      </w:r>
      <w:r>
        <w:t xml:space="preserve"> data</w:t>
      </w:r>
      <w:r w:rsidR="001B6061">
        <w:t xml:space="preserve"> from participants. </w:t>
      </w:r>
      <w:r>
        <w:t xml:space="preserve">The surveys </w:t>
      </w:r>
      <w:r w:rsidR="001B6061">
        <w:t>inc</w:t>
      </w:r>
      <w:r w:rsidR="006157A7">
        <w:t xml:space="preserve">orporated </w:t>
      </w:r>
      <w:r>
        <w:t xml:space="preserve">an </w:t>
      </w:r>
      <w:r w:rsidR="00FB6CC3">
        <w:t>easy-to-understand</w:t>
      </w:r>
      <w:r>
        <w:t xml:space="preserve"> explanation </w:t>
      </w:r>
      <w:r>
        <w:lastRenderedPageBreak/>
        <w:t xml:space="preserve">of the </w:t>
      </w:r>
      <w:r w:rsidR="006157A7">
        <w:t xml:space="preserve">survey </w:t>
      </w:r>
      <w:r>
        <w:t>purpose</w:t>
      </w:r>
      <w:r w:rsidR="0035034F">
        <w:t>,</w:t>
      </w:r>
      <w:r>
        <w:t xml:space="preserve"> which reinforce</w:t>
      </w:r>
      <w:r w:rsidR="00C41B74">
        <w:t>d</w:t>
      </w:r>
      <w:r>
        <w:t xml:space="preserve"> that </w:t>
      </w:r>
      <w:r w:rsidR="001B6061">
        <w:t>it was</w:t>
      </w:r>
      <w:r>
        <w:t xml:space="preserve"> voluntary, </w:t>
      </w:r>
      <w:r w:rsidR="001B6061">
        <w:t>in</w:t>
      </w:r>
      <w:r>
        <w:t xml:space="preserve"> no way related to participant plans or participation in the NDIS and </w:t>
      </w:r>
      <w:r w:rsidR="00FB6CC3">
        <w:t>wa</w:t>
      </w:r>
      <w:r>
        <w:t xml:space="preserve">s non-identifiable. </w:t>
      </w:r>
      <w:r w:rsidR="00FB6CC3">
        <w:t>The NDIA administers s</w:t>
      </w:r>
      <w:r>
        <w:t>urveys through a secure survey tool which meets Commonwealth government data security standards and has accessibility functions.</w:t>
      </w:r>
    </w:p>
    <w:p w14:paraId="240048EE" w14:textId="18C69FAA" w:rsidR="00ED17A5" w:rsidRDefault="00ED17A5" w:rsidP="00ED17A5">
      <w:r>
        <w:t>The use of administrative data recorded as part of the IER</w:t>
      </w:r>
      <w:r w:rsidR="006400AE">
        <w:t>P</w:t>
      </w:r>
      <w:r>
        <w:t xml:space="preserve"> for the evaluation, includ</w:t>
      </w:r>
      <w:r w:rsidR="00FB133C">
        <w:t>ing</w:t>
      </w:r>
      <w:r>
        <w:t xml:space="preserve"> personal</w:t>
      </w:r>
      <w:r w:rsidR="006400AE">
        <w:t>/</w:t>
      </w:r>
      <w:r>
        <w:t xml:space="preserve"> sensitive information, </w:t>
      </w:r>
      <w:r w:rsidR="00FB6CC3">
        <w:t>align</w:t>
      </w:r>
      <w:r w:rsidR="007F29A6">
        <w:t>s</w:t>
      </w:r>
      <w:r>
        <w:t xml:space="preserve"> with the permitted uses of such information under the NDIS Act and </w:t>
      </w:r>
      <w:r w:rsidR="00FB6CC3">
        <w:t>ensured</w:t>
      </w:r>
      <w:r>
        <w:t xml:space="preserve"> the highest standards of privacy and data security in accordance with privacy legislation.</w:t>
      </w:r>
    </w:p>
    <w:p w14:paraId="04BE7196" w14:textId="26A11170" w:rsidR="003558A5" w:rsidRPr="003558A5" w:rsidRDefault="00ED17A5" w:rsidP="00ED17A5">
      <w:r>
        <w:t>Therefore, in accordance with the NHMRC guideline</w:t>
      </w:r>
      <w:r w:rsidR="00C25139">
        <w:t>s</w:t>
      </w:r>
      <w:r>
        <w:t xml:space="preserve">, full Human Research Ethics Committee approval </w:t>
      </w:r>
      <w:r w:rsidR="00FB6CC3">
        <w:t xml:space="preserve">was unnecessary for the </w:t>
      </w:r>
      <w:r w:rsidR="007230C6">
        <w:t xml:space="preserve">IERP </w:t>
      </w:r>
      <w:r w:rsidR="00FB6CC3">
        <w:t>pilot and its evaluation.</w:t>
      </w:r>
    </w:p>
    <w:p w14:paraId="27F2E7D8" w14:textId="366226F3" w:rsidR="009E780B" w:rsidRDefault="0011695F" w:rsidP="00A01FA6">
      <w:pPr>
        <w:pStyle w:val="Heading2"/>
      </w:pPr>
      <w:bookmarkStart w:id="78" w:name="_Toc133655508"/>
      <w:bookmarkStart w:id="79" w:name="_Toc142918593"/>
      <w:r>
        <w:lastRenderedPageBreak/>
        <w:t>Participant</w:t>
      </w:r>
      <w:r w:rsidR="00A63F9F">
        <w:t xml:space="preserve"> experience</w:t>
      </w:r>
      <w:bookmarkEnd w:id="78"/>
      <w:r w:rsidR="00317510">
        <w:t xml:space="preserve"> </w:t>
      </w:r>
      <w:r w:rsidR="002C48B2">
        <w:t>and satisfaction</w:t>
      </w:r>
      <w:bookmarkEnd w:id="79"/>
    </w:p>
    <w:p w14:paraId="15FEE4A4" w14:textId="68C4DB55" w:rsidR="006C6D93" w:rsidRDefault="00534798" w:rsidP="00534798">
      <w:pPr>
        <w:spacing w:before="160"/>
      </w:pPr>
      <w:r>
        <w:t>This chapter presents finding</w:t>
      </w:r>
      <w:r w:rsidR="006C6D93">
        <w:t>s related to the experience of participants</w:t>
      </w:r>
      <w:r w:rsidR="008228D6">
        <w:t xml:space="preserve"> and </w:t>
      </w:r>
      <w:r w:rsidR="006C6D93">
        <w:t xml:space="preserve">their </w:t>
      </w:r>
      <w:r w:rsidR="008400AD">
        <w:t>representatives</w:t>
      </w:r>
      <w:r w:rsidR="006C6D93">
        <w:t xml:space="preserve"> with the IERP.</w:t>
      </w:r>
    </w:p>
    <w:tbl>
      <w:tblPr>
        <w:tblStyle w:val="TableGrid"/>
        <w:tblW w:w="0" w:type="auto"/>
        <w:tblLook w:val="04A0" w:firstRow="1" w:lastRow="0" w:firstColumn="1" w:lastColumn="0" w:noHBand="0" w:noVBand="1"/>
      </w:tblPr>
      <w:tblGrid>
        <w:gridCol w:w="9016"/>
      </w:tblGrid>
      <w:tr w:rsidR="00A94865" w:rsidRPr="007D5F1A" w14:paraId="52565166" w14:textId="77777777">
        <w:tc>
          <w:tcPr>
            <w:tcW w:w="9016" w:type="dxa"/>
          </w:tcPr>
          <w:p w14:paraId="041EFA63" w14:textId="77777777" w:rsidR="0029627B" w:rsidRPr="00FB61B6" w:rsidRDefault="0029627B" w:rsidP="00FB61B6">
            <w:pPr>
              <w:pStyle w:val="KeyfindingsH3"/>
            </w:pPr>
            <w:r w:rsidRPr="00FB61B6">
              <w:t>Key findings</w:t>
            </w:r>
          </w:p>
          <w:p w14:paraId="70F8B0A3" w14:textId="0A54C02F" w:rsidR="007215C9" w:rsidRPr="007D5F1A" w:rsidRDefault="002C67E7" w:rsidP="000705FE">
            <w:pPr>
              <w:pStyle w:val="ListParagraph"/>
              <w:numPr>
                <w:ilvl w:val="0"/>
                <w:numId w:val="23"/>
              </w:numPr>
              <w:spacing w:before="120" w:after="120"/>
              <w:ind w:left="357" w:hanging="357"/>
            </w:pPr>
            <w:r w:rsidRPr="007D5F1A">
              <w:t xml:space="preserve">As of </w:t>
            </w:r>
            <w:r w:rsidR="00CE6F63" w:rsidRPr="007D5F1A">
              <w:t>3</w:t>
            </w:r>
            <w:r w:rsidR="00CC6D83" w:rsidRPr="007D5F1A">
              <w:t>1 J</w:t>
            </w:r>
            <w:r w:rsidR="00597A2F" w:rsidRPr="007D5F1A">
              <w:t>uly</w:t>
            </w:r>
            <w:r w:rsidR="00CE6F63" w:rsidRPr="007D5F1A">
              <w:t xml:space="preserve"> 2023, </w:t>
            </w:r>
            <w:r w:rsidR="007F0D3D" w:rsidRPr="007D5F1A">
              <w:t>79</w:t>
            </w:r>
            <w:r w:rsidR="00CE6F63" w:rsidRPr="007D5F1A">
              <w:t>% of</w:t>
            </w:r>
            <w:r w:rsidR="009B26BE" w:rsidRPr="007D5F1A">
              <w:t xml:space="preserve"> participants </w:t>
            </w:r>
            <w:r w:rsidR="00201E90" w:rsidRPr="007D5F1A">
              <w:t xml:space="preserve">accepted the invitation to have their </w:t>
            </w:r>
            <w:r w:rsidR="00360724" w:rsidRPr="007D5F1A">
              <w:t xml:space="preserve">AAT </w:t>
            </w:r>
            <w:r w:rsidR="00201E90" w:rsidRPr="007D5F1A">
              <w:t xml:space="preserve">matter </w:t>
            </w:r>
            <w:r w:rsidR="00360724" w:rsidRPr="007D5F1A">
              <w:t>reviewed</w:t>
            </w:r>
            <w:r w:rsidR="00201E90" w:rsidRPr="007D5F1A">
              <w:t xml:space="preserve"> by an independent expert. The </w:t>
            </w:r>
            <w:r w:rsidR="00DC1E02" w:rsidRPr="007D5F1A">
              <w:t>most common reason for non-acceptance w</w:t>
            </w:r>
            <w:r w:rsidR="00650A52">
              <w:t>as</w:t>
            </w:r>
            <w:r w:rsidR="00DC1E02" w:rsidRPr="007D5F1A">
              <w:t xml:space="preserve"> </w:t>
            </w:r>
            <w:r w:rsidR="00D01746" w:rsidRPr="007D5F1A">
              <w:t>the matter was about to settle</w:t>
            </w:r>
            <w:r w:rsidR="00601B96" w:rsidRPr="007D5F1A">
              <w:t xml:space="preserve"> or </w:t>
            </w:r>
            <w:r w:rsidR="004E72D3" w:rsidRPr="007D5F1A">
              <w:t xml:space="preserve">was </w:t>
            </w:r>
            <w:r w:rsidR="00601B96" w:rsidRPr="007D5F1A">
              <w:t>close to the AAT hearing date</w:t>
            </w:r>
            <w:r w:rsidR="00D01746" w:rsidRPr="007D5F1A">
              <w:t>.</w:t>
            </w:r>
          </w:p>
          <w:p w14:paraId="51168173" w14:textId="7B74C43F" w:rsidR="00584523" w:rsidRPr="007D5F1A" w:rsidRDefault="00F77CAF" w:rsidP="000705FE">
            <w:pPr>
              <w:pStyle w:val="ListParagraph"/>
              <w:numPr>
                <w:ilvl w:val="0"/>
                <w:numId w:val="23"/>
              </w:numPr>
              <w:spacing w:before="120" w:after="120"/>
              <w:ind w:left="357" w:hanging="357"/>
            </w:pPr>
            <w:r w:rsidRPr="007D5F1A">
              <w:t xml:space="preserve">As of </w:t>
            </w:r>
            <w:r w:rsidR="00960DE7" w:rsidRPr="007D5F1A">
              <w:t>31</w:t>
            </w:r>
            <w:r w:rsidR="00FF7C39" w:rsidRPr="007D5F1A">
              <w:t xml:space="preserve"> July</w:t>
            </w:r>
            <w:r w:rsidRPr="007D5F1A">
              <w:t xml:space="preserve"> 2023, independent experts had made </w:t>
            </w:r>
            <w:r w:rsidR="00243AA4" w:rsidRPr="007D5F1A">
              <w:t xml:space="preserve">recommendations </w:t>
            </w:r>
            <w:r w:rsidR="001169EC" w:rsidRPr="007D5F1A">
              <w:t xml:space="preserve">on </w:t>
            </w:r>
            <w:r w:rsidR="000020B4" w:rsidRPr="007D5F1A">
              <w:t>1</w:t>
            </w:r>
            <w:r w:rsidR="007C4396" w:rsidRPr="007D5F1A">
              <w:t>09</w:t>
            </w:r>
            <w:r w:rsidR="000020B4" w:rsidRPr="007D5F1A">
              <w:t xml:space="preserve"> </w:t>
            </w:r>
            <w:r w:rsidR="001169EC" w:rsidRPr="007D5F1A">
              <w:t>cases</w:t>
            </w:r>
            <w:r w:rsidR="00A566BC" w:rsidRPr="007D5F1A">
              <w:t>,</w:t>
            </w:r>
            <w:r w:rsidR="001169EC" w:rsidRPr="007D5F1A">
              <w:t xml:space="preserve"> </w:t>
            </w:r>
            <w:r w:rsidR="00243AA4" w:rsidRPr="007D5F1A">
              <w:t xml:space="preserve">of which participants or their nominees </w:t>
            </w:r>
            <w:r w:rsidR="00617BD4" w:rsidRPr="007D5F1A">
              <w:t xml:space="preserve">had </w:t>
            </w:r>
            <w:r w:rsidR="00243AA4" w:rsidRPr="007D5F1A">
              <w:t xml:space="preserve">accepted </w:t>
            </w:r>
            <w:r w:rsidR="00EF2894">
              <w:t xml:space="preserve">in </w:t>
            </w:r>
            <w:r w:rsidR="003531CD" w:rsidRPr="007D5F1A">
              <w:t>8</w:t>
            </w:r>
            <w:r w:rsidR="001C064E" w:rsidRPr="007D5F1A">
              <w:t>6</w:t>
            </w:r>
            <w:r w:rsidR="00243AA4" w:rsidRPr="007D5F1A">
              <w:t>%</w:t>
            </w:r>
            <w:r w:rsidR="00EF2894">
              <w:t xml:space="preserve"> of cases</w:t>
            </w:r>
            <w:r w:rsidR="007215C9" w:rsidRPr="007D5F1A">
              <w:t>.</w:t>
            </w:r>
            <w:r w:rsidR="002A0C96" w:rsidRPr="007D5F1A">
              <w:t xml:space="preserve"> </w:t>
            </w:r>
          </w:p>
          <w:p w14:paraId="6780CCDF" w14:textId="04762927" w:rsidR="00177DF0" w:rsidRPr="007D5F1A" w:rsidRDefault="00177DF0" w:rsidP="000705FE">
            <w:pPr>
              <w:pStyle w:val="ListParagraph"/>
              <w:numPr>
                <w:ilvl w:val="0"/>
                <w:numId w:val="23"/>
              </w:numPr>
              <w:spacing w:before="120" w:after="120"/>
              <w:ind w:left="357" w:hanging="357"/>
            </w:pPr>
            <w:r w:rsidRPr="007D5F1A">
              <w:t xml:space="preserve">Participants and their representatives </w:t>
            </w:r>
            <w:r w:rsidR="00A566BC" w:rsidRPr="007D5F1A">
              <w:t>indicated</w:t>
            </w:r>
            <w:r w:rsidRPr="007D5F1A">
              <w:t xml:space="preserve"> high satisfaction with the</w:t>
            </w:r>
            <w:r w:rsidR="00D751B0" w:rsidRPr="007D5F1A">
              <w:t xml:space="preserve"> IERP. They reported </w:t>
            </w:r>
            <w:r w:rsidR="003A6054" w:rsidRPr="007D5F1A">
              <w:t xml:space="preserve">they had more opportunity to </w:t>
            </w:r>
            <w:r w:rsidR="003631A1" w:rsidRPr="007D5F1A">
              <w:t>be heard compared to the A</w:t>
            </w:r>
            <w:r w:rsidR="00C569A6" w:rsidRPr="007D5F1A">
              <w:t>AT</w:t>
            </w:r>
            <w:r w:rsidR="00ED268E" w:rsidRPr="007D5F1A">
              <w:t xml:space="preserve">, </w:t>
            </w:r>
            <w:r w:rsidR="009B19E1" w:rsidRPr="007D5F1A">
              <w:t>valued</w:t>
            </w:r>
            <w:r w:rsidR="007A11EA" w:rsidRPr="007D5F1A">
              <w:t xml:space="preserve"> </w:t>
            </w:r>
            <w:r w:rsidR="00F649FA" w:rsidRPr="007D5F1A">
              <w:t xml:space="preserve">that </w:t>
            </w:r>
            <w:r w:rsidR="007A11EA" w:rsidRPr="007D5F1A">
              <w:t xml:space="preserve">the independent expert </w:t>
            </w:r>
            <w:r w:rsidR="00752318" w:rsidRPr="007D5F1A">
              <w:t xml:space="preserve">had </w:t>
            </w:r>
            <w:r w:rsidR="007A11EA" w:rsidRPr="007D5F1A">
              <w:t xml:space="preserve">considered all the information they provided and appreciated the </w:t>
            </w:r>
            <w:r w:rsidR="008C4A78" w:rsidRPr="007D5F1A">
              <w:t xml:space="preserve">timeliness of the </w:t>
            </w:r>
            <w:r w:rsidR="00ED268E" w:rsidRPr="007D5F1A">
              <w:t>process</w:t>
            </w:r>
            <w:r w:rsidR="0052681B" w:rsidRPr="007D5F1A">
              <w:t>.</w:t>
            </w:r>
          </w:p>
          <w:p w14:paraId="1F2C7BEE" w14:textId="3DC8AC13" w:rsidR="001C035A" w:rsidRPr="007D5F1A" w:rsidRDefault="008C5FC3" w:rsidP="000705FE">
            <w:pPr>
              <w:pStyle w:val="ListParagraph"/>
              <w:numPr>
                <w:ilvl w:val="0"/>
                <w:numId w:val="23"/>
              </w:numPr>
              <w:spacing w:before="120" w:after="120"/>
              <w:ind w:left="357" w:hanging="357"/>
            </w:pPr>
            <w:r w:rsidRPr="007D5F1A">
              <w:t xml:space="preserve">Participants </w:t>
            </w:r>
            <w:r w:rsidR="009C1719" w:rsidRPr="007D5F1A">
              <w:t xml:space="preserve">and their </w:t>
            </w:r>
            <w:r w:rsidR="008400AD" w:rsidRPr="007D5F1A">
              <w:t>representatives</w:t>
            </w:r>
            <w:r w:rsidR="009C1719" w:rsidRPr="007D5F1A">
              <w:t xml:space="preserve"> were generally happy with the way the Agency managed the process, although </w:t>
            </w:r>
            <w:r w:rsidR="006C6F74" w:rsidRPr="007D5F1A">
              <w:t>communication could be simpler.</w:t>
            </w:r>
          </w:p>
          <w:p w14:paraId="306CA081" w14:textId="598B2AEB" w:rsidR="00DE6C14" w:rsidRPr="007D5F1A" w:rsidRDefault="003B4A92" w:rsidP="000705FE">
            <w:pPr>
              <w:pStyle w:val="ListParagraph"/>
              <w:numPr>
                <w:ilvl w:val="0"/>
                <w:numId w:val="23"/>
              </w:numPr>
              <w:spacing w:before="120" w:after="120"/>
              <w:ind w:left="357" w:hanging="357"/>
            </w:pPr>
            <w:r w:rsidRPr="007D5F1A">
              <w:t>DRCOs</w:t>
            </w:r>
            <w:r w:rsidR="006C5FB4" w:rsidRPr="007D5F1A">
              <w:t xml:space="preserve"> </w:t>
            </w:r>
            <w:r w:rsidR="006C5FB4" w:rsidRPr="007D5F1A">
              <w:rPr>
                <w:rFonts w:cs="Arial"/>
              </w:rPr>
              <w:t xml:space="preserve">supported </w:t>
            </w:r>
            <w:r w:rsidR="001C035A" w:rsidRPr="007D5F1A">
              <w:rPr>
                <w:rFonts w:cs="Arial"/>
              </w:rPr>
              <w:t>the IERP</w:t>
            </w:r>
            <w:r w:rsidR="006C5FB4" w:rsidRPr="007D5F1A">
              <w:rPr>
                <w:rFonts w:cs="Arial"/>
              </w:rPr>
              <w:t xml:space="preserve"> process</w:t>
            </w:r>
            <w:r w:rsidR="00C161AB" w:rsidRPr="007D5F1A">
              <w:rPr>
                <w:rFonts w:cs="Arial"/>
              </w:rPr>
              <w:t>,</w:t>
            </w:r>
            <w:r w:rsidR="006C5FB4" w:rsidRPr="007D5F1A">
              <w:rPr>
                <w:rFonts w:cs="Arial"/>
              </w:rPr>
              <w:t xml:space="preserve"> </w:t>
            </w:r>
            <w:r w:rsidR="001C035A" w:rsidRPr="007D5F1A">
              <w:rPr>
                <w:rFonts w:cs="Arial"/>
              </w:rPr>
              <w:t xml:space="preserve">noting it as less </w:t>
            </w:r>
            <w:r w:rsidR="006C5FB4" w:rsidRPr="007D5F1A">
              <w:t xml:space="preserve">bureaucratic, non-adversarial </w:t>
            </w:r>
            <w:r w:rsidR="00772015" w:rsidRPr="007D5F1A">
              <w:t xml:space="preserve">and more time efficient </w:t>
            </w:r>
            <w:r w:rsidR="006C5FB4" w:rsidRPr="007D5F1A">
              <w:t>than the AAT</w:t>
            </w:r>
            <w:r w:rsidR="00C161AB" w:rsidRPr="007D5F1A">
              <w:t xml:space="preserve">, minimising </w:t>
            </w:r>
            <w:r w:rsidR="000E2C3D" w:rsidRPr="007D5F1A">
              <w:t>stress,</w:t>
            </w:r>
            <w:r w:rsidR="00C161AB" w:rsidRPr="007D5F1A">
              <w:t xml:space="preserve"> and anxiety to participants.</w:t>
            </w:r>
            <w:r w:rsidR="006C5FB4" w:rsidRPr="007D5F1A">
              <w:t xml:space="preserve"> </w:t>
            </w:r>
          </w:p>
        </w:tc>
      </w:tr>
    </w:tbl>
    <w:p w14:paraId="24F48BFC" w14:textId="283CA473" w:rsidR="00DE09DD" w:rsidRPr="007D5F1A" w:rsidRDefault="00DE09DD" w:rsidP="002C48B2">
      <w:pPr>
        <w:pStyle w:val="Heading3"/>
      </w:pPr>
      <w:bookmarkStart w:id="80" w:name="_Toc142918594"/>
      <w:r w:rsidRPr="007D5F1A">
        <w:t xml:space="preserve">Participant acceptance </w:t>
      </w:r>
      <w:r w:rsidR="00905E5B" w:rsidRPr="007D5F1A">
        <w:t>of</w:t>
      </w:r>
      <w:r w:rsidRPr="007D5F1A">
        <w:t xml:space="preserve"> an independent expert review</w:t>
      </w:r>
      <w:r w:rsidR="00E9725D" w:rsidRPr="007D5F1A">
        <w:t>ing</w:t>
      </w:r>
      <w:r w:rsidRPr="007D5F1A">
        <w:t xml:space="preserve"> their matter</w:t>
      </w:r>
      <w:bookmarkEnd w:id="80"/>
    </w:p>
    <w:p w14:paraId="4B6B6D5E" w14:textId="1067F6E8" w:rsidR="00755A68" w:rsidRPr="007D5F1A" w:rsidRDefault="008D7A26" w:rsidP="00892715">
      <w:r w:rsidRPr="007D5F1A">
        <w:t>A total of</w:t>
      </w:r>
      <w:r w:rsidR="00A35790" w:rsidRPr="007D5F1A">
        <w:t xml:space="preserve"> 222 IERP e</w:t>
      </w:r>
      <w:r w:rsidR="00634547" w:rsidRPr="007D5F1A">
        <w:t>nquires</w:t>
      </w:r>
      <w:r w:rsidR="007B7BF3" w:rsidRPr="007D5F1A">
        <w:t xml:space="preserve"> </w:t>
      </w:r>
      <w:r w:rsidRPr="007D5F1A">
        <w:t xml:space="preserve">were </w:t>
      </w:r>
      <w:r w:rsidR="00B82AC5" w:rsidRPr="007D5F1A">
        <w:t xml:space="preserve">registered via the dedicated </w:t>
      </w:r>
      <w:r w:rsidR="009A457C" w:rsidRPr="007D5F1A">
        <w:t xml:space="preserve">NDIA </w:t>
      </w:r>
      <w:r w:rsidR="00B82AC5" w:rsidRPr="007D5F1A">
        <w:t>IER</w:t>
      </w:r>
      <w:r w:rsidR="009A457C" w:rsidRPr="007D5F1A">
        <w:t>P inbox</w:t>
      </w:r>
      <w:r w:rsidRPr="007D5F1A">
        <w:t xml:space="preserve"> up to 30 June 2023</w:t>
      </w:r>
      <w:r w:rsidR="00A35790" w:rsidRPr="007D5F1A">
        <w:t xml:space="preserve">. </w:t>
      </w:r>
      <w:r w:rsidR="00F860EC" w:rsidRPr="007D5F1A">
        <w:fldChar w:fldCharType="begin"/>
      </w:r>
      <w:r w:rsidR="00F860EC" w:rsidRPr="007D5F1A">
        <w:instrText xml:space="preserve"> REF _Ref133834924 \h </w:instrText>
      </w:r>
      <w:r w:rsidR="00252043" w:rsidRPr="007D5F1A">
        <w:instrText xml:space="preserve"> \* MERGEFORMAT </w:instrText>
      </w:r>
      <w:r w:rsidR="00F860EC" w:rsidRPr="007D5F1A">
        <w:fldChar w:fldCharType="separate"/>
      </w:r>
      <w:r w:rsidR="000F1876" w:rsidRPr="007D5F1A">
        <w:t xml:space="preserve">Table </w:t>
      </w:r>
      <w:r w:rsidR="000F1876">
        <w:rPr>
          <w:noProof/>
        </w:rPr>
        <w:t>2</w:t>
      </w:r>
      <w:r w:rsidR="00F860EC" w:rsidRPr="007D5F1A">
        <w:fldChar w:fldCharType="end"/>
      </w:r>
      <w:r w:rsidR="00F860EC" w:rsidRPr="007D5F1A">
        <w:t xml:space="preserve"> </w:t>
      </w:r>
      <w:r w:rsidR="004E11F9" w:rsidRPr="007D5F1A">
        <w:t xml:space="preserve">shows </w:t>
      </w:r>
      <w:r w:rsidR="00EB0F6A" w:rsidRPr="007D5F1A">
        <w:t xml:space="preserve">35% of these </w:t>
      </w:r>
      <w:r w:rsidR="00CA5CA2" w:rsidRPr="007D5F1A">
        <w:t xml:space="preserve">cases </w:t>
      </w:r>
      <w:r w:rsidR="00EB0F6A" w:rsidRPr="007D5F1A">
        <w:t xml:space="preserve">were referred to the IERP, </w:t>
      </w:r>
      <w:r w:rsidR="00004FC9" w:rsidRPr="007D5F1A">
        <w:t>9% settled</w:t>
      </w:r>
      <w:r w:rsidR="00360724" w:rsidRPr="007D5F1A">
        <w:t xml:space="preserve"> without need for the IERP</w:t>
      </w:r>
      <w:r w:rsidR="00004FC9" w:rsidRPr="007D5F1A">
        <w:t xml:space="preserve"> and 56% </w:t>
      </w:r>
      <w:r w:rsidR="00755A68" w:rsidRPr="007D5F1A">
        <w:t>were not referred</w:t>
      </w:r>
      <w:r w:rsidR="000D2553" w:rsidRPr="007D5F1A">
        <w:t xml:space="preserve">. </w:t>
      </w:r>
      <w:r w:rsidR="00360724" w:rsidRPr="007D5F1A">
        <w:t>The m</w:t>
      </w:r>
      <w:r w:rsidR="00C36CEC" w:rsidRPr="007D5F1A">
        <w:t xml:space="preserve">ost frequently cited reasons why matters </w:t>
      </w:r>
      <w:r w:rsidR="00755A68" w:rsidRPr="007D5F1A">
        <w:t>were not referred were:</w:t>
      </w:r>
    </w:p>
    <w:p w14:paraId="3187A801" w14:textId="77777777" w:rsidR="00755A68" w:rsidRPr="007D5F1A" w:rsidRDefault="00755A68" w:rsidP="000705FE">
      <w:pPr>
        <w:pStyle w:val="ListParagraph"/>
        <w:numPr>
          <w:ilvl w:val="0"/>
          <w:numId w:val="18"/>
        </w:numPr>
        <w:spacing w:before="120" w:after="120"/>
        <w:ind w:left="714" w:hanging="357"/>
        <w:contextualSpacing/>
      </w:pPr>
      <w:r w:rsidRPr="007D5F1A">
        <w:lastRenderedPageBreak/>
        <w:t>Further information was required</w:t>
      </w:r>
    </w:p>
    <w:p w14:paraId="5DA9DC1A" w14:textId="77777777" w:rsidR="00F16687" w:rsidRPr="007D5F1A" w:rsidRDefault="00BA7A9F" w:rsidP="000705FE">
      <w:pPr>
        <w:pStyle w:val="ListParagraph"/>
        <w:numPr>
          <w:ilvl w:val="0"/>
          <w:numId w:val="18"/>
        </w:numPr>
        <w:spacing w:before="120" w:after="120"/>
        <w:ind w:left="714" w:hanging="357"/>
        <w:contextualSpacing/>
      </w:pPr>
      <w:r w:rsidRPr="007D5F1A">
        <w:t xml:space="preserve">Settlement discussions and/or an offer </w:t>
      </w:r>
      <w:r w:rsidR="00F16687" w:rsidRPr="007D5F1A">
        <w:t>being considered</w:t>
      </w:r>
    </w:p>
    <w:p w14:paraId="5E6AA28C" w14:textId="77777777" w:rsidR="009B4382" w:rsidRPr="007D5F1A" w:rsidRDefault="00F16687" w:rsidP="000705FE">
      <w:pPr>
        <w:pStyle w:val="ListParagraph"/>
        <w:numPr>
          <w:ilvl w:val="0"/>
          <w:numId w:val="18"/>
        </w:numPr>
        <w:spacing w:before="120" w:after="120"/>
        <w:ind w:left="714" w:hanging="357"/>
        <w:contextualSpacing/>
      </w:pPr>
      <w:r w:rsidRPr="007D5F1A">
        <w:t>Conciliation or a</w:t>
      </w:r>
      <w:r w:rsidR="009B4382" w:rsidRPr="007D5F1A">
        <w:t>n AAT hearing scheduled</w:t>
      </w:r>
    </w:p>
    <w:p w14:paraId="4635A7C5" w14:textId="77777777" w:rsidR="00CE00CB" w:rsidRPr="007D5F1A" w:rsidRDefault="00CE00CB" w:rsidP="000705FE">
      <w:pPr>
        <w:pStyle w:val="ListParagraph"/>
        <w:numPr>
          <w:ilvl w:val="0"/>
          <w:numId w:val="18"/>
        </w:numPr>
        <w:spacing w:before="120" w:after="120"/>
        <w:ind w:left="714" w:hanging="357"/>
        <w:contextualSpacing/>
      </w:pPr>
      <w:r w:rsidRPr="007D5F1A">
        <w:t>Matter was in the process of Early Assessment</w:t>
      </w:r>
    </w:p>
    <w:p w14:paraId="7E1A9DBC" w14:textId="77777777" w:rsidR="00CE00CB" w:rsidRPr="007D5F1A" w:rsidRDefault="00CE00CB" w:rsidP="000705FE">
      <w:pPr>
        <w:pStyle w:val="ListParagraph"/>
        <w:numPr>
          <w:ilvl w:val="0"/>
          <w:numId w:val="18"/>
        </w:numPr>
        <w:spacing w:before="120" w:after="120"/>
        <w:ind w:left="714" w:hanging="357"/>
        <w:contextualSpacing/>
      </w:pPr>
      <w:r w:rsidRPr="007D5F1A">
        <w:t>Information was not settled</w:t>
      </w:r>
    </w:p>
    <w:p w14:paraId="175D7BF9" w14:textId="7152FBBE" w:rsidR="002910E8" w:rsidRPr="000C5E05" w:rsidRDefault="00DD2CE6" w:rsidP="000705FE">
      <w:pPr>
        <w:pStyle w:val="ListParagraph"/>
        <w:numPr>
          <w:ilvl w:val="0"/>
          <w:numId w:val="18"/>
        </w:numPr>
        <w:spacing w:before="120" w:after="200"/>
        <w:ind w:left="714" w:hanging="357"/>
        <w:contextualSpacing/>
      </w:pPr>
      <w:r w:rsidRPr="000C5E05">
        <w:t xml:space="preserve">Significantly conflicting evidence </w:t>
      </w:r>
      <w:r w:rsidR="006C5A58" w:rsidRPr="000C5E05">
        <w:t xml:space="preserve">requiring </w:t>
      </w:r>
      <w:r w:rsidR="00F340F1" w:rsidRPr="000C5E05">
        <w:t>forensic testing before the AAT</w:t>
      </w:r>
    </w:p>
    <w:p w14:paraId="4CEC76DB" w14:textId="69F78307" w:rsidR="00E55679" w:rsidRDefault="008877E6" w:rsidP="00892715">
      <w:r w:rsidRPr="007D5F1A">
        <w:t xml:space="preserve">Of the </w:t>
      </w:r>
      <w:r w:rsidR="0073119D" w:rsidRPr="007D5F1A">
        <w:t xml:space="preserve">124 cases not referred to the IERP, 57 have since settled via other Agency initiatives and 67 remain active </w:t>
      </w:r>
      <w:r w:rsidR="00E55679" w:rsidRPr="007D5F1A">
        <w:t>in the AAT</w:t>
      </w:r>
      <w:r w:rsidR="0035178F" w:rsidRPr="007D5F1A">
        <w:t>,</w:t>
      </w:r>
      <w:r w:rsidR="00E55679" w:rsidRPr="007D5F1A">
        <w:t xml:space="preserve"> with </w:t>
      </w:r>
      <w:r w:rsidR="0035178F" w:rsidRPr="007D5F1A">
        <w:t>most</w:t>
      </w:r>
      <w:r w:rsidR="00E55679" w:rsidRPr="007D5F1A">
        <w:t xml:space="preserve"> expected to settle prior to hearing.</w:t>
      </w:r>
    </w:p>
    <w:p w14:paraId="2DFF4BC1" w14:textId="77777777" w:rsidR="0035178F" w:rsidRPr="007D5F1A" w:rsidRDefault="00693BE0" w:rsidP="00892715">
      <w:r w:rsidRPr="007D5F1A">
        <w:t>A</w:t>
      </w:r>
      <w:r w:rsidR="006470D6" w:rsidRPr="007D5F1A">
        <w:t xml:space="preserve">s of </w:t>
      </w:r>
      <w:r w:rsidR="00A0213A" w:rsidRPr="007D5F1A">
        <w:t>3</w:t>
      </w:r>
      <w:r w:rsidR="00B7420B" w:rsidRPr="007D5F1A">
        <w:t xml:space="preserve">1 July </w:t>
      </w:r>
      <w:r w:rsidR="006470D6" w:rsidRPr="007D5F1A">
        <w:t xml:space="preserve">2023, </w:t>
      </w:r>
      <w:r w:rsidR="00E005C3" w:rsidRPr="007D5F1A">
        <w:t>19</w:t>
      </w:r>
      <w:r w:rsidR="003342C9" w:rsidRPr="007D5F1A">
        <w:t>7</w:t>
      </w:r>
      <w:r w:rsidR="00E005C3" w:rsidRPr="007D5F1A">
        <w:t xml:space="preserve"> </w:t>
      </w:r>
      <w:r w:rsidR="00AE4F24" w:rsidRPr="007D5F1A">
        <w:t xml:space="preserve">IERP </w:t>
      </w:r>
      <w:r w:rsidR="00E005C3" w:rsidRPr="007D5F1A">
        <w:t xml:space="preserve">invitations </w:t>
      </w:r>
      <w:r w:rsidR="00AE4F24" w:rsidRPr="007D5F1A">
        <w:t xml:space="preserve">were sent to participants, with </w:t>
      </w:r>
      <w:r w:rsidR="007F0D3D" w:rsidRPr="007D5F1A">
        <w:t>79</w:t>
      </w:r>
      <w:r w:rsidR="004D3C56" w:rsidRPr="007D5F1A">
        <w:t xml:space="preserve">% </w:t>
      </w:r>
      <w:r w:rsidR="006470D6" w:rsidRPr="007D5F1A">
        <w:t xml:space="preserve">(or </w:t>
      </w:r>
      <w:r w:rsidR="00280298" w:rsidRPr="007D5F1A">
        <w:t>156</w:t>
      </w:r>
      <w:r w:rsidR="006470D6" w:rsidRPr="007D5F1A">
        <w:t xml:space="preserve"> of </w:t>
      </w:r>
      <w:r w:rsidR="00280298" w:rsidRPr="007D5F1A">
        <w:t>19</w:t>
      </w:r>
      <w:r w:rsidR="00280363" w:rsidRPr="007D5F1A">
        <w:t>7</w:t>
      </w:r>
      <w:r w:rsidR="006470D6" w:rsidRPr="007D5F1A">
        <w:t>) accept</w:t>
      </w:r>
      <w:r w:rsidR="00A85028" w:rsidRPr="007D5F1A">
        <w:t xml:space="preserve">ing </w:t>
      </w:r>
      <w:r w:rsidR="006470D6" w:rsidRPr="007D5F1A">
        <w:t>the invitation</w:t>
      </w:r>
      <w:r w:rsidR="00AB776D" w:rsidRPr="007D5F1A">
        <w:t xml:space="preserve">. </w:t>
      </w:r>
      <w:r w:rsidR="008C4B45" w:rsidRPr="007D5F1A">
        <w:t xml:space="preserve">Reasons </w:t>
      </w:r>
      <w:r w:rsidR="00CA0753" w:rsidRPr="007D5F1A">
        <w:t>for non-acceptance w</w:t>
      </w:r>
      <w:r w:rsidR="00CD2944" w:rsidRPr="007D5F1A">
        <w:t>ere</w:t>
      </w:r>
      <w:r w:rsidR="00CA0753" w:rsidRPr="007D5F1A">
        <w:t xml:space="preserve"> generally </w:t>
      </w:r>
      <w:r w:rsidR="00C51361" w:rsidRPr="007D5F1A">
        <w:t xml:space="preserve">due to </w:t>
      </w:r>
      <w:r w:rsidR="00493CAC" w:rsidRPr="007D5F1A">
        <w:t xml:space="preserve">the </w:t>
      </w:r>
      <w:r w:rsidR="002A34F9" w:rsidRPr="007D5F1A">
        <w:t>proximity</w:t>
      </w:r>
      <w:r w:rsidR="00493CAC" w:rsidRPr="007D5F1A">
        <w:t xml:space="preserve"> </w:t>
      </w:r>
      <w:r w:rsidR="00511FC5" w:rsidRPr="007D5F1A">
        <w:t>of</w:t>
      </w:r>
      <w:r w:rsidR="00493CAC" w:rsidRPr="007D5F1A">
        <w:t xml:space="preserve"> an AAT hearing, </w:t>
      </w:r>
      <w:r w:rsidR="00BA6DC2" w:rsidRPr="007D5F1A">
        <w:t xml:space="preserve">or </w:t>
      </w:r>
      <w:r w:rsidR="00703948" w:rsidRPr="007D5F1A">
        <w:t xml:space="preserve">the matter had progressed and was close to settling. </w:t>
      </w:r>
    </w:p>
    <w:p w14:paraId="67175930" w14:textId="1EA50021" w:rsidR="005F45E5" w:rsidRPr="007D5F1A" w:rsidRDefault="00A0213A" w:rsidP="00892715">
      <w:r w:rsidRPr="007D5F1A">
        <w:t xml:space="preserve">As </w:t>
      </w:r>
      <w:r w:rsidR="005321A7" w:rsidRPr="007D5F1A">
        <w:t>of</w:t>
      </w:r>
      <w:r w:rsidRPr="007D5F1A">
        <w:t xml:space="preserve"> 3</w:t>
      </w:r>
      <w:r w:rsidR="00DD3CED" w:rsidRPr="007D5F1A">
        <w:t>1</w:t>
      </w:r>
      <w:r w:rsidRPr="007D5F1A">
        <w:t xml:space="preserve"> </w:t>
      </w:r>
      <w:r w:rsidR="00DD3CED" w:rsidRPr="007D5F1A">
        <w:t>July</w:t>
      </w:r>
      <w:r w:rsidRPr="007D5F1A">
        <w:t xml:space="preserve"> </w:t>
      </w:r>
      <w:r w:rsidR="00637816" w:rsidRPr="007D5F1A">
        <w:t xml:space="preserve">2023, </w:t>
      </w:r>
      <w:r w:rsidR="00EC7E0A" w:rsidRPr="007D5F1A">
        <w:t xml:space="preserve">independent experts had </w:t>
      </w:r>
      <w:r w:rsidR="00D348C4" w:rsidRPr="007D5F1A">
        <w:t xml:space="preserve">reviewed and made recommendations on </w:t>
      </w:r>
      <w:r w:rsidR="00EF48FC" w:rsidRPr="007D5F1A">
        <w:t>109</w:t>
      </w:r>
      <w:r w:rsidR="00D348C4" w:rsidRPr="007D5F1A">
        <w:t xml:space="preserve"> cases</w:t>
      </w:r>
      <w:r w:rsidR="00D71869" w:rsidRPr="007D5F1A">
        <w:t>,</w:t>
      </w:r>
      <w:r w:rsidR="00D348C4" w:rsidRPr="007D5F1A">
        <w:t xml:space="preserve"> with the rest </w:t>
      </w:r>
      <w:r w:rsidR="0035178F" w:rsidRPr="007D5F1A">
        <w:t xml:space="preserve">still </w:t>
      </w:r>
      <w:r w:rsidR="00D348C4" w:rsidRPr="007D5F1A">
        <w:t>under review</w:t>
      </w:r>
      <w:r w:rsidR="00647DF2" w:rsidRPr="007D5F1A">
        <w:t xml:space="preserve">, resolved </w:t>
      </w:r>
      <w:r w:rsidR="00763E6C" w:rsidRPr="007D5F1A">
        <w:t>through AAT processes</w:t>
      </w:r>
      <w:r w:rsidR="00272A0E" w:rsidRPr="007D5F1A">
        <w:t xml:space="preserve"> or </w:t>
      </w:r>
      <w:r w:rsidR="00EE1431" w:rsidRPr="007D5F1A">
        <w:t xml:space="preserve">for a small number of cases, </w:t>
      </w:r>
      <w:r w:rsidR="00272A0E" w:rsidRPr="007D5F1A">
        <w:t>on hold</w:t>
      </w:r>
      <w:r w:rsidR="00D348C4" w:rsidRPr="007D5F1A">
        <w:t xml:space="preserve">. </w:t>
      </w:r>
    </w:p>
    <w:p w14:paraId="2D449660" w14:textId="3566ED18" w:rsidR="0035178F" w:rsidRPr="007D5F1A" w:rsidRDefault="00D348C4" w:rsidP="00892715">
      <w:r w:rsidRPr="007D5F1A">
        <w:t>Although the</w:t>
      </w:r>
      <w:r w:rsidR="00DB5B70" w:rsidRPr="007D5F1A">
        <w:t xml:space="preserve"> IERP </w:t>
      </w:r>
      <w:r w:rsidRPr="007D5F1A">
        <w:t xml:space="preserve">terms state </w:t>
      </w:r>
      <w:r w:rsidR="00F374A6" w:rsidRPr="007D5F1A">
        <w:t xml:space="preserve">recommendations from independent experts are non-binding, the Agency </w:t>
      </w:r>
      <w:r w:rsidR="00AB71B8" w:rsidRPr="007D5F1A">
        <w:t xml:space="preserve">committed to </w:t>
      </w:r>
      <w:r w:rsidR="00A1029F" w:rsidRPr="007D5F1A">
        <w:t xml:space="preserve">accepting </w:t>
      </w:r>
      <w:r w:rsidR="004E11F9" w:rsidRPr="007D5F1A">
        <w:t xml:space="preserve">independent experts’ </w:t>
      </w:r>
      <w:r w:rsidR="00A1029F" w:rsidRPr="007D5F1A">
        <w:t>recommendations unless they</w:t>
      </w:r>
      <w:r w:rsidR="0035178F" w:rsidRPr="007D5F1A">
        <w:t xml:space="preserve"> did</w:t>
      </w:r>
      <w:r w:rsidR="003C4076" w:rsidRPr="007D5F1A">
        <w:t xml:space="preserve"> </w:t>
      </w:r>
      <w:r w:rsidR="0035178F" w:rsidRPr="007D5F1A">
        <w:t>n</w:t>
      </w:r>
      <w:r w:rsidR="003C4076" w:rsidRPr="007D5F1A">
        <w:t>ot</w:t>
      </w:r>
      <w:r w:rsidR="0035178F" w:rsidRPr="007D5F1A">
        <w:t xml:space="preserve"> meet the conditions outline</w:t>
      </w:r>
      <w:r w:rsidR="003C4076" w:rsidRPr="007D5F1A">
        <w:t>d</w:t>
      </w:r>
      <w:r w:rsidR="0035178F" w:rsidRPr="007D5F1A">
        <w:t xml:space="preserve"> in Chapter </w:t>
      </w:r>
      <w:r w:rsidR="0035178F" w:rsidRPr="007D5F1A">
        <w:fldChar w:fldCharType="begin"/>
      </w:r>
      <w:r w:rsidR="0035178F" w:rsidRPr="007D5F1A">
        <w:instrText xml:space="preserve"> REF _Ref142906631 \r \h  \* MERGEFORMAT </w:instrText>
      </w:r>
      <w:r w:rsidR="0035178F" w:rsidRPr="007D5F1A">
        <w:fldChar w:fldCharType="separate"/>
      </w:r>
      <w:r w:rsidR="000F1876">
        <w:t>1.2.3</w:t>
      </w:r>
      <w:r w:rsidR="0035178F" w:rsidRPr="007D5F1A">
        <w:fldChar w:fldCharType="end"/>
      </w:r>
      <w:r w:rsidR="0035178F" w:rsidRPr="007D5F1A">
        <w:t xml:space="preserve">. </w:t>
      </w:r>
      <w:r w:rsidR="00A1029F" w:rsidRPr="007D5F1A">
        <w:t xml:space="preserve">The Agency honoured this commitment and </w:t>
      </w:r>
      <w:r w:rsidR="004E11F9" w:rsidRPr="007D5F1A">
        <w:t xml:space="preserve">accepted all the independent experts’ recommendations </w:t>
      </w:r>
      <w:r w:rsidR="00B24A99" w:rsidRPr="007D5F1A">
        <w:t>in Phase 1</w:t>
      </w:r>
      <w:r w:rsidR="0035178F" w:rsidRPr="007D5F1A">
        <w:t>. In Phase 2, the Agency accepted 74% of recommendations in full and 22% in part</w:t>
      </w:r>
      <w:r w:rsidR="003F019D" w:rsidRPr="007D5F1A">
        <w:rPr>
          <w:rStyle w:val="FootnoteReference"/>
        </w:rPr>
        <w:footnoteReference w:id="20"/>
      </w:r>
      <w:r w:rsidR="004E11F9" w:rsidRPr="007D5F1A">
        <w:t xml:space="preserve">. Importantly, participants or their nominees accepted </w:t>
      </w:r>
      <w:r w:rsidR="004E686D" w:rsidRPr="007D5F1A">
        <w:t xml:space="preserve">or partially accepted </w:t>
      </w:r>
      <w:r w:rsidR="000E0659" w:rsidRPr="007D5F1A">
        <w:t>8</w:t>
      </w:r>
      <w:r w:rsidR="00677AB8" w:rsidRPr="007D5F1A">
        <w:t>6</w:t>
      </w:r>
      <w:r w:rsidR="004E11F9" w:rsidRPr="007D5F1A">
        <w:t xml:space="preserve">% of the recommendations </w:t>
      </w:r>
      <w:r w:rsidR="0035178F" w:rsidRPr="007D5F1A">
        <w:t>from independent experts</w:t>
      </w:r>
      <w:r w:rsidR="004E11F9" w:rsidRPr="007D5F1A">
        <w:t>.</w:t>
      </w:r>
    </w:p>
    <w:p w14:paraId="7D6D8E92" w14:textId="6378D307" w:rsidR="005F45E5" w:rsidRPr="007D5F1A" w:rsidRDefault="003F2175" w:rsidP="00892715">
      <w:r w:rsidRPr="007D5F1A">
        <w:t xml:space="preserve">Given the </w:t>
      </w:r>
      <w:r w:rsidR="006C2A37" w:rsidRPr="007D5F1A">
        <w:t xml:space="preserve">valid </w:t>
      </w:r>
      <w:r w:rsidRPr="007D5F1A">
        <w:t>reasons for participants not accepting the</w:t>
      </w:r>
      <w:r w:rsidR="009F08DB" w:rsidRPr="007D5F1A">
        <w:t xml:space="preserve"> IERP </w:t>
      </w:r>
      <w:r w:rsidRPr="007D5F1A">
        <w:t xml:space="preserve">invitation and the high acceptance </w:t>
      </w:r>
      <w:r w:rsidR="00884C03" w:rsidRPr="007D5F1A">
        <w:t>of recommendations</w:t>
      </w:r>
      <w:r w:rsidRPr="007D5F1A">
        <w:t xml:space="preserve">, these figures suggest </w:t>
      </w:r>
      <w:r w:rsidR="00C2126A" w:rsidRPr="007D5F1A">
        <w:t xml:space="preserve">participants </w:t>
      </w:r>
      <w:r w:rsidR="006C2A37" w:rsidRPr="007D5F1A">
        <w:t xml:space="preserve">have found </w:t>
      </w:r>
      <w:r w:rsidR="001B34AA" w:rsidRPr="007D5F1A">
        <w:t>the IERP</w:t>
      </w:r>
      <w:r w:rsidR="0086240D" w:rsidRPr="007D5F1A">
        <w:t xml:space="preserve"> </w:t>
      </w:r>
      <w:r w:rsidR="006C2A37" w:rsidRPr="007D5F1A">
        <w:t>an acceptable alternative to the AAT process.</w:t>
      </w:r>
    </w:p>
    <w:p w14:paraId="7DB0459F" w14:textId="49510935" w:rsidR="00915297" w:rsidRPr="007D5F1A" w:rsidRDefault="00915297" w:rsidP="00915297">
      <w:pPr>
        <w:ind w:left="357" w:right="720"/>
        <w:rPr>
          <w:i/>
          <w:iCs/>
          <w:color w:val="6B2976"/>
        </w:rPr>
      </w:pPr>
      <w:r w:rsidRPr="007D5F1A">
        <w:rPr>
          <w:i/>
          <w:iCs/>
          <w:color w:val="6B2976"/>
        </w:rPr>
        <w:lastRenderedPageBreak/>
        <w:t xml:space="preserve">“It was clear, </w:t>
      </w:r>
      <w:r w:rsidR="00E477DE" w:rsidRPr="007D5F1A">
        <w:rPr>
          <w:i/>
          <w:iCs/>
          <w:color w:val="6B2976"/>
        </w:rPr>
        <w:t>simple,</w:t>
      </w:r>
      <w:r w:rsidRPr="007D5F1A">
        <w:rPr>
          <w:i/>
          <w:iCs/>
          <w:color w:val="6B2976"/>
        </w:rPr>
        <w:t xml:space="preserve"> and timely. I wish it hadn’t taken three reviews, 18 months and my family’s mental health taking a flogging to get to the IER process. But overall once we were accepted, the process and decisions were straightforward. We didn’t get everything we asked for, but what we got was fair, and the reasons why we didn’t get things were clear, and well explained.” </w:t>
      </w:r>
      <w:r w:rsidRPr="007D5F1A">
        <w:rPr>
          <w:b/>
          <w:bCs/>
          <w:color w:val="6B2976"/>
        </w:rPr>
        <w:t>Participant, survey.</w:t>
      </w:r>
    </w:p>
    <w:p w14:paraId="7B23CE79" w14:textId="719907F7" w:rsidR="00DA2112" w:rsidRPr="007D5F1A" w:rsidRDefault="00224371" w:rsidP="00A86241">
      <w:pPr>
        <w:pStyle w:val="Caption-H4"/>
      </w:pPr>
      <w:bookmarkStart w:id="81" w:name="_Ref133834924"/>
      <w:r w:rsidRPr="007D5F1A">
        <w:t xml:space="preserve">Table </w:t>
      </w:r>
      <w:r w:rsidRPr="007D5F1A">
        <w:fldChar w:fldCharType="begin"/>
      </w:r>
      <w:r w:rsidRPr="007D5F1A">
        <w:instrText>SEQ Table \* ARABIC</w:instrText>
      </w:r>
      <w:r w:rsidRPr="007D5F1A">
        <w:fldChar w:fldCharType="separate"/>
      </w:r>
      <w:r w:rsidR="000F1876">
        <w:rPr>
          <w:noProof/>
        </w:rPr>
        <w:t>2</w:t>
      </w:r>
      <w:r w:rsidRPr="007D5F1A">
        <w:fldChar w:fldCharType="end"/>
      </w:r>
      <w:bookmarkEnd w:id="81"/>
      <w:r w:rsidRPr="007D5F1A">
        <w:t>: IER</w:t>
      </w:r>
      <w:r w:rsidR="006470D6" w:rsidRPr="007D5F1A">
        <w:t>P</w:t>
      </w:r>
      <w:r w:rsidRPr="007D5F1A">
        <w:t xml:space="preserve"> invitations</w:t>
      </w:r>
      <w:r w:rsidR="00205A70" w:rsidRPr="007D5F1A">
        <w:t xml:space="preserve"> </w:t>
      </w:r>
      <w:r w:rsidR="00E148E2" w:rsidRPr="007D5F1A">
        <w:t xml:space="preserve">sent </w:t>
      </w:r>
      <w:r w:rsidR="00AC4496" w:rsidRPr="007D5F1A">
        <w:t xml:space="preserve">and </w:t>
      </w:r>
      <w:r w:rsidR="00631506" w:rsidRPr="007D5F1A">
        <w:t xml:space="preserve">acceptance </w:t>
      </w:r>
      <w:r w:rsidR="00E148E2" w:rsidRPr="007D5F1A">
        <w:t>rates</w:t>
      </w:r>
      <w:r w:rsidR="00455DB9" w:rsidRPr="007D5F1A">
        <w:t xml:space="preserve"> </w:t>
      </w:r>
      <w:r w:rsidR="001B0EEC" w:rsidRPr="007D5F1A">
        <w:t>at</w:t>
      </w:r>
      <w:r w:rsidR="006470D6" w:rsidRPr="007D5F1A">
        <w:t xml:space="preserve"> 3</w:t>
      </w:r>
      <w:r w:rsidR="008512AD" w:rsidRPr="007D5F1A">
        <w:t xml:space="preserve">1 July </w:t>
      </w:r>
      <w:r w:rsidR="006470D6" w:rsidRPr="007D5F1A">
        <w:t>2023</w:t>
      </w:r>
    </w:p>
    <w:tbl>
      <w:tblPr>
        <w:tblStyle w:val="GridTable1Light"/>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bottom w:w="28" w:type="dxa"/>
        </w:tblCellMar>
        <w:tblLook w:val="04A0" w:firstRow="1" w:lastRow="0" w:firstColumn="1" w:lastColumn="0" w:noHBand="0" w:noVBand="1"/>
        <w:tblCaption w:val="Number of IERP invitations for planning matters, referrals, and recommendations as of 31 March 2023"/>
        <w:tblDescription w:val="13 rows and 3 columns&#10;Table shows the number of IERP invitations for planning matters, the number of IERP referrals, and the number of IERP recommendations as of 31 July 2023. Table shows the total number and percentage of IER program sample."/>
      </w:tblPr>
      <w:tblGrid>
        <w:gridCol w:w="5334"/>
        <w:gridCol w:w="3682"/>
      </w:tblGrid>
      <w:tr w:rsidR="00360724" w:rsidRPr="007D5F1A" w14:paraId="1B3C374E" w14:textId="77777777" w:rsidTr="003607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58" w:type="pct"/>
            <w:shd w:val="clear" w:color="auto" w:fill="6B2976" w:themeFill="background2"/>
          </w:tcPr>
          <w:p w14:paraId="1D2996F3" w14:textId="002D405D" w:rsidR="00360724" w:rsidRPr="007D5F1A" w:rsidRDefault="00360724" w:rsidP="00082755">
            <w:pPr>
              <w:spacing w:before="0" w:after="0"/>
              <w:rPr>
                <w:color w:val="FEFFFF" w:themeColor="background1"/>
                <w:szCs w:val="22"/>
              </w:rPr>
            </w:pPr>
            <w:r w:rsidRPr="007D5F1A">
              <w:rPr>
                <w:color w:val="FEFFFF" w:themeColor="background1"/>
                <w:szCs w:val="22"/>
              </w:rPr>
              <w:t xml:space="preserve">IER Program </w:t>
            </w:r>
          </w:p>
        </w:tc>
        <w:tc>
          <w:tcPr>
            <w:tcW w:w="2042" w:type="pct"/>
            <w:shd w:val="clear" w:color="auto" w:fill="6B2976" w:themeFill="background2"/>
          </w:tcPr>
          <w:p w14:paraId="5F90A09F" w14:textId="0773F3AC" w:rsidR="00360724" w:rsidRPr="007D5F1A" w:rsidRDefault="00360724" w:rsidP="00082755">
            <w:pPr>
              <w:spacing w:before="0" w:after="0"/>
              <w:jc w:val="center"/>
              <w:cnfStyle w:val="100000000000" w:firstRow="1" w:lastRow="0" w:firstColumn="0" w:lastColumn="0" w:oddVBand="0" w:evenVBand="0" w:oddHBand="0" w:evenHBand="0" w:firstRowFirstColumn="0" w:firstRowLastColumn="0" w:lastRowFirstColumn="0" w:lastRowLastColumn="0"/>
              <w:rPr>
                <w:color w:val="FEFFFF" w:themeColor="background1"/>
                <w:szCs w:val="22"/>
              </w:rPr>
            </w:pPr>
            <w:r w:rsidRPr="007D5F1A">
              <w:rPr>
                <w:color w:val="FEFFFF" w:themeColor="background1"/>
                <w:szCs w:val="22"/>
              </w:rPr>
              <w:t>Total number</w:t>
            </w:r>
          </w:p>
        </w:tc>
      </w:tr>
      <w:tr w:rsidR="00360724" w:rsidRPr="007D5F1A" w14:paraId="494393AA" w14:textId="77777777" w:rsidTr="00203239">
        <w:tc>
          <w:tcPr>
            <w:cnfStyle w:val="001000000000" w:firstRow="0" w:lastRow="0" w:firstColumn="1" w:lastColumn="0" w:oddVBand="0" w:evenVBand="0" w:oddHBand="0" w:evenHBand="0" w:firstRowFirstColumn="0" w:firstRowLastColumn="0" w:lastRowFirstColumn="0" w:lastRowLastColumn="0"/>
            <w:tcW w:w="2958" w:type="pct"/>
            <w:tcBorders>
              <w:bottom w:val="single" w:sz="4" w:space="0" w:color="595959" w:themeColor="text1" w:themeTint="A6"/>
            </w:tcBorders>
            <w:shd w:val="clear" w:color="auto" w:fill="auto"/>
          </w:tcPr>
          <w:p w14:paraId="6FA8A49C" w14:textId="4D9EBCA6" w:rsidR="00360724" w:rsidRPr="007D5F1A" w:rsidRDefault="00360724" w:rsidP="00082755">
            <w:pPr>
              <w:spacing w:before="0" w:after="0"/>
              <w:rPr>
                <w:szCs w:val="22"/>
              </w:rPr>
            </w:pPr>
            <w:r w:rsidRPr="007D5F1A">
              <w:rPr>
                <w:szCs w:val="22"/>
              </w:rPr>
              <w:t>IER enquiries</w:t>
            </w:r>
          </w:p>
        </w:tc>
        <w:tc>
          <w:tcPr>
            <w:tcW w:w="2042" w:type="pct"/>
            <w:tcBorders>
              <w:bottom w:val="single" w:sz="4" w:space="0" w:color="595959" w:themeColor="text1" w:themeTint="A6"/>
            </w:tcBorders>
            <w:shd w:val="clear" w:color="auto" w:fill="auto"/>
          </w:tcPr>
          <w:p w14:paraId="33BFF924" w14:textId="48A29D30" w:rsidR="00360724" w:rsidRPr="007D5F1A"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b/>
                <w:bCs/>
                <w:szCs w:val="22"/>
              </w:rPr>
            </w:pPr>
            <w:r w:rsidRPr="007D5F1A">
              <w:rPr>
                <w:b/>
                <w:bCs/>
                <w:szCs w:val="22"/>
              </w:rPr>
              <w:t>222</w:t>
            </w:r>
          </w:p>
        </w:tc>
      </w:tr>
      <w:tr w:rsidR="00360724" w:rsidRPr="00203239" w14:paraId="3C0EC82F" w14:textId="77777777" w:rsidTr="00203239">
        <w:tc>
          <w:tcPr>
            <w:cnfStyle w:val="001000000000" w:firstRow="0" w:lastRow="0" w:firstColumn="1" w:lastColumn="0" w:oddVBand="0" w:evenVBand="0" w:oddHBand="0" w:evenHBand="0" w:firstRowFirstColumn="0" w:firstRowLastColumn="0" w:lastRowFirstColumn="0" w:lastRowLastColumn="0"/>
            <w:tcW w:w="2958" w:type="pct"/>
            <w:shd w:val="clear" w:color="auto" w:fill="F7EEF7"/>
          </w:tcPr>
          <w:p w14:paraId="4084BA73" w14:textId="11DBE675" w:rsidR="00360724" w:rsidRPr="00203239" w:rsidRDefault="00360724" w:rsidP="00082755">
            <w:pPr>
              <w:spacing w:before="0" w:after="0"/>
              <w:rPr>
                <w:b w:val="0"/>
                <w:bCs w:val="0"/>
                <w:color w:val="000000"/>
                <w:szCs w:val="22"/>
              </w:rPr>
            </w:pPr>
            <w:r w:rsidRPr="00203239">
              <w:rPr>
                <w:b w:val="0"/>
                <w:bCs w:val="0"/>
                <w:color w:val="000000"/>
                <w:szCs w:val="22"/>
              </w:rPr>
              <w:t>Matters referred to IER</w:t>
            </w:r>
          </w:p>
        </w:tc>
        <w:tc>
          <w:tcPr>
            <w:tcW w:w="2042" w:type="pct"/>
            <w:shd w:val="clear" w:color="auto" w:fill="F7EEF7"/>
          </w:tcPr>
          <w:p w14:paraId="3EF19183" w14:textId="2054506C" w:rsidR="00360724" w:rsidRPr="00203239"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203239">
              <w:rPr>
                <w:color w:val="000000"/>
                <w:szCs w:val="22"/>
              </w:rPr>
              <w:t>77 (35%)</w:t>
            </w:r>
          </w:p>
        </w:tc>
      </w:tr>
      <w:tr w:rsidR="00360724" w:rsidRPr="007D5F1A" w14:paraId="51C9591C" w14:textId="77777777" w:rsidTr="00F50A7B">
        <w:tc>
          <w:tcPr>
            <w:cnfStyle w:val="001000000000" w:firstRow="0" w:lastRow="0" w:firstColumn="1" w:lastColumn="0" w:oddVBand="0" w:evenVBand="0" w:oddHBand="0" w:evenHBand="0" w:firstRowFirstColumn="0" w:firstRowLastColumn="0" w:lastRowFirstColumn="0" w:lastRowLastColumn="0"/>
            <w:tcW w:w="2958" w:type="pct"/>
            <w:tcBorders>
              <w:bottom w:val="single" w:sz="4" w:space="0" w:color="auto"/>
            </w:tcBorders>
            <w:shd w:val="clear" w:color="auto" w:fill="auto"/>
          </w:tcPr>
          <w:p w14:paraId="1E2285DF" w14:textId="21490AF4" w:rsidR="00360724" w:rsidRPr="007D5F1A" w:rsidRDefault="00360724" w:rsidP="00082755">
            <w:pPr>
              <w:spacing w:before="0" w:after="0"/>
              <w:rPr>
                <w:b w:val="0"/>
                <w:bCs w:val="0"/>
                <w:szCs w:val="22"/>
              </w:rPr>
            </w:pPr>
            <w:r w:rsidRPr="007D5F1A">
              <w:rPr>
                <w:b w:val="0"/>
                <w:bCs w:val="0"/>
                <w:szCs w:val="22"/>
              </w:rPr>
              <w:t>Matters settled prior to IER</w:t>
            </w:r>
          </w:p>
        </w:tc>
        <w:tc>
          <w:tcPr>
            <w:tcW w:w="2042" w:type="pct"/>
            <w:tcBorders>
              <w:bottom w:val="single" w:sz="4" w:space="0" w:color="auto"/>
            </w:tcBorders>
            <w:shd w:val="clear" w:color="auto" w:fill="auto"/>
          </w:tcPr>
          <w:p w14:paraId="2D768AD6" w14:textId="430CE89D" w:rsidR="00360724" w:rsidRPr="007D5F1A"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szCs w:val="22"/>
              </w:rPr>
            </w:pPr>
            <w:r w:rsidRPr="007D5F1A">
              <w:rPr>
                <w:szCs w:val="22"/>
              </w:rPr>
              <w:t>21 (9%)</w:t>
            </w:r>
          </w:p>
        </w:tc>
      </w:tr>
      <w:tr w:rsidR="00360724" w:rsidRPr="00F50A7B" w14:paraId="5B8073D4" w14:textId="77777777" w:rsidTr="00F50A7B">
        <w:tc>
          <w:tcPr>
            <w:cnfStyle w:val="001000000000" w:firstRow="0" w:lastRow="0" w:firstColumn="1" w:lastColumn="0" w:oddVBand="0" w:evenVBand="0" w:oddHBand="0" w:evenHBand="0" w:firstRowFirstColumn="0" w:firstRowLastColumn="0" w:lastRowFirstColumn="0" w:lastRowLastColumn="0"/>
            <w:tcW w:w="2958" w:type="pct"/>
            <w:tcBorders>
              <w:top w:val="single" w:sz="4" w:space="0" w:color="auto"/>
              <w:left w:val="single" w:sz="4" w:space="0" w:color="auto"/>
              <w:bottom w:val="single" w:sz="4" w:space="0" w:color="auto"/>
              <w:right w:val="single" w:sz="4" w:space="0" w:color="auto"/>
            </w:tcBorders>
            <w:shd w:val="clear" w:color="auto" w:fill="F7EEF7"/>
          </w:tcPr>
          <w:p w14:paraId="346C6B0D" w14:textId="7F065E61" w:rsidR="00360724" w:rsidRPr="00F50A7B" w:rsidRDefault="00360724" w:rsidP="00082755">
            <w:pPr>
              <w:spacing w:before="0" w:after="0"/>
              <w:rPr>
                <w:b w:val="0"/>
                <w:bCs w:val="0"/>
                <w:color w:val="000000"/>
                <w:szCs w:val="22"/>
              </w:rPr>
            </w:pPr>
            <w:r w:rsidRPr="00F50A7B">
              <w:rPr>
                <w:b w:val="0"/>
                <w:bCs w:val="0"/>
                <w:color w:val="000000"/>
                <w:szCs w:val="22"/>
              </w:rPr>
              <w:t>Matters not proceeding to IER</w:t>
            </w:r>
          </w:p>
        </w:tc>
        <w:tc>
          <w:tcPr>
            <w:tcW w:w="2042" w:type="pct"/>
            <w:tcBorders>
              <w:top w:val="single" w:sz="4" w:space="0" w:color="auto"/>
              <w:left w:val="single" w:sz="4" w:space="0" w:color="auto"/>
              <w:bottom w:val="single" w:sz="4" w:space="0" w:color="auto"/>
              <w:right w:val="single" w:sz="4" w:space="0" w:color="auto"/>
            </w:tcBorders>
            <w:shd w:val="clear" w:color="auto" w:fill="F7EEF7"/>
          </w:tcPr>
          <w:p w14:paraId="3E53B06F" w14:textId="0C558A2D" w:rsidR="00360724" w:rsidRPr="00F50A7B"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F50A7B">
              <w:rPr>
                <w:color w:val="000000"/>
                <w:szCs w:val="22"/>
              </w:rPr>
              <w:t>124 (56%)</w:t>
            </w:r>
          </w:p>
        </w:tc>
      </w:tr>
      <w:tr w:rsidR="00360724" w:rsidRPr="007D5F1A" w14:paraId="7708D834" w14:textId="77777777" w:rsidTr="002051BC">
        <w:tc>
          <w:tcPr>
            <w:cnfStyle w:val="001000000000" w:firstRow="0" w:lastRow="0" w:firstColumn="1" w:lastColumn="0" w:oddVBand="0" w:evenVBand="0" w:oddHBand="0" w:evenHBand="0" w:firstRowFirstColumn="0" w:firstRowLastColumn="0" w:lastRowFirstColumn="0" w:lastRowLastColumn="0"/>
            <w:tcW w:w="2958" w:type="pct"/>
            <w:tcBorders>
              <w:top w:val="single" w:sz="4" w:space="0" w:color="auto"/>
              <w:left w:val="single" w:sz="4" w:space="0" w:color="auto"/>
              <w:bottom w:val="single" w:sz="4" w:space="0" w:color="auto"/>
              <w:right w:val="single" w:sz="4" w:space="0" w:color="auto"/>
            </w:tcBorders>
            <w:shd w:val="clear" w:color="auto" w:fill="auto"/>
          </w:tcPr>
          <w:p w14:paraId="70226B8C" w14:textId="6E136F63" w:rsidR="00360724" w:rsidRPr="007D5F1A" w:rsidRDefault="00360724" w:rsidP="00082755">
            <w:pPr>
              <w:spacing w:before="0" w:after="0"/>
              <w:rPr>
                <w:bCs w:val="0"/>
                <w:szCs w:val="22"/>
              </w:rPr>
            </w:pPr>
            <w:r w:rsidRPr="007D5F1A">
              <w:rPr>
                <w:bCs w:val="0"/>
                <w:szCs w:val="22"/>
              </w:rPr>
              <w:t>Invitations sent</w:t>
            </w:r>
          </w:p>
        </w:tc>
        <w:tc>
          <w:tcPr>
            <w:tcW w:w="2042" w:type="pct"/>
            <w:tcBorders>
              <w:top w:val="single" w:sz="4" w:space="0" w:color="auto"/>
              <w:left w:val="single" w:sz="4" w:space="0" w:color="auto"/>
              <w:bottom w:val="single" w:sz="4" w:space="0" w:color="auto"/>
              <w:right w:val="single" w:sz="4" w:space="0" w:color="auto"/>
            </w:tcBorders>
            <w:shd w:val="clear" w:color="auto" w:fill="auto"/>
          </w:tcPr>
          <w:p w14:paraId="7384CD3F" w14:textId="4C1B7CD1" w:rsidR="00360724" w:rsidRPr="007D5F1A"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b/>
                <w:szCs w:val="22"/>
              </w:rPr>
            </w:pPr>
            <w:r w:rsidRPr="007D5F1A">
              <w:rPr>
                <w:b/>
                <w:szCs w:val="22"/>
              </w:rPr>
              <w:t>197</w:t>
            </w:r>
          </w:p>
        </w:tc>
      </w:tr>
      <w:tr w:rsidR="00360724" w:rsidRPr="002051BC" w14:paraId="2A316F50" w14:textId="77777777" w:rsidTr="002051BC">
        <w:tc>
          <w:tcPr>
            <w:cnfStyle w:val="001000000000" w:firstRow="0" w:lastRow="0" w:firstColumn="1" w:lastColumn="0" w:oddVBand="0" w:evenVBand="0" w:oddHBand="0" w:evenHBand="0" w:firstRowFirstColumn="0" w:firstRowLastColumn="0" w:lastRowFirstColumn="0" w:lastRowLastColumn="0"/>
            <w:tcW w:w="2958" w:type="pct"/>
            <w:tcBorders>
              <w:top w:val="single" w:sz="4" w:space="0" w:color="auto"/>
            </w:tcBorders>
            <w:shd w:val="clear" w:color="auto" w:fill="F7EEF7"/>
          </w:tcPr>
          <w:p w14:paraId="4BB6C91E" w14:textId="308233CD" w:rsidR="00360724" w:rsidRPr="002051BC" w:rsidRDefault="00360724" w:rsidP="00082755">
            <w:pPr>
              <w:spacing w:before="0" w:after="0"/>
              <w:rPr>
                <w:b w:val="0"/>
                <w:bCs w:val="0"/>
                <w:color w:val="000000"/>
                <w:szCs w:val="22"/>
              </w:rPr>
            </w:pPr>
            <w:r w:rsidRPr="002051BC">
              <w:rPr>
                <w:b w:val="0"/>
                <w:bCs w:val="0"/>
                <w:color w:val="000000"/>
                <w:szCs w:val="22"/>
              </w:rPr>
              <w:t>Advocate initiated referral</w:t>
            </w:r>
          </w:p>
        </w:tc>
        <w:tc>
          <w:tcPr>
            <w:tcW w:w="2042" w:type="pct"/>
            <w:tcBorders>
              <w:top w:val="single" w:sz="4" w:space="0" w:color="auto"/>
            </w:tcBorders>
            <w:shd w:val="clear" w:color="auto" w:fill="F7EEF7"/>
          </w:tcPr>
          <w:p w14:paraId="3E4E5160" w14:textId="658FBB28" w:rsidR="00360724" w:rsidRPr="002051BC"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2051BC">
              <w:rPr>
                <w:color w:val="000000"/>
                <w:szCs w:val="22"/>
              </w:rPr>
              <w:t>81 (41%)</w:t>
            </w:r>
          </w:p>
        </w:tc>
      </w:tr>
      <w:tr w:rsidR="00360724" w:rsidRPr="007D5F1A" w14:paraId="0A8F7D03" w14:textId="77777777" w:rsidTr="002051BC">
        <w:tc>
          <w:tcPr>
            <w:cnfStyle w:val="001000000000" w:firstRow="0" w:lastRow="0" w:firstColumn="1" w:lastColumn="0" w:oddVBand="0" w:evenVBand="0" w:oddHBand="0" w:evenHBand="0" w:firstRowFirstColumn="0" w:firstRowLastColumn="0" w:lastRowFirstColumn="0" w:lastRowLastColumn="0"/>
            <w:tcW w:w="2958" w:type="pct"/>
            <w:tcBorders>
              <w:bottom w:val="single" w:sz="4" w:space="0" w:color="595959" w:themeColor="text1" w:themeTint="A6"/>
            </w:tcBorders>
            <w:shd w:val="clear" w:color="auto" w:fill="auto"/>
          </w:tcPr>
          <w:p w14:paraId="16F2F505" w14:textId="1259AFE0" w:rsidR="00360724" w:rsidRPr="007D5F1A" w:rsidRDefault="00360724" w:rsidP="00082755">
            <w:pPr>
              <w:spacing w:before="0" w:after="0"/>
              <w:rPr>
                <w:b w:val="0"/>
                <w:bCs w:val="0"/>
                <w:szCs w:val="22"/>
              </w:rPr>
            </w:pPr>
            <w:r w:rsidRPr="007D5F1A">
              <w:rPr>
                <w:b w:val="0"/>
                <w:bCs w:val="0"/>
                <w:szCs w:val="22"/>
              </w:rPr>
              <w:t>Participant/support initiated referral</w:t>
            </w:r>
          </w:p>
        </w:tc>
        <w:tc>
          <w:tcPr>
            <w:tcW w:w="2042" w:type="pct"/>
            <w:tcBorders>
              <w:bottom w:val="single" w:sz="4" w:space="0" w:color="595959" w:themeColor="text1" w:themeTint="A6"/>
            </w:tcBorders>
            <w:shd w:val="clear" w:color="auto" w:fill="auto"/>
          </w:tcPr>
          <w:p w14:paraId="01AE8CCC" w14:textId="021CA291" w:rsidR="00360724" w:rsidRPr="007D5F1A"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szCs w:val="22"/>
              </w:rPr>
            </w:pPr>
            <w:r w:rsidRPr="007D5F1A">
              <w:rPr>
                <w:szCs w:val="22"/>
              </w:rPr>
              <w:t>44 (22%)</w:t>
            </w:r>
          </w:p>
        </w:tc>
      </w:tr>
      <w:tr w:rsidR="00360724" w:rsidRPr="002051BC" w14:paraId="7B5820D2" w14:textId="77777777" w:rsidTr="002051BC">
        <w:tc>
          <w:tcPr>
            <w:cnfStyle w:val="001000000000" w:firstRow="0" w:lastRow="0" w:firstColumn="1" w:lastColumn="0" w:oddVBand="0" w:evenVBand="0" w:oddHBand="0" w:evenHBand="0" w:firstRowFirstColumn="0" w:firstRowLastColumn="0" w:lastRowFirstColumn="0" w:lastRowLastColumn="0"/>
            <w:tcW w:w="2958" w:type="pct"/>
            <w:shd w:val="clear" w:color="auto" w:fill="F7EEF7"/>
          </w:tcPr>
          <w:p w14:paraId="2F69DE24" w14:textId="4E4BACDB" w:rsidR="00360724" w:rsidRPr="002051BC" w:rsidRDefault="00360724" w:rsidP="00082755">
            <w:pPr>
              <w:spacing w:before="0" w:after="0"/>
              <w:rPr>
                <w:b w:val="0"/>
                <w:bCs w:val="0"/>
                <w:color w:val="000000"/>
                <w:szCs w:val="22"/>
              </w:rPr>
            </w:pPr>
            <w:r w:rsidRPr="002051BC">
              <w:rPr>
                <w:b w:val="0"/>
                <w:bCs w:val="0"/>
                <w:color w:val="000000"/>
                <w:szCs w:val="22"/>
              </w:rPr>
              <w:t>NDIA initiated referral</w:t>
            </w:r>
          </w:p>
        </w:tc>
        <w:tc>
          <w:tcPr>
            <w:tcW w:w="2042" w:type="pct"/>
            <w:shd w:val="clear" w:color="auto" w:fill="F7EEF7"/>
          </w:tcPr>
          <w:p w14:paraId="0B7BE49F" w14:textId="3176D8CC" w:rsidR="00360724" w:rsidRPr="002051BC"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color w:val="000000"/>
                <w:szCs w:val="22"/>
              </w:rPr>
            </w:pPr>
            <w:r w:rsidRPr="002051BC">
              <w:rPr>
                <w:color w:val="000000"/>
                <w:szCs w:val="22"/>
              </w:rPr>
              <w:t>63 (32%)</w:t>
            </w:r>
          </w:p>
        </w:tc>
      </w:tr>
      <w:tr w:rsidR="00360724" w:rsidRPr="007D5F1A" w14:paraId="254C2FB6" w14:textId="77777777" w:rsidTr="00360724">
        <w:tc>
          <w:tcPr>
            <w:cnfStyle w:val="001000000000" w:firstRow="0" w:lastRow="0" w:firstColumn="1" w:lastColumn="0" w:oddVBand="0" w:evenVBand="0" w:oddHBand="0" w:evenHBand="0" w:firstRowFirstColumn="0" w:firstRowLastColumn="0" w:lastRowFirstColumn="0" w:lastRowLastColumn="0"/>
            <w:tcW w:w="2958" w:type="pct"/>
            <w:shd w:val="clear" w:color="auto" w:fill="auto"/>
          </w:tcPr>
          <w:p w14:paraId="5043A5C4" w14:textId="6D8803B7" w:rsidR="00360724" w:rsidRPr="007D5F1A" w:rsidRDefault="00360724" w:rsidP="00082755">
            <w:pPr>
              <w:spacing w:before="0" w:after="0"/>
              <w:rPr>
                <w:b w:val="0"/>
                <w:bCs w:val="0"/>
                <w:szCs w:val="22"/>
              </w:rPr>
            </w:pPr>
            <w:r w:rsidRPr="007D5F1A">
              <w:rPr>
                <w:b w:val="0"/>
                <w:bCs w:val="0"/>
                <w:szCs w:val="22"/>
              </w:rPr>
              <w:t>Ministerial/Other initiated referral</w:t>
            </w:r>
          </w:p>
        </w:tc>
        <w:tc>
          <w:tcPr>
            <w:tcW w:w="2042" w:type="pct"/>
            <w:shd w:val="clear" w:color="auto" w:fill="auto"/>
          </w:tcPr>
          <w:p w14:paraId="4E3B1FA0" w14:textId="24D48ACF" w:rsidR="00360724" w:rsidRPr="007D5F1A"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szCs w:val="22"/>
              </w:rPr>
            </w:pPr>
            <w:r w:rsidRPr="007D5F1A">
              <w:rPr>
                <w:szCs w:val="22"/>
              </w:rPr>
              <w:t>9 (5%)</w:t>
            </w:r>
          </w:p>
        </w:tc>
      </w:tr>
      <w:tr w:rsidR="00360724" w:rsidRPr="007D5F1A" w14:paraId="090F4AD6" w14:textId="77777777" w:rsidTr="00360724">
        <w:tc>
          <w:tcPr>
            <w:cnfStyle w:val="001000000000" w:firstRow="0" w:lastRow="0" w:firstColumn="1" w:lastColumn="0" w:oddVBand="0" w:evenVBand="0" w:oddHBand="0" w:evenHBand="0" w:firstRowFirstColumn="0" w:firstRowLastColumn="0" w:lastRowFirstColumn="0" w:lastRowLastColumn="0"/>
            <w:tcW w:w="2958" w:type="pct"/>
            <w:shd w:val="clear" w:color="auto" w:fill="6B2976"/>
          </w:tcPr>
          <w:p w14:paraId="646FFD2E" w14:textId="774D6A32" w:rsidR="00360724" w:rsidRPr="007D5F1A" w:rsidRDefault="00360724" w:rsidP="00082755">
            <w:pPr>
              <w:spacing w:before="0" w:after="0"/>
              <w:rPr>
                <w:szCs w:val="22"/>
              </w:rPr>
            </w:pPr>
            <w:r w:rsidRPr="007D5F1A">
              <w:rPr>
                <w:color w:val="FEFFFF" w:themeColor="background1"/>
                <w:szCs w:val="22"/>
              </w:rPr>
              <w:t>Acceptance rate</w:t>
            </w:r>
          </w:p>
        </w:tc>
        <w:tc>
          <w:tcPr>
            <w:tcW w:w="2042" w:type="pct"/>
            <w:shd w:val="clear" w:color="auto" w:fill="6B2976"/>
          </w:tcPr>
          <w:p w14:paraId="3750AD8C" w14:textId="2D159E4A" w:rsidR="00360724" w:rsidRPr="007D5F1A"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color w:val="6B2976"/>
                <w:szCs w:val="22"/>
              </w:rPr>
            </w:pPr>
            <w:r w:rsidRPr="007D5F1A">
              <w:rPr>
                <w:color w:val="6B2976"/>
                <w:szCs w:val="22"/>
              </w:rPr>
              <w:t>Total number</w:t>
            </w:r>
          </w:p>
        </w:tc>
      </w:tr>
      <w:tr w:rsidR="00360724" w:rsidRPr="007D5F1A" w14:paraId="1B9AA48C" w14:textId="77777777" w:rsidTr="00360724">
        <w:tc>
          <w:tcPr>
            <w:cnfStyle w:val="001000000000" w:firstRow="0" w:lastRow="0" w:firstColumn="1" w:lastColumn="0" w:oddVBand="0" w:evenVBand="0" w:oddHBand="0" w:evenHBand="0" w:firstRowFirstColumn="0" w:firstRowLastColumn="0" w:lastRowFirstColumn="0" w:lastRowLastColumn="0"/>
            <w:tcW w:w="2958" w:type="pct"/>
            <w:shd w:val="clear" w:color="auto" w:fill="auto"/>
          </w:tcPr>
          <w:p w14:paraId="295B4B1D" w14:textId="648EFD44" w:rsidR="00360724" w:rsidRPr="007D5F1A" w:rsidRDefault="00360724" w:rsidP="00082755">
            <w:pPr>
              <w:spacing w:before="0" w:after="0"/>
              <w:rPr>
                <w:b w:val="0"/>
                <w:szCs w:val="22"/>
              </w:rPr>
            </w:pPr>
            <w:r w:rsidRPr="007D5F1A">
              <w:rPr>
                <w:b w:val="0"/>
                <w:szCs w:val="22"/>
              </w:rPr>
              <w:t>Invitations accepted</w:t>
            </w:r>
          </w:p>
        </w:tc>
        <w:tc>
          <w:tcPr>
            <w:tcW w:w="2042" w:type="pct"/>
            <w:shd w:val="clear" w:color="auto" w:fill="auto"/>
          </w:tcPr>
          <w:p w14:paraId="2E5D53B4" w14:textId="035D7DBC" w:rsidR="00360724" w:rsidRPr="007D5F1A"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szCs w:val="22"/>
              </w:rPr>
            </w:pPr>
            <w:r w:rsidRPr="007D5F1A">
              <w:rPr>
                <w:szCs w:val="22"/>
              </w:rPr>
              <w:t>156 (79%)</w:t>
            </w:r>
          </w:p>
        </w:tc>
      </w:tr>
      <w:tr w:rsidR="00360724" w:rsidRPr="007D5F1A" w14:paraId="0D6196C0" w14:textId="77777777" w:rsidTr="00360724">
        <w:tc>
          <w:tcPr>
            <w:cnfStyle w:val="001000000000" w:firstRow="0" w:lastRow="0" w:firstColumn="1" w:lastColumn="0" w:oddVBand="0" w:evenVBand="0" w:oddHBand="0" w:evenHBand="0" w:firstRowFirstColumn="0" w:firstRowLastColumn="0" w:lastRowFirstColumn="0" w:lastRowLastColumn="0"/>
            <w:tcW w:w="2958" w:type="pct"/>
            <w:shd w:val="clear" w:color="auto" w:fill="F7EEF7"/>
          </w:tcPr>
          <w:p w14:paraId="139FA508" w14:textId="7301EF3F" w:rsidR="00360724" w:rsidRPr="007D5F1A" w:rsidRDefault="00360724" w:rsidP="00082755">
            <w:pPr>
              <w:spacing w:before="0" w:after="0"/>
              <w:rPr>
                <w:b w:val="0"/>
                <w:szCs w:val="22"/>
              </w:rPr>
            </w:pPr>
            <w:r w:rsidRPr="007D5F1A">
              <w:rPr>
                <w:b w:val="0"/>
                <w:szCs w:val="22"/>
              </w:rPr>
              <w:t>Invitations not accepted</w:t>
            </w:r>
          </w:p>
        </w:tc>
        <w:tc>
          <w:tcPr>
            <w:tcW w:w="2042" w:type="pct"/>
            <w:shd w:val="clear" w:color="auto" w:fill="F7EEF7"/>
          </w:tcPr>
          <w:p w14:paraId="6E8AF161" w14:textId="15AD2753" w:rsidR="00360724" w:rsidRPr="007D5F1A" w:rsidRDefault="00360724" w:rsidP="004F5999">
            <w:pPr>
              <w:spacing w:before="0" w:after="0"/>
              <w:jc w:val="center"/>
              <w:cnfStyle w:val="000000000000" w:firstRow="0" w:lastRow="0" w:firstColumn="0" w:lastColumn="0" w:oddVBand="0" w:evenVBand="0" w:oddHBand="0" w:evenHBand="0" w:firstRowFirstColumn="0" w:firstRowLastColumn="0" w:lastRowFirstColumn="0" w:lastRowLastColumn="0"/>
              <w:rPr>
                <w:szCs w:val="22"/>
              </w:rPr>
            </w:pPr>
            <w:r w:rsidRPr="007D5F1A">
              <w:rPr>
                <w:szCs w:val="22"/>
              </w:rPr>
              <w:t>41 (21%)</w:t>
            </w:r>
          </w:p>
        </w:tc>
      </w:tr>
    </w:tbl>
    <w:p w14:paraId="3C7D0E87" w14:textId="5584E3BF" w:rsidR="001E3476" w:rsidRPr="00EB3D5D" w:rsidRDefault="00AD2623" w:rsidP="002B5DEC">
      <w:pPr>
        <w:spacing w:before="0" w:after="0" w:line="240" w:lineRule="auto"/>
        <w:rPr>
          <w:szCs w:val="22"/>
        </w:rPr>
      </w:pPr>
      <w:r w:rsidRPr="007D5F1A">
        <w:rPr>
          <w:szCs w:val="22"/>
        </w:rPr>
        <w:t xml:space="preserve">Source: </w:t>
      </w:r>
      <w:r w:rsidR="00C16B32" w:rsidRPr="007D5F1A">
        <w:rPr>
          <w:szCs w:val="22"/>
        </w:rPr>
        <w:t xml:space="preserve">Division of the </w:t>
      </w:r>
      <w:r w:rsidR="00C525B7" w:rsidRPr="007D5F1A">
        <w:rPr>
          <w:szCs w:val="22"/>
        </w:rPr>
        <w:t>Chief Counsel, Independent Expert Review Program team</w:t>
      </w:r>
      <w:r w:rsidR="0025129E" w:rsidRPr="007D5F1A">
        <w:rPr>
          <w:szCs w:val="22"/>
        </w:rPr>
        <w:t>.</w:t>
      </w:r>
    </w:p>
    <w:p w14:paraId="160295A6" w14:textId="7FB12FD6" w:rsidR="00F74D4C" w:rsidRDefault="00F74D4C" w:rsidP="00EE5161">
      <w:pPr>
        <w:pStyle w:val="Heading3"/>
      </w:pPr>
      <w:bookmarkStart w:id="82" w:name="_Toc142918595"/>
      <w:r w:rsidRPr="009F0B84">
        <w:t xml:space="preserve">Participant </w:t>
      </w:r>
      <w:r w:rsidR="00681DCA" w:rsidRPr="009F0B84">
        <w:t xml:space="preserve">and representative </w:t>
      </w:r>
      <w:r>
        <w:t xml:space="preserve">satisfaction with the </w:t>
      </w:r>
      <w:r w:rsidR="006F4A86">
        <w:t>IER</w:t>
      </w:r>
      <w:r w:rsidR="00EE5161">
        <w:t>P</w:t>
      </w:r>
      <w:bookmarkEnd w:id="82"/>
    </w:p>
    <w:p w14:paraId="745ACC12" w14:textId="7E17A8D0" w:rsidR="005D5015" w:rsidRPr="005D5015" w:rsidRDefault="005D5015" w:rsidP="00952E11">
      <w:pPr>
        <w:pStyle w:val="Heading4"/>
      </w:pPr>
      <w:r>
        <w:t>Overall satisfaction</w:t>
      </w:r>
    </w:p>
    <w:p w14:paraId="2EFF1AE5" w14:textId="4AEEF2E1" w:rsidR="005153B5" w:rsidRDefault="005153B5" w:rsidP="00A63F9F">
      <w:r>
        <w:t xml:space="preserve">Interviews and online surveys with participants and their representatives </w:t>
      </w:r>
      <w:r w:rsidR="00CB7A02">
        <w:t xml:space="preserve">explored </w:t>
      </w:r>
      <w:r w:rsidR="00725266">
        <w:t>their satisfaction and experience with</w:t>
      </w:r>
      <w:r w:rsidR="00F7755E">
        <w:t xml:space="preserve"> </w:t>
      </w:r>
      <w:r w:rsidR="006F05FB">
        <w:t xml:space="preserve">the </w:t>
      </w:r>
      <w:r w:rsidR="00725266">
        <w:t>IERP in more detail.</w:t>
      </w:r>
      <w:r w:rsidR="00AD5524">
        <w:t xml:space="preserve"> </w:t>
      </w:r>
      <w:r w:rsidR="00D8185D">
        <w:t>O</w:t>
      </w:r>
      <w:r w:rsidR="00AD5524">
        <w:t xml:space="preserve">nly </w:t>
      </w:r>
      <w:r w:rsidR="00753F1C">
        <w:t>six</w:t>
      </w:r>
      <w:r w:rsidR="00AD5524">
        <w:t xml:space="preserve"> participant representatives responded to the online survey</w:t>
      </w:r>
      <w:r w:rsidR="00D8185D">
        <w:t xml:space="preserve">. As </w:t>
      </w:r>
      <w:r w:rsidR="005979A9">
        <w:t xml:space="preserve">they were representing </w:t>
      </w:r>
      <w:r w:rsidR="008916A5">
        <w:t>participants, where</w:t>
      </w:r>
      <w:r w:rsidR="007636DA">
        <w:t xml:space="preserve"> applicable </w:t>
      </w:r>
      <w:r w:rsidR="00B51A62">
        <w:t>the</w:t>
      </w:r>
      <w:r w:rsidR="0018414B">
        <w:t>ir</w:t>
      </w:r>
      <w:r w:rsidR="009E087C">
        <w:t xml:space="preserve"> responses are pooled with participant responses</w:t>
      </w:r>
      <w:r w:rsidR="007636DA">
        <w:t>.</w:t>
      </w:r>
    </w:p>
    <w:p w14:paraId="5C464069" w14:textId="22560A03" w:rsidR="00E7647D" w:rsidRDefault="008029D5" w:rsidP="00A63F9F">
      <w:r w:rsidRPr="009A3B3B">
        <w:lastRenderedPageBreak/>
        <w:fldChar w:fldCharType="begin"/>
      </w:r>
      <w:r w:rsidRPr="009A3B3B">
        <w:instrText xml:space="preserve"> REF _Ref134016899 \h </w:instrText>
      </w:r>
      <w:r w:rsidR="00356A6B" w:rsidRPr="009A3B3B">
        <w:instrText xml:space="preserve"> \* MERGEFORMAT </w:instrText>
      </w:r>
      <w:r w:rsidRPr="009A3B3B">
        <w:fldChar w:fldCharType="separate"/>
      </w:r>
      <w:r w:rsidR="000F1876" w:rsidRPr="00EB3D5D">
        <w:t xml:space="preserve">Figure </w:t>
      </w:r>
      <w:r w:rsidR="000F1876">
        <w:rPr>
          <w:noProof/>
        </w:rPr>
        <w:t>3</w:t>
      </w:r>
      <w:r w:rsidRPr="009A3B3B">
        <w:fldChar w:fldCharType="end"/>
      </w:r>
      <w:r w:rsidR="009A3B3B">
        <w:t xml:space="preserve"> </w:t>
      </w:r>
      <w:r>
        <w:t>shows that</w:t>
      </w:r>
      <w:r w:rsidR="003D730E">
        <w:t xml:space="preserve"> most</w:t>
      </w:r>
      <w:r w:rsidR="008D1FAD">
        <w:t xml:space="preserve"> </w:t>
      </w:r>
      <w:r w:rsidR="00184CF3">
        <w:t xml:space="preserve">participants </w:t>
      </w:r>
      <w:r w:rsidR="00730431">
        <w:t xml:space="preserve">and </w:t>
      </w:r>
      <w:r>
        <w:t xml:space="preserve">their </w:t>
      </w:r>
      <w:r w:rsidR="00730431">
        <w:t xml:space="preserve">representatives </w:t>
      </w:r>
      <w:r w:rsidR="00904FBA">
        <w:t xml:space="preserve">who responded </w:t>
      </w:r>
      <w:r w:rsidR="007D6042">
        <w:t>to the</w:t>
      </w:r>
      <w:r w:rsidR="00473CB6">
        <w:t xml:space="preserve"> survey </w:t>
      </w:r>
      <w:r w:rsidR="00184CF3">
        <w:t xml:space="preserve">were </w:t>
      </w:r>
      <w:r w:rsidR="00976035">
        <w:t xml:space="preserve">completely or mostly </w:t>
      </w:r>
      <w:r w:rsidR="00184CF3">
        <w:t xml:space="preserve">satisfied </w:t>
      </w:r>
      <w:r w:rsidR="00FB2DBD">
        <w:t xml:space="preserve">with </w:t>
      </w:r>
      <w:r w:rsidR="00BF07FE">
        <w:t>how the</w:t>
      </w:r>
      <w:r w:rsidR="00B85181">
        <w:t xml:space="preserve"> IERP and specifically the independent expert handled their matter </w:t>
      </w:r>
      <w:r w:rsidR="00AD5524">
        <w:t>(</w:t>
      </w:r>
      <w:r w:rsidR="00E02546">
        <w:t>79</w:t>
      </w:r>
      <w:r w:rsidR="00AD5524">
        <w:t>% pooled)</w:t>
      </w:r>
      <w:r w:rsidR="00210B34">
        <w:t>.</w:t>
      </w:r>
      <w:r w:rsidR="000F190A">
        <w:t xml:space="preserve"> </w:t>
      </w:r>
      <w:r w:rsidR="00F95A80">
        <w:t xml:space="preserve">Satisfaction was higher </w:t>
      </w:r>
      <w:r w:rsidR="00497AFB">
        <w:t>for</w:t>
      </w:r>
      <w:r w:rsidR="00F8364E">
        <w:t xml:space="preserve"> the independent expert </w:t>
      </w:r>
      <w:r w:rsidR="002777CE">
        <w:t>compared to</w:t>
      </w:r>
      <w:r w:rsidR="00F8364E">
        <w:t xml:space="preserve"> overall </w:t>
      </w:r>
      <w:r w:rsidR="002777CE">
        <w:t xml:space="preserve">IERP </w:t>
      </w:r>
      <w:r w:rsidR="00F8364E">
        <w:t>satisfaction</w:t>
      </w:r>
      <w:r w:rsidR="00D73F99">
        <w:t>,</w:t>
      </w:r>
      <w:r w:rsidR="00F8364E">
        <w:t xml:space="preserve"> suggesting </w:t>
      </w:r>
      <w:r w:rsidR="003B0DE6">
        <w:t xml:space="preserve">the Agency could improve their part </w:t>
      </w:r>
      <w:r w:rsidR="00C27EFC">
        <w:t>in</w:t>
      </w:r>
      <w:r w:rsidR="00256F66">
        <w:t xml:space="preserve"> the way the IERP engages with participants in the pro</w:t>
      </w:r>
      <w:r w:rsidR="009D188A">
        <w:t>gram.</w:t>
      </w:r>
    </w:p>
    <w:p w14:paraId="6C76BF79" w14:textId="7E7D5E2D" w:rsidR="00147B66" w:rsidRPr="00EB3D5D" w:rsidRDefault="00147B66" w:rsidP="00A86241">
      <w:pPr>
        <w:pStyle w:val="Caption"/>
      </w:pPr>
      <w:bookmarkStart w:id="83" w:name="_Ref134016899"/>
      <w:r w:rsidRPr="00EB3D5D">
        <w:t xml:space="preserve">Figure </w:t>
      </w:r>
      <w:r w:rsidRPr="006654C0">
        <w:fldChar w:fldCharType="begin"/>
      </w:r>
      <w:r w:rsidRPr="00EB3D5D">
        <w:instrText>SEQ Figure \* ARABIC</w:instrText>
      </w:r>
      <w:r w:rsidRPr="006654C0">
        <w:fldChar w:fldCharType="separate"/>
      </w:r>
      <w:r w:rsidR="000F1876">
        <w:rPr>
          <w:noProof/>
        </w:rPr>
        <w:t>3</w:t>
      </w:r>
      <w:r w:rsidRPr="006654C0">
        <w:fldChar w:fldCharType="end"/>
      </w:r>
      <w:bookmarkEnd w:id="83"/>
      <w:r w:rsidRPr="00EB3D5D">
        <w:t xml:space="preserve">: Participant </w:t>
      </w:r>
      <w:r w:rsidR="00AD5524" w:rsidRPr="00EB3D5D">
        <w:t xml:space="preserve">and representative </w:t>
      </w:r>
      <w:r w:rsidRPr="00EB3D5D">
        <w:t>satisfaction with the IERP</w:t>
      </w:r>
    </w:p>
    <w:p w14:paraId="357010B2" w14:textId="4231B9D5" w:rsidR="00147B66" w:rsidRDefault="002C5CB1" w:rsidP="003944FE">
      <w:pPr>
        <w:spacing w:before="0" w:after="0"/>
      </w:pPr>
      <w:r>
        <w:rPr>
          <w:noProof/>
        </w:rPr>
        <w:drawing>
          <wp:inline distT="0" distB="0" distL="0" distR="0" wp14:anchorId="60396619" wp14:editId="40519A19">
            <wp:extent cx="5283200" cy="2787650"/>
            <wp:effectExtent l="0" t="0" r="0" b="0"/>
            <wp:docPr id="25" name="Chart 25" descr="Participant and representative satisfaction with the IERP.&#10;Figure shows the survey results from participant and representative satisfaction with the IERP survey. &#10;The figure is a stacked vertical bar chart with responses to The way the expert handled the matter overall and Overall satisfaction with how the matter was handled in the IERP: &#10;The vertical axis is in percentage (0 to 100%)&#10;The way the expert handled the matter overall:&#10;13 were Completely satisfied.&#10;2 were Mostly satisfied.&#10;1 were Somewhat satisfied.&#10;1 were Only a bit satisfied.&#10;2 were Not at all satisfied.&#10;Overall satisfaction with how the matter was handled in the IERP. &#10;8 were Completely satisfied.&#10;7 were Mostly satisfied.&#10;1 were Somewhat satisfied.&#10;0 were Only a bit satisfied.&#10;3 were Not at all satisfied.&#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0FFCD8" w14:textId="50762F0A" w:rsidR="00147B66" w:rsidRPr="006654C0" w:rsidRDefault="00AD5524" w:rsidP="006839D2">
      <w:pPr>
        <w:spacing w:before="120"/>
        <w:rPr>
          <w:szCs w:val="22"/>
        </w:rPr>
      </w:pPr>
      <w:r w:rsidRPr="006654C0">
        <w:rPr>
          <w:szCs w:val="22"/>
        </w:rPr>
        <w:t>Source: Online survey of participants and their representatives</w:t>
      </w:r>
      <w:r w:rsidR="007C2C9E" w:rsidRPr="006654C0">
        <w:rPr>
          <w:szCs w:val="22"/>
        </w:rPr>
        <w:t xml:space="preserve"> (pooled responses</w:t>
      </w:r>
      <w:r w:rsidR="006E7043" w:rsidRPr="006654C0">
        <w:rPr>
          <w:szCs w:val="22"/>
        </w:rPr>
        <w:t>: n =18</w:t>
      </w:r>
      <w:r w:rsidR="007C2C9E" w:rsidRPr="006654C0">
        <w:rPr>
          <w:szCs w:val="22"/>
        </w:rPr>
        <w:t>)</w:t>
      </w:r>
    </w:p>
    <w:p w14:paraId="3E15E2FB" w14:textId="6DC2D4A9" w:rsidR="009A6094" w:rsidRDefault="00175BE0" w:rsidP="00175BE0">
      <w:r>
        <w:t>The online survey asked</w:t>
      </w:r>
      <w:r w:rsidR="00373409">
        <w:t xml:space="preserve"> participants </w:t>
      </w:r>
      <w:r w:rsidR="00E67969">
        <w:t xml:space="preserve">and their </w:t>
      </w:r>
      <w:r w:rsidR="0039171E">
        <w:t xml:space="preserve">representatives </w:t>
      </w:r>
      <w:r w:rsidR="00373409">
        <w:t xml:space="preserve">how their experience </w:t>
      </w:r>
      <w:r w:rsidR="00F648B7">
        <w:t>with the I</w:t>
      </w:r>
      <w:r w:rsidR="007D30BA">
        <w:t xml:space="preserve">ERP compared to their </w:t>
      </w:r>
      <w:r>
        <w:t xml:space="preserve">experience with the AAT process. </w:t>
      </w:r>
      <w:r w:rsidR="00AA491B">
        <w:t>Most respondents (</w:t>
      </w:r>
      <w:r w:rsidR="00B95990">
        <w:t>79%</w:t>
      </w:r>
      <w:r w:rsidR="00F050E8">
        <w:t>)</w:t>
      </w:r>
      <w:r w:rsidR="006B24F2">
        <w:t xml:space="preserve"> reported the</w:t>
      </w:r>
      <w:r w:rsidR="00F050E8">
        <w:t xml:space="preserve">y had a better experience </w:t>
      </w:r>
      <w:r w:rsidR="00223A5B">
        <w:t>with the IERP than the AAT process</w:t>
      </w:r>
      <w:r w:rsidR="00AF6BB7">
        <w:t xml:space="preserve">, with </w:t>
      </w:r>
      <w:r w:rsidR="00883620">
        <w:t>the remainder</w:t>
      </w:r>
      <w:r w:rsidR="008D63A2">
        <w:t xml:space="preserve"> noting that the current IERP </w:t>
      </w:r>
      <w:r w:rsidR="00883620">
        <w:t xml:space="preserve">positioning meant </w:t>
      </w:r>
      <w:r w:rsidR="002F76DE">
        <w:t xml:space="preserve">that </w:t>
      </w:r>
      <w:r w:rsidR="00FC5919">
        <w:t xml:space="preserve">a substantial proportion of the AAT process </w:t>
      </w:r>
      <w:r w:rsidR="002F76DE">
        <w:t>was still undertaken</w:t>
      </w:r>
      <w:r w:rsidR="00E03D0D">
        <w:t>,</w:t>
      </w:r>
      <w:r w:rsidR="002F76DE">
        <w:t xml:space="preserve"> </w:t>
      </w:r>
      <w:r w:rsidR="00FC5919">
        <w:t>and</w:t>
      </w:r>
      <w:r w:rsidR="00D52B50">
        <w:t>/or</w:t>
      </w:r>
      <w:r w:rsidR="00FC5919">
        <w:t xml:space="preserve"> that </w:t>
      </w:r>
      <w:r w:rsidR="00BE082F">
        <w:t>not all matters were suitable for the IERP</w:t>
      </w:r>
      <w:r w:rsidR="00223A5B">
        <w:t>.</w:t>
      </w:r>
      <w:r w:rsidR="00FA2D53">
        <w:t xml:space="preserve"> </w:t>
      </w:r>
      <w:r w:rsidR="0071697D">
        <w:t>Participants reflected th</w:t>
      </w:r>
      <w:r w:rsidR="00BE082F">
        <w:t>eir ge</w:t>
      </w:r>
      <w:r w:rsidR="00236AAF">
        <w:t xml:space="preserve">nerally positive </w:t>
      </w:r>
      <w:r w:rsidR="0071697D">
        <w:t xml:space="preserve">sentiment </w:t>
      </w:r>
      <w:r w:rsidR="00236AAF">
        <w:t xml:space="preserve">for the IERP </w:t>
      </w:r>
      <w:r w:rsidR="0071697D">
        <w:t xml:space="preserve">in </w:t>
      </w:r>
      <w:r w:rsidR="00B725A1">
        <w:t xml:space="preserve">free text responses, </w:t>
      </w:r>
      <w:r w:rsidR="00580081">
        <w:t xml:space="preserve">commenting </w:t>
      </w:r>
      <w:r w:rsidR="00FE0FAD">
        <w:t>how</w:t>
      </w:r>
      <w:r w:rsidR="00FC4BE4">
        <w:t xml:space="preserve"> </w:t>
      </w:r>
      <w:r w:rsidR="000B1E85">
        <w:t>adversarial</w:t>
      </w:r>
      <w:r w:rsidR="00C940B0">
        <w:t xml:space="preserve"> the AAT process </w:t>
      </w:r>
      <w:r w:rsidR="002F76DE">
        <w:t>wa</w:t>
      </w:r>
      <w:r w:rsidR="00C940B0">
        <w:t xml:space="preserve">s and </w:t>
      </w:r>
      <w:r w:rsidR="004A6D69">
        <w:t>h</w:t>
      </w:r>
      <w:r w:rsidR="009E21B7">
        <w:t xml:space="preserve">ow </w:t>
      </w:r>
      <w:r w:rsidR="000B1E85">
        <w:t>th</w:t>
      </w:r>
      <w:r w:rsidR="00B646A2">
        <w:t xml:space="preserve">ey perceived the IERP as more transparent, </w:t>
      </w:r>
      <w:r w:rsidR="00183172">
        <w:t>fair,</w:t>
      </w:r>
      <w:r w:rsidR="000C6ADC">
        <w:t xml:space="preserve"> and </w:t>
      </w:r>
      <w:r w:rsidR="0095010E">
        <w:t>impartial.</w:t>
      </w:r>
    </w:p>
    <w:p w14:paraId="77CEDFB9" w14:textId="16695AC1" w:rsidR="0009467B" w:rsidRDefault="0009467B">
      <w:pPr>
        <w:spacing w:before="0" w:after="200" w:line="276" w:lineRule="auto"/>
      </w:pPr>
      <w:r>
        <w:br w:type="page"/>
      </w:r>
    </w:p>
    <w:p w14:paraId="56CFD700" w14:textId="418F85ED" w:rsidR="007438D1" w:rsidRPr="00183172" w:rsidRDefault="00D2712C" w:rsidP="00355A5A">
      <w:pPr>
        <w:pStyle w:val="Softquote"/>
        <w:ind w:left="357" w:right="720"/>
        <w:rPr>
          <w:b/>
          <w:i w:val="0"/>
          <w:iCs w:val="0"/>
        </w:rPr>
      </w:pPr>
      <w:r>
        <w:lastRenderedPageBreak/>
        <w:t>“</w:t>
      </w:r>
      <w:r w:rsidR="00E7647D" w:rsidRPr="00E7647D">
        <w:t>The whole IER process was a dream like experience following a nightmarish 12 months with the AAT. The process prior to the IER involved a belligerent NDIS who were supported by aggressive, non-model litigant la</w:t>
      </w:r>
      <w:r w:rsidR="00617F26">
        <w:t>w</w:t>
      </w:r>
      <w:r w:rsidR="00E7647D" w:rsidRPr="00E7647D">
        <w:t>yers</w:t>
      </w:r>
      <w:r w:rsidR="0022648C">
        <w:t>…</w:t>
      </w:r>
      <w:r w:rsidR="00E7647D" w:rsidRPr="00E7647D">
        <w:t xml:space="preserve"> who pr</w:t>
      </w:r>
      <w:r w:rsidR="00617F26">
        <w:t>e</w:t>
      </w:r>
      <w:r w:rsidR="00E7647D" w:rsidRPr="00E7647D">
        <w:t xml:space="preserve">yed on participants. It was slow, </w:t>
      </w:r>
      <w:r w:rsidR="000B7621" w:rsidRPr="00E7647D">
        <w:t>opaque,</w:t>
      </w:r>
      <w:r w:rsidR="00E7647D" w:rsidRPr="00E7647D">
        <w:t xml:space="preserve"> and aggressive. The exact opposite of the IER process that was impartial, transparent, fair and a face to talk to. I canno</w:t>
      </w:r>
      <w:r w:rsidR="00D647FF">
        <w:t>t</w:t>
      </w:r>
      <w:r w:rsidR="00E7647D" w:rsidRPr="00E7647D">
        <w:t xml:space="preserve"> speak more highly about the IER process, other than I wish everyone has access to it.</w:t>
      </w:r>
      <w:r>
        <w:t>”</w:t>
      </w:r>
      <w:r w:rsidR="00E7647D">
        <w:t xml:space="preserve"> </w:t>
      </w:r>
      <w:r w:rsidR="00E7647D" w:rsidRPr="00183172">
        <w:rPr>
          <w:b/>
          <w:i w:val="0"/>
          <w:iCs w:val="0"/>
        </w:rPr>
        <w:t>Participant</w:t>
      </w:r>
      <w:r w:rsidR="0005463F" w:rsidRPr="00183172">
        <w:rPr>
          <w:b/>
          <w:i w:val="0"/>
          <w:iCs w:val="0"/>
        </w:rPr>
        <w:t xml:space="preserve"> </w:t>
      </w:r>
      <w:r w:rsidR="00591FCC" w:rsidRPr="00183172">
        <w:rPr>
          <w:b/>
          <w:i w:val="0"/>
          <w:iCs w:val="0"/>
        </w:rPr>
        <w:t>survey</w:t>
      </w:r>
      <w:r w:rsidR="00355A5A">
        <w:rPr>
          <w:b/>
          <w:i w:val="0"/>
          <w:iCs w:val="0"/>
        </w:rPr>
        <w:t>.</w:t>
      </w:r>
    </w:p>
    <w:p w14:paraId="4EDA73AA" w14:textId="0FDDE610" w:rsidR="007438D1" w:rsidRDefault="007438D1" w:rsidP="00175BE0">
      <w:r>
        <w:t xml:space="preserve">Most participants and their representatives </w:t>
      </w:r>
      <w:r w:rsidRPr="004D1204">
        <w:t>(</w:t>
      </w:r>
      <w:r w:rsidR="0060404C" w:rsidRPr="004D1204">
        <w:t>73</w:t>
      </w:r>
      <w:r w:rsidRPr="004D1204">
        <w:t>%)</w:t>
      </w:r>
      <w:r>
        <w:t xml:space="preserve"> who responded to the survey reported they had more opportunity to be heard during the IERP compared to the AAT process. When asked about the best aspects of the IERP, participants </w:t>
      </w:r>
      <w:r w:rsidR="007866DD">
        <w:t>most frequently highlighted</w:t>
      </w:r>
      <w:r>
        <w:t xml:space="preserve"> the opportunity to be heard by the independent expert.</w:t>
      </w:r>
      <w:r w:rsidR="00072163">
        <w:t xml:space="preserve"> </w:t>
      </w:r>
      <w:r>
        <w:t xml:space="preserve">Some also </w:t>
      </w:r>
      <w:r w:rsidR="00072163">
        <w:t>appreciated</w:t>
      </w:r>
      <w:r>
        <w:t xml:space="preserve"> that the </w:t>
      </w:r>
      <w:r w:rsidR="00072163">
        <w:t>independent expert considered all</w:t>
      </w:r>
      <w:r>
        <w:t xml:space="preserve"> the information </w:t>
      </w:r>
      <w:r w:rsidR="00072163">
        <w:t xml:space="preserve">they had </w:t>
      </w:r>
      <w:r>
        <w:t>provided</w:t>
      </w:r>
      <w:r w:rsidR="00E9024F">
        <w:t xml:space="preserve"> </w:t>
      </w:r>
      <w:r w:rsidR="00934115">
        <w:t>and</w:t>
      </w:r>
      <w:r>
        <w:t xml:space="preserve"> the timeliness of the process.</w:t>
      </w:r>
    </w:p>
    <w:p w14:paraId="2738D6C5" w14:textId="4ECFA8C9" w:rsidR="0064071E" w:rsidRDefault="00F857FA" w:rsidP="00A63F9F">
      <w:r>
        <w:t>The survey asked p</w:t>
      </w:r>
      <w:r w:rsidR="00803959">
        <w:t xml:space="preserve">articipants </w:t>
      </w:r>
      <w:r w:rsidR="00296CF1">
        <w:t xml:space="preserve">and their representatives </w:t>
      </w:r>
      <w:r w:rsidR="008D4838">
        <w:t xml:space="preserve">how the </w:t>
      </w:r>
      <w:r w:rsidR="00A167B7">
        <w:t>IERP</w:t>
      </w:r>
      <w:r w:rsidR="00B1549A">
        <w:t xml:space="preserve"> </w:t>
      </w:r>
      <w:r w:rsidR="008D4838">
        <w:t>could</w:t>
      </w:r>
      <w:r w:rsidR="00B1549A">
        <w:t xml:space="preserve"> be improved</w:t>
      </w:r>
      <w:r w:rsidR="00A167B7">
        <w:t>.</w:t>
      </w:r>
      <w:r w:rsidR="00F3112B">
        <w:t xml:space="preserve"> </w:t>
      </w:r>
      <w:r w:rsidR="00F65E02">
        <w:t>Participants mostly</w:t>
      </w:r>
      <w:r w:rsidR="00803959">
        <w:t xml:space="preserve"> </w:t>
      </w:r>
      <w:r w:rsidR="00B1549A">
        <w:t>stated</w:t>
      </w:r>
      <w:r w:rsidR="0064071E">
        <w:t>:</w:t>
      </w:r>
    </w:p>
    <w:p w14:paraId="36F1FD21" w14:textId="0C363E35" w:rsidR="0064071E" w:rsidRDefault="00533DD6" w:rsidP="000705FE">
      <w:pPr>
        <w:pStyle w:val="ListParagraph"/>
        <w:numPr>
          <w:ilvl w:val="0"/>
          <w:numId w:val="19"/>
        </w:numPr>
        <w:ind w:left="714" w:hanging="357"/>
      </w:pPr>
      <w:r>
        <w:t>t</w:t>
      </w:r>
      <w:r w:rsidR="00911F28">
        <w:t>he</w:t>
      </w:r>
      <w:r w:rsidR="00455A98">
        <w:t xml:space="preserve">ir </w:t>
      </w:r>
      <w:r>
        <w:t xml:space="preserve">preference for </w:t>
      </w:r>
      <w:r w:rsidR="00911F28">
        <w:t>the IER</w:t>
      </w:r>
      <w:r w:rsidR="0035683D">
        <w:t>P</w:t>
      </w:r>
      <w:r w:rsidR="00F56B79">
        <w:t xml:space="preserve"> to review matters earlier</w:t>
      </w:r>
      <w:r w:rsidR="00FC731D">
        <w:t xml:space="preserve"> in the dispute resolution process</w:t>
      </w:r>
      <w:r w:rsidR="00911F28">
        <w:t xml:space="preserve">, noting </w:t>
      </w:r>
      <w:r w:rsidR="00F857FA">
        <w:t xml:space="preserve">that the protracted nature of their </w:t>
      </w:r>
      <w:r w:rsidR="00911F28">
        <w:t xml:space="preserve">disputes </w:t>
      </w:r>
      <w:r w:rsidR="00F857FA">
        <w:t>had caused them considerable distress</w:t>
      </w:r>
      <w:r w:rsidR="00A269CD">
        <w:t>;</w:t>
      </w:r>
      <w:r w:rsidR="0064071E">
        <w:t xml:space="preserve"> and</w:t>
      </w:r>
    </w:p>
    <w:p w14:paraId="2CB81B1B" w14:textId="08860723" w:rsidR="00CB345E" w:rsidRDefault="00B4555C" w:rsidP="000705FE">
      <w:pPr>
        <w:pStyle w:val="ListParagraph"/>
        <w:numPr>
          <w:ilvl w:val="0"/>
          <w:numId w:val="19"/>
        </w:numPr>
        <w:ind w:left="714" w:hanging="357"/>
      </w:pPr>
      <w:r>
        <w:t>that</w:t>
      </w:r>
      <w:r w:rsidR="00CA7930">
        <w:t xml:space="preserve"> the recommendations</w:t>
      </w:r>
      <w:r>
        <w:t xml:space="preserve"> should be binding</w:t>
      </w:r>
      <w:r w:rsidR="00E12F7E">
        <w:t xml:space="preserve"> on the Agency</w:t>
      </w:r>
    </w:p>
    <w:p w14:paraId="4EC66528" w14:textId="2714E92B" w:rsidR="00D54595" w:rsidRDefault="004E755C" w:rsidP="0090441A">
      <w:r>
        <w:t>P</w:t>
      </w:r>
      <w:r w:rsidR="00011E42">
        <w:t xml:space="preserve">articipant </w:t>
      </w:r>
      <w:r w:rsidR="008400AD">
        <w:t>representatives</w:t>
      </w:r>
      <w:r w:rsidR="00E3029B">
        <w:t xml:space="preserve"> </w:t>
      </w:r>
      <w:r w:rsidR="00F65E02">
        <w:t>mostly</w:t>
      </w:r>
      <w:r>
        <w:t xml:space="preserve"> </w:t>
      </w:r>
      <w:r w:rsidR="007450A0">
        <w:t>noted</w:t>
      </w:r>
      <w:r w:rsidR="0090441A">
        <w:t xml:space="preserve"> </w:t>
      </w:r>
      <w:r w:rsidR="0044476F">
        <w:t xml:space="preserve">the </w:t>
      </w:r>
      <w:r w:rsidR="006A6AD6">
        <w:t xml:space="preserve">information about the </w:t>
      </w:r>
      <w:r w:rsidR="0044476F">
        <w:t>IER</w:t>
      </w:r>
      <w:r>
        <w:t>P i</w:t>
      </w:r>
      <w:r w:rsidR="00C06C1F">
        <w:t xml:space="preserve">s </w:t>
      </w:r>
      <w:r w:rsidR="00A82D3C">
        <w:t xml:space="preserve">overly </w:t>
      </w:r>
      <w:r w:rsidR="00C06C1F">
        <w:t>complex</w:t>
      </w:r>
      <w:r w:rsidR="00905D0D">
        <w:t xml:space="preserve"> and</w:t>
      </w:r>
      <w:r w:rsidR="004758E0">
        <w:t xml:space="preserve"> </w:t>
      </w:r>
      <w:r w:rsidR="00F02F7E">
        <w:t>there have been</w:t>
      </w:r>
      <w:r w:rsidR="00C84671">
        <w:t xml:space="preserve"> </w:t>
      </w:r>
      <w:r w:rsidR="00D87CD6">
        <w:t>inaccuracies in some documentation</w:t>
      </w:r>
      <w:r w:rsidR="00F65E02">
        <w:t xml:space="preserve"> </w:t>
      </w:r>
      <w:r w:rsidR="00EF0AC6">
        <w:t>regarding participant circumstances</w:t>
      </w:r>
      <w:r w:rsidR="0029247C">
        <w:t xml:space="preserve"> </w:t>
      </w:r>
      <w:r w:rsidR="00F65E02">
        <w:t>given to independent experts</w:t>
      </w:r>
      <w:r w:rsidR="00D72D91">
        <w:t xml:space="preserve">. </w:t>
      </w:r>
    </w:p>
    <w:p w14:paraId="617AFEE5" w14:textId="33ED4023" w:rsidR="00A77C8F" w:rsidRDefault="00F65E02" w:rsidP="00A63F9F">
      <w:r>
        <w:t xml:space="preserve">Some representatives also voiced </w:t>
      </w:r>
      <w:r w:rsidR="00B10C7F">
        <w:t xml:space="preserve">a </w:t>
      </w:r>
      <w:r w:rsidR="00575A63">
        <w:t>perceived conflict of interest</w:t>
      </w:r>
      <w:r w:rsidR="00765565">
        <w:t xml:space="preserve"> as the </w:t>
      </w:r>
      <w:r w:rsidR="00931E8C">
        <w:t>r</w:t>
      </w:r>
      <w:r w:rsidR="004F2A07">
        <w:t xml:space="preserve">espondent </w:t>
      </w:r>
      <w:r w:rsidR="00931E8C">
        <w:t>(</w:t>
      </w:r>
      <w:r w:rsidR="009C225D">
        <w:t>i.e.,</w:t>
      </w:r>
      <w:r w:rsidR="004F2A07">
        <w:t xml:space="preserve"> the </w:t>
      </w:r>
      <w:r w:rsidR="00931E8C">
        <w:t>Agency)</w:t>
      </w:r>
      <w:r w:rsidR="004F2A07">
        <w:t xml:space="preserve"> in the AAT matter</w:t>
      </w:r>
      <w:r w:rsidR="00931E8C">
        <w:t xml:space="preserve"> is administering </w:t>
      </w:r>
      <w:r w:rsidR="00206B2F">
        <w:t>t</w:t>
      </w:r>
      <w:r w:rsidR="00931E8C">
        <w:t>he IERP.</w:t>
      </w:r>
      <w:r w:rsidR="007D5A5C">
        <w:t xml:space="preserve"> </w:t>
      </w:r>
      <w:r w:rsidR="005E316D" w:rsidDel="00C63CC4">
        <w:t>There</w:t>
      </w:r>
      <w:r w:rsidR="005E316D">
        <w:t xml:space="preserve"> w</w:t>
      </w:r>
      <w:r w:rsidR="00CB3153">
        <w:t>as</w:t>
      </w:r>
      <w:r w:rsidR="005E316D">
        <w:t xml:space="preserve"> </w:t>
      </w:r>
      <w:r w:rsidR="00B873F3">
        <w:t xml:space="preserve">also </w:t>
      </w:r>
      <w:r w:rsidR="00D64C4B">
        <w:t>occasional</w:t>
      </w:r>
      <w:r w:rsidR="005E316D">
        <w:t xml:space="preserve"> </w:t>
      </w:r>
      <w:r w:rsidR="00FF67CD">
        <w:t>criticism a</w:t>
      </w:r>
      <w:r w:rsidR="00D54595">
        <w:t>bout</w:t>
      </w:r>
      <w:r w:rsidR="004714DB">
        <w:t xml:space="preserve"> the quality </w:t>
      </w:r>
      <w:r w:rsidR="00FF67CD">
        <w:t>of</w:t>
      </w:r>
      <w:r w:rsidR="005E316D">
        <w:t xml:space="preserve"> recommendation</w:t>
      </w:r>
      <w:r w:rsidR="003D2D12">
        <w:t>s</w:t>
      </w:r>
      <w:r w:rsidR="005E316D">
        <w:t xml:space="preserve"> </w:t>
      </w:r>
      <w:r w:rsidR="000B78B2">
        <w:t>from independent experts</w:t>
      </w:r>
      <w:r w:rsidR="0086172E">
        <w:t>,</w:t>
      </w:r>
      <w:r w:rsidR="00FF67CD">
        <w:t xml:space="preserve"> including </w:t>
      </w:r>
      <w:r w:rsidR="00F35EBC">
        <w:t xml:space="preserve">a </w:t>
      </w:r>
      <w:r w:rsidR="006C7F9B">
        <w:t xml:space="preserve">lack of adequate </w:t>
      </w:r>
      <w:r w:rsidR="00A64721">
        <w:t xml:space="preserve">reasoning for </w:t>
      </w:r>
      <w:r w:rsidR="008B1321">
        <w:t xml:space="preserve">not recommending </w:t>
      </w:r>
      <w:r w:rsidR="00A64721">
        <w:t xml:space="preserve">supports </w:t>
      </w:r>
      <w:r w:rsidR="006C7F9B">
        <w:t>and</w:t>
      </w:r>
      <w:r w:rsidR="000B172D">
        <w:t xml:space="preserve"> </w:t>
      </w:r>
      <w:r w:rsidR="009107CF">
        <w:t xml:space="preserve">an </w:t>
      </w:r>
      <w:r w:rsidR="000B172D">
        <w:t>inaccura</w:t>
      </w:r>
      <w:r w:rsidR="008708D6">
        <w:t>te description</w:t>
      </w:r>
      <w:r w:rsidR="009C2C7A">
        <w:t xml:space="preserve"> of a participant’s situation</w:t>
      </w:r>
      <w:r w:rsidR="004D6B99">
        <w:t>.</w:t>
      </w:r>
      <w:r w:rsidR="000B78B2">
        <w:t xml:space="preserve"> However, </w:t>
      </w:r>
      <w:r w:rsidR="008B1321">
        <w:t xml:space="preserve">overwhelmingly </w:t>
      </w:r>
      <w:r w:rsidR="00265782">
        <w:t xml:space="preserve">participant representatives </w:t>
      </w:r>
      <w:r w:rsidR="00F35EBC">
        <w:t>were</w:t>
      </w:r>
      <w:r w:rsidR="0023776B">
        <w:t xml:space="preserve"> satisfied with the </w:t>
      </w:r>
      <w:r w:rsidR="00887D26">
        <w:t>recommendations made by independent experts and their transparency.</w:t>
      </w:r>
    </w:p>
    <w:p w14:paraId="5EACBC60" w14:textId="43933D79" w:rsidR="00664497" w:rsidRDefault="00664497" w:rsidP="00664497">
      <w:r>
        <w:lastRenderedPageBreak/>
        <w:t>Notwithstanding the above concerns, a key objective of the IERP is to build trust between participants and the NDIA and its review processes. When asked if the IER</w:t>
      </w:r>
      <w:r w:rsidR="00FA37E0">
        <w:t>P</w:t>
      </w:r>
      <w:r>
        <w:t xml:space="preserve"> had helped to build trust in the NDIA’s review process, </w:t>
      </w:r>
      <w:r w:rsidR="00733ABF">
        <w:t xml:space="preserve">62% </w:t>
      </w:r>
      <w:r w:rsidR="004D7A58">
        <w:t xml:space="preserve">of participants who responded to the survey </w:t>
      </w:r>
      <w:r>
        <w:t>(</w:t>
      </w:r>
      <w:r w:rsidR="002C1678">
        <w:t>8</w:t>
      </w:r>
      <w:r>
        <w:t xml:space="preserve"> of 13) indicated it had helped </w:t>
      </w:r>
      <w:r w:rsidR="002C1678">
        <w:t xml:space="preserve">somewhat or </w:t>
      </w:r>
      <w:r>
        <w:t xml:space="preserve">a lot, although </w:t>
      </w:r>
      <w:r w:rsidR="008400AD">
        <w:t>representatives</w:t>
      </w:r>
      <w:r w:rsidR="0046252D">
        <w:t xml:space="preserve"> </w:t>
      </w:r>
      <w:r w:rsidR="00091A60">
        <w:t xml:space="preserve">were less convinced </w:t>
      </w:r>
      <w:r w:rsidR="0046252D">
        <w:t>(</w:t>
      </w:r>
      <w:r w:rsidR="00F03E4D">
        <w:t xml:space="preserve">50% </w:t>
      </w:r>
      <w:r w:rsidR="00A7358F">
        <w:t xml:space="preserve">or </w:t>
      </w:r>
      <w:r w:rsidR="0046252D">
        <w:t>3 of 6)</w:t>
      </w:r>
      <w:r w:rsidR="004D7A58">
        <w:t>.</w:t>
      </w:r>
      <w:r w:rsidR="00F9494F">
        <w:t xml:space="preserve"> </w:t>
      </w:r>
    </w:p>
    <w:p w14:paraId="42E76028" w14:textId="419846DC" w:rsidR="00DE09DD" w:rsidRPr="008B1FBF" w:rsidRDefault="00F74D4C" w:rsidP="00952E11">
      <w:pPr>
        <w:pStyle w:val="Heading4"/>
      </w:pPr>
      <w:r w:rsidRPr="008B1FBF">
        <w:t>Participant</w:t>
      </w:r>
      <w:r w:rsidR="0026796C" w:rsidRPr="008B1FBF">
        <w:t xml:space="preserve"> and representative</w:t>
      </w:r>
      <w:r w:rsidRPr="008B1FBF">
        <w:t xml:space="preserve"> satisfaction with independent experts</w:t>
      </w:r>
      <w:r w:rsidR="002B4D49" w:rsidRPr="008B1FBF">
        <w:t xml:space="preserve"> </w:t>
      </w:r>
    </w:p>
    <w:p w14:paraId="6034A2EC" w14:textId="776E19F7" w:rsidR="000A6C99" w:rsidRDefault="0058056C" w:rsidP="000A6C99">
      <w:r>
        <w:t xml:space="preserve">As discussed above, participants and </w:t>
      </w:r>
      <w:r w:rsidR="008400AD">
        <w:t>representatives</w:t>
      </w:r>
      <w:r>
        <w:t xml:space="preserve"> </w:t>
      </w:r>
      <w:r w:rsidR="00D91DB4">
        <w:t>were</w:t>
      </w:r>
      <w:r w:rsidR="000A6C99">
        <w:t xml:space="preserve"> o</w:t>
      </w:r>
      <w:r w:rsidR="00A1764B">
        <w:t xml:space="preserve">verwhelmingly </w:t>
      </w:r>
      <w:r w:rsidR="00880009">
        <w:t xml:space="preserve">satisfied with the independent experts. </w:t>
      </w:r>
      <w:r w:rsidR="003843A9">
        <w:fldChar w:fldCharType="begin"/>
      </w:r>
      <w:r w:rsidR="003843A9">
        <w:instrText xml:space="preserve"> REF _Ref134017065 \h </w:instrText>
      </w:r>
      <w:r w:rsidR="003843A9">
        <w:fldChar w:fldCharType="separate"/>
      </w:r>
      <w:r w:rsidR="000F1876">
        <w:t xml:space="preserve">Figure </w:t>
      </w:r>
      <w:r w:rsidR="000F1876">
        <w:rPr>
          <w:noProof/>
        </w:rPr>
        <w:t>4</w:t>
      </w:r>
      <w:r w:rsidR="003843A9">
        <w:fldChar w:fldCharType="end"/>
      </w:r>
      <w:r w:rsidR="003843A9">
        <w:t xml:space="preserve"> shows high levels of satisfaction with all/most </w:t>
      </w:r>
      <w:r w:rsidR="00A53A4D">
        <w:t xml:space="preserve">aspects of the way independent experts reviewed </w:t>
      </w:r>
      <w:r w:rsidR="00F03D4D">
        <w:t>participant matters, most notably</w:t>
      </w:r>
      <w:r w:rsidR="003843A9">
        <w:t>:</w:t>
      </w:r>
    </w:p>
    <w:p w14:paraId="15EF2819" w14:textId="783E538B" w:rsidR="00E84640" w:rsidRDefault="00E84640" w:rsidP="000705FE">
      <w:pPr>
        <w:pStyle w:val="ListParagraph"/>
        <w:numPr>
          <w:ilvl w:val="0"/>
          <w:numId w:val="20"/>
        </w:numPr>
      </w:pPr>
      <w:r>
        <w:t>their explanation of the process (82% completely/mostly satisfied)</w:t>
      </w:r>
    </w:p>
    <w:p w14:paraId="61D27D7C" w14:textId="146C330D" w:rsidR="00A07849" w:rsidRDefault="00F03D4D" w:rsidP="000705FE">
      <w:pPr>
        <w:pStyle w:val="ListParagraph"/>
        <w:numPr>
          <w:ilvl w:val="0"/>
          <w:numId w:val="20"/>
        </w:numPr>
      </w:pPr>
      <w:r>
        <w:t xml:space="preserve">experts’ understanding of the matter </w:t>
      </w:r>
      <w:r w:rsidR="00C928A5" w:rsidRPr="00A95983">
        <w:t>(77% completely or mostly satisfied)</w:t>
      </w:r>
    </w:p>
    <w:p w14:paraId="249F4551" w14:textId="6C4CB9C2" w:rsidR="003843A9" w:rsidRDefault="009F571F" w:rsidP="000705FE">
      <w:pPr>
        <w:pStyle w:val="ListParagraph"/>
        <w:numPr>
          <w:ilvl w:val="0"/>
          <w:numId w:val="20"/>
        </w:numPr>
      </w:pPr>
      <w:r>
        <w:t xml:space="preserve">their preparedness </w:t>
      </w:r>
      <w:r w:rsidR="00DA52FE">
        <w:t>when they met the participant</w:t>
      </w:r>
      <w:r w:rsidR="00BF3B89">
        <w:t xml:space="preserve"> (75% completely/mostly satisfied)</w:t>
      </w:r>
    </w:p>
    <w:p w14:paraId="669D2AED" w14:textId="6F7A6A0D" w:rsidR="00DA52FE" w:rsidRDefault="00A649B8" w:rsidP="000705FE">
      <w:pPr>
        <w:pStyle w:val="ListParagraph"/>
        <w:numPr>
          <w:ilvl w:val="0"/>
          <w:numId w:val="20"/>
        </w:numPr>
      </w:pPr>
      <w:r>
        <w:t>their communication during the process.</w:t>
      </w:r>
      <w:r w:rsidR="00E84640">
        <w:t xml:space="preserve"> (75% completely/mostly satisfied)</w:t>
      </w:r>
    </w:p>
    <w:p w14:paraId="24DA6AC2" w14:textId="77777777" w:rsidR="00FA6A51" w:rsidRDefault="00C928A5" w:rsidP="000A6C99">
      <w:r>
        <w:t>Participants</w:t>
      </w:r>
      <w:r w:rsidR="00347341">
        <w:t xml:space="preserve"> </w:t>
      </w:r>
      <w:r w:rsidR="00AE0F17">
        <w:t xml:space="preserve">and </w:t>
      </w:r>
      <w:r>
        <w:t>representatives reported s</w:t>
      </w:r>
      <w:r w:rsidR="00210960">
        <w:t xml:space="preserve">lightly lower rates </w:t>
      </w:r>
      <w:r w:rsidR="0098379A">
        <w:t xml:space="preserve">of </w:t>
      </w:r>
      <w:r w:rsidR="000929D3">
        <w:t xml:space="preserve">satisfaction </w:t>
      </w:r>
      <w:r>
        <w:t>with</w:t>
      </w:r>
      <w:r w:rsidR="00FA6A51">
        <w:t>:</w:t>
      </w:r>
    </w:p>
    <w:p w14:paraId="63E17CD8" w14:textId="77777777" w:rsidR="00FA6A51" w:rsidRDefault="003A12BF" w:rsidP="000705FE">
      <w:pPr>
        <w:pStyle w:val="ListParagraph"/>
        <w:numPr>
          <w:ilvl w:val="0"/>
          <w:numId w:val="21"/>
        </w:numPr>
      </w:pPr>
      <w:r>
        <w:t xml:space="preserve">the </w:t>
      </w:r>
      <w:r w:rsidR="00C928A5">
        <w:t xml:space="preserve">independent </w:t>
      </w:r>
      <w:r>
        <w:t xml:space="preserve">experts’ understanding </w:t>
      </w:r>
      <w:r w:rsidR="00BB4EC3">
        <w:t xml:space="preserve">about the impacts of the participants’ disability </w:t>
      </w:r>
      <w:r w:rsidR="00C928A5">
        <w:t>(61% completely/mostly satisfied)</w:t>
      </w:r>
    </w:p>
    <w:p w14:paraId="2094675C" w14:textId="0F110972" w:rsidR="00FA6A51" w:rsidRDefault="00693895" w:rsidP="000705FE">
      <w:pPr>
        <w:pStyle w:val="ListParagraph"/>
        <w:numPr>
          <w:ilvl w:val="0"/>
          <w:numId w:val="21"/>
        </w:numPr>
      </w:pPr>
      <w:r>
        <w:t xml:space="preserve">the way </w:t>
      </w:r>
      <w:r w:rsidR="003905A9">
        <w:t>the expert explained their recommendations</w:t>
      </w:r>
      <w:r w:rsidR="00C928A5">
        <w:t xml:space="preserve"> (61% completely</w:t>
      </w:r>
      <w:r w:rsidR="00E84640">
        <w:t>/</w:t>
      </w:r>
      <w:r w:rsidR="00C928A5">
        <w:t xml:space="preserve">mostly satisfied). </w:t>
      </w:r>
    </w:p>
    <w:p w14:paraId="70411269" w14:textId="3545C07C" w:rsidR="002E6BA1" w:rsidRDefault="007179A0" w:rsidP="00A63F9F">
      <w:r w:rsidRPr="00C201AE">
        <w:t xml:space="preserve">In free text survey responses, </w:t>
      </w:r>
      <w:r w:rsidR="00C201AE" w:rsidRPr="00C201AE">
        <w:t xml:space="preserve">most </w:t>
      </w:r>
      <w:r w:rsidRPr="00C201AE">
        <w:t>participants reported the IERP process and recommendations received were of high quality</w:t>
      </w:r>
      <w:r w:rsidR="00C201AE" w:rsidRPr="00C201AE">
        <w:t>.</w:t>
      </w:r>
      <w:r w:rsidR="009B7366">
        <w:t xml:space="preserve"> </w:t>
      </w:r>
      <w:r w:rsidR="00B15336">
        <w:t>There was l</w:t>
      </w:r>
      <w:r w:rsidR="00DC4D8C">
        <w:t xml:space="preserve">ower </w:t>
      </w:r>
      <w:r w:rsidR="008E4B8C">
        <w:t xml:space="preserve">participant </w:t>
      </w:r>
      <w:r w:rsidR="00DC4D8C">
        <w:t xml:space="preserve">satisfaction with </w:t>
      </w:r>
      <w:r w:rsidR="00CE6F26">
        <w:t xml:space="preserve">the experts’ understanding of the impact of </w:t>
      </w:r>
      <w:r w:rsidR="008E4B8C">
        <w:t>their disability</w:t>
      </w:r>
      <w:r w:rsidR="00B15336">
        <w:t>, which</w:t>
      </w:r>
      <w:r w:rsidR="00C928A5">
        <w:t xml:space="preserve"> reflects that </w:t>
      </w:r>
      <w:r w:rsidR="005C2874">
        <w:t xml:space="preserve">the Agency allocated matters </w:t>
      </w:r>
      <w:r w:rsidR="004C0F81">
        <w:t>to the</w:t>
      </w:r>
      <w:r w:rsidR="005C2874">
        <w:t xml:space="preserve"> </w:t>
      </w:r>
      <w:r w:rsidR="00775977">
        <w:t>‘next available</w:t>
      </w:r>
      <w:r w:rsidR="000A3F62">
        <w:t xml:space="preserve"> expert’</w:t>
      </w:r>
      <w:r w:rsidR="00070099">
        <w:t xml:space="preserve">. </w:t>
      </w:r>
    </w:p>
    <w:p w14:paraId="2793A687" w14:textId="713FED6B" w:rsidR="000A6C99" w:rsidRDefault="000A6C99" w:rsidP="00A86241">
      <w:pPr>
        <w:pStyle w:val="Caption"/>
      </w:pPr>
      <w:bookmarkStart w:id="84" w:name="_Ref134017065"/>
      <w:r>
        <w:lastRenderedPageBreak/>
        <w:t xml:space="preserve">Figure </w:t>
      </w:r>
      <w:r>
        <w:fldChar w:fldCharType="begin"/>
      </w:r>
      <w:r>
        <w:instrText>SEQ Figure \* ARABIC</w:instrText>
      </w:r>
      <w:r>
        <w:fldChar w:fldCharType="separate"/>
      </w:r>
      <w:r w:rsidR="000F1876">
        <w:rPr>
          <w:noProof/>
        </w:rPr>
        <w:t>4</w:t>
      </w:r>
      <w:r>
        <w:fldChar w:fldCharType="end"/>
      </w:r>
      <w:bookmarkEnd w:id="84"/>
      <w:r>
        <w:t>: Participant and representative satisfaction with independent experts</w:t>
      </w:r>
    </w:p>
    <w:p w14:paraId="38145F4C" w14:textId="6D402E9A" w:rsidR="000A6C99" w:rsidRDefault="00782B4E" w:rsidP="00006897">
      <w:pPr>
        <w:spacing w:before="0" w:after="0"/>
        <w:rPr>
          <w:sz w:val="20"/>
          <w:szCs w:val="20"/>
        </w:rPr>
      </w:pPr>
      <w:r>
        <w:rPr>
          <w:noProof/>
        </w:rPr>
        <w:drawing>
          <wp:inline distT="0" distB="0" distL="0" distR="0" wp14:anchorId="24D8F93A" wp14:editId="315BB372">
            <wp:extent cx="5724000" cy="3240000"/>
            <wp:effectExtent l="0" t="0" r="0" b="0"/>
            <wp:docPr id="2" name="Chart 2" descr="Figure shows the survey results from Participant and representative satisfaction with independent experts. The figure is a stacked bar chart. Results show that 60% or more of respondents were completely satisfied across all aspects. The following aspects were rated: &#10;The way they explained the process to you:&#10;9 were Completely satisfied.&#10;0 were Mostly satisfied.&#10;1 were Somewhat satisfied.&#10;0 was Only a bit satisfied.&#10;1 were Not at all satisfied.&#10;Their understanding of your case:&#10;9 were Completely satisfied.&#10;1 was Mostly satisfied.&#10;1 was Somewhat satisfied.&#10;0 were Only a bit satisfied.&#10;2 were Not at all satisfied.&#10;The way they handled your matter overall:&#10;9 were Completely satisfied.&#10;0 were Mostly satisfied.&#10;1 was Somewhat satisfied.&#10;1 was Only a bit satisfied.&#10;2 were Not at all satisfied.&#10;How prepared they were when they met you:&#10;8 were Completely satisfied.&#10;1 was Mostly satisfied.&#10;1 was Somewhat satisfied.&#10;0 were Only a bit satisfied.&#10;2 were Not at all satisfied.&#10;Their communication with you during the process:&#10;8 were Completely satisfied.&#10;1 was Mostly satisfied.&#10;1 was Somewhat satisfied.&#10;0 were Only a bit satisfied.&#10;2 were Not at all satisfied.&#10;Their understanding of your disability and how it affects your life:&#10;8 were Completely satisfied.&#10;0 were Mostly satisfied.&#10;2 were Somewhat satisfied.&#10;1 was Only a bit satisfied.&#10;2 were Not at all satisfied.&#10;The way they explained their recommendation to you:&#10;8 were Completely satisfied.&#10;0 were Mostly satisfied.&#10;1 was Somewhat satisfied.&#10;0 were Only a bit satisfied.&#10;3 were Not at all satisfied.&#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0A6C99" w:rsidRPr="006654C0">
        <w:rPr>
          <w:szCs w:val="22"/>
        </w:rPr>
        <w:t xml:space="preserve">Source: Online survey of participants and their </w:t>
      </w:r>
      <w:r w:rsidR="008400AD" w:rsidRPr="006654C0">
        <w:rPr>
          <w:szCs w:val="22"/>
        </w:rPr>
        <w:t>representatives</w:t>
      </w:r>
      <w:r w:rsidR="000A6C99" w:rsidRPr="006654C0">
        <w:rPr>
          <w:szCs w:val="22"/>
        </w:rPr>
        <w:t xml:space="preserve"> (pooled responses</w:t>
      </w:r>
      <w:r w:rsidR="006E7043" w:rsidRPr="006654C0">
        <w:rPr>
          <w:szCs w:val="22"/>
        </w:rPr>
        <w:t>: n =18</w:t>
      </w:r>
      <w:r w:rsidR="000A6C99" w:rsidRPr="006654C0">
        <w:rPr>
          <w:szCs w:val="22"/>
        </w:rPr>
        <w:t>)</w:t>
      </w:r>
    </w:p>
    <w:p w14:paraId="4E117E18" w14:textId="77777777" w:rsidR="00890664" w:rsidRDefault="00890664" w:rsidP="00006897">
      <w:pPr>
        <w:spacing w:before="0" w:after="0"/>
        <w:rPr>
          <w:sz w:val="20"/>
          <w:szCs w:val="20"/>
        </w:rPr>
      </w:pPr>
    </w:p>
    <w:p w14:paraId="24A57F53" w14:textId="63B28317" w:rsidR="007E4D0E" w:rsidRDefault="005A76FF" w:rsidP="003450AA">
      <w:pPr>
        <w:pStyle w:val="Softquote"/>
        <w:ind w:left="357" w:right="720"/>
        <w:rPr>
          <w:b/>
          <w:bCs/>
          <w:i w:val="0"/>
          <w:iCs w:val="0"/>
        </w:rPr>
      </w:pPr>
      <w:r>
        <w:t>“</w:t>
      </w:r>
      <w:r w:rsidR="00633688" w:rsidRPr="00633688">
        <w:t xml:space="preserve">It was clear, </w:t>
      </w:r>
      <w:r w:rsidR="000A66E8" w:rsidRPr="00633688">
        <w:t>simple,</w:t>
      </w:r>
      <w:r w:rsidR="00633688" w:rsidRPr="00633688">
        <w:t xml:space="preserve"> and timely. The information </w:t>
      </w:r>
      <w:r w:rsidR="001F1BA3">
        <w:t xml:space="preserve">from the expert </w:t>
      </w:r>
      <w:r w:rsidR="00633688" w:rsidRPr="00633688">
        <w:t xml:space="preserve">made sense. The people making decisions had an understanding of the nature of the disability and complexities instead of </w:t>
      </w:r>
      <w:r w:rsidR="001A3438">
        <w:t>having</w:t>
      </w:r>
      <w:r w:rsidR="00633688" w:rsidRPr="00633688">
        <w:t xml:space="preserve"> </w:t>
      </w:r>
      <w:r w:rsidR="00220686">
        <w:t>n</w:t>
      </w:r>
      <w:r w:rsidR="00633688" w:rsidRPr="00633688">
        <w:t xml:space="preserve">o expert knowledge or experience and </w:t>
      </w:r>
      <w:r w:rsidR="001A3438">
        <w:t xml:space="preserve">just using </w:t>
      </w:r>
      <w:r w:rsidR="00633688" w:rsidRPr="00633688">
        <w:t xml:space="preserve">funding formulas. I felt we were </w:t>
      </w:r>
      <w:r w:rsidR="001A3438" w:rsidRPr="00633688">
        <w:t>heard;</w:t>
      </w:r>
      <w:r w:rsidR="00633688" w:rsidRPr="00633688">
        <w:t xml:space="preserve"> his treating professionals were </w:t>
      </w:r>
      <w:r w:rsidR="004F349D" w:rsidRPr="00633688">
        <w:t>heard,</w:t>
      </w:r>
      <w:r w:rsidR="00633688" w:rsidRPr="00633688">
        <w:t xml:space="preserve"> and a </w:t>
      </w:r>
      <w:r w:rsidR="00A90A5A" w:rsidRPr="00633688">
        <w:t>common-sense</w:t>
      </w:r>
      <w:r w:rsidR="00633688" w:rsidRPr="00633688">
        <w:t xml:space="preserve"> solution was reached.</w:t>
      </w:r>
      <w:r>
        <w:t>”</w:t>
      </w:r>
      <w:r w:rsidR="00633688">
        <w:t xml:space="preserve"> </w:t>
      </w:r>
      <w:r w:rsidR="00633688" w:rsidRPr="000A66E8">
        <w:rPr>
          <w:b/>
          <w:bCs/>
          <w:i w:val="0"/>
          <w:iCs w:val="0"/>
        </w:rPr>
        <w:t>Participant, survey</w:t>
      </w:r>
      <w:r w:rsidR="00A922B1">
        <w:rPr>
          <w:b/>
          <w:bCs/>
          <w:i w:val="0"/>
          <w:iCs w:val="0"/>
        </w:rPr>
        <w:t>.</w:t>
      </w:r>
    </w:p>
    <w:p w14:paraId="63F8AB50" w14:textId="77777777" w:rsidR="00890664" w:rsidRPr="000A66E8" w:rsidRDefault="00890664" w:rsidP="003450AA">
      <w:pPr>
        <w:pStyle w:val="Softquote"/>
        <w:ind w:left="357" w:right="720"/>
        <w:rPr>
          <w:b/>
          <w:bCs/>
          <w:i w:val="0"/>
          <w:iCs w:val="0"/>
        </w:rPr>
      </w:pPr>
    </w:p>
    <w:p w14:paraId="08C60A08" w14:textId="114D6334" w:rsidR="00A42705" w:rsidRPr="00602040" w:rsidRDefault="00A42705" w:rsidP="00952E11">
      <w:pPr>
        <w:pStyle w:val="Heading4"/>
      </w:pPr>
      <w:r w:rsidRPr="00602040">
        <w:t>Participant</w:t>
      </w:r>
      <w:r w:rsidR="00C81F81" w:rsidRPr="00602040">
        <w:t xml:space="preserve"> and representative </w:t>
      </w:r>
      <w:r w:rsidRPr="00602040">
        <w:t xml:space="preserve">satisfaction with </w:t>
      </w:r>
      <w:r w:rsidR="00477D12">
        <w:t xml:space="preserve">the </w:t>
      </w:r>
      <w:r w:rsidRPr="00602040">
        <w:t>NDIA</w:t>
      </w:r>
      <w:r w:rsidR="005308EE">
        <w:t>’s management of the IER</w:t>
      </w:r>
      <w:r w:rsidRPr="00602040">
        <w:t xml:space="preserve"> process</w:t>
      </w:r>
    </w:p>
    <w:p w14:paraId="0D7A236E" w14:textId="0BCDF86E" w:rsidR="00BC38D2" w:rsidRDefault="00BE446C" w:rsidP="00320116">
      <w:r w:rsidRPr="00BE446C">
        <w:t>Participant</w:t>
      </w:r>
      <w:r w:rsidR="00801CDF">
        <w:t>s and</w:t>
      </w:r>
      <w:r w:rsidRPr="00BE446C">
        <w:t xml:space="preserve"> </w:t>
      </w:r>
      <w:r w:rsidR="00BC38D2">
        <w:t xml:space="preserve">their </w:t>
      </w:r>
      <w:r w:rsidR="008400AD">
        <w:t>representatives</w:t>
      </w:r>
      <w:r w:rsidR="00BC38D2">
        <w:t xml:space="preserve"> reported lower </w:t>
      </w:r>
      <w:r w:rsidR="000D7DDC">
        <w:t xml:space="preserve">satisfaction </w:t>
      </w:r>
      <w:r w:rsidR="009B14F5">
        <w:t xml:space="preserve">with </w:t>
      </w:r>
      <w:r w:rsidR="0021079A">
        <w:t xml:space="preserve">the </w:t>
      </w:r>
      <w:r w:rsidR="00846CE8">
        <w:t>NDIA</w:t>
      </w:r>
      <w:r w:rsidR="0021079A">
        <w:t>’s</w:t>
      </w:r>
      <w:r w:rsidR="00BC38D2">
        <w:t xml:space="preserve"> </w:t>
      </w:r>
      <w:r w:rsidR="00DB5D3F">
        <w:t>management of the IER</w:t>
      </w:r>
      <w:r w:rsidR="00372DD2">
        <w:t>P</w:t>
      </w:r>
      <w:r w:rsidR="00DB5D3F">
        <w:t xml:space="preserve"> process</w:t>
      </w:r>
      <w:r w:rsidR="009F5DDC">
        <w:t xml:space="preserve">. </w:t>
      </w:r>
      <w:r w:rsidR="00F800F6" w:rsidRPr="001E14DF">
        <w:fldChar w:fldCharType="begin"/>
      </w:r>
      <w:r w:rsidR="00F800F6" w:rsidRPr="001E14DF">
        <w:instrText xml:space="preserve"> REF _Ref134018130 \h  \* MERGEFORMAT </w:instrText>
      </w:r>
      <w:r w:rsidR="00F800F6" w:rsidRPr="001E14DF">
        <w:fldChar w:fldCharType="separate"/>
      </w:r>
      <w:r w:rsidR="000F1876">
        <w:t xml:space="preserve">Figure </w:t>
      </w:r>
      <w:r w:rsidR="000F1876">
        <w:rPr>
          <w:noProof/>
        </w:rPr>
        <w:t>5</w:t>
      </w:r>
      <w:r w:rsidR="00F800F6" w:rsidRPr="001E14DF">
        <w:fldChar w:fldCharType="end"/>
      </w:r>
      <w:r w:rsidR="00F800F6">
        <w:t xml:space="preserve"> shows </w:t>
      </w:r>
      <w:r w:rsidR="00477D12">
        <w:t>in general</w:t>
      </w:r>
      <w:r w:rsidR="001D678F">
        <w:t>,</w:t>
      </w:r>
      <w:r w:rsidR="00477D12">
        <w:t xml:space="preserve"> less tha</w:t>
      </w:r>
      <w:r w:rsidR="004570DD">
        <w:t>n</w:t>
      </w:r>
      <w:r w:rsidR="00477D12">
        <w:t xml:space="preserve"> half of survey respondents were mostly or completely satisfied with the NDIA’s management of </w:t>
      </w:r>
      <w:r w:rsidR="00CD5500">
        <w:t>the IER</w:t>
      </w:r>
      <w:r w:rsidR="00741861">
        <w:t>P</w:t>
      </w:r>
      <w:r w:rsidR="00CD5500">
        <w:t xml:space="preserve"> process</w:t>
      </w:r>
      <w:r w:rsidR="00666DCE">
        <w:t>. Most notably</w:t>
      </w:r>
      <w:r w:rsidR="00CD5500">
        <w:t>:</w:t>
      </w:r>
    </w:p>
    <w:p w14:paraId="79F90EA5" w14:textId="3051014C" w:rsidR="0046781D" w:rsidRDefault="00DA08D7" w:rsidP="000705FE">
      <w:pPr>
        <w:pStyle w:val="ListParagraph"/>
        <w:numPr>
          <w:ilvl w:val="0"/>
          <w:numId w:val="22"/>
        </w:numPr>
      </w:pPr>
      <w:r w:rsidRPr="002057DD">
        <w:lastRenderedPageBreak/>
        <w:t xml:space="preserve">Only </w:t>
      </w:r>
      <w:r w:rsidR="002057DD" w:rsidRPr="002057DD">
        <w:t>37</w:t>
      </w:r>
      <w:r w:rsidR="00DF2822" w:rsidRPr="002057DD">
        <w:t>%</w:t>
      </w:r>
      <w:r w:rsidR="00D6442C" w:rsidRPr="002057DD">
        <w:t xml:space="preserve"> (</w:t>
      </w:r>
      <w:r w:rsidR="002057DD" w:rsidRPr="002057DD">
        <w:t>7</w:t>
      </w:r>
      <w:r w:rsidR="00D6442C" w:rsidRPr="002057DD">
        <w:t xml:space="preserve"> of 1</w:t>
      </w:r>
      <w:r w:rsidR="00A922B1">
        <w:t>8</w:t>
      </w:r>
      <w:r w:rsidR="00D6442C" w:rsidRPr="002057DD">
        <w:t xml:space="preserve">) reported they </w:t>
      </w:r>
      <w:r w:rsidR="001D62C5" w:rsidRPr="002057DD">
        <w:t xml:space="preserve">were </w:t>
      </w:r>
      <w:r w:rsidR="00C17067">
        <w:t xml:space="preserve">completely or </w:t>
      </w:r>
      <w:r w:rsidR="001D62C5" w:rsidRPr="002057DD">
        <w:t xml:space="preserve">mostly satisfied with </w:t>
      </w:r>
      <w:r w:rsidR="0046781D" w:rsidRPr="002057DD">
        <w:t>the NDIA’s communication with the participant during the IER</w:t>
      </w:r>
      <w:r w:rsidR="00741861">
        <w:t>P</w:t>
      </w:r>
      <w:r w:rsidR="0046781D" w:rsidRPr="002057DD">
        <w:t xml:space="preserve"> process</w:t>
      </w:r>
      <w:r w:rsidR="00AC2BE0">
        <w:t>,</w:t>
      </w:r>
      <w:r w:rsidR="008B3964">
        <w:t xml:space="preserve"> the information provided about the independent expert</w:t>
      </w:r>
      <w:r w:rsidR="000D45B9">
        <w:t xml:space="preserve"> and the explanation </w:t>
      </w:r>
      <w:r w:rsidR="005B5D4A">
        <w:t>about the process</w:t>
      </w:r>
      <w:r w:rsidR="008E1E3D">
        <w:t>es</w:t>
      </w:r>
      <w:r w:rsidR="001F6317">
        <w:t>.</w:t>
      </w:r>
    </w:p>
    <w:p w14:paraId="1CE5C468" w14:textId="46F5117D" w:rsidR="00543D2D" w:rsidRPr="002057DD" w:rsidRDefault="005A785A" w:rsidP="000705FE">
      <w:pPr>
        <w:pStyle w:val="ListParagraph"/>
        <w:numPr>
          <w:ilvl w:val="0"/>
          <w:numId w:val="22"/>
        </w:numPr>
      </w:pPr>
      <w:r>
        <w:t xml:space="preserve">Only </w:t>
      </w:r>
      <w:r w:rsidR="00437CE1">
        <w:t>4</w:t>
      </w:r>
      <w:r w:rsidR="008341BA">
        <w:t>4</w:t>
      </w:r>
      <w:r w:rsidR="00437CE1">
        <w:t>% (8 of 1</w:t>
      </w:r>
      <w:r w:rsidR="00A922B1">
        <w:t>8</w:t>
      </w:r>
      <w:r w:rsidR="00437CE1">
        <w:t xml:space="preserve">) </w:t>
      </w:r>
      <w:r w:rsidR="0043320F">
        <w:t xml:space="preserve">were </w:t>
      </w:r>
      <w:r w:rsidR="00C17067">
        <w:t>completely</w:t>
      </w:r>
      <w:r w:rsidR="0043320F">
        <w:t xml:space="preserve"> or mostly satisfied with the information provided about the IERP</w:t>
      </w:r>
      <w:r w:rsidR="001F6317">
        <w:t>.</w:t>
      </w:r>
    </w:p>
    <w:p w14:paraId="3691DA04" w14:textId="51704EC7" w:rsidR="00D25613" w:rsidRPr="008F6B32" w:rsidRDefault="00675575" w:rsidP="000705FE">
      <w:pPr>
        <w:pStyle w:val="ListParagraph"/>
        <w:numPr>
          <w:ilvl w:val="0"/>
          <w:numId w:val="22"/>
        </w:numPr>
      </w:pPr>
      <w:r>
        <w:t>50</w:t>
      </w:r>
      <w:r w:rsidR="00C20452" w:rsidRPr="008F6B32">
        <w:t xml:space="preserve">% </w:t>
      </w:r>
      <w:r w:rsidR="00970435" w:rsidRPr="008F6B32">
        <w:t>(9 of 1</w:t>
      </w:r>
      <w:r w:rsidR="00A922B1">
        <w:t>8</w:t>
      </w:r>
      <w:r w:rsidR="00970435" w:rsidRPr="008F6B32">
        <w:t xml:space="preserve">) were </w:t>
      </w:r>
      <w:r w:rsidR="00C17067">
        <w:t xml:space="preserve">completely </w:t>
      </w:r>
      <w:r w:rsidR="00970435" w:rsidRPr="008F6B32">
        <w:t xml:space="preserve">or mostly satisfied </w:t>
      </w:r>
      <w:r w:rsidR="008B3ED9" w:rsidRPr="008F6B32">
        <w:t xml:space="preserve">with </w:t>
      </w:r>
      <w:r w:rsidR="00B4636E" w:rsidRPr="008F6B32">
        <w:t xml:space="preserve">the material supplied to the </w:t>
      </w:r>
      <w:r w:rsidR="008E1E3D">
        <w:t xml:space="preserve">independent </w:t>
      </w:r>
      <w:r w:rsidR="00B4636E" w:rsidRPr="008F6B32">
        <w:t>expert</w:t>
      </w:r>
      <w:r w:rsidR="00A922B1">
        <w:t>.</w:t>
      </w:r>
    </w:p>
    <w:p w14:paraId="0EE9B540" w14:textId="7464D4C7" w:rsidR="009052B7" w:rsidRDefault="009052B7" w:rsidP="00A86241">
      <w:pPr>
        <w:pStyle w:val="Caption"/>
      </w:pPr>
      <w:bookmarkStart w:id="85" w:name="_Ref134018130"/>
      <w:r>
        <w:t xml:space="preserve">Figure </w:t>
      </w:r>
      <w:r>
        <w:fldChar w:fldCharType="begin"/>
      </w:r>
      <w:r>
        <w:instrText>SEQ Figure \* ARABIC</w:instrText>
      </w:r>
      <w:r>
        <w:fldChar w:fldCharType="separate"/>
      </w:r>
      <w:r w:rsidR="000F1876">
        <w:rPr>
          <w:noProof/>
        </w:rPr>
        <w:t>5</w:t>
      </w:r>
      <w:r>
        <w:fldChar w:fldCharType="end"/>
      </w:r>
      <w:bookmarkEnd w:id="85"/>
      <w:r>
        <w:t xml:space="preserve">: </w:t>
      </w:r>
      <w:r w:rsidRPr="00310C7E">
        <w:t xml:space="preserve">Participant and representative satisfaction with </w:t>
      </w:r>
      <w:r>
        <w:t xml:space="preserve">the NDIA’s management of </w:t>
      </w:r>
      <w:r w:rsidR="005B16A3">
        <w:t xml:space="preserve">the </w:t>
      </w:r>
      <w:r w:rsidR="00377AC8">
        <w:t>IERP</w:t>
      </w:r>
    </w:p>
    <w:p w14:paraId="36E8B173" w14:textId="21AF3509" w:rsidR="00377AC8" w:rsidRPr="006654C0" w:rsidRDefault="00774A52" w:rsidP="00006897">
      <w:pPr>
        <w:spacing w:before="0"/>
        <w:rPr>
          <w:szCs w:val="22"/>
        </w:rPr>
      </w:pPr>
      <w:r>
        <w:rPr>
          <w:noProof/>
        </w:rPr>
        <w:drawing>
          <wp:inline distT="0" distB="0" distL="0" distR="0" wp14:anchorId="1B9EEB4D" wp14:editId="6BE42F75">
            <wp:extent cx="5438775" cy="2819400"/>
            <wp:effectExtent l="0" t="0" r="0" b="0"/>
            <wp:docPr id="8" name="Chart 8" descr="Figure shows the survey results from participant and representative satisfaction with the NDIA’s management of the IERP. &#10;The figure is a stacked bar chart ranging across the following aspects: NDIA dealt with expert recommendation, NDIA explanation of IERP process, information from NDIA on IERP, information NDIA gave to expert, information about independent expert, and NDIA communication during IERP. Results show that a majority of respondents were completely satisfied and mostly satisfied with all aspects.&#10;Results:&#10;NDIA dealt with expert recommendation:&#10;Completely satisfied, 8.&#10;Mostly satisfied, 3.&#10;Somewhat satisfied, 2.&#10;Only a little bit satisfied, 2.&#10;Not at all satisfied, 3.&#10;&#10;NDIA explanation of IERP process:&#10;Completely satisfied, 6.&#10;Mostly satisfied, 1.&#10;Somewhat satisfied, 8.&#10;Only a little bit satisfied, 1.&#10;Not at all satisfied, 3.&#10;&#10;Information from NDIA on IERP: &#10;Completely satisfied, 7.&#10;Mostly satisfied, 1.&#10;Somewhat satisfied, 6.&#10;Only a little bit satisfied, 2.&#10;Not at all satisfied, 3.&#10;&#10;Information NDIA gave to expert: &#10;Completely satisfied, 6.&#10;Mostly satisfied, 3.&#10;Somewhat satisfied, 4.&#10;Only a little bit satisfied, 0.&#10;Not at all satisfied, 6.&#10;&#10;Information about independent expert: &#10;Completely satisfied, 6.&#10;Mostly satisfied, 1.&#10;Somewhat satisfied, 4.&#10;Only a little bit satisfied, 3.&#10;Not at all satisfied, 5.&#10;&#10;NDIA communication during IERP: &#10;Completely satisfied, 4.&#10;Mostly satisfied, 3.&#10;Somewhat satisfied, 2.&#10;Only a little bit satisfied, 3.&#10;Not at all satisfied, 7.&#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377AC8" w:rsidRPr="006654C0">
        <w:rPr>
          <w:szCs w:val="22"/>
        </w:rPr>
        <w:t xml:space="preserve">Source: Online survey of participants and their </w:t>
      </w:r>
      <w:r w:rsidR="008400AD" w:rsidRPr="006654C0">
        <w:rPr>
          <w:szCs w:val="22"/>
        </w:rPr>
        <w:t>representatives</w:t>
      </w:r>
      <w:r w:rsidR="00377AC8" w:rsidRPr="006654C0">
        <w:rPr>
          <w:szCs w:val="22"/>
        </w:rPr>
        <w:t xml:space="preserve"> (pooled responses</w:t>
      </w:r>
      <w:r w:rsidR="006E7043" w:rsidRPr="006654C0">
        <w:rPr>
          <w:szCs w:val="22"/>
        </w:rPr>
        <w:t>: n =18</w:t>
      </w:r>
      <w:r w:rsidR="00377AC8" w:rsidRPr="006654C0">
        <w:rPr>
          <w:szCs w:val="22"/>
        </w:rPr>
        <w:t>)</w:t>
      </w:r>
    </w:p>
    <w:p w14:paraId="5888CB19" w14:textId="7557D4FF" w:rsidR="00992C64" w:rsidRDefault="005F6AB6" w:rsidP="00547D40">
      <w:r w:rsidRPr="00134008">
        <w:t xml:space="preserve">Feedback </w:t>
      </w:r>
      <w:r w:rsidR="00EA7381" w:rsidRPr="00134008">
        <w:t>to</w:t>
      </w:r>
      <w:r w:rsidRPr="00134008">
        <w:t xml:space="preserve"> </w:t>
      </w:r>
      <w:r w:rsidR="0021728C" w:rsidRPr="00134008">
        <w:t xml:space="preserve">the IERP team </w:t>
      </w:r>
      <w:r w:rsidR="004342E3" w:rsidRPr="00134008">
        <w:t xml:space="preserve">indicated </w:t>
      </w:r>
      <w:r w:rsidR="000C1D07" w:rsidRPr="00134008">
        <w:t xml:space="preserve">that </w:t>
      </w:r>
      <w:r w:rsidR="00FD5761" w:rsidRPr="00134008">
        <w:t xml:space="preserve">the distinction between the AAT and IERP processes </w:t>
      </w:r>
      <w:r w:rsidR="006B475D" w:rsidRPr="00134008">
        <w:t xml:space="preserve">was </w:t>
      </w:r>
      <w:r w:rsidR="00640017" w:rsidRPr="00134008">
        <w:t xml:space="preserve">not </w:t>
      </w:r>
      <w:r w:rsidR="00986577" w:rsidRPr="00134008">
        <w:t>clear for some participants</w:t>
      </w:r>
      <w:r w:rsidR="004663B7" w:rsidRPr="00134008">
        <w:t xml:space="preserve">. There was </w:t>
      </w:r>
      <w:r w:rsidR="00AE66D5" w:rsidRPr="00134008">
        <w:t xml:space="preserve">also </w:t>
      </w:r>
      <w:r w:rsidR="004663B7" w:rsidRPr="00134008">
        <w:t xml:space="preserve">some confusion </w:t>
      </w:r>
      <w:r w:rsidR="00A05D1F" w:rsidRPr="00134008">
        <w:t xml:space="preserve">about the appropriate </w:t>
      </w:r>
      <w:r w:rsidR="003B446B" w:rsidRPr="00134008">
        <w:t xml:space="preserve">participant </w:t>
      </w:r>
      <w:r w:rsidR="00677623" w:rsidRPr="00134008">
        <w:t>contact</w:t>
      </w:r>
      <w:r w:rsidR="00F47901">
        <w:t>,</w:t>
      </w:r>
      <w:r w:rsidR="00677623" w:rsidRPr="00134008">
        <w:t xml:space="preserve"> </w:t>
      </w:r>
      <w:r w:rsidR="0027116F" w:rsidRPr="00134008">
        <w:t xml:space="preserve">as the case manager </w:t>
      </w:r>
      <w:r w:rsidR="00F22140" w:rsidRPr="00134008">
        <w:t xml:space="preserve">and lawyers </w:t>
      </w:r>
      <w:r w:rsidR="000267B5" w:rsidRPr="00134008">
        <w:t>with carr</w:t>
      </w:r>
      <w:r w:rsidR="00C57B60" w:rsidRPr="00134008">
        <w:t xml:space="preserve">iage of the </w:t>
      </w:r>
      <w:r w:rsidR="00B4431B" w:rsidRPr="00134008">
        <w:t xml:space="preserve">day-to-day </w:t>
      </w:r>
      <w:r w:rsidR="002D37DB" w:rsidRPr="00134008">
        <w:t>AAT</w:t>
      </w:r>
      <w:r w:rsidR="008B3C8D" w:rsidRPr="00134008">
        <w:t xml:space="preserve"> </w:t>
      </w:r>
      <w:r w:rsidR="007E4FAE" w:rsidRPr="00134008">
        <w:t xml:space="preserve">proceedings </w:t>
      </w:r>
      <w:r w:rsidR="008E71D9" w:rsidRPr="00134008">
        <w:t xml:space="preserve">were not necessarily </w:t>
      </w:r>
      <w:r w:rsidR="00202292" w:rsidRPr="00134008">
        <w:t xml:space="preserve">across the IERP </w:t>
      </w:r>
      <w:r w:rsidR="0076676E" w:rsidRPr="00134008">
        <w:t>processes</w:t>
      </w:r>
      <w:r w:rsidR="0065333F" w:rsidRPr="00134008">
        <w:t xml:space="preserve">. </w:t>
      </w:r>
      <w:r w:rsidR="00FF32A1" w:rsidRPr="00134008">
        <w:t>Timing was also an issue in some instances</w:t>
      </w:r>
      <w:r w:rsidR="00F023F5" w:rsidRPr="00134008">
        <w:t xml:space="preserve"> where there were delays in </w:t>
      </w:r>
      <w:r w:rsidR="000D6813" w:rsidRPr="00134008">
        <w:t>AAT processes</w:t>
      </w:r>
      <w:r w:rsidR="0024151F" w:rsidRPr="00134008">
        <w:t xml:space="preserve"> </w:t>
      </w:r>
      <w:r w:rsidR="00742368" w:rsidRPr="00134008">
        <w:t xml:space="preserve">as parties were waiting </w:t>
      </w:r>
      <w:r w:rsidR="003B0818" w:rsidRPr="00134008">
        <w:t>for the IERP recommendations.</w:t>
      </w:r>
      <w:r w:rsidR="003B0818">
        <w:t xml:space="preserve"> </w:t>
      </w:r>
    </w:p>
    <w:p w14:paraId="72CEE630" w14:textId="4092BDD1" w:rsidR="00547D40" w:rsidRPr="005A2821" w:rsidRDefault="00A62C6B" w:rsidP="00547D40">
      <w:r>
        <w:t>I</w:t>
      </w:r>
      <w:r w:rsidR="00490040">
        <w:t xml:space="preserve">n free text </w:t>
      </w:r>
      <w:r>
        <w:t xml:space="preserve">survey </w:t>
      </w:r>
      <w:r w:rsidR="00490040">
        <w:t>responses</w:t>
      </w:r>
      <w:r>
        <w:t>, participants</w:t>
      </w:r>
      <w:r w:rsidR="009639B9">
        <w:t xml:space="preserve"> and </w:t>
      </w:r>
      <w:r w:rsidR="008400AD">
        <w:t>representatives</w:t>
      </w:r>
      <w:r>
        <w:t xml:space="preserve"> </w:t>
      </w:r>
      <w:r w:rsidR="00050ADB">
        <w:t>commented</w:t>
      </w:r>
      <w:r w:rsidR="00490040">
        <w:t xml:space="preserve"> </w:t>
      </w:r>
      <w:r w:rsidR="009D05EA" w:rsidRPr="005E4001">
        <w:t>that clear</w:t>
      </w:r>
      <w:r w:rsidR="00050ADB">
        <w:t>er</w:t>
      </w:r>
      <w:r w:rsidR="009D05EA" w:rsidRPr="005E4001">
        <w:t xml:space="preserve"> and </w:t>
      </w:r>
      <w:r w:rsidR="00050ADB">
        <w:t xml:space="preserve">more </w:t>
      </w:r>
      <w:r w:rsidR="009D05EA" w:rsidRPr="005E4001">
        <w:t>concise communication about the IER</w:t>
      </w:r>
      <w:r w:rsidR="00002BE5">
        <w:t>P</w:t>
      </w:r>
      <w:r w:rsidR="009D05EA" w:rsidRPr="005E4001">
        <w:t xml:space="preserve"> process </w:t>
      </w:r>
      <w:r w:rsidR="00050ADB">
        <w:t>would have</w:t>
      </w:r>
      <w:r w:rsidR="009D05EA" w:rsidRPr="005E4001">
        <w:t xml:space="preserve"> </w:t>
      </w:r>
      <w:r w:rsidR="009D05EA" w:rsidRPr="005E4001">
        <w:lastRenderedPageBreak/>
        <w:t>improve</w:t>
      </w:r>
      <w:r w:rsidR="00050ADB">
        <w:t>d their</w:t>
      </w:r>
      <w:r w:rsidR="009D05EA" w:rsidRPr="005E4001">
        <w:t xml:space="preserve"> understanding about the program</w:t>
      </w:r>
      <w:r w:rsidR="00050ADB">
        <w:t xml:space="preserve">. Suggestions included </w:t>
      </w:r>
      <w:r w:rsidR="009D05EA" w:rsidRPr="005E4001">
        <w:t xml:space="preserve">a visual timeline of events, information in </w:t>
      </w:r>
      <w:r w:rsidR="00B12D32">
        <w:t xml:space="preserve">videos or </w:t>
      </w:r>
      <w:r w:rsidR="00614470">
        <w:t>simple language</w:t>
      </w:r>
      <w:r w:rsidR="009639B9">
        <w:t xml:space="preserve"> and </w:t>
      </w:r>
      <w:r w:rsidR="009D05EA" w:rsidRPr="005E4001">
        <w:t xml:space="preserve">details about the </w:t>
      </w:r>
      <w:r w:rsidR="00B00C87">
        <w:t xml:space="preserve">qualifications of </w:t>
      </w:r>
      <w:r w:rsidR="009D05EA" w:rsidRPr="005E4001">
        <w:t xml:space="preserve">independent experts. </w:t>
      </w:r>
      <w:r w:rsidR="00547D40">
        <w:t>R</w:t>
      </w:r>
      <w:r w:rsidR="00547D40" w:rsidRPr="005A2821">
        <w:t xml:space="preserve">epresentatives </w:t>
      </w:r>
      <w:r w:rsidR="00547D40">
        <w:t>from the Independent Expert Review Advisory Service</w:t>
      </w:r>
      <w:r w:rsidR="000C3113">
        <w:t xml:space="preserve"> (IERAS)</w:t>
      </w:r>
      <w:r w:rsidR="00547D40">
        <w:rPr>
          <w:rStyle w:val="FootnoteReference"/>
        </w:rPr>
        <w:footnoteReference w:id="21"/>
      </w:r>
      <w:r w:rsidR="00547D40">
        <w:t xml:space="preserve"> echoed this sentiment</w:t>
      </w:r>
      <w:r w:rsidR="0038673A">
        <w:t>,</w:t>
      </w:r>
      <w:r w:rsidR="00547D40">
        <w:t xml:space="preserve"> suggesting</w:t>
      </w:r>
      <w:r w:rsidR="00614470">
        <w:t xml:space="preserve"> enhancements to communication materials</w:t>
      </w:r>
      <w:r w:rsidR="00BC263D">
        <w:t xml:space="preserve"> including</w:t>
      </w:r>
      <w:r w:rsidR="00547D40" w:rsidRPr="005A2821">
        <w:t>:</w:t>
      </w:r>
    </w:p>
    <w:p w14:paraId="0661ABDD" w14:textId="290DB293" w:rsidR="00547D40" w:rsidRPr="005A2821" w:rsidRDefault="00547D40" w:rsidP="000705FE">
      <w:pPr>
        <w:pStyle w:val="ListParagraph"/>
        <w:numPr>
          <w:ilvl w:val="0"/>
          <w:numId w:val="11"/>
        </w:numPr>
        <w:ind w:left="777" w:hanging="357"/>
      </w:pPr>
      <w:r w:rsidRPr="005A2821">
        <w:t>Reducing the text heavy nature of the webpage and improv</w:t>
      </w:r>
      <w:r w:rsidR="00875564">
        <w:t>ing</w:t>
      </w:r>
      <w:r w:rsidRPr="005A2821">
        <w:t xml:space="preserve"> navigation</w:t>
      </w:r>
      <w:r w:rsidR="00614470">
        <w:t>.</w:t>
      </w:r>
    </w:p>
    <w:p w14:paraId="6C0AEA77" w14:textId="608E6480" w:rsidR="00547D40" w:rsidRPr="005A2821" w:rsidRDefault="00547D40" w:rsidP="000705FE">
      <w:pPr>
        <w:pStyle w:val="ListParagraph"/>
        <w:numPr>
          <w:ilvl w:val="0"/>
          <w:numId w:val="11"/>
        </w:numPr>
        <w:ind w:left="777" w:hanging="357"/>
      </w:pPr>
      <w:r w:rsidRPr="005A2821">
        <w:t>Making the FAQs</w:t>
      </w:r>
      <w:r w:rsidRPr="005A2821">
        <w:rPr>
          <w:rStyle w:val="FootnoteReference"/>
        </w:rPr>
        <w:footnoteReference w:id="22"/>
      </w:r>
      <w:r w:rsidRPr="005A2821">
        <w:t xml:space="preserve"> less formal and legalistic, including using plain language and making an Easy Read option available</w:t>
      </w:r>
      <w:r w:rsidR="00614470">
        <w:t>.</w:t>
      </w:r>
    </w:p>
    <w:p w14:paraId="79D1C55F" w14:textId="38BD2F6E" w:rsidR="00547D40" w:rsidRPr="005A2821" w:rsidRDefault="00547D40" w:rsidP="000705FE">
      <w:pPr>
        <w:pStyle w:val="ListParagraph"/>
        <w:numPr>
          <w:ilvl w:val="0"/>
          <w:numId w:val="11"/>
        </w:numPr>
        <w:ind w:left="777" w:hanging="357"/>
      </w:pPr>
      <w:r w:rsidRPr="005A2821">
        <w:t xml:space="preserve">Clarifying IERP eligibility criteria, the process and expected timeframes from </w:t>
      </w:r>
      <w:r w:rsidR="00D34DA3">
        <w:t xml:space="preserve">receipt of an </w:t>
      </w:r>
      <w:r w:rsidRPr="005A2821">
        <w:t>invitation to having a matter resolved</w:t>
      </w:r>
      <w:r w:rsidR="00614470">
        <w:t>.</w:t>
      </w:r>
    </w:p>
    <w:p w14:paraId="7F8DCE4F" w14:textId="77777777" w:rsidR="00547D40" w:rsidRPr="005A2821" w:rsidRDefault="00547D40" w:rsidP="000705FE">
      <w:pPr>
        <w:pStyle w:val="ListParagraph"/>
        <w:numPr>
          <w:ilvl w:val="0"/>
          <w:numId w:val="11"/>
        </w:numPr>
        <w:ind w:left="777" w:hanging="357"/>
      </w:pPr>
      <w:r w:rsidRPr="005A2821">
        <w:t>Clearly explaining that the participant has the option to accept, partially accept or reject a recommendation and there is the option to proceed to AAT after the IERP with no loss of priority.</w:t>
      </w:r>
    </w:p>
    <w:p w14:paraId="7E30B630" w14:textId="77777777" w:rsidR="00547D40" w:rsidRPr="005A2821" w:rsidRDefault="00547D40" w:rsidP="000705FE">
      <w:pPr>
        <w:pStyle w:val="ListParagraph"/>
        <w:numPr>
          <w:ilvl w:val="0"/>
          <w:numId w:val="11"/>
        </w:numPr>
        <w:ind w:left="777" w:hanging="357"/>
      </w:pPr>
      <w:r w:rsidRPr="005A2821">
        <w:t>Providing clear and consistent messaging that participants have access to free, independent advocacy support and legal advice.</w:t>
      </w:r>
    </w:p>
    <w:p w14:paraId="5ADFF518" w14:textId="699C1730" w:rsidR="004450DE" w:rsidRPr="004450DE" w:rsidRDefault="00C201AE" w:rsidP="00C201AE">
      <w:r>
        <w:t>During interviews, several p</w:t>
      </w:r>
      <w:r w:rsidR="006930A9" w:rsidRPr="00D4374F">
        <w:t xml:space="preserve">articipant </w:t>
      </w:r>
      <w:r w:rsidR="008400AD">
        <w:t>representatives</w:t>
      </w:r>
      <w:r w:rsidR="006930A9" w:rsidRPr="00D4374F">
        <w:t xml:space="preserve"> </w:t>
      </w:r>
      <w:r>
        <w:t>also</w:t>
      </w:r>
      <w:r w:rsidR="004450DE" w:rsidRPr="004450DE">
        <w:t xml:space="preserve"> noted the NDIA collat</w:t>
      </w:r>
      <w:r w:rsidR="006573E8">
        <w:t xml:space="preserve">ed </w:t>
      </w:r>
      <w:r w:rsidR="004450DE" w:rsidRPr="004450DE">
        <w:t>documents provided to the independent expert. The</w:t>
      </w:r>
      <w:r w:rsidR="00F95E85">
        <w:t xml:space="preserve">se representatives stated a preference </w:t>
      </w:r>
      <w:r w:rsidR="004450DE" w:rsidRPr="004450DE">
        <w:t xml:space="preserve">to receive these documents </w:t>
      </w:r>
      <w:r w:rsidR="00B058F4" w:rsidRPr="004450DE">
        <w:t>first,</w:t>
      </w:r>
      <w:r w:rsidR="004450DE" w:rsidRPr="004450DE">
        <w:t xml:space="preserve"> so </w:t>
      </w:r>
      <w:r w:rsidR="00F95E85">
        <w:t xml:space="preserve">that </w:t>
      </w:r>
      <w:r w:rsidR="00A66F0B">
        <w:t xml:space="preserve">independent experts receive </w:t>
      </w:r>
      <w:r w:rsidR="006573E8">
        <w:t xml:space="preserve">documents </w:t>
      </w:r>
      <w:r w:rsidR="00554B48">
        <w:t xml:space="preserve">that have been </w:t>
      </w:r>
      <w:r w:rsidR="006573E8">
        <w:t xml:space="preserve">viewed and agreed by </w:t>
      </w:r>
      <w:r w:rsidR="00B02B9F">
        <w:t>all parties</w:t>
      </w:r>
      <w:r w:rsidR="004450DE" w:rsidRPr="004450DE">
        <w:t xml:space="preserve">. Similarly, there was some concern regarding the NDIA providing a summary of issues without input from the </w:t>
      </w:r>
      <w:r w:rsidR="00A66F0B">
        <w:t>a</w:t>
      </w:r>
      <w:r w:rsidR="004450DE" w:rsidRPr="004450DE">
        <w:t>pplicant</w:t>
      </w:r>
      <w:r w:rsidR="00A66F0B">
        <w:t xml:space="preserve"> (i.e.</w:t>
      </w:r>
      <w:r w:rsidR="006830B1">
        <w:t>,</w:t>
      </w:r>
      <w:r w:rsidR="00A66F0B">
        <w:t xml:space="preserve"> </w:t>
      </w:r>
      <w:r w:rsidR="005C151E">
        <w:t xml:space="preserve">the </w:t>
      </w:r>
      <w:r w:rsidR="00A66F0B">
        <w:t>participant</w:t>
      </w:r>
      <w:r w:rsidR="005C151E">
        <w:t xml:space="preserve"> and/ their representatives</w:t>
      </w:r>
      <w:r w:rsidR="00A66F0B">
        <w:t>)</w:t>
      </w:r>
      <w:r w:rsidR="004450DE" w:rsidRPr="004450DE">
        <w:t>.</w:t>
      </w:r>
    </w:p>
    <w:p w14:paraId="5CCA78E0" w14:textId="1D38EE72" w:rsidR="004450DE" w:rsidRPr="004450DE" w:rsidRDefault="004450DE" w:rsidP="00C201AE">
      <w:pPr>
        <w:ind w:left="357" w:right="720"/>
        <w:jc w:val="both"/>
        <w:rPr>
          <w:b/>
          <w:color w:val="6B2976"/>
        </w:rPr>
      </w:pPr>
      <w:r w:rsidRPr="004450DE">
        <w:rPr>
          <w:i/>
          <w:color w:val="6B2976"/>
        </w:rPr>
        <w:t xml:space="preserve">“The Agency should not provide the expert with the NDIA summary of issues that actually presents as the NDIA argument. This is agenda-setting that is unfair, especially in the context of participants without legal representation or advocacy support.” </w:t>
      </w:r>
      <w:r w:rsidRPr="004450DE">
        <w:rPr>
          <w:b/>
          <w:color w:val="6B2976"/>
        </w:rPr>
        <w:t>Representative</w:t>
      </w:r>
      <w:r w:rsidR="00790C02">
        <w:rPr>
          <w:b/>
          <w:color w:val="6B2976"/>
        </w:rPr>
        <w:t>, interview</w:t>
      </w:r>
      <w:r w:rsidR="00C201AE">
        <w:rPr>
          <w:b/>
          <w:color w:val="6B2976"/>
        </w:rPr>
        <w:t>.</w:t>
      </w:r>
    </w:p>
    <w:p w14:paraId="213C0E02" w14:textId="26B8CB7B" w:rsidR="00E84549" w:rsidRDefault="00B00EE8" w:rsidP="00E84549">
      <w:r>
        <w:lastRenderedPageBreak/>
        <w:t>R</w:t>
      </w:r>
      <w:r w:rsidRPr="005A2821">
        <w:t xml:space="preserve">epresentatives </w:t>
      </w:r>
      <w:r>
        <w:t xml:space="preserve">from the </w:t>
      </w:r>
      <w:r w:rsidR="00307677">
        <w:t>IERAS</w:t>
      </w:r>
      <w:r>
        <w:t xml:space="preserve"> </w:t>
      </w:r>
      <w:r w:rsidR="002F33F9">
        <w:t>reiterated this</w:t>
      </w:r>
      <w:r w:rsidR="00A9414A">
        <w:t xml:space="preserve">, stating that participants </w:t>
      </w:r>
      <w:r>
        <w:t xml:space="preserve">have contacted them </w:t>
      </w:r>
      <w:r w:rsidR="00A9414A">
        <w:t>with this concern.</w:t>
      </w:r>
    </w:p>
    <w:p w14:paraId="17F21D19" w14:textId="35109F00" w:rsidR="00E84549" w:rsidRDefault="00E84549" w:rsidP="00E84549">
      <w:pPr>
        <w:ind w:left="284" w:right="521"/>
        <w:jc w:val="both"/>
        <w:rPr>
          <w:b/>
          <w:bCs/>
          <w:color w:val="6B2976"/>
        </w:rPr>
      </w:pPr>
      <w:r w:rsidRPr="00E33CC7">
        <w:rPr>
          <w:i/>
          <w:iCs/>
          <w:color w:val="6B2976"/>
        </w:rPr>
        <w:t>Feedback we received was that the process seemed ‘controlled’ by the Agency, such as determining which documents</w:t>
      </w:r>
      <w:r w:rsidRPr="00E33CC7">
        <w:rPr>
          <w:i/>
          <w:color w:val="6B2976"/>
        </w:rPr>
        <w:t xml:space="preserve"> were </w:t>
      </w:r>
      <w:r w:rsidRPr="00E33CC7">
        <w:rPr>
          <w:i/>
          <w:iCs/>
          <w:color w:val="6B2976"/>
        </w:rPr>
        <w:t xml:space="preserve">to be sent to the </w:t>
      </w:r>
      <w:r>
        <w:rPr>
          <w:i/>
          <w:iCs/>
          <w:color w:val="6B2976"/>
        </w:rPr>
        <w:t>independent expert</w:t>
      </w:r>
      <w:r w:rsidRPr="00E33CC7">
        <w:rPr>
          <w:i/>
          <w:iCs/>
          <w:color w:val="6B2976"/>
        </w:rPr>
        <w:t xml:space="preserve">. While it may be logical and practical for the Agency to lead the process by collating relevant material, </w:t>
      </w:r>
      <w:r w:rsidRPr="00E33CC7">
        <w:rPr>
          <w:i/>
          <w:color w:val="6B2976"/>
        </w:rPr>
        <w:t xml:space="preserve">some </w:t>
      </w:r>
      <w:r w:rsidRPr="00E33CC7">
        <w:rPr>
          <w:i/>
          <w:iCs/>
          <w:color w:val="6B2976"/>
        </w:rPr>
        <w:t xml:space="preserve">participants felt the lack of opportunity to include additional material prior to their discussions with the </w:t>
      </w:r>
      <w:r>
        <w:rPr>
          <w:i/>
          <w:iCs/>
          <w:color w:val="6B2976"/>
        </w:rPr>
        <w:t>independent expert,</w:t>
      </w:r>
      <w:r w:rsidRPr="00E33CC7">
        <w:rPr>
          <w:i/>
          <w:iCs/>
          <w:color w:val="6B2976"/>
        </w:rPr>
        <w:t xml:space="preserve"> presented a barrier to putting their own case</w:t>
      </w:r>
      <w:r>
        <w:rPr>
          <w:i/>
          <w:iCs/>
          <w:color w:val="6B2976"/>
        </w:rPr>
        <w:t xml:space="preserve"> forward</w:t>
      </w:r>
      <w:r w:rsidRPr="00E33CC7">
        <w:rPr>
          <w:i/>
          <w:iCs/>
          <w:color w:val="6B2976"/>
        </w:rPr>
        <w:t>.</w:t>
      </w:r>
      <w:r>
        <w:rPr>
          <w:i/>
          <w:iCs/>
          <w:color w:val="6B2976"/>
        </w:rPr>
        <w:t xml:space="preserve"> </w:t>
      </w:r>
      <w:r w:rsidRPr="00D805B3">
        <w:rPr>
          <w:b/>
          <w:bCs/>
          <w:color w:val="6B2976"/>
        </w:rPr>
        <w:t xml:space="preserve">IERAS </w:t>
      </w:r>
      <w:r w:rsidR="000563C9">
        <w:rPr>
          <w:b/>
          <w:bCs/>
          <w:color w:val="6B2976"/>
        </w:rPr>
        <w:t>representative</w:t>
      </w:r>
      <w:r w:rsidR="00A66F0B">
        <w:rPr>
          <w:b/>
          <w:bCs/>
          <w:color w:val="6B2976"/>
        </w:rPr>
        <w:t>.</w:t>
      </w:r>
    </w:p>
    <w:p w14:paraId="3D46163C" w14:textId="77777777" w:rsidR="003D7EDB" w:rsidRPr="00D805B3" w:rsidRDefault="003D7EDB" w:rsidP="00E84549">
      <w:pPr>
        <w:ind w:left="284" w:right="521"/>
        <w:jc w:val="both"/>
        <w:rPr>
          <w:b/>
          <w:bCs/>
          <w:color w:val="6B2976"/>
        </w:rPr>
      </w:pPr>
    </w:p>
    <w:p w14:paraId="15FDAB3F" w14:textId="7776F5D1" w:rsidR="00C27D45" w:rsidRPr="00D71BA5" w:rsidRDefault="00C27D45" w:rsidP="00D71BA5">
      <w:pPr>
        <w:pStyle w:val="Heading3"/>
      </w:pPr>
      <w:bookmarkStart w:id="86" w:name="_Toc142918596"/>
      <w:r>
        <w:t>Disability Representative and Carer Organisation</w:t>
      </w:r>
      <w:r w:rsidR="003E2F5F">
        <w:t xml:space="preserve"> feedback</w:t>
      </w:r>
      <w:bookmarkEnd w:id="86"/>
    </w:p>
    <w:p w14:paraId="4DDCDF30" w14:textId="79A4E982" w:rsidR="003D0E15" w:rsidRDefault="000C1EB5" w:rsidP="00BF7445">
      <w:r>
        <w:t xml:space="preserve">A total of eight </w:t>
      </w:r>
      <w:r w:rsidR="003D0E15">
        <w:t xml:space="preserve">Disability Representative and </w:t>
      </w:r>
      <w:r w:rsidR="00466549">
        <w:t xml:space="preserve">Carer Organisations (DRCOs) </w:t>
      </w:r>
      <w:r>
        <w:t xml:space="preserve">participated in </w:t>
      </w:r>
      <w:r w:rsidR="006573E8">
        <w:t xml:space="preserve">the </w:t>
      </w:r>
      <w:r w:rsidR="00AE4CC5">
        <w:t xml:space="preserve">interview </w:t>
      </w:r>
      <w:r w:rsidR="006573E8">
        <w:t xml:space="preserve">process </w:t>
      </w:r>
      <w:r w:rsidR="00B31F3C">
        <w:t xml:space="preserve">on the IERP. Although </w:t>
      </w:r>
      <w:r w:rsidR="006573E8">
        <w:t xml:space="preserve">the </w:t>
      </w:r>
      <w:r w:rsidR="00B31F3C">
        <w:t xml:space="preserve">DRCOs </w:t>
      </w:r>
      <w:r w:rsidR="006573E8">
        <w:t xml:space="preserve">who participated </w:t>
      </w:r>
      <w:r w:rsidR="00B916AF">
        <w:t xml:space="preserve">typically </w:t>
      </w:r>
      <w:r w:rsidR="00466549">
        <w:t xml:space="preserve">had experience </w:t>
      </w:r>
      <w:r w:rsidR="00F06209">
        <w:t>with the NDIS dispute resolution process</w:t>
      </w:r>
      <w:r w:rsidR="00B779E2">
        <w:t xml:space="preserve">es, including </w:t>
      </w:r>
      <w:r w:rsidR="00D41F5F">
        <w:t xml:space="preserve">NDIS </w:t>
      </w:r>
      <w:r w:rsidR="00855147">
        <w:t xml:space="preserve">internal </w:t>
      </w:r>
      <w:r w:rsidR="00D41F5F">
        <w:t>reviews and matters before the AAT</w:t>
      </w:r>
      <w:r w:rsidR="006F6ABA">
        <w:t xml:space="preserve">, they </w:t>
      </w:r>
      <w:r w:rsidR="0070576F">
        <w:t xml:space="preserve">have </w:t>
      </w:r>
      <w:r w:rsidR="006F6ABA">
        <w:t xml:space="preserve">had </w:t>
      </w:r>
      <w:r w:rsidR="007B27AA">
        <w:t xml:space="preserve">less </w:t>
      </w:r>
      <w:r w:rsidR="00686CAB">
        <w:t xml:space="preserve">direct </w:t>
      </w:r>
      <w:r w:rsidR="006F6ABA">
        <w:t xml:space="preserve">experience </w:t>
      </w:r>
      <w:r w:rsidR="007B27AA">
        <w:t xml:space="preserve">with the </w:t>
      </w:r>
      <w:r w:rsidR="00A66A67">
        <w:t>IERP.</w:t>
      </w:r>
      <w:r w:rsidR="00686CAB">
        <w:t xml:space="preserve"> </w:t>
      </w:r>
    </w:p>
    <w:p w14:paraId="21B35AA7" w14:textId="01547346" w:rsidR="00BF7445" w:rsidRPr="00AB1670" w:rsidRDefault="002C2C6D" w:rsidP="000563C9">
      <w:r w:rsidRPr="00BB276A">
        <w:rPr>
          <w:rFonts w:cs="Arial"/>
        </w:rPr>
        <w:t xml:space="preserve">Overall, </w:t>
      </w:r>
      <w:r w:rsidR="00BF7445" w:rsidRPr="00BB276A">
        <w:rPr>
          <w:rFonts w:cs="Arial"/>
        </w:rPr>
        <w:t xml:space="preserve">DRCO </w:t>
      </w:r>
      <w:r w:rsidR="000C3113">
        <w:rPr>
          <w:rFonts w:cs="Arial"/>
        </w:rPr>
        <w:t xml:space="preserve">representatives </w:t>
      </w:r>
      <w:r w:rsidR="00B12D32">
        <w:rPr>
          <w:rFonts w:cs="Arial"/>
        </w:rPr>
        <w:t xml:space="preserve">supported </w:t>
      </w:r>
      <w:r w:rsidR="00274224">
        <w:rPr>
          <w:rFonts w:cs="Arial"/>
        </w:rPr>
        <w:t>an independent review pro</w:t>
      </w:r>
      <w:r w:rsidR="00423853">
        <w:rPr>
          <w:rFonts w:cs="Arial"/>
        </w:rPr>
        <w:t xml:space="preserve">cess that is </w:t>
      </w:r>
      <w:r w:rsidR="00BF7445" w:rsidRPr="00AB1670">
        <w:t>non-bureaucratic</w:t>
      </w:r>
      <w:r w:rsidR="00423853">
        <w:t>,</w:t>
      </w:r>
      <w:r w:rsidR="00BF7445" w:rsidRPr="00AB1670">
        <w:t xml:space="preserve"> non-adversarial</w:t>
      </w:r>
      <w:r w:rsidR="00C53C61">
        <w:t xml:space="preserve"> and </w:t>
      </w:r>
      <w:r w:rsidR="00B12D32">
        <w:t>takes less time to reach a decision than the AAT</w:t>
      </w:r>
      <w:r w:rsidR="00BF7445" w:rsidRPr="00AB1670">
        <w:t xml:space="preserve">. </w:t>
      </w:r>
    </w:p>
    <w:p w14:paraId="2645B9FF" w14:textId="1699EB02" w:rsidR="00381459" w:rsidRPr="00381459" w:rsidRDefault="000563C9" w:rsidP="000563C9">
      <w:pPr>
        <w:ind w:left="357" w:right="720"/>
        <w:jc w:val="both"/>
        <w:rPr>
          <w:iCs/>
          <w:color w:val="6B2976"/>
        </w:rPr>
      </w:pPr>
      <w:r>
        <w:rPr>
          <w:i/>
          <w:color w:val="6B2976"/>
        </w:rPr>
        <w:t>“</w:t>
      </w:r>
      <w:r w:rsidR="00825E95">
        <w:rPr>
          <w:i/>
          <w:color w:val="6B2976"/>
        </w:rPr>
        <w:t>An</w:t>
      </w:r>
      <w:r w:rsidR="00381459" w:rsidRPr="00381459">
        <w:rPr>
          <w:i/>
          <w:color w:val="6B2976"/>
        </w:rPr>
        <w:t xml:space="preserve"> independent review is so much better, because people are being psychologically damaged by the process the way it is, you know, with the adversarial battles in the </w:t>
      </w:r>
      <w:r w:rsidR="0012714F">
        <w:rPr>
          <w:i/>
          <w:color w:val="6B2976"/>
        </w:rPr>
        <w:t>AAT</w:t>
      </w:r>
      <w:r w:rsidR="00381459" w:rsidRPr="00381459">
        <w:rPr>
          <w:i/>
          <w:color w:val="6B2976"/>
        </w:rPr>
        <w:t xml:space="preserve"> and the horrible plans and these reviews that just rubber stamp the original rejection, it's horrible. Having the expert made it so much easier, it was quick, </w:t>
      </w:r>
      <w:r w:rsidR="004844DB" w:rsidRPr="00381459">
        <w:rPr>
          <w:i/>
          <w:color w:val="6B2976"/>
        </w:rPr>
        <w:t>straightforward,</w:t>
      </w:r>
      <w:r w:rsidR="00381459" w:rsidRPr="00381459">
        <w:rPr>
          <w:i/>
          <w:color w:val="6B2976"/>
        </w:rPr>
        <w:t xml:space="preserve"> and simple</w:t>
      </w:r>
      <w:r>
        <w:rPr>
          <w:i/>
          <w:color w:val="6B2976"/>
        </w:rPr>
        <w:t xml:space="preserve">.”  </w:t>
      </w:r>
      <w:r w:rsidR="00381459" w:rsidRPr="00381459">
        <w:rPr>
          <w:b/>
          <w:bCs/>
          <w:iCs/>
          <w:color w:val="6B2976"/>
        </w:rPr>
        <w:t>DCRO, interview</w:t>
      </w:r>
      <w:r>
        <w:rPr>
          <w:b/>
          <w:bCs/>
          <w:iCs/>
          <w:color w:val="6B2976"/>
        </w:rPr>
        <w:t>.</w:t>
      </w:r>
    </w:p>
    <w:p w14:paraId="3F8D107D" w14:textId="22D3386E" w:rsidR="004E70A8" w:rsidRPr="009324B0" w:rsidRDefault="00AB5E1A" w:rsidP="007F2F46">
      <w:pPr>
        <w:rPr>
          <w:rFonts w:cs="Arial"/>
        </w:rPr>
      </w:pPr>
      <w:r w:rsidRPr="00090C1C">
        <w:rPr>
          <w:rFonts w:cs="Arial"/>
        </w:rPr>
        <w:t xml:space="preserve">The </w:t>
      </w:r>
      <w:r w:rsidR="00BF7445" w:rsidRPr="00090C1C">
        <w:rPr>
          <w:rFonts w:cs="Arial"/>
        </w:rPr>
        <w:t>DRCO</w:t>
      </w:r>
      <w:r w:rsidR="00980ECC" w:rsidRPr="00090C1C">
        <w:rPr>
          <w:rFonts w:cs="Arial"/>
        </w:rPr>
        <w:t xml:space="preserve"> </w:t>
      </w:r>
      <w:r w:rsidRPr="00090C1C">
        <w:rPr>
          <w:rFonts w:cs="Arial"/>
        </w:rPr>
        <w:t xml:space="preserve">representatives </w:t>
      </w:r>
      <w:r w:rsidR="00685CF2" w:rsidRPr="00090C1C">
        <w:rPr>
          <w:rFonts w:cs="Arial"/>
        </w:rPr>
        <w:t xml:space="preserve">commented that a strength </w:t>
      </w:r>
      <w:r w:rsidR="00090C1C">
        <w:rPr>
          <w:rFonts w:cs="Arial"/>
        </w:rPr>
        <w:t xml:space="preserve">of the IERP design </w:t>
      </w:r>
      <w:r w:rsidR="00685CF2" w:rsidRPr="00090C1C">
        <w:rPr>
          <w:rFonts w:cs="Arial"/>
        </w:rPr>
        <w:t xml:space="preserve">is the </w:t>
      </w:r>
      <w:r w:rsidR="006C1C24" w:rsidRPr="00090C1C">
        <w:rPr>
          <w:rFonts w:cs="Arial"/>
        </w:rPr>
        <w:t xml:space="preserve">highly credentialled </w:t>
      </w:r>
      <w:r w:rsidR="001D4B79" w:rsidRPr="00090C1C">
        <w:rPr>
          <w:rFonts w:cs="Arial"/>
        </w:rPr>
        <w:t>i</w:t>
      </w:r>
      <w:r w:rsidR="00BF7445" w:rsidRPr="00090C1C">
        <w:rPr>
          <w:rFonts w:cs="Arial"/>
        </w:rPr>
        <w:t xml:space="preserve">ndependent </w:t>
      </w:r>
      <w:r w:rsidR="001D4B79" w:rsidRPr="00090C1C">
        <w:rPr>
          <w:rFonts w:cs="Arial"/>
        </w:rPr>
        <w:t>e</w:t>
      </w:r>
      <w:r w:rsidR="00BF7445" w:rsidRPr="00090C1C">
        <w:rPr>
          <w:rFonts w:cs="Arial"/>
        </w:rPr>
        <w:t xml:space="preserve">xperts who </w:t>
      </w:r>
      <w:r w:rsidR="0011035C" w:rsidRPr="00090C1C">
        <w:rPr>
          <w:rFonts w:cs="Arial"/>
        </w:rPr>
        <w:t xml:space="preserve">conduct themselves </w:t>
      </w:r>
      <w:r w:rsidR="00090C1C">
        <w:rPr>
          <w:rFonts w:cs="Arial"/>
        </w:rPr>
        <w:t xml:space="preserve">in a more informal </w:t>
      </w:r>
      <w:r w:rsidR="00090C1C">
        <w:rPr>
          <w:rFonts w:cs="Arial"/>
        </w:rPr>
        <w:lastRenderedPageBreak/>
        <w:t>process than the AAT</w:t>
      </w:r>
      <w:r w:rsidR="0011035C" w:rsidRPr="00090C1C">
        <w:rPr>
          <w:rFonts w:cs="Arial"/>
        </w:rPr>
        <w:t>,</w:t>
      </w:r>
      <w:r w:rsidR="0011035C" w:rsidRPr="00396097">
        <w:rPr>
          <w:rFonts w:cs="Arial"/>
        </w:rPr>
        <w:t xml:space="preserve"> minimising stress and anxiety for participants and their families</w:t>
      </w:r>
      <w:r w:rsidR="00BF7445" w:rsidRPr="00396097">
        <w:rPr>
          <w:rFonts w:cs="Arial"/>
        </w:rPr>
        <w:t xml:space="preserve">. </w:t>
      </w:r>
    </w:p>
    <w:p w14:paraId="4E2DD1EF" w14:textId="604F5E5D" w:rsidR="00A63F9F" w:rsidRDefault="00A63F9F" w:rsidP="00A63F9F">
      <w:pPr>
        <w:pStyle w:val="Heading2"/>
      </w:pPr>
      <w:bookmarkStart w:id="87" w:name="_Toc133655511"/>
      <w:bookmarkStart w:id="88" w:name="_Toc142918597"/>
      <w:r>
        <w:lastRenderedPageBreak/>
        <w:t>The effectiveness and efficiency of the IER Program</w:t>
      </w:r>
      <w:bookmarkEnd w:id="87"/>
      <w:bookmarkEnd w:id="88"/>
    </w:p>
    <w:p w14:paraId="7572E9BB" w14:textId="0160FF3D" w:rsidR="002F7BAE" w:rsidRDefault="00685866" w:rsidP="00685866">
      <w:r w:rsidRPr="00544DB6">
        <w:t xml:space="preserve">This </w:t>
      </w:r>
      <w:r>
        <w:t>chapter</w:t>
      </w:r>
      <w:r w:rsidRPr="00544DB6">
        <w:t xml:space="preserve"> </w:t>
      </w:r>
      <w:r w:rsidR="00A55C1C">
        <w:t>assesses</w:t>
      </w:r>
      <w:r w:rsidR="002E38BA">
        <w:t xml:space="preserve"> the effectiveness of the IERP </w:t>
      </w:r>
      <w:r w:rsidR="00F86153">
        <w:t xml:space="preserve">as a dispute resolution mechanism in the NDIS. </w:t>
      </w:r>
      <w:r w:rsidR="00F86153" w:rsidRPr="000B05EA">
        <w:t xml:space="preserve">This includes </w:t>
      </w:r>
      <w:r w:rsidR="002A3E6D">
        <w:t xml:space="preserve">the decision-making framework independent experts have used, </w:t>
      </w:r>
      <w:r w:rsidR="00B33E6C">
        <w:t xml:space="preserve">a </w:t>
      </w:r>
      <w:r w:rsidR="00F86153" w:rsidRPr="000B05EA">
        <w:t xml:space="preserve">comparison of </w:t>
      </w:r>
      <w:r w:rsidR="00D060BA" w:rsidRPr="000B05EA">
        <w:t xml:space="preserve">IERP recommendations to </w:t>
      </w:r>
      <w:r w:rsidR="00BB480A">
        <w:t xml:space="preserve">similar </w:t>
      </w:r>
      <w:r w:rsidR="00D060BA" w:rsidRPr="000B05EA">
        <w:t xml:space="preserve">AAT </w:t>
      </w:r>
      <w:r w:rsidR="006F5F70">
        <w:t>decisions</w:t>
      </w:r>
      <w:r w:rsidR="00D060BA" w:rsidRPr="000B05EA">
        <w:t xml:space="preserve">, </w:t>
      </w:r>
      <w:r w:rsidR="006A34FE" w:rsidRPr="00287355">
        <w:t xml:space="preserve">participant and NDIA acceptance of </w:t>
      </w:r>
      <w:r w:rsidR="00BB480A" w:rsidRPr="00287355">
        <w:t>recommendations</w:t>
      </w:r>
      <w:r w:rsidR="000B05EA" w:rsidRPr="00287355">
        <w:t>,</w:t>
      </w:r>
      <w:r w:rsidR="006A34FE" w:rsidRPr="00287355">
        <w:t xml:space="preserve"> the extent </w:t>
      </w:r>
      <w:r w:rsidR="000B05EA" w:rsidRPr="00287355">
        <w:t xml:space="preserve">recommendations </w:t>
      </w:r>
      <w:r w:rsidR="00BB480A" w:rsidRPr="00287355">
        <w:t>ha</w:t>
      </w:r>
      <w:r w:rsidR="00BB480A">
        <w:t>ve aligned</w:t>
      </w:r>
      <w:r w:rsidR="000B05EA" w:rsidRPr="000B05EA">
        <w:t xml:space="preserve"> with the NDIA’s decision-making framework and the timeliness of </w:t>
      </w:r>
      <w:r w:rsidR="00BB480A">
        <w:t xml:space="preserve">the </w:t>
      </w:r>
      <w:r w:rsidR="000B05EA" w:rsidRPr="000B05EA">
        <w:t>IERP.</w:t>
      </w:r>
    </w:p>
    <w:tbl>
      <w:tblPr>
        <w:tblStyle w:val="TableGrid"/>
        <w:tblW w:w="0" w:type="auto"/>
        <w:tblLook w:val="04A0" w:firstRow="1" w:lastRow="0" w:firstColumn="1" w:lastColumn="0" w:noHBand="0" w:noVBand="1"/>
      </w:tblPr>
      <w:tblGrid>
        <w:gridCol w:w="9016"/>
      </w:tblGrid>
      <w:tr w:rsidR="00A63F9F" w14:paraId="20C55ADB" w14:textId="77777777">
        <w:tc>
          <w:tcPr>
            <w:tcW w:w="9016" w:type="dxa"/>
          </w:tcPr>
          <w:p w14:paraId="098D859B" w14:textId="77777777" w:rsidR="00D060BA" w:rsidRPr="006654C0" w:rsidRDefault="00D060BA" w:rsidP="00A86241">
            <w:pPr>
              <w:pStyle w:val="KeyfindingsH3"/>
            </w:pPr>
            <w:r w:rsidRPr="00FB61B6">
              <w:t>Key find</w:t>
            </w:r>
            <w:r w:rsidRPr="006654C0">
              <w:t>ings</w:t>
            </w:r>
          </w:p>
          <w:p w14:paraId="154B539E" w14:textId="65785E79" w:rsidR="00D060BA" w:rsidRPr="00E750FA" w:rsidRDefault="00831C50" w:rsidP="000705FE">
            <w:pPr>
              <w:pStyle w:val="ListParagraph"/>
              <w:numPr>
                <w:ilvl w:val="0"/>
                <w:numId w:val="23"/>
              </w:numPr>
              <w:spacing w:before="120" w:after="120"/>
              <w:ind w:left="357" w:hanging="357"/>
            </w:pPr>
            <w:r w:rsidRPr="00E750FA">
              <w:t xml:space="preserve">Independent experts </w:t>
            </w:r>
            <w:r w:rsidR="008D3EBC" w:rsidRPr="00E750FA">
              <w:t xml:space="preserve">are </w:t>
            </w:r>
            <w:r w:rsidR="00745B76" w:rsidRPr="00E750FA">
              <w:t>making recommendations with reference to the NDIS Act, especially section 34, and the NDIS Rules</w:t>
            </w:r>
            <w:r w:rsidR="006E4F6D">
              <w:t>, but</w:t>
            </w:r>
            <w:r w:rsidR="00745B76" w:rsidRPr="00E750FA">
              <w:t xml:space="preserve"> rarely </w:t>
            </w:r>
            <w:r w:rsidR="00AB05FB">
              <w:t xml:space="preserve">explicitly </w:t>
            </w:r>
            <w:r w:rsidR="00745B76" w:rsidRPr="00E750FA">
              <w:t xml:space="preserve">reference the NDIS operational guidelines. In general, the </w:t>
            </w:r>
            <w:r w:rsidR="00A40D3E" w:rsidRPr="00E750FA">
              <w:t>decision-making</w:t>
            </w:r>
            <w:r w:rsidR="00745B76" w:rsidRPr="00E750FA">
              <w:t xml:space="preserve"> framework independent experts have used is </w:t>
            </w:r>
            <w:r w:rsidR="00A40D3E" w:rsidRPr="00E750FA">
              <w:t>comparable to the AAT.</w:t>
            </w:r>
          </w:p>
          <w:p w14:paraId="1C50E6C9" w14:textId="56E2280A" w:rsidR="00C97EFE" w:rsidRDefault="00A40D3E" w:rsidP="000705FE">
            <w:pPr>
              <w:pStyle w:val="ListParagraph"/>
              <w:numPr>
                <w:ilvl w:val="0"/>
                <w:numId w:val="23"/>
              </w:numPr>
              <w:spacing w:before="120" w:after="120"/>
              <w:ind w:left="357" w:hanging="357"/>
            </w:pPr>
            <w:r w:rsidRPr="00E750FA">
              <w:t xml:space="preserve">Independent experts have been </w:t>
            </w:r>
            <w:r w:rsidR="00A378BC" w:rsidRPr="00E750FA">
              <w:t xml:space="preserve">considerably more likely to recommend </w:t>
            </w:r>
            <w:r w:rsidR="00504065">
              <w:t>accept</w:t>
            </w:r>
            <w:r w:rsidR="00504065" w:rsidRPr="00E750FA">
              <w:t xml:space="preserve">ing </w:t>
            </w:r>
            <w:r w:rsidR="00A378BC" w:rsidRPr="00E750FA">
              <w:t xml:space="preserve">or partially </w:t>
            </w:r>
            <w:r w:rsidR="00504065">
              <w:t>accepting</w:t>
            </w:r>
            <w:r w:rsidR="00504065" w:rsidRPr="00E750FA">
              <w:t xml:space="preserve"> </w:t>
            </w:r>
            <w:r w:rsidR="00A378BC" w:rsidRPr="00E750FA">
              <w:t>participant requests for supports than the AAT</w:t>
            </w:r>
            <w:r w:rsidR="00D060BA" w:rsidRPr="00E750FA">
              <w:t>.</w:t>
            </w:r>
            <w:r w:rsidR="00A378BC" w:rsidRPr="00E750FA">
              <w:t xml:space="preserve"> </w:t>
            </w:r>
            <w:r w:rsidR="006844F3">
              <w:t>As of 31 January 2023</w:t>
            </w:r>
            <w:r w:rsidR="00A378BC" w:rsidRPr="00E750FA">
              <w:t xml:space="preserve">, independent experts </w:t>
            </w:r>
            <w:r w:rsidR="00DA3DB6">
              <w:t>ha</w:t>
            </w:r>
            <w:r w:rsidR="004A5377">
              <w:t>d</w:t>
            </w:r>
            <w:r w:rsidR="00A378BC" w:rsidRPr="00E750FA">
              <w:t xml:space="preserve"> recommended</w:t>
            </w:r>
            <w:r w:rsidR="00D62213" w:rsidRPr="00E750FA">
              <w:t xml:space="preserve"> </w:t>
            </w:r>
            <w:r w:rsidR="00504065">
              <w:t>accept</w:t>
            </w:r>
            <w:r w:rsidR="00504065" w:rsidRPr="00E750FA">
              <w:t xml:space="preserve">ing </w:t>
            </w:r>
            <w:r w:rsidR="00D62213" w:rsidRPr="00E750FA">
              <w:t xml:space="preserve">36% </w:t>
            </w:r>
            <w:r w:rsidR="009160B8">
              <w:t xml:space="preserve">(compared to 17% at AAT) </w:t>
            </w:r>
            <w:r w:rsidR="006F2857" w:rsidRPr="00E750FA">
              <w:t xml:space="preserve">and partially </w:t>
            </w:r>
            <w:r w:rsidR="00504065">
              <w:t>accept</w:t>
            </w:r>
            <w:r w:rsidR="00504065" w:rsidRPr="00E750FA">
              <w:t xml:space="preserve">ing </w:t>
            </w:r>
            <w:r w:rsidR="00E750FA" w:rsidRPr="00E750FA">
              <w:t>3</w:t>
            </w:r>
            <w:r w:rsidR="004A5377">
              <w:t>5</w:t>
            </w:r>
            <w:r w:rsidR="00E750FA" w:rsidRPr="00E750FA">
              <w:t xml:space="preserve">% </w:t>
            </w:r>
            <w:r w:rsidR="009160B8">
              <w:t xml:space="preserve">(compared to 17% at AAT) </w:t>
            </w:r>
            <w:r w:rsidR="00E750FA" w:rsidRPr="00E750FA">
              <w:t>of participant requests.</w:t>
            </w:r>
            <w:r w:rsidR="004B71C0">
              <w:t xml:space="preserve"> </w:t>
            </w:r>
          </w:p>
          <w:p w14:paraId="37285CDF" w14:textId="45A7E8D6" w:rsidR="00E750FA" w:rsidRPr="007724A6" w:rsidRDefault="00EA0176" w:rsidP="000705FE">
            <w:pPr>
              <w:pStyle w:val="ListParagraph"/>
              <w:numPr>
                <w:ilvl w:val="0"/>
                <w:numId w:val="23"/>
              </w:numPr>
              <w:spacing w:before="120" w:after="120"/>
              <w:ind w:left="357" w:hanging="357"/>
            </w:pPr>
            <w:r>
              <w:t xml:space="preserve">If </w:t>
            </w:r>
            <w:r w:rsidR="007668CD">
              <w:t xml:space="preserve">the independent expert did not have a legal background, they were even more likely to </w:t>
            </w:r>
            <w:r w:rsidR="00504065">
              <w:t xml:space="preserve">accept </w:t>
            </w:r>
            <w:r w:rsidR="005F0916">
              <w:t xml:space="preserve">requests (45% compared to 30% </w:t>
            </w:r>
            <w:r w:rsidR="002679F6">
              <w:t>of experts with a legal background)</w:t>
            </w:r>
            <w:r w:rsidR="00107E8E">
              <w:t xml:space="preserve"> and </w:t>
            </w:r>
            <w:r w:rsidR="009D49AA">
              <w:t xml:space="preserve">less likely to partially </w:t>
            </w:r>
            <w:r w:rsidR="00504065">
              <w:t xml:space="preserve">accept </w:t>
            </w:r>
            <w:r w:rsidR="009D49AA">
              <w:t xml:space="preserve">recommendations (18% compared to 46% of experts with a legal </w:t>
            </w:r>
            <w:r w:rsidR="009D49AA" w:rsidRPr="007724A6">
              <w:t>background</w:t>
            </w:r>
            <w:r w:rsidR="001C20AF">
              <w:t>)</w:t>
            </w:r>
            <w:r w:rsidR="00C97EFE">
              <w:t>.</w:t>
            </w:r>
          </w:p>
          <w:p w14:paraId="20B13B4C" w14:textId="0B0BFBC4" w:rsidR="00D060BA" w:rsidRPr="00B8422D" w:rsidRDefault="00E750FA" w:rsidP="000705FE">
            <w:pPr>
              <w:pStyle w:val="ListParagraph"/>
              <w:numPr>
                <w:ilvl w:val="0"/>
                <w:numId w:val="23"/>
              </w:numPr>
              <w:spacing w:before="120" w:after="120"/>
              <w:ind w:left="357" w:hanging="357"/>
            </w:pPr>
            <w:r w:rsidRPr="00B8422D">
              <w:t xml:space="preserve">The NDIA has acted in good faith and accepted all </w:t>
            </w:r>
            <w:r w:rsidR="00EE0EEE">
              <w:t xml:space="preserve">IERP </w:t>
            </w:r>
            <w:r w:rsidR="009363C2">
              <w:t xml:space="preserve">Phase </w:t>
            </w:r>
            <w:r w:rsidR="007D0CB2">
              <w:t xml:space="preserve">1 </w:t>
            </w:r>
            <w:r w:rsidRPr="00B8422D">
              <w:t xml:space="preserve">recommendations </w:t>
            </w:r>
            <w:r w:rsidR="007D0CB2">
              <w:t xml:space="preserve">and the majority of Phase 2 </w:t>
            </w:r>
            <w:r w:rsidR="00DC575D" w:rsidRPr="00B8422D">
              <w:t xml:space="preserve">to date. In line with their reported positive experience with the IERP, participants have accepted </w:t>
            </w:r>
            <w:r w:rsidR="00894A3E">
              <w:t>86%</w:t>
            </w:r>
            <w:r w:rsidR="00DC575D" w:rsidRPr="00B8422D">
              <w:t xml:space="preserve"> of recommendations from independent experts</w:t>
            </w:r>
            <w:r w:rsidR="00B8422D" w:rsidRPr="00B8422D">
              <w:t>.</w:t>
            </w:r>
          </w:p>
          <w:p w14:paraId="4CC401B5" w14:textId="57FC5ED7" w:rsidR="00ED357A" w:rsidRPr="00ED357A" w:rsidRDefault="00A3695E" w:rsidP="000705FE">
            <w:pPr>
              <w:pStyle w:val="ListParagraph"/>
              <w:numPr>
                <w:ilvl w:val="0"/>
                <w:numId w:val="23"/>
              </w:numPr>
              <w:spacing w:before="120" w:after="120"/>
              <w:ind w:left="357" w:hanging="357"/>
              <w:rPr>
                <w:rStyle w:val="CommentReference"/>
                <w:sz w:val="22"/>
                <w:szCs w:val="24"/>
              </w:rPr>
            </w:pPr>
            <w:r>
              <w:t xml:space="preserve">Review of independent expert recommendations by </w:t>
            </w:r>
            <w:r w:rsidR="002D7A42">
              <w:t>IERP program managers</w:t>
            </w:r>
            <w:r w:rsidR="00B26BE7">
              <w:t xml:space="preserve"> and</w:t>
            </w:r>
            <w:r w:rsidR="002D7A42">
              <w:t xml:space="preserve"> the NDIA’s </w:t>
            </w:r>
            <w:r w:rsidR="00B26BE7">
              <w:t>T</w:t>
            </w:r>
            <w:r w:rsidR="002D7A42">
              <w:t>echnical Advisory Branch</w:t>
            </w:r>
            <w:r w:rsidR="00B46627">
              <w:t xml:space="preserve"> </w:t>
            </w:r>
            <w:r w:rsidR="005C4222">
              <w:t xml:space="preserve">(TAB) </w:t>
            </w:r>
            <w:r w:rsidR="00B76A6F">
              <w:t xml:space="preserve">showed </w:t>
            </w:r>
            <w:r w:rsidR="00304EFF">
              <w:t>high</w:t>
            </w:r>
            <w:r w:rsidR="008B00F3">
              <w:t xml:space="preserve"> levels of </w:t>
            </w:r>
            <w:r w:rsidR="008B00F3">
              <w:lastRenderedPageBreak/>
              <w:t>agreement with independent experts</w:t>
            </w:r>
            <w:r w:rsidR="00F126E9">
              <w:t>.</w:t>
            </w:r>
            <w:r w:rsidR="008B00F3">
              <w:t xml:space="preserve"> </w:t>
            </w:r>
            <w:r w:rsidR="00DA3DB6">
              <w:t>As</w:t>
            </w:r>
            <w:r w:rsidR="008B00F3">
              <w:t xml:space="preserve"> of </w:t>
            </w:r>
            <w:r w:rsidR="00DA3DB6">
              <w:t>31 January 2023</w:t>
            </w:r>
            <w:r w:rsidR="00F126E9">
              <w:t xml:space="preserve">, </w:t>
            </w:r>
            <w:r w:rsidR="00111FB5">
              <w:t xml:space="preserve">IERP </w:t>
            </w:r>
            <w:r w:rsidR="008B00F3">
              <w:t xml:space="preserve">program managers agreed </w:t>
            </w:r>
            <w:r w:rsidR="00EF3529">
              <w:t>th</w:t>
            </w:r>
            <w:r w:rsidR="009D4249">
              <w:t xml:space="preserve">at </w:t>
            </w:r>
            <w:r w:rsidR="008B00F3">
              <w:t>100% of recommendations</w:t>
            </w:r>
            <w:r w:rsidR="00E37560">
              <w:t xml:space="preserve"> </w:t>
            </w:r>
            <w:r w:rsidR="00AD64F0">
              <w:t xml:space="preserve">were within the legislative framework and OGs </w:t>
            </w:r>
            <w:r w:rsidR="00111FB5">
              <w:t>while</w:t>
            </w:r>
            <w:r w:rsidR="008B00F3">
              <w:t xml:space="preserve"> </w:t>
            </w:r>
            <w:r w:rsidR="00F055FE">
              <w:t xml:space="preserve">TAB </w:t>
            </w:r>
            <w:r w:rsidR="008B00F3">
              <w:t>agree</w:t>
            </w:r>
            <w:r w:rsidR="00C40D30">
              <w:t xml:space="preserve">ment was </w:t>
            </w:r>
            <w:r w:rsidR="00AD64F0">
              <w:t xml:space="preserve">slightly </w:t>
            </w:r>
            <w:r w:rsidR="00C40D30">
              <w:t>lower</w:t>
            </w:r>
            <w:r w:rsidR="008B00F3">
              <w:t xml:space="preserve"> </w:t>
            </w:r>
            <w:r w:rsidR="004A5377">
              <w:t>at</w:t>
            </w:r>
            <w:r w:rsidR="00632A34">
              <w:t xml:space="preserve"> 89%</w:t>
            </w:r>
            <w:r w:rsidR="003E527D">
              <w:t>.</w:t>
            </w:r>
            <w:r w:rsidR="003B7508">
              <w:rPr>
                <w:rStyle w:val="CommentReference"/>
              </w:rPr>
              <w:t xml:space="preserve"> </w:t>
            </w:r>
          </w:p>
          <w:p w14:paraId="69273912" w14:textId="1EB89495" w:rsidR="006378DD" w:rsidRDefault="009637AA" w:rsidP="000705FE">
            <w:pPr>
              <w:pStyle w:val="ListParagraph"/>
              <w:numPr>
                <w:ilvl w:val="0"/>
                <w:numId w:val="23"/>
              </w:numPr>
              <w:spacing w:before="120" w:after="120"/>
              <w:ind w:left="357" w:hanging="357"/>
            </w:pPr>
            <w:r>
              <w:t xml:space="preserve">The median time for a participant to receive a recommendation from an independent expert was </w:t>
            </w:r>
            <w:r w:rsidR="004A66E8">
              <w:t>19</w:t>
            </w:r>
            <w:r>
              <w:t xml:space="preserve"> days in Phase 1 of the IERP and</w:t>
            </w:r>
            <w:r w:rsidR="004A66E8">
              <w:t xml:space="preserve"> 23</w:t>
            </w:r>
            <w:r>
              <w:t xml:space="preserve"> days in Phase 2</w:t>
            </w:r>
            <w:r w:rsidR="00C93D86">
              <w:t>.</w:t>
            </w:r>
          </w:p>
        </w:tc>
      </w:tr>
    </w:tbl>
    <w:p w14:paraId="719F7B79" w14:textId="0324AACC" w:rsidR="0032622A" w:rsidRDefault="003A7A83" w:rsidP="005853D4">
      <w:pPr>
        <w:pStyle w:val="Heading3"/>
      </w:pPr>
      <w:bookmarkStart w:id="89" w:name="_Toc134861762"/>
      <w:bookmarkStart w:id="90" w:name="_Toc142918598"/>
      <w:bookmarkEnd w:id="89"/>
      <w:r>
        <w:lastRenderedPageBreak/>
        <w:t>The decision-making framework used by independent experts</w:t>
      </w:r>
      <w:bookmarkEnd w:id="90"/>
    </w:p>
    <w:p w14:paraId="69E4771A" w14:textId="5CCE26EF" w:rsidR="00B530CC" w:rsidRPr="000F1E2D" w:rsidRDefault="00361F39" w:rsidP="000F1E2D">
      <w:r>
        <w:t>The Agency committed</w:t>
      </w:r>
      <w:r w:rsidR="009E0257">
        <w:t xml:space="preserve"> to accept</w:t>
      </w:r>
      <w:r>
        <w:t>ing</w:t>
      </w:r>
      <w:r w:rsidR="009E0257">
        <w:t xml:space="preserve"> the recommendations from independent experts unless they </w:t>
      </w:r>
      <w:r w:rsidR="00D23D46">
        <w:t>we</w:t>
      </w:r>
      <w:r w:rsidR="009E0257">
        <w:t>re unlawful, contain</w:t>
      </w:r>
      <w:r w:rsidR="00D23D46">
        <w:t>ed</w:t>
      </w:r>
      <w:r w:rsidR="009E0257">
        <w:t xml:space="preserve"> a significant </w:t>
      </w:r>
      <w:r w:rsidR="002B24E2">
        <w:t xml:space="preserve">or material </w:t>
      </w:r>
      <w:r w:rsidR="009E0257">
        <w:t>error of fact</w:t>
      </w:r>
      <w:r>
        <w:t xml:space="preserve"> or </w:t>
      </w:r>
      <w:r w:rsidR="002E3BC4">
        <w:t xml:space="preserve">law or </w:t>
      </w:r>
      <w:r w:rsidR="00D23D46">
        <w:t>we</w:t>
      </w:r>
      <w:r>
        <w:t>r</w:t>
      </w:r>
      <w:r w:rsidR="009E0257">
        <w:t xml:space="preserve">e inconsistent with </w:t>
      </w:r>
      <w:r w:rsidR="00CA4FDF">
        <w:t>the Agency’s OGs</w:t>
      </w:r>
      <w:r w:rsidR="009E0257">
        <w:t xml:space="preserve"> and </w:t>
      </w:r>
      <w:r w:rsidR="00784AE5">
        <w:t xml:space="preserve">could not </w:t>
      </w:r>
      <w:r w:rsidR="000F1E2D">
        <w:t xml:space="preserve">be reconciled as an appropriate </w:t>
      </w:r>
      <w:r w:rsidR="009E0257">
        <w:t>exception.</w:t>
      </w:r>
      <w:r>
        <w:t xml:space="preserve"> </w:t>
      </w:r>
    </w:p>
    <w:p w14:paraId="21302B1C" w14:textId="1ABE5B81" w:rsidR="002021CA" w:rsidRDefault="00712818" w:rsidP="002021CA">
      <w:r>
        <w:rPr>
          <w:highlight w:val="yellow"/>
        </w:rPr>
        <w:fldChar w:fldCharType="begin"/>
      </w:r>
      <w:r>
        <w:instrText xml:space="preserve"> REF _Ref134131484 \h </w:instrText>
      </w:r>
      <w:r>
        <w:rPr>
          <w:highlight w:val="yellow"/>
        </w:rPr>
      </w:r>
      <w:r>
        <w:rPr>
          <w:highlight w:val="yellow"/>
        </w:rPr>
        <w:fldChar w:fldCharType="separate"/>
      </w:r>
      <w:r w:rsidR="000F1876" w:rsidRPr="00344890">
        <w:t xml:space="preserve">Table </w:t>
      </w:r>
      <w:r w:rsidR="000F1876">
        <w:rPr>
          <w:noProof/>
        </w:rPr>
        <w:t>3</w:t>
      </w:r>
      <w:r>
        <w:rPr>
          <w:highlight w:val="yellow"/>
        </w:rPr>
        <w:fldChar w:fldCharType="end"/>
      </w:r>
      <w:r w:rsidR="00057E15">
        <w:t xml:space="preserve"> a</w:t>
      </w:r>
      <w:r w:rsidR="007D2D17">
        <w:t>-</w:t>
      </w:r>
      <w:r w:rsidR="006D24F7">
        <w:t>d</w:t>
      </w:r>
      <w:r>
        <w:t xml:space="preserve"> </w:t>
      </w:r>
      <w:r w:rsidR="002021CA">
        <w:t xml:space="preserve">summarises </w:t>
      </w:r>
      <w:r w:rsidR="009E25E2">
        <w:t xml:space="preserve">the </w:t>
      </w:r>
      <w:r w:rsidR="00993B9D">
        <w:t xml:space="preserve">framework </w:t>
      </w:r>
      <w:r w:rsidR="002021CA">
        <w:t xml:space="preserve">independent experts </w:t>
      </w:r>
      <w:r w:rsidR="00D010FA">
        <w:t>u</w:t>
      </w:r>
      <w:r w:rsidR="002021CA">
        <w:t xml:space="preserve">sed to inform their recommendations </w:t>
      </w:r>
      <w:r w:rsidR="00D94D97">
        <w:t xml:space="preserve">received </w:t>
      </w:r>
      <w:r w:rsidR="00860AB9">
        <w:t xml:space="preserve">up </w:t>
      </w:r>
      <w:r w:rsidR="004F539F">
        <w:t>to 31 January 2023</w:t>
      </w:r>
      <w:r w:rsidR="0088346A">
        <w:t xml:space="preserve"> of the IERP</w:t>
      </w:r>
      <w:r w:rsidR="00212E69">
        <w:rPr>
          <w:rStyle w:val="FootnoteReference"/>
        </w:rPr>
        <w:footnoteReference w:id="23"/>
      </w:r>
      <w:r w:rsidR="00225F40">
        <w:t xml:space="preserve"> and compares this to </w:t>
      </w:r>
      <w:r w:rsidR="00993B9D">
        <w:t xml:space="preserve">the framework </w:t>
      </w:r>
      <w:r w:rsidR="00D010FA">
        <w:t xml:space="preserve">cited for </w:t>
      </w:r>
      <w:r w:rsidR="00031C6D">
        <w:t>seven</w:t>
      </w:r>
      <w:r w:rsidR="0000043B">
        <w:t xml:space="preserve"> </w:t>
      </w:r>
      <w:r w:rsidR="00D010FA">
        <w:t>comparable AAT cases resolved at hearing</w:t>
      </w:r>
      <w:r w:rsidR="001E26FD">
        <w:t xml:space="preserve"> (</w:t>
      </w:r>
      <w:r w:rsidR="001E26FD" w:rsidRPr="004B3923">
        <w:t xml:space="preserve">see Appendix </w:t>
      </w:r>
      <w:r w:rsidR="0025591A">
        <w:t>E</w:t>
      </w:r>
      <w:r w:rsidR="001E26FD">
        <w:t xml:space="preserve"> for the</w:t>
      </w:r>
      <w:r w:rsidR="00B51299">
        <w:t xml:space="preserve"> </w:t>
      </w:r>
      <w:r w:rsidR="008E59AC">
        <w:t xml:space="preserve">approach </w:t>
      </w:r>
      <w:r w:rsidR="00CA5645">
        <w:t xml:space="preserve">adopted to </w:t>
      </w:r>
      <w:r w:rsidR="00C32D6F">
        <w:t>match the cases</w:t>
      </w:r>
      <w:r w:rsidR="00B51299">
        <w:t>).</w:t>
      </w:r>
      <w:r w:rsidR="009C690A">
        <w:t xml:space="preserve"> In summary</w:t>
      </w:r>
      <w:r w:rsidR="004B5789">
        <w:t>,</w:t>
      </w:r>
      <w:r w:rsidR="00DF7A20">
        <w:t xml:space="preserve"> </w:t>
      </w:r>
      <w:r w:rsidR="00DF7A20">
        <w:fldChar w:fldCharType="begin"/>
      </w:r>
      <w:r w:rsidR="00DF7A20">
        <w:instrText xml:space="preserve"> REF _Ref134131484 \h </w:instrText>
      </w:r>
      <w:r w:rsidR="00DF7A20">
        <w:fldChar w:fldCharType="separate"/>
      </w:r>
      <w:r w:rsidR="000F1876" w:rsidRPr="00344890">
        <w:t xml:space="preserve">Table </w:t>
      </w:r>
      <w:r w:rsidR="000F1876">
        <w:rPr>
          <w:noProof/>
        </w:rPr>
        <w:t>3</w:t>
      </w:r>
      <w:r w:rsidR="00DF7A20">
        <w:fldChar w:fldCharType="end"/>
      </w:r>
      <w:r w:rsidR="00802E79">
        <w:t>a</w:t>
      </w:r>
      <w:r w:rsidR="004B5789">
        <w:t xml:space="preserve"> shows</w:t>
      </w:r>
      <w:r w:rsidR="00E560E7">
        <w:t>:</w:t>
      </w:r>
    </w:p>
    <w:p w14:paraId="43809F38" w14:textId="76CC2594" w:rsidR="00DC61A0" w:rsidRDefault="0093356C" w:rsidP="000705FE">
      <w:pPr>
        <w:pStyle w:val="ListParagraph"/>
        <w:numPr>
          <w:ilvl w:val="0"/>
          <w:numId w:val="36"/>
        </w:numPr>
        <w:spacing w:before="120" w:after="120"/>
        <w:ind w:left="714" w:hanging="357"/>
      </w:pPr>
      <w:r>
        <w:t>I</w:t>
      </w:r>
      <w:r w:rsidR="00FF2D2A">
        <w:t xml:space="preserve">ndependent experts </w:t>
      </w:r>
      <w:r w:rsidR="00DC61A0">
        <w:t>cited</w:t>
      </w:r>
      <w:r w:rsidR="00FF2D2A">
        <w:t xml:space="preserve"> s</w:t>
      </w:r>
      <w:r w:rsidR="009C690A">
        <w:t xml:space="preserve">ection 34 of the NDIS Act </w:t>
      </w:r>
      <w:r w:rsidR="000A3763">
        <w:t>to</w:t>
      </w:r>
      <w:r w:rsidR="000F2D9F">
        <w:t xml:space="preserve"> </w:t>
      </w:r>
      <w:r>
        <w:t xml:space="preserve">justify their recommendations </w:t>
      </w:r>
      <w:r w:rsidR="009237A4">
        <w:t xml:space="preserve">in </w:t>
      </w:r>
      <w:r w:rsidR="000F2D9F">
        <w:t xml:space="preserve">77% of </w:t>
      </w:r>
      <w:r>
        <w:t>IERP matters</w:t>
      </w:r>
      <w:r w:rsidR="009237A4">
        <w:t xml:space="preserve"> analysed</w:t>
      </w:r>
      <w:r w:rsidR="00FF788E">
        <w:t xml:space="preserve">, which </w:t>
      </w:r>
      <w:r w:rsidR="00B71253">
        <w:t xml:space="preserve">was comparable </w:t>
      </w:r>
      <w:r w:rsidR="002950A0">
        <w:t>to</w:t>
      </w:r>
      <w:r w:rsidR="00B71253">
        <w:t xml:space="preserve"> AAT cases resolved at hearing (83%).</w:t>
      </w:r>
      <w:r w:rsidR="00DC61A0" w:rsidRPr="00DC61A0">
        <w:t xml:space="preserve"> </w:t>
      </w:r>
      <w:r w:rsidR="00DC61A0">
        <w:t xml:space="preserve">The two most cited clauses of section 34 related to value for money and the need for effective and beneficial supports. </w:t>
      </w:r>
    </w:p>
    <w:p w14:paraId="0E70BC38" w14:textId="50B62213" w:rsidR="00831D76" w:rsidRDefault="00DC61A0" w:rsidP="000705FE">
      <w:pPr>
        <w:pStyle w:val="ListParagraph"/>
        <w:numPr>
          <w:ilvl w:val="0"/>
          <w:numId w:val="36"/>
        </w:numPr>
        <w:spacing w:before="120" w:after="120"/>
        <w:ind w:left="714" w:hanging="357"/>
      </w:pPr>
      <w:r>
        <w:t xml:space="preserve">The AAT </w:t>
      </w:r>
      <w:r w:rsidR="00921ECF">
        <w:t xml:space="preserve">hearing decisions </w:t>
      </w:r>
      <w:r>
        <w:t xml:space="preserve">cited value for money </w:t>
      </w:r>
      <w:r w:rsidR="006E5988">
        <w:t xml:space="preserve">and </w:t>
      </w:r>
      <w:r w:rsidR="002D6BA8">
        <w:t>that a s</w:t>
      </w:r>
      <w:r w:rsidR="00903195">
        <w:t>upport is appropriate for the NDIS to fund</w:t>
      </w:r>
      <w:r w:rsidR="006E5988">
        <w:t xml:space="preserve"> more often than independent expert</w:t>
      </w:r>
      <w:r w:rsidR="00921ECF">
        <w:t xml:space="preserve"> recommendations </w:t>
      </w:r>
      <w:r w:rsidR="006E5988">
        <w:t>(</w:t>
      </w:r>
      <w:r w:rsidR="00573172">
        <w:t xml:space="preserve">66% c.f. 48% and </w:t>
      </w:r>
      <w:r w:rsidR="002D6BA8">
        <w:t>42% c.f. 13% respectively)</w:t>
      </w:r>
      <w:r w:rsidR="005737C1">
        <w:t>.</w:t>
      </w:r>
    </w:p>
    <w:p w14:paraId="71C0E4AD" w14:textId="3C82090F" w:rsidR="006C5CF6" w:rsidRDefault="005737C1" w:rsidP="000705FE">
      <w:pPr>
        <w:pStyle w:val="ListParagraph"/>
        <w:numPr>
          <w:ilvl w:val="0"/>
          <w:numId w:val="36"/>
        </w:numPr>
        <w:spacing w:before="120" w:after="120"/>
        <w:ind w:left="714" w:hanging="357"/>
      </w:pPr>
      <w:r>
        <w:t>Independent expert</w:t>
      </w:r>
      <w:r w:rsidR="00921ECF">
        <w:t xml:space="preserve"> recommendations </w:t>
      </w:r>
      <w:r w:rsidR="00911B94">
        <w:t xml:space="preserve">cited </w:t>
      </w:r>
      <w:r w:rsidR="00616CDA">
        <w:t xml:space="preserve">section 34e </w:t>
      </w:r>
      <w:r w:rsidR="00911B94">
        <w:t xml:space="preserve">that </w:t>
      </w:r>
      <w:r w:rsidR="00D85886">
        <w:t xml:space="preserve">the funding of a support </w:t>
      </w:r>
      <w:r w:rsidR="00921ECF">
        <w:t>considers</w:t>
      </w:r>
      <w:r w:rsidR="00D85886">
        <w:t xml:space="preserve"> </w:t>
      </w:r>
      <w:r w:rsidR="00921ECF">
        <w:t xml:space="preserve">what is reasonable </w:t>
      </w:r>
      <w:r w:rsidR="00921ECF" w:rsidRPr="00921ECF">
        <w:t xml:space="preserve">to expect families, carers, informal </w:t>
      </w:r>
      <w:r w:rsidR="00150098" w:rsidRPr="00921ECF">
        <w:lastRenderedPageBreak/>
        <w:t>networks,</w:t>
      </w:r>
      <w:r w:rsidR="00921ECF" w:rsidRPr="00921ECF">
        <w:t xml:space="preserve"> and the community to provide</w:t>
      </w:r>
      <w:r w:rsidR="00921ECF">
        <w:t xml:space="preserve"> </w:t>
      </w:r>
      <w:r w:rsidR="00DC61A0">
        <w:t xml:space="preserve">more often </w:t>
      </w:r>
      <w:r w:rsidR="00921ECF">
        <w:t xml:space="preserve">than </w:t>
      </w:r>
      <w:r w:rsidR="000F076C">
        <w:t xml:space="preserve">an </w:t>
      </w:r>
      <w:r w:rsidR="00921ECF">
        <w:t>AAT hearing decision (</w:t>
      </w:r>
      <w:r w:rsidR="00546B0A">
        <w:t>41% c.f. 29%).</w:t>
      </w:r>
    </w:p>
    <w:p w14:paraId="01802456" w14:textId="750D2F22" w:rsidR="000F1E68" w:rsidRPr="009E12AF" w:rsidRDefault="006C5CF6" w:rsidP="008F4605">
      <w:pPr>
        <w:spacing w:before="120"/>
      </w:pPr>
      <w:r>
        <w:fldChar w:fldCharType="begin"/>
      </w:r>
      <w:r>
        <w:instrText xml:space="preserve"> REF _Ref140145249 \h </w:instrText>
      </w:r>
      <w:r w:rsidR="00150098">
        <w:instrText xml:space="preserve"> \* MERGEFORMAT </w:instrText>
      </w:r>
      <w:r>
        <w:fldChar w:fldCharType="separate"/>
      </w:r>
      <w:r w:rsidR="000F1876" w:rsidRPr="000F1876">
        <w:rPr>
          <w:szCs w:val="22"/>
        </w:rPr>
        <w:t>Table 4</w:t>
      </w:r>
      <w:r>
        <w:fldChar w:fldCharType="end"/>
      </w:r>
      <w:r>
        <w:t xml:space="preserve">b </w:t>
      </w:r>
      <w:r w:rsidR="003E6951">
        <w:t>shows</w:t>
      </w:r>
      <w:r w:rsidR="00D93366">
        <w:t xml:space="preserve"> </w:t>
      </w:r>
      <w:r w:rsidR="009C690A" w:rsidRPr="005853D4">
        <w:rPr>
          <w:rFonts w:eastAsia="Times New Roman" w:cs="Arial"/>
          <w:szCs w:val="22"/>
          <w:lang w:eastAsia="en-AU"/>
        </w:rPr>
        <w:t xml:space="preserve">AAT </w:t>
      </w:r>
      <w:r w:rsidR="00AA4CCE" w:rsidRPr="00062FA3">
        <w:rPr>
          <w:rFonts w:eastAsia="Times New Roman" w:cs="Arial"/>
          <w:szCs w:val="22"/>
          <w:lang w:eastAsia="en-AU"/>
        </w:rPr>
        <w:t xml:space="preserve">hearing </w:t>
      </w:r>
      <w:r w:rsidR="009C690A" w:rsidRPr="005853D4">
        <w:rPr>
          <w:rFonts w:eastAsia="Times New Roman" w:cs="Arial"/>
          <w:szCs w:val="22"/>
          <w:lang w:eastAsia="en-AU"/>
        </w:rPr>
        <w:t>decisions</w:t>
      </w:r>
      <w:r w:rsidR="0099430A" w:rsidRPr="00062FA3">
        <w:rPr>
          <w:rFonts w:eastAsia="Times New Roman" w:cs="Arial"/>
          <w:szCs w:val="22"/>
          <w:lang w:eastAsia="en-AU"/>
        </w:rPr>
        <w:t xml:space="preserve"> made</w:t>
      </w:r>
      <w:r w:rsidR="009C690A" w:rsidRPr="005853D4">
        <w:rPr>
          <w:rFonts w:eastAsia="Times New Roman" w:cs="Arial"/>
          <w:szCs w:val="22"/>
          <w:lang w:eastAsia="en-AU"/>
        </w:rPr>
        <w:t xml:space="preserve"> no reference to any part of the NDI</w:t>
      </w:r>
      <w:r w:rsidR="0099430A" w:rsidRPr="00062FA3">
        <w:rPr>
          <w:rFonts w:eastAsia="Times New Roman" w:cs="Arial"/>
          <w:szCs w:val="22"/>
          <w:lang w:eastAsia="en-AU"/>
        </w:rPr>
        <w:t>S</w:t>
      </w:r>
      <w:r w:rsidR="009C690A" w:rsidRPr="005853D4">
        <w:rPr>
          <w:rFonts w:eastAsia="Times New Roman" w:cs="Arial"/>
          <w:szCs w:val="22"/>
          <w:lang w:eastAsia="en-AU"/>
        </w:rPr>
        <w:t xml:space="preserve"> Act other than Section 34. In contrast, </w:t>
      </w:r>
      <w:r w:rsidR="0099430A" w:rsidRPr="00062FA3">
        <w:rPr>
          <w:rFonts w:eastAsia="Times New Roman" w:cs="Arial"/>
          <w:szCs w:val="22"/>
          <w:lang w:eastAsia="en-AU"/>
        </w:rPr>
        <w:t>independent experts referenced</w:t>
      </w:r>
      <w:r w:rsidR="00B97815" w:rsidRPr="00062FA3">
        <w:rPr>
          <w:rFonts w:eastAsia="Times New Roman" w:cs="Arial"/>
          <w:szCs w:val="22"/>
          <w:lang w:eastAsia="en-AU"/>
        </w:rPr>
        <w:t xml:space="preserve"> sections 33, 24, 4</w:t>
      </w:r>
      <w:r w:rsidR="00062FA3" w:rsidRPr="00062FA3">
        <w:rPr>
          <w:rFonts w:eastAsia="Times New Roman" w:cs="Arial"/>
          <w:szCs w:val="22"/>
          <w:lang w:eastAsia="en-AU"/>
        </w:rPr>
        <w:t>,</w:t>
      </w:r>
      <w:r w:rsidR="00B97815" w:rsidRPr="00062FA3">
        <w:rPr>
          <w:rFonts w:eastAsia="Times New Roman" w:cs="Arial"/>
          <w:szCs w:val="22"/>
          <w:lang w:eastAsia="en-AU"/>
        </w:rPr>
        <w:t xml:space="preserve"> 3</w:t>
      </w:r>
      <w:r w:rsidR="009C690A" w:rsidRPr="00C24548">
        <w:rPr>
          <w:rFonts w:eastAsia="Times New Roman" w:cs="Arial"/>
          <w:szCs w:val="22"/>
          <w:lang w:eastAsia="en-AU"/>
        </w:rPr>
        <w:t xml:space="preserve"> </w:t>
      </w:r>
      <w:r w:rsidR="00062FA3" w:rsidRPr="00062FA3">
        <w:rPr>
          <w:rFonts w:eastAsia="Times New Roman" w:cs="Arial"/>
          <w:szCs w:val="22"/>
          <w:lang w:eastAsia="en-AU"/>
        </w:rPr>
        <w:t xml:space="preserve">and 14 </w:t>
      </w:r>
      <w:r w:rsidR="0034244D">
        <w:rPr>
          <w:rFonts w:eastAsia="Times New Roman" w:cs="Arial"/>
          <w:szCs w:val="22"/>
          <w:lang w:eastAsia="en-AU"/>
        </w:rPr>
        <w:t xml:space="preserve">of the Act </w:t>
      </w:r>
      <w:r w:rsidR="00062FA3" w:rsidRPr="00062FA3">
        <w:rPr>
          <w:rFonts w:eastAsia="Times New Roman" w:cs="Arial"/>
          <w:szCs w:val="22"/>
          <w:lang w:eastAsia="en-AU"/>
        </w:rPr>
        <w:t>in decreasing order of frequency.</w:t>
      </w:r>
      <w:r w:rsidR="005B3B70">
        <w:rPr>
          <w:rFonts w:eastAsia="Times New Roman" w:cs="Arial"/>
          <w:szCs w:val="22"/>
          <w:lang w:eastAsia="en-AU"/>
        </w:rPr>
        <w:t xml:space="preserve"> </w:t>
      </w:r>
      <w:r w:rsidR="00802DCB">
        <w:rPr>
          <w:rFonts w:eastAsia="Times New Roman" w:cs="Arial"/>
          <w:szCs w:val="22"/>
          <w:lang w:eastAsia="en-AU"/>
        </w:rPr>
        <w:fldChar w:fldCharType="begin"/>
      </w:r>
      <w:r w:rsidR="00802DCB">
        <w:rPr>
          <w:rFonts w:eastAsia="Times New Roman" w:cs="Arial"/>
          <w:szCs w:val="22"/>
          <w:lang w:eastAsia="en-AU"/>
        </w:rPr>
        <w:instrText xml:space="preserve"> REF _Ref140145368 \h </w:instrText>
      </w:r>
      <w:r w:rsidR="00150098">
        <w:rPr>
          <w:rFonts w:eastAsia="Times New Roman" w:cs="Arial"/>
          <w:szCs w:val="22"/>
          <w:lang w:eastAsia="en-AU"/>
        </w:rPr>
        <w:instrText xml:space="preserve"> \* MERGEFORMAT </w:instrText>
      </w:r>
      <w:r w:rsidR="00802DCB">
        <w:rPr>
          <w:rFonts w:eastAsia="Times New Roman" w:cs="Arial"/>
          <w:szCs w:val="22"/>
          <w:lang w:eastAsia="en-AU"/>
        </w:rPr>
      </w:r>
      <w:r w:rsidR="00802DCB">
        <w:rPr>
          <w:rFonts w:eastAsia="Times New Roman" w:cs="Arial"/>
          <w:szCs w:val="22"/>
          <w:lang w:eastAsia="en-AU"/>
        </w:rPr>
        <w:fldChar w:fldCharType="separate"/>
      </w:r>
      <w:r w:rsidR="000F1876" w:rsidRPr="008003AF">
        <w:t xml:space="preserve">Table </w:t>
      </w:r>
      <w:r w:rsidR="000F1876">
        <w:rPr>
          <w:noProof/>
        </w:rPr>
        <w:t>5</w:t>
      </w:r>
      <w:r w:rsidR="00802DCB">
        <w:rPr>
          <w:rFonts w:eastAsia="Times New Roman" w:cs="Arial"/>
          <w:szCs w:val="22"/>
          <w:lang w:eastAsia="en-AU"/>
        </w:rPr>
        <w:fldChar w:fldCharType="end"/>
      </w:r>
      <w:r w:rsidR="004727CC">
        <w:rPr>
          <w:rFonts w:eastAsia="Times New Roman" w:cs="Arial"/>
          <w:szCs w:val="22"/>
          <w:lang w:eastAsia="en-AU"/>
        </w:rPr>
        <w:t xml:space="preserve">b </w:t>
      </w:r>
      <w:r w:rsidR="00971524">
        <w:rPr>
          <w:rFonts w:eastAsia="Times New Roman" w:cs="Arial"/>
          <w:szCs w:val="22"/>
          <w:lang w:eastAsia="en-AU"/>
        </w:rPr>
        <w:t>summarises i</w:t>
      </w:r>
      <w:r w:rsidR="00062FA3">
        <w:rPr>
          <w:rFonts w:eastAsia="Times New Roman" w:cs="Arial"/>
          <w:szCs w:val="22"/>
          <w:lang w:eastAsia="en-AU"/>
        </w:rPr>
        <w:t xml:space="preserve">ndependent experts </w:t>
      </w:r>
      <w:r w:rsidR="00AA72C6">
        <w:rPr>
          <w:rFonts w:eastAsia="Times New Roman" w:cs="Arial"/>
          <w:szCs w:val="22"/>
          <w:lang w:eastAsia="en-AU"/>
        </w:rPr>
        <w:t xml:space="preserve">less frequently cited the NDIS </w:t>
      </w:r>
      <w:r w:rsidR="00160E85">
        <w:rPr>
          <w:rFonts w:eastAsia="Times New Roman" w:cs="Arial"/>
          <w:szCs w:val="22"/>
          <w:lang w:eastAsia="en-AU"/>
        </w:rPr>
        <w:t>R</w:t>
      </w:r>
      <w:r w:rsidR="00AA72C6">
        <w:rPr>
          <w:rFonts w:eastAsia="Times New Roman" w:cs="Arial"/>
          <w:szCs w:val="22"/>
          <w:lang w:eastAsia="en-AU"/>
        </w:rPr>
        <w:t>ules</w:t>
      </w:r>
      <w:r w:rsidR="00160E85">
        <w:rPr>
          <w:rFonts w:eastAsia="Times New Roman" w:cs="Arial"/>
          <w:szCs w:val="22"/>
          <w:lang w:eastAsia="en-AU"/>
        </w:rPr>
        <w:t xml:space="preserve"> for participants</w:t>
      </w:r>
      <w:r w:rsidR="00AA72C6">
        <w:rPr>
          <w:rFonts w:eastAsia="Times New Roman" w:cs="Arial"/>
          <w:szCs w:val="22"/>
          <w:lang w:eastAsia="en-AU"/>
        </w:rPr>
        <w:t xml:space="preserve"> than AAT </w:t>
      </w:r>
      <w:r w:rsidR="00161B5D">
        <w:rPr>
          <w:rFonts w:eastAsia="Times New Roman" w:cs="Arial"/>
          <w:szCs w:val="22"/>
          <w:lang w:eastAsia="en-AU"/>
        </w:rPr>
        <w:t xml:space="preserve">hearing decisions </w:t>
      </w:r>
      <w:r w:rsidR="00AA72C6">
        <w:rPr>
          <w:rFonts w:eastAsia="Times New Roman" w:cs="Arial"/>
          <w:szCs w:val="22"/>
          <w:lang w:eastAsia="en-AU"/>
        </w:rPr>
        <w:t xml:space="preserve">(43% c.f. </w:t>
      </w:r>
      <w:r w:rsidR="00C702D2">
        <w:rPr>
          <w:rFonts w:eastAsia="Times New Roman" w:cs="Arial"/>
          <w:szCs w:val="22"/>
          <w:lang w:eastAsia="en-AU"/>
        </w:rPr>
        <w:t>54%)</w:t>
      </w:r>
      <w:r w:rsidR="00161B5D">
        <w:rPr>
          <w:rFonts w:eastAsia="Times New Roman" w:cs="Arial"/>
          <w:szCs w:val="22"/>
          <w:lang w:eastAsia="en-AU"/>
        </w:rPr>
        <w:t>. Importantly</w:t>
      </w:r>
      <w:r w:rsidR="00501D19">
        <w:rPr>
          <w:rFonts w:eastAsia="Times New Roman" w:cs="Arial"/>
          <w:szCs w:val="22"/>
          <w:lang w:eastAsia="en-AU"/>
        </w:rPr>
        <w:t>,</w:t>
      </w:r>
      <w:r w:rsidR="00161B5D">
        <w:rPr>
          <w:rFonts w:eastAsia="Times New Roman" w:cs="Arial"/>
          <w:szCs w:val="22"/>
          <w:lang w:eastAsia="en-AU"/>
        </w:rPr>
        <w:t xml:space="preserve"> independent experts also cited the Rules for </w:t>
      </w:r>
      <w:r w:rsidR="005C2796">
        <w:rPr>
          <w:rFonts w:eastAsia="Times New Roman" w:cs="Arial"/>
          <w:szCs w:val="22"/>
          <w:lang w:eastAsia="en-AU"/>
        </w:rPr>
        <w:t>Supported Disability Accommodation (</w:t>
      </w:r>
      <w:r w:rsidR="00161B5D">
        <w:rPr>
          <w:rFonts w:eastAsia="Times New Roman" w:cs="Arial"/>
          <w:szCs w:val="22"/>
          <w:lang w:eastAsia="en-AU"/>
        </w:rPr>
        <w:t>SDA</w:t>
      </w:r>
      <w:r w:rsidR="005C2796">
        <w:rPr>
          <w:rFonts w:eastAsia="Times New Roman" w:cs="Arial"/>
          <w:szCs w:val="22"/>
          <w:lang w:eastAsia="en-AU"/>
        </w:rPr>
        <w:t>)</w:t>
      </w:r>
      <w:r w:rsidR="00161B5D">
        <w:rPr>
          <w:rFonts w:eastAsia="Times New Roman" w:cs="Arial"/>
          <w:szCs w:val="22"/>
          <w:lang w:eastAsia="en-AU"/>
        </w:rPr>
        <w:t xml:space="preserve"> for relevant matters.</w:t>
      </w:r>
      <w:r w:rsidR="00933CDE">
        <w:rPr>
          <w:rFonts w:eastAsia="Times New Roman" w:cs="Arial"/>
          <w:szCs w:val="22"/>
          <w:lang w:eastAsia="en-AU"/>
        </w:rPr>
        <w:t xml:space="preserve"> </w:t>
      </w:r>
      <w:r w:rsidR="00CD42AD">
        <w:rPr>
          <w:rFonts w:eastAsia="Times New Roman" w:cs="Arial"/>
          <w:szCs w:val="22"/>
          <w:lang w:eastAsia="en-AU"/>
        </w:rPr>
        <w:fldChar w:fldCharType="begin"/>
      </w:r>
      <w:r w:rsidR="00CD42AD">
        <w:rPr>
          <w:rFonts w:eastAsia="Times New Roman" w:cs="Arial"/>
          <w:szCs w:val="22"/>
          <w:lang w:eastAsia="en-AU"/>
        </w:rPr>
        <w:instrText xml:space="preserve"> REF _Ref140145606 \h </w:instrText>
      </w:r>
      <w:r w:rsidR="00150098">
        <w:rPr>
          <w:rFonts w:eastAsia="Times New Roman" w:cs="Arial"/>
          <w:szCs w:val="22"/>
          <w:lang w:eastAsia="en-AU"/>
        </w:rPr>
        <w:instrText xml:space="preserve"> \* MERGEFORMAT </w:instrText>
      </w:r>
      <w:r w:rsidR="00CD42AD">
        <w:rPr>
          <w:rFonts w:eastAsia="Times New Roman" w:cs="Arial"/>
          <w:szCs w:val="22"/>
          <w:lang w:eastAsia="en-AU"/>
        </w:rPr>
      </w:r>
      <w:r w:rsidR="00CD42AD">
        <w:rPr>
          <w:rFonts w:eastAsia="Times New Roman" w:cs="Arial"/>
          <w:szCs w:val="22"/>
          <w:lang w:eastAsia="en-AU"/>
        </w:rPr>
        <w:fldChar w:fldCharType="separate"/>
      </w:r>
      <w:r w:rsidR="000F1876" w:rsidRPr="008003AF">
        <w:t xml:space="preserve">Table </w:t>
      </w:r>
      <w:r w:rsidR="000F1876">
        <w:rPr>
          <w:noProof/>
        </w:rPr>
        <w:t>6</w:t>
      </w:r>
      <w:r w:rsidR="00CD42AD">
        <w:rPr>
          <w:rFonts w:eastAsia="Times New Roman" w:cs="Arial"/>
          <w:szCs w:val="22"/>
          <w:lang w:eastAsia="en-AU"/>
        </w:rPr>
        <w:fldChar w:fldCharType="end"/>
      </w:r>
      <w:r w:rsidR="007A39BA">
        <w:rPr>
          <w:rFonts w:eastAsia="Times New Roman" w:cs="Arial"/>
          <w:szCs w:val="22"/>
          <w:lang w:eastAsia="en-AU"/>
        </w:rPr>
        <w:t xml:space="preserve">d </w:t>
      </w:r>
      <w:r w:rsidR="00CC50DA">
        <w:rPr>
          <w:rFonts w:eastAsia="Times New Roman" w:cs="Arial"/>
          <w:szCs w:val="22"/>
          <w:lang w:eastAsia="en-AU"/>
        </w:rPr>
        <w:t xml:space="preserve">shows </w:t>
      </w:r>
      <w:r w:rsidR="005A4741">
        <w:t>i</w:t>
      </w:r>
      <w:r w:rsidR="00BC0066">
        <w:t xml:space="preserve">ndependent experts </w:t>
      </w:r>
      <w:r w:rsidR="006265AD">
        <w:t>only rarely cited the</w:t>
      </w:r>
      <w:r w:rsidR="00C73A1C">
        <w:t xml:space="preserve"> NDIA’s </w:t>
      </w:r>
      <w:r w:rsidR="00C429EF">
        <w:t>OGs</w:t>
      </w:r>
      <w:r w:rsidR="00C73A1C">
        <w:t xml:space="preserve"> </w:t>
      </w:r>
      <w:r w:rsidR="00894724">
        <w:t>(7% of matters</w:t>
      </w:r>
      <w:r w:rsidR="00894724" w:rsidRPr="009E12AF">
        <w:t xml:space="preserve">). </w:t>
      </w:r>
      <w:r w:rsidR="000F1E68" w:rsidRPr="009E12AF">
        <w:t>None of the comparison AAT hearing decisions cited the NDIA’s operational guidelines, presumably as the</w:t>
      </w:r>
      <w:r w:rsidR="00C41225" w:rsidRPr="009E12AF">
        <w:t>y were not in issue for those matters</w:t>
      </w:r>
      <w:r w:rsidR="000F1E68" w:rsidRPr="009E12AF">
        <w:t>.</w:t>
      </w:r>
    </w:p>
    <w:p w14:paraId="0AAA5122" w14:textId="13212C54" w:rsidR="00F9398E" w:rsidRDefault="0038340F" w:rsidP="002D614C">
      <w:r>
        <w:t xml:space="preserve">Together, this suggests that </w:t>
      </w:r>
      <w:r w:rsidR="007758BE">
        <w:t>while independent experts are using NDIS le</w:t>
      </w:r>
      <w:r w:rsidR="001530A4">
        <w:t>gislative i</w:t>
      </w:r>
      <w:r w:rsidR="00347FA2">
        <w:t>nstruments to guide their recommendations</w:t>
      </w:r>
      <w:r w:rsidR="005D28D8">
        <w:t>,</w:t>
      </w:r>
      <w:r w:rsidR="00347FA2">
        <w:t xml:space="preserve"> they are rarely </w:t>
      </w:r>
      <w:r w:rsidR="00D53A4E">
        <w:t xml:space="preserve">explicitly referring to the </w:t>
      </w:r>
      <w:r w:rsidR="00891B50">
        <w:t xml:space="preserve">NDIA’s </w:t>
      </w:r>
      <w:r w:rsidR="00D53A4E">
        <w:t>OGs</w:t>
      </w:r>
      <w:r w:rsidR="00891B50">
        <w:t xml:space="preserve">. </w:t>
      </w:r>
      <w:r w:rsidR="00641276">
        <w:t>It may be that the issues consider</w:t>
      </w:r>
      <w:r w:rsidR="00691FF0">
        <w:t>ed</w:t>
      </w:r>
      <w:r w:rsidR="00641276">
        <w:t xml:space="preserve"> were wholly within the OG</w:t>
      </w:r>
      <w:r w:rsidR="009768B6">
        <w:t>s</w:t>
      </w:r>
      <w:r w:rsidR="00641276">
        <w:t xml:space="preserve"> and therefore </w:t>
      </w:r>
      <w:r w:rsidR="002523EA">
        <w:t>no specific reference was required</w:t>
      </w:r>
      <w:r w:rsidR="00641276">
        <w:t>.</w:t>
      </w:r>
      <w:r w:rsidR="001D0742">
        <w:t xml:space="preserve"> </w:t>
      </w:r>
      <w:r w:rsidR="00891B50">
        <w:t xml:space="preserve">Although </w:t>
      </w:r>
      <w:r w:rsidR="00D53A4E">
        <w:t>OGs</w:t>
      </w:r>
      <w:r w:rsidR="00891B50">
        <w:t xml:space="preserve"> are </w:t>
      </w:r>
      <w:r w:rsidR="00FC4289">
        <w:t xml:space="preserve">not legislative instruments, they are </w:t>
      </w:r>
      <w:r w:rsidR="00891B50">
        <w:t xml:space="preserve">policy documents </w:t>
      </w:r>
      <w:r w:rsidR="00FC4289">
        <w:t xml:space="preserve">intended </w:t>
      </w:r>
      <w:r w:rsidR="00891B50">
        <w:t>to guide NDIS</w:t>
      </w:r>
      <w:r w:rsidR="002772D0">
        <w:t xml:space="preserve"> planners</w:t>
      </w:r>
      <w:r w:rsidR="00FC4289">
        <w:t xml:space="preserve"> </w:t>
      </w:r>
      <w:r w:rsidR="005D28D8">
        <w:t xml:space="preserve">to </w:t>
      </w:r>
      <w:r w:rsidR="00FC4289">
        <w:t xml:space="preserve">consistently interpret the NDIS Act and NDIS Rules, which themselves are quite subjective. </w:t>
      </w:r>
      <w:r w:rsidR="008575ED">
        <w:t>As such, a</w:t>
      </w:r>
      <w:r w:rsidR="00FC4289">
        <w:t xml:space="preserve">dherence to </w:t>
      </w:r>
      <w:r w:rsidR="00007ACE">
        <w:t>OGs</w:t>
      </w:r>
      <w:r w:rsidR="00FC4289">
        <w:t xml:space="preserve"> is an important measure to promote consistent decision-making in the NDIS. </w:t>
      </w:r>
      <w:r w:rsidR="00AA6649" w:rsidRPr="00AE695A">
        <w:t xml:space="preserve">Consistent with the principles in </w:t>
      </w:r>
      <w:r w:rsidR="00AA6649" w:rsidRPr="00AE695A">
        <w:rPr>
          <w:i/>
        </w:rPr>
        <w:t>Drake</w:t>
      </w:r>
      <w:r w:rsidR="00AA6649" w:rsidRPr="00AE695A">
        <w:rPr>
          <w:rStyle w:val="FootnoteReference"/>
          <w:i/>
        </w:rPr>
        <w:footnoteReference w:id="24"/>
      </w:r>
      <w:r w:rsidR="00AA6649" w:rsidRPr="00AE695A">
        <w:rPr>
          <w:i/>
        </w:rPr>
        <w:t xml:space="preserve">, </w:t>
      </w:r>
      <w:r w:rsidR="00AA6649" w:rsidRPr="00AE695A">
        <w:t xml:space="preserve">the AAT typically </w:t>
      </w:r>
      <w:r w:rsidR="006B3346">
        <w:t xml:space="preserve">also </w:t>
      </w:r>
      <w:r w:rsidR="00AA6649" w:rsidRPr="00AE695A">
        <w:t>applies these policies unless the application would result in an unjust decision, in which case cogent reasons against the application must be shown.</w:t>
      </w:r>
      <w:r w:rsidR="00AA6649">
        <w:t xml:space="preserve"> </w:t>
      </w:r>
    </w:p>
    <w:p w14:paraId="33D0FDDF" w14:textId="260D43EA" w:rsidR="00FC4289" w:rsidRDefault="006112A4" w:rsidP="002D614C">
      <w:r>
        <w:t xml:space="preserve">The fact </w:t>
      </w:r>
      <w:r w:rsidR="00BF7CBA">
        <w:t xml:space="preserve">that in the recommendations reviewed, </w:t>
      </w:r>
      <w:r w:rsidR="00211917">
        <w:t>there was little reference to the OGs</w:t>
      </w:r>
      <w:r>
        <w:t xml:space="preserve"> </w:t>
      </w:r>
      <w:r w:rsidR="007C0DB5">
        <w:t xml:space="preserve">creates </w:t>
      </w:r>
      <w:r w:rsidR="00FA2FA1">
        <w:t>the perception</w:t>
      </w:r>
      <w:r w:rsidR="007C0DB5">
        <w:t xml:space="preserve"> that </w:t>
      </w:r>
      <w:r w:rsidR="005D7DCF">
        <w:t xml:space="preserve">independent experts may not be </w:t>
      </w:r>
      <w:r w:rsidR="00EE0F3C">
        <w:t>following the</w:t>
      </w:r>
      <w:r w:rsidR="00F9398E">
        <w:t>m</w:t>
      </w:r>
      <w:r w:rsidR="00237B8F">
        <w:t xml:space="preserve">. This </w:t>
      </w:r>
      <w:r w:rsidR="00700960">
        <w:t xml:space="preserve">therefore </w:t>
      </w:r>
      <w:r w:rsidR="00A14AE5">
        <w:t xml:space="preserve">creates a </w:t>
      </w:r>
      <w:r w:rsidR="00F84989">
        <w:t>perceived</w:t>
      </w:r>
      <w:r w:rsidR="00A14AE5">
        <w:t xml:space="preserve"> risk that </w:t>
      </w:r>
      <w:r w:rsidR="00237B8F">
        <w:t>independent expert</w:t>
      </w:r>
      <w:r w:rsidR="00A14AE5">
        <w:t xml:space="preserve"> recommendations </w:t>
      </w:r>
      <w:r w:rsidR="00030443">
        <w:t xml:space="preserve">will be inconsistent with </w:t>
      </w:r>
      <w:r w:rsidR="00D422C8">
        <w:t>similar decisions the NDIA makes for other participants.</w:t>
      </w:r>
      <w:r w:rsidR="00AE4576">
        <w:t xml:space="preserve"> </w:t>
      </w:r>
    </w:p>
    <w:p w14:paraId="27B56341" w14:textId="76D2CF82" w:rsidR="00786128" w:rsidRPr="00344890" w:rsidRDefault="00786128" w:rsidP="00A86241">
      <w:pPr>
        <w:pStyle w:val="Caption-H4"/>
        <w:rPr>
          <w:rFonts w:ascii="Segoe UI" w:hAnsi="Segoe UI" w:cs="Segoe UI"/>
          <w:lang w:eastAsia="en-AU"/>
        </w:rPr>
      </w:pPr>
      <w:bookmarkStart w:id="91" w:name="_Ref134131484"/>
      <w:r w:rsidRPr="00344890">
        <w:lastRenderedPageBreak/>
        <w:t xml:space="preserve">Table </w:t>
      </w:r>
      <w:r w:rsidRPr="00344890">
        <w:fldChar w:fldCharType="begin"/>
      </w:r>
      <w:r w:rsidRPr="00344890">
        <w:instrText>SEQ Table \* ARABIC</w:instrText>
      </w:r>
      <w:r w:rsidRPr="00344890">
        <w:fldChar w:fldCharType="separate"/>
      </w:r>
      <w:r w:rsidR="000F1876">
        <w:rPr>
          <w:noProof/>
        </w:rPr>
        <w:t>3</w:t>
      </w:r>
      <w:r w:rsidRPr="00344890">
        <w:fldChar w:fldCharType="end"/>
      </w:r>
      <w:bookmarkEnd w:id="91"/>
      <w:r w:rsidR="005600B4" w:rsidRPr="00344890">
        <w:t>a</w:t>
      </w:r>
      <w:r w:rsidRPr="00344890">
        <w:rPr>
          <w:lang w:eastAsia="en-AU"/>
        </w:rPr>
        <w:t xml:space="preserve">: </w:t>
      </w:r>
      <w:r w:rsidR="00836DE5" w:rsidRPr="00344890">
        <w:rPr>
          <w:lang w:eastAsia="en-AU"/>
        </w:rPr>
        <w:t>Frequency NDIS Act Section 34</w:t>
      </w:r>
      <w:r w:rsidRPr="00344890">
        <w:rPr>
          <w:lang w:eastAsia="en-AU"/>
        </w:rPr>
        <w:t xml:space="preserve"> </w:t>
      </w:r>
      <w:r w:rsidR="005B54EE" w:rsidRPr="00344890">
        <w:rPr>
          <w:lang w:eastAsia="en-AU"/>
        </w:rPr>
        <w:t xml:space="preserve">was </w:t>
      </w:r>
      <w:r w:rsidRPr="00344890">
        <w:rPr>
          <w:lang w:eastAsia="en-AU"/>
        </w:rPr>
        <w:t>cited in relation to decisions (listed by issue)</w:t>
      </w:r>
    </w:p>
    <w:tbl>
      <w:tblPr>
        <w:tblW w:w="8985" w:type="dxa"/>
        <w:tblBorders>
          <w:top w:val="outset" w:sz="6" w:space="0" w:color="auto"/>
          <w:left w:val="outset" w:sz="6" w:space="0" w:color="auto"/>
          <w:bottom w:val="outset" w:sz="6" w:space="0" w:color="auto"/>
          <w:right w:val="outset" w:sz="6" w:space="0" w:color="auto"/>
        </w:tblBorders>
        <w:tblCellMar>
          <w:top w:w="28" w:type="dxa"/>
          <w:bottom w:w="28" w:type="dxa"/>
        </w:tblCellMar>
        <w:tblLook w:val="04A0" w:firstRow="1" w:lastRow="0" w:firstColumn="1" w:lastColumn="0" w:noHBand="0" w:noVBand="1"/>
        <w:tblCaption w:val="Legislative framework/documentation cited in relation to decisions (listed by issue)"/>
        <w:tblDescription w:val="3 columns and 7 rows&#10;Table shows the legislative framework/documentation cited in relation to IERP matters and AAT hearing decisions. The first column lists several legislative frameworks under the subheadings: NDIS Act-Section 34. Each corresponding row shows the number of citations in the total number of IER matters and number of hearing decisions."/>
      </w:tblPr>
      <w:tblGrid>
        <w:gridCol w:w="3820"/>
        <w:gridCol w:w="2693"/>
        <w:gridCol w:w="2472"/>
      </w:tblGrid>
      <w:tr w:rsidR="00786128" w:rsidRPr="00786128" w14:paraId="1B85C777" w14:textId="77777777" w:rsidTr="005C2F62">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6B2976"/>
            <w:hideMark/>
          </w:tcPr>
          <w:p w14:paraId="3F75BE60" w14:textId="3E21118F" w:rsidR="00786128" w:rsidRPr="00786128" w:rsidRDefault="00CE10DE" w:rsidP="00A04E9D">
            <w:pPr>
              <w:keepNext/>
              <w:keepLines/>
              <w:spacing w:before="0" w:after="0" w:line="240" w:lineRule="auto"/>
              <w:contextualSpacing/>
              <w:textAlignment w:val="baseline"/>
              <w:rPr>
                <w:rFonts w:ascii="Times New Roman" w:eastAsia="Times New Roman" w:hAnsi="Times New Roman" w:cs="Times New Roman"/>
                <w:lang w:eastAsia="en-AU"/>
              </w:rPr>
            </w:pPr>
            <w:r w:rsidRPr="00A20D46">
              <w:rPr>
                <w:rFonts w:eastAsia="Times New Roman" w:cs="Arial"/>
                <w:b/>
                <w:bCs/>
                <w:color w:val="FEFFFF" w:themeColor="background1"/>
                <w:sz w:val="20"/>
                <w:szCs w:val="20"/>
                <w:lang w:eastAsia="en-AU"/>
              </w:rPr>
              <w:t>NDIS Act-Section 34</w:t>
            </w:r>
          </w:p>
        </w:tc>
        <w:tc>
          <w:tcPr>
            <w:tcW w:w="2693" w:type="dxa"/>
            <w:tcBorders>
              <w:top w:val="single" w:sz="6" w:space="0" w:color="595959"/>
              <w:left w:val="single" w:sz="6" w:space="0" w:color="595959"/>
              <w:bottom w:val="single" w:sz="6" w:space="0" w:color="595959"/>
              <w:right w:val="single" w:sz="6" w:space="0" w:color="595959"/>
            </w:tcBorders>
            <w:shd w:val="clear" w:color="auto" w:fill="6B2976"/>
            <w:hideMark/>
          </w:tcPr>
          <w:p w14:paraId="2315456A" w14:textId="53CD0C14" w:rsidR="00786128" w:rsidRPr="00786128" w:rsidRDefault="0078612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b/>
                <w:bCs/>
                <w:color w:val="FEFFFF"/>
                <w:sz w:val="20"/>
                <w:szCs w:val="20"/>
                <w:lang w:eastAsia="en-AU"/>
              </w:rPr>
              <w:t xml:space="preserve">IER </w:t>
            </w:r>
            <w:r w:rsidR="00987F89">
              <w:rPr>
                <w:rFonts w:eastAsia="Times New Roman" w:cs="Arial"/>
                <w:b/>
                <w:bCs/>
                <w:color w:val="FEFFFF"/>
                <w:sz w:val="20"/>
                <w:szCs w:val="20"/>
                <w:lang w:eastAsia="en-AU"/>
              </w:rPr>
              <w:t xml:space="preserve">to </w:t>
            </w:r>
            <w:r w:rsidR="00833048">
              <w:rPr>
                <w:rFonts w:eastAsia="Times New Roman" w:cs="Arial"/>
                <w:b/>
                <w:bCs/>
                <w:color w:val="FEFFFF"/>
                <w:sz w:val="20"/>
                <w:szCs w:val="20"/>
                <w:lang w:eastAsia="en-AU"/>
              </w:rPr>
              <w:t>31 January 2023</w:t>
            </w:r>
          </w:p>
          <w:p w14:paraId="0214B380" w14:textId="601FDE16" w:rsidR="00786128" w:rsidRPr="00786128" w:rsidRDefault="00753140"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CF445A">
              <w:rPr>
                <w:rFonts w:eastAsia="Times New Roman" w:cs="Arial"/>
                <w:b/>
                <w:bCs/>
                <w:color w:val="FEFFFF" w:themeColor="background1"/>
                <w:sz w:val="20"/>
                <w:szCs w:val="20"/>
                <w:lang w:eastAsia="en-AU"/>
              </w:rPr>
              <w:t>Matters referenced</w:t>
            </w:r>
            <w:r w:rsidR="001D13D3">
              <w:rPr>
                <w:rFonts w:eastAsia="Times New Roman" w:cs="Arial"/>
                <w:b/>
                <w:bCs/>
                <w:color w:val="FEFFFF" w:themeColor="background1"/>
                <w:sz w:val="20"/>
                <w:szCs w:val="20"/>
                <w:lang w:eastAsia="en-AU"/>
              </w:rPr>
              <w:t xml:space="preserve"> (%</w:t>
            </w:r>
            <w:r w:rsidR="003F3792">
              <w:rPr>
                <w:rFonts w:eastAsia="Times New Roman" w:cs="Arial"/>
                <w:b/>
                <w:bCs/>
                <w:color w:val="FEFFFF" w:themeColor="background1"/>
                <w:sz w:val="20"/>
                <w:szCs w:val="20"/>
                <w:lang w:eastAsia="en-AU"/>
              </w:rPr>
              <w:t>)</w:t>
            </w:r>
            <w:r w:rsidR="001D13D3">
              <w:rPr>
                <w:rFonts w:eastAsia="Times New Roman" w:cs="Arial"/>
                <w:b/>
                <w:bCs/>
                <w:color w:val="FEFFFF" w:themeColor="background1"/>
                <w:sz w:val="20"/>
                <w:szCs w:val="20"/>
                <w:lang w:eastAsia="en-AU"/>
              </w:rPr>
              <w:t xml:space="preserve"> </w:t>
            </w:r>
            <w:r w:rsidR="00786128" w:rsidRPr="00786128">
              <w:rPr>
                <w:rFonts w:eastAsia="Times New Roman" w:cs="Arial"/>
                <w:b/>
                <w:bCs/>
                <w:color w:val="FEFFFF"/>
                <w:sz w:val="20"/>
                <w:szCs w:val="20"/>
                <w:lang w:eastAsia="en-AU"/>
              </w:rPr>
              <w:t>(n=1</w:t>
            </w:r>
            <w:r w:rsidR="00B93BBF">
              <w:rPr>
                <w:rFonts w:eastAsia="Times New Roman" w:cs="Arial"/>
                <w:b/>
                <w:bCs/>
                <w:color w:val="FEFFFF"/>
                <w:sz w:val="20"/>
                <w:szCs w:val="20"/>
                <w:lang w:eastAsia="en-AU"/>
              </w:rPr>
              <w:t>14</w:t>
            </w:r>
            <w:r w:rsidR="00786128" w:rsidRPr="00786128">
              <w:rPr>
                <w:rFonts w:eastAsia="Times New Roman" w:cs="Arial"/>
                <w:b/>
                <w:bCs/>
                <w:color w:val="FEFFFF"/>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6B2976"/>
            <w:hideMark/>
          </w:tcPr>
          <w:p w14:paraId="633C0CAE" w14:textId="77777777" w:rsidR="00444918" w:rsidRDefault="00786128" w:rsidP="007A7ACC">
            <w:pPr>
              <w:keepNext/>
              <w:keepLines/>
              <w:spacing w:before="0" w:after="0" w:line="240" w:lineRule="auto"/>
              <w:contextualSpacing/>
              <w:jc w:val="center"/>
              <w:textAlignment w:val="baseline"/>
              <w:rPr>
                <w:rFonts w:eastAsia="Times New Roman" w:cs="Arial"/>
                <w:b/>
                <w:bCs/>
                <w:color w:val="FEFFFF"/>
                <w:sz w:val="20"/>
                <w:szCs w:val="20"/>
                <w:lang w:eastAsia="en-AU"/>
              </w:rPr>
            </w:pPr>
            <w:r w:rsidRPr="00786128">
              <w:rPr>
                <w:rFonts w:eastAsia="Times New Roman" w:cs="Arial"/>
                <w:b/>
                <w:bCs/>
                <w:color w:val="FEFFFF"/>
                <w:sz w:val="20"/>
                <w:szCs w:val="20"/>
                <w:lang w:eastAsia="en-AU"/>
              </w:rPr>
              <w:t>AAT-</w:t>
            </w:r>
            <w:r w:rsidR="002B2524">
              <w:rPr>
                <w:rFonts w:eastAsia="Times New Roman" w:cs="Arial"/>
                <w:b/>
                <w:bCs/>
                <w:color w:val="FEFFFF"/>
                <w:sz w:val="20"/>
                <w:szCs w:val="20"/>
                <w:lang w:eastAsia="en-AU"/>
              </w:rPr>
              <w:t>h</w:t>
            </w:r>
            <w:r w:rsidR="002B2524" w:rsidRPr="00786128">
              <w:rPr>
                <w:rFonts w:eastAsia="Times New Roman" w:cs="Arial"/>
                <w:b/>
                <w:bCs/>
                <w:color w:val="FEFFFF"/>
                <w:sz w:val="20"/>
                <w:szCs w:val="20"/>
                <w:lang w:eastAsia="en-AU"/>
              </w:rPr>
              <w:t xml:space="preserve">earing </w:t>
            </w:r>
            <w:r w:rsidR="002B2524">
              <w:rPr>
                <w:rFonts w:eastAsia="Times New Roman" w:cs="Arial"/>
                <w:b/>
                <w:bCs/>
                <w:color w:val="FEFFFF"/>
                <w:sz w:val="20"/>
                <w:szCs w:val="20"/>
                <w:lang w:eastAsia="en-AU"/>
              </w:rPr>
              <w:t>d</w:t>
            </w:r>
            <w:r w:rsidR="002B2524" w:rsidRPr="00786128">
              <w:rPr>
                <w:rFonts w:eastAsia="Times New Roman" w:cs="Arial"/>
                <w:b/>
                <w:bCs/>
                <w:color w:val="FEFFFF"/>
                <w:sz w:val="20"/>
                <w:szCs w:val="20"/>
                <w:lang w:eastAsia="en-AU"/>
              </w:rPr>
              <w:t>ecisions</w:t>
            </w:r>
            <w:r w:rsidR="00CF445A">
              <w:rPr>
                <w:rFonts w:eastAsia="Times New Roman" w:cs="Arial"/>
                <w:b/>
                <w:bCs/>
                <w:color w:val="FEFFFF"/>
                <w:sz w:val="20"/>
                <w:szCs w:val="20"/>
                <w:lang w:eastAsia="en-AU"/>
              </w:rPr>
              <w:t xml:space="preserve"> </w:t>
            </w:r>
          </w:p>
          <w:p w14:paraId="6F36ED9E" w14:textId="6A192F64" w:rsidR="00786128" w:rsidRPr="00786128" w:rsidRDefault="00CF445A"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183B44">
              <w:rPr>
                <w:rFonts w:eastAsia="Times New Roman" w:cs="Arial"/>
                <w:b/>
                <w:bCs/>
                <w:color w:val="FEFFFF" w:themeColor="background1"/>
                <w:sz w:val="20"/>
                <w:szCs w:val="20"/>
                <w:lang w:eastAsia="en-AU"/>
              </w:rPr>
              <w:t>Matters referenced</w:t>
            </w:r>
            <w:r>
              <w:rPr>
                <w:rFonts w:eastAsia="Times New Roman" w:cs="Arial"/>
                <w:b/>
                <w:bCs/>
                <w:color w:val="FEFFFF" w:themeColor="background1"/>
                <w:sz w:val="20"/>
                <w:szCs w:val="20"/>
                <w:lang w:eastAsia="en-AU"/>
              </w:rPr>
              <w:t xml:space="preserve"> (%)</w:t>
            </w:r>
          </w:p>
          <w:p w14:paraId="2946C87A" w14:textId="77777777" w:rsidR="00786128" w:rsidRPr="00786128" w:rsidRDefault="0078612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b/>
                <w:bCs/>
                <w:color w:val="FEFFFF"/>
                <w:sz w:val="20"/>
                <w:szCs w:val="20"/>
                <w:lang w:eastAsia="en-AU"/>
              </w:rPr>
              <w:t>(n=41)</w:t>
            </w:r>
          </w:p>
        </w:tc>
      </w:tr>
      <w:tr w:rsidR="00786128" w:rsidRPr="00786128" w14:paraId="3A587278" w14:textId="77777777" w:rsidTr="005C2F62">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auto"/>
            <w:hideMark/>
          </w:tcPr>
          <w:p w14:paraId="29713A39" w14:textId="56C4116A" w:rsidR="00786128" w:rsidRPr="00786128" w:rsidRDefault="00786128" w:rsidP="00A04E9D">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34 1 (a)-goals, objectives, aspirations</w:t>
            </w:r>
          </w:p>
        </w:tc>
        <w:tc>
          <w:tcPr>
            <w:tcW w:w="2693" w:type="dxa"/>
            <w:tcBorders>
              <w:top w:val="single" w:sz="6" w:space="0" w:color="595959"/>
              <w:left w:val="single" w:sz="6" w:space="0" w:color="595959"/>
              <w:bottom w:val="single" w:sz="6" w:space="0" w:color="595959"/>
              <w:right w:val="single" w:sz="6" w:space="0" w:color="595959"/>
            </w:tcBorders>
            <w:shd w:val="clear" w:color="auto" w:fill="auto"/>
            <w:hideMark/>
          </w:tcPr>
          <w:p w14:paraId="77D360E4" w14:textId="4BDF9954" w:rsidR="00786128" w:rsidRPr="00786128" w:rsidRDefault="00DF569C"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35</w:t>
            </w:r>
            <w:r w:rsidR="00786128" w:rsidRPr="00786128">
              <w:rPr>
                <w:rFonts w:eastAsia="Times New Roman" w:cs="Arial"/>
                <w:sz w:val="20"/>
                <w:szCs w:val="20"/>
                <w:lang w:eastAsia="en-AU"/>
              </w:rPr>
              <w:t>/</w:t>
            </w:r>
            <w:r>
              <w:rPr>
                <w:rFonts w:eastAsia="Times New Roman" w:cs="Arial"/>
                <w:sz w:val="20"/>
                <w:szCs w:val="20"/>
                <w:lang w:eastAsia="en-AU"/>
              </w:rPr>
              <w:t>114</w:t>
            </w:r>
            <w:r w:rsidR="00786128" w:rsidRPr="00786128">
              <w:rPr>
                <w:rFonts w:eastAsia="Times New Roman" w:cs="Arial"/>
                <w:sz w:val="20"/>
                <w:szCs w:val="20"/>
                <w:lang w:eastAsia="en-AU"/>
              </w:rPr>
              <w:t xml:space="preserve"> (3</w:t>
            </w:r>
            <w:r w:rsidR="005945D0">
              <w:rPr>
                <w:rFonts w:eastAsia="Times New Roman" w:cs="Arial"/>
                <w:sz w:val="20"/>
                <w:szCs w:val="20"/>
                <w:lang w:eastAsia="en-AU"/>
              </w:rPr>
              <w:t>1</w:t>
            </w:r>
            <w:r w:rsidR="00786128"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auto"/>
            <w:hideMark/>
          </w:tcPr>
          <w:p w14:paraId="0338EFE9" w14:textId="229DF72A" w:rsidR="00786128" w:rsidRPr="00786128" w:rsidRDefault="0078612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15/41 (36.6%)</w:t>
            </w:r>
          </w:p>
        </w:tc>
      </w:tr>
      <w:tr w:rsidR="00786128" w:rsidRPr="00786128" w14:paraId="293202D3" w14:textId="77777777" w:rsidTr="005C2F62">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6E2C419B" w14:textId="36FEA562" w:rsidR="00786128" w:rsidRPr="00786128" w:rsidRDefault="00786128" w:rsidP="00A04E9D">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 xml:space="preserve">34.1 (b)-social </w:t>
            </w:r>
            <w:r w:rsidR="005C2F62">
              <w:rPr>
                <w:rFonts w:eastAsia="Times New Roman" w:cs="Arial"/>
                <w:sz w:val="20"/>
                <w:szCs w:val="20"/>
                <w:lang w:eastAsia="en-AU"/>
              </w:rPr>
              <w:t>&amp;</w:t>
            </w:r>
            <w:r w:rsidRPr="00786128">
              <w:rPr>
                <w:rFonts w:eastAsia="Times New Roman" w:cs="Arial"/>
                <w:sz w:val="20"/>
                <w:szCs w:val="20"/>
                <w:lang w:eastAsia="en-AU"/>
              </w:rPr>
              <w:t xml:space="preserve"> economic participation</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32DDCA40" w14:textId="4EE0F167" w:rsidR="00786128" w:rsidRPr="00786128" w:rsidRDefault="00B93BBF"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38</w:t>
            </w:r>
            <w:r w:rsidR="00786128" w:rsidRPr="00786128">
              <w:rPr>
                <w:rFonts w:eastAsia="Times New Roman" w:cs="Arial"/>
                <w:sz w:val="20"/>
                <w:szCs w:val="20"/>
                <w:lang w:eastAsia="en-AU"/>
              </w:rPr>
              <w:t>/1</w:t>
            </w:r>
            <w:r>
              <w:rPr>
                <w:rFonts w:eastAsia="Times New Roman" w:cs="Arial"/>
                <w:sz w:val="20"/>
                <w:szCs w:val="20"/>
                <w:lang w:eastAsia="en-AU"/>
              </w:rPr>
              <w:t>14</w:t>
            </w:r>
            <w:r w:rsidR="00786128" w:rsidRPr="00786128">
              <w:rPr>
                <w:rFonts w:eastAsia="Times New Roman" w:cs="Arial"/>
                <w:sz w:val="20"/>
                <w:szCs w:val="20"/>
                <w:lang w:eastAsia="en-AU"/>
              </w:rPr>
              <w:t xml:space="preserve"> (3</w:t>
            </w:r>
            <w:r w:rsidR="00A1101B">
              <w:rPr>
                <w:rFonts w:eastAsia="Times New Roman" w:cs="Arial"/>
                <w:sz w:val="20"/>
                <w:szCs w:val="20"/>
                <w:lang w:eastAsia="en-AU"/>
              </w:rPr>
              <w:t>3</w:t>
            </w:r>
            <w:r w:rsidR="00786128"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01A4C54E" w14:textId="58F73509" w:rsidR="00786128" w:rsidRPr="00786128" w:rsidRDefault="0078612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19/41 (46.3%)</w:t>
            </w:r>
          </w:p>
        </w:tc>
      </w:tr>
      <w:tr w:rsidR="00786128" w:rsidRPr="00786128" w14:paraId="54541CAA" w14:textId="77777777" w:rsidTr="005C2F62">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auto"/>
            <w:hideMark/>
          </w:tcPr>
          <w:p w14:paraId="7EA3290C" w14:textId="46C2FA95" w:rsidR="00786128" w:rsidRPr="00786128" w:rsidRDefault="00786128" w:rsidP="00A04E9D">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34.1 (c)-value for money</w:t>
            </w:r>
          </w:p>
        </w:tc>
        <w:tc>
          <w:tcPr>
            <w:tcW w:w="2693" w:type="dxa"/>
            <w:tcBorders>
              <w:top w:val="single" w:sz="6" w:space="0" w:color="595959"/>
              <w:left w:val="single" w:sz="6" w:space="0" w:color="595959"/>
              <w:bottom w:val="single" w:sz="6" w:space="0" w:color="595959"/>
              <w:right w:val="single" w:sz="6" w:space="0" w:color="595959"/>
            </w:tcBorders>
            <w:shd w:val="clear" w:color="auto" w:fill="auto"/>
            <w:hideMark/>
          </w:tcPr>
          <w:p w14:paraId="546AB93E" w14:textId="59101ECE" w:rsidR="00786128" w:rsidRPr="00786128" w:rsidRDefault="001E017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47</w:t>
            </w:r>
            <w:r w:rsidR="00786128" w:rsidRPr="00786128">
              <w:rPr>
                <w:rFonts w:eastAsia="Times New Roman" w:cs="Arial"/>
                <w:sz w:val="20"/>
                <w:szCs w:val="20"/>
                <w:lang w:eastAsia="en-AU"/>
              </w:rPr>
              <w:t>/1</w:t>
            </w:r>
            <w:r>
              <w:rPr>
                <w:rFonts w:eastAsia="Times New Roman" w:cs="Arial"/>
                <w:sz w:val="20"/>
                <w:szCs w:val="20"/>
                <w:lang w:eastAsia="en-AU"/>
              </w:rPr>
              <w:t>14</w:t>
            </w:r>
            <w:r w:rsidR="00786128" w:rsidRPr="00786128">
              <w:rPr>
                <w:rFonts w:eastAsia="Times New Roman" w:cs="Arial"/>
                <w:sz w:val="20"/>
                <w:szCs w:val="20"/>
                <w:lang w:eastAsia="en-AU"/>
              </w:rPr>
              <w:t xml:space="preserve"> (4</w:t>
            </w:r>
            <w:r w:rsidR="0005654C">
              <w:rPr>
                <w:rFonts w:eastAsia="Times New Roman" w:cs="Arial"/>
                <w:sz w:val="20"/>
                <w:szCs w:val="20"/>
                <w:lang w:eastAsia="en-AU"/>
              </w:rPr>
              <w:t>1</w:t>
            </w:r>
            <w:r w:rsidR="00786128"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auto"/>
            <w:hideMark/>
          </w:tcPr>
          <w:p w14:paraId="1D5155C5" w14:textId="7615B906" w:rsidR="00786128" w:rsidRPr="00786128" w:rsidRDefault="0078612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27/41 (65.9%)</w:t>
            </w:r>
          </w:p>
        </w:tc>
      </w:tr>
      <w:tr w:rsidR="00786128" w:rsidRPr="00786128" w14:paraId="06557099" w14:textId="77777777" w:rsidTr="005C2F62">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39DC8524" w14:textId="41140A3C" w:rsidR="00786128" w:rsidRPr="00786128" w:rsidRDefault="00786128" w:rsidP="00A04E9D">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34.1 (d)-effective and beneficial</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5BEC98AF" w14:textId="6337C0E9" w:rsidR="00786128" w:rsidRPr="00786128" w:rsidRDefault="006570EB"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48</w:t>
            </w:r>
            <w:r w:rsidR="00786128" w:rsidRPr="00786128">
              <w:rPr>
                <w:rFonts w:eastAsia="Times New Roman" w:cs="Arial"/>
                <w:sz w:val="20"/>
                <w:szCs w:val="20"/>
                <w:lang w:eastAsia="en-AU"/>
              </w:rPr>
              <w:t>/1</w:t>
            </w:r>
            <w:r>
              <w:rPr>
                <w:rFonts w:eastAsia="Times New Roman" w:cs="Arial"/>
                <w:sz w:val="20"/>
                <w:szCs w:val="20"/>
                <w:lang w:eastAsia="en-AU"/>
              </w:rPr>
              <w:t>14</w:t>
            </w:r>
            <w:r w:rsidR="00786128" w:rsidRPr="00786128">
              <w:rPr>
                <w:rFonts w:eastAsia="Times New Roman" w:cs="Arial"/>
                <w:sz w:val="20"/>
                <w:szCs w:val="20"/>
                <w:lang w:eastAsia="en-AU"/>
              </w:rPr>
              <w:t xml:space="preserve"> (4</w:t>
            </w:r>
            <w:r w:rsidR="000907EE">
              <w:rPr>
                <w:rFonts w:eastAsia="Times New Roman" w:cs="Arial"/>
                <w:sz w:val="20"/>
                <w:szCs w:val="20"/>
                <w:lang w:eastAsia="en-AU"/>
              </w:rPr>
              <w:t>2</w:t>
            </w:r>
            <w:r w:rsidR="00786128"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1EAA4CEA" w14:textId="4784C9A0" w:rsidR="00786128" w:rsidRPr="00786128" w:rsidRDefault="0078612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21/41 (51.2%)</w:t>
            </w:r>
          </w:p>
        </w:tc>
      </w:tr>
      <w:tr w:rsidR="00786128" w:rsidRPr="00786128" w14:paraId="246ED845" w14:textId="77777777" w:rsidTr="005C2F62">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auto"/>
            <w:hideMark/>
          </w:tcPr>
          <w:p w14:paraId="16CD4AEB" w14:textId="38D96D0C" w:rsidR="00786128" w:rsidRPr="00786128" w:rsidRDefault="00786128" w:rsidP="00A04E9D">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34.1 (e)-reasonable</w:t>
            </w:r>
          </w:p>
        </w:tc>
        <w:tc>
          <w:tcPr>
            <w:tcW w:w="2693" w:type="dxa"/>
            <w:tcBorders>
              <w:top w:val="single" w:sz="6" w:space="0" w:color="595959"/>
              <w:left w:val="single" w:sz="6" w:space="0" w:color="595959"/>
              <w:bottom w:val="single" w:sz="6" w:space="0" w:color="595959"/>
              <w:right w:val="single" w:sz="6" w:space="0" w:color="595959"/>
            </w:tcBorders>
            <w:shd w:val="clear" w:color="auto" w:fill="auto"/>
            <w:hideMark/>
          </w:tcPr>
          <w:p w14:paraId="5CBFC8B9" w14:textId="30AE911C" w:rsidR="00786128" w:rsidRPr="00786128" w:rsidRDefault="006702FE"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47</w:t>
            </w:r>
            <w:r w:rsidR="00786128" w:rsidRPr="00786128">
              <w:rPr>
                <w:rFonts w:eastAsia="Times New Roman" w:cs="Arial"/>
                <w:sz w:val="20"/>
                <w:szCs w:val="20"/>
                <w:lang w:eastAsia="en-AU"/>
              </w:rPr>
              <w:t>/1</w:t>
            </w:r>
            <w:r>
              <w:rPr>
                <w:rFonts w:eastAsia="Times New Roman" w:cs="Arial"/>
                <w:sz w:val="20"/>
                <w:szCs w:val="20"/>
                <w:lang w:eastAsia="en-AU"/>
              </w:rPr>
              <w:t>14</w:t>
            </w:r>
            <w:r w:rsidR="00786128" w:rsidRPr="00786128">
              <w:rPr>
                <w:rFonts w:eastAsia="Times New Roman" w:cs="Arial"/>
                <w:sz w:val="20"/>
                <w:szCs w:val="20"/>
                <w:lang w:eastAsia="en-AU"/>
              </w:rPr>
              <w:t xml:space="preserve"> (41%)</w:t>
            </w:r>
          </w:p>
        </w:tc>
        <w:tc>
          <w:tcPr>
            <w:tcW w:w="2472" w:type="dxa"/>
            <w:tcBorders>
              <w:top w:val="single" w:sz="6" w:space="0" w:color="595959"/>
              <w:left w:val="single" w:sz="6" w:space="0" w:color="595959"/>
              <w:bottom w:val="single" w:sz="6" w:space="0" w:color="595959"/>
              <w:right w:val="single" w:sz="6" w:space="0" w:color="595959"/>
            </w:tcBorders>
            <w:shd w:val="clear" w:color="auto" w:fill="auto"/>
            <w:hideMark/>
          </w:tcPr>
          <w:p w14:paraId="4484599E" w14:textId="132708F4" w:rsidR="00786128" w:rsidRPr="00786128" w:rsidRDefault="0078612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12/41 (29.3%)</w:t>
            </w:r>
          </w:p>
        </w:tc>
      </w:tr>
      <w:tr w:rsidR="00786128" w:rsidRPr="00786128" w14:paraId="78461103" w14:textId="77777777" w:rsidTr="005C2F62">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4B6B88B0" w14:textId="1D97479E" w:rsidR="00786128" w:rsidRPr="00786128" w:rsidRDefault="00786128" w:rsidP="00A04E9D">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 xml:space="preserve">34.1 (f)-Appropriate for </w:t>
            </w:r>
            <w:r w:rsidR="005737C1">
              <w:rPr>
                <w:rFonts w:eastAsia="Times New Roman" w:cs="Arial"/>
                <w:sz w:val="20"/>
                <w:szCs w:val="20"/>
                <w:lang w:eastAsia="en-AU"/>
              </w:rPr>
              <w:t>NDIS</w:t>
            </w:r>
            <w:r w:rsidR="005737C1" w:rsidRPr="00786128">
              <w:rPr>
                <w:rFonts w:eastAsia="Times New Roman" w:cs="Arial"/>
                <w:sz w:val="20"/>
                <w:szCs w:val="20"/>
                <w:lang w:eastAsia="en-AU"/>
              </w:rPr>
              <w:t xml:space="preserve"> </w:t>
            </w:r>
            <w:r w:rsidRPr="00786128">
              <w:rPr>
                <w:rFonts w:eastAsia="Times New Roman" w:cs="Arial"/>
                <w:sz w:val="20"/>
                <w:szCs w:val="20"/>
                <w:lang w:eastAsia="en-AU"/>
              </w:rPr>
              <w:t>to fund</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7767958F" w14:textId="1742A667" w:rsidR="00786128" w:rsidRPr="00786128" w:rsidRDefault="00355831"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11</w:t>
            </w:r>
            <w:r w:rsidR="00786128" w:rsidRPr="00786128">
              <w:rPr>
                <w:rFonts w:eastAsia="Times New Roman" w:cs="Arial"/>
                <w:sz w:val="20"/>
                <w:szCs w:val="20"/>
                <w:lang w:eastAsia="en-AU"/>
              </w:rPr>
              <w:t>/1</w:t>
            </w:r>
            <w:r w:rsidR="00C83DD3">
              <w:rPr>
                <w:rFonts w:eastAsia="Times New Roman" w:cs="Arial"/>
                <w:sz w:val="20"/>
                <w:szCs w:val="20"/>
                <w:lang w:eastAsia="en-AU"/>
              </w:rPr>
              <w:t>14</w:t>
            </w:r>
            <w:r w:rsidR="00786128" w:rsidRPr="00786128">
              <w:rPr>
                <w:rFonts w:eastAsia="Times New Roman" w:cs="Arial"/>
                <w:sz w:val="20"/>
                <w:szCs w:val="20"/>
                <w:lang w:eastAsia="en-AU"/>
              </w:rPr>
              <w:t xml:space="preserve"> (1</w:t>
            </w:r>
            <w:r>
              <w:rPr>
                <w:rFonts w:eastAsia="Times New Roman" w:cs="Arial"/>
                <w:sz w:val="20"/>
                <w:szCs w:val="20"/>
                <w:lang w:eastAsia="en-AU"/>
              </w:rPr>
              <w:t>0</w:t>
            </w:r>
            <w:r w:rsidR="00786128"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5BE1960B" w14:textId="1DDBB53D" w:rsidR="00786128" w:rsidRPr="00786128" w:rsidRDefault="00786128" w:rsidP="007A7ACC">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17/41 (41.5%)</w:t>
            </w:r>
          </w:p>
        </w:tc>
      </w:tr>
    </w:tbl>
    <w:p w14:paraId="4139DDAF" w14:textId="0E9911D4" w:rsidR="00786128" w:rsidRDefault="00786128" w:rsidP="00A04E9D">
      <w:pPr>
        <w:keepNext/>
        <w:keepLines/>
        <w:spacing w:before="60" w:line="240" w:lineRule="auto"/>
        <w:textAlignment w:val="baseline"/>
        <w:rPr>
          <w:rFonts w:eastAsia="Times New Roman" w:cs="Arial"/>
          <w:szCs w:val="22"/>
          <w:lang w:eastAsia="en-AU"/>
        </w:rPr>
      </w:pPr>
      <w:r w:rsidRPr="0031204C">
        <w:rPr>
          <w:rFonts w:eastAsia="Times New Roman" w:cs="Arial"/>
          <w:szCs w:val="22"/>
          <w:lang w:eastAsia="en-AU"/>
        </w:rPr>
        <w:t>Source: Research and Evaluation Branch analysis of final IER and AAT decisions</w:t>
      </w:r>
      <w:r w:rsidR="009A6017" w:rsidRPr="0031204C">
        <w:rPr>
          <w:rFonts w:eastAsia="Times New Roman" w:cs="Arial"/>
          <w:szCs w:val="22"/>
          <w:lang w:eastAsia="en-AU"/>
        </w:rPr>
        <w:t>.</w:t>
      </w:r>
    </w:p>
    <w:p w14:paraId="4A6A50E6" w14:textId="77777777" w:rsidR="00651D3D" w:rsidRPr="0031204C" w:rsidRDefault="00651D3D" w:rsidP="00A04E9D">
      <w:pPr>
        <w:keepNext/>
        <w:keepLines/>
        <w:spacing w:before="60" w:line="240" w:lineRule="auto"/>
        <w:textAlignment w:val="baseline"/>
        <w:rPr>
          <w:rFonts w:eastAsia="Times New Roman" w:cs="Arial"/>
          <w:szCs w:val="22"/>
          <w:lang w:eastAsia="en-AU"/>
        </w:rPr>
      </w:pPr>
    </w:p>
    <w:p w14:paraId="687F80A4" w14:textId="2AC3B4CC" w:rsidR="00FA63D2" w:rsidRPr="0031204C" w:rsidRDefault="00FA63D2" w:rsidP="00A86241">
      <w:pPr>
        <w:pStyle w:val="Caption-H4"/>
        <w:rPr>
          <w:rFonts w:ascii="Segoe UI" w:hAnsi="Segoe UI" w:cs="Segoe UI"/>
          <w:lang w:eastAsia="en-AU"/>
        </w:rPr>
      </w:pPr>
      <w:bookmarkStart w:id="92" w:name="_Ref140145249"/>
      <w:r w:rsidRPr="0031204C">
        <w:t xml:space="preserve">Table </w:t>
      </w:r>
      <w:r w:rsidRPr="0031204C">
        <w:fldChar w:fldCharType="begin"/>
      </w:r>
      <w:r w:rsidRPr="0031204C">
        <w:instrText>SEQ Table \* ARABIC</w:instrText>
      </w:r>
      <w:r w:rsidRPr="0031204C">
        <w:fldChar w:fldCharType="separate"/>
      </w:r>
      <w:r w:rsidR="000F1876">
        <w:rPr>
          <w:noProof/>
        </w:rPr>
        <w:t>4</w:t>
      </w:r>
      <w:r w:rsidRPr="0031204C">
        <w:fldChar w:fldCharType="end"/>
      </w:r>
      <w:bookmarkEnd w:id="92"/>
      <w:r w:rsidRPr="0031204C">
        <w:t>b</w:t>
      </w:r>
      <w:r w:rsidRPr="0031204C">
        <w:rPr>
          <w:lang w:eastAsia="en-AU"/>
        </w:rPr>
        <w:t>: Frequency NDIS Act Section</w:t>
      </w:r>
      <w:r w:rsidR="008B1CB2" w:rsidRPr="0031204C">
        <w:rPr>
          <w:lang w:eastAsia="en-AU"/>
        </w:rPr>
        <w:t>s other than</w:t>
      </w:r>
      <w:r w:rsidRPr="0031204C">
        <w:rPr>
          <w:lang w:eastAsia="en-AU"/>
        </w:rPr>
        <w:t xml:space="preserve"> 34 </w:t>
      </w:r>
      <w:r w:rsidR="008F4C7E" w:rsidRPr="0031204C">
        <w:rPr>
          <w:lang w:eastAsia="en-AU"/>
        </w:rPr>
        <w:t xml:space="preserve">were </w:t>
      </w:r>
      <w:r w:rsidRPr="0031204C">
        <w:rPr>
          <w:lang w:eastAsia="en-AU"/>
        </w:rPr>
        <w:t>cited in relation to decisions (listed by issue)</w:t>
      </w:r>
    </w:p>
    <w:tbl>
      <w:tblPr>
        <w:tblW w:w="8985" w:type="dxa"/>
        <w:tblBorders>
          <w:top w:val="outset" w:sz="6" w:space="0" w:color="auto"/>
          <w:left w:val="outset" w:sz="6" w:space="0" w:color="auto"/>
          <w:bottom w:val="outset" w:sz="6" w:space="0" w:color="auto"/>
          <w:right w:val="outset" w:sz="6" w:space="0" w:color="auto"/>
        </w:tblBorders>
        <w:tblCellMar>
          <w:top w:w="28" w:type="dxa"/>
          <w:bottom w:w="28" w:type="dxa"/>
        </w:tblCellMar>
        <w:tblLook w:val="04A0" w:firstRow="1" w:lastRow="0" w:firstColumn="1" w:lastColumn="0" w:noHBand="0" w:noVBand="1"/>
        <w:tblCaption w:val="Legislative framework/documentation cited in relation to decisions (listed by issue)"/>
        <w:tblDescription w:val="3 columns and 6 rows&#10;Table shows the legislative framework/documentation cited in relation to IERP matters and AAT hearing decisions. The first column lists several legislative frameworks under the subheadings: NDIS Act-Other Sections, Each corresponding row shows the number of citations in the total number of IER matters and number of hearing decisions."/>
      </w:tblPr>
      <w:tblGrid>
        <w:gridCol w:w="3820"/>
        <w:gridCol w:w="2693"/>
        <w:gridCol w:w="2472"/>
      </w:tblGrid>
      <w:tr w:rsidR="00ED0BB4" w:rsidRPr="00786128" w14:paraId="0C615727" w14:textId="77777777" w:rsidTr="00ED0BB4">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6B2976"/>
            <w:hideMark/>
          </w:tcPr>
          <w:p w14:paraId="266948AC" w14:textId="4C6E62EF" w:rsidR="00ED0BB4" w:rsidRPr="00786128" w:rsidRDefault="00ED0BB4" w:rsidP="00ED0BB4">
            <w:pPr>
              <w:keepNext/>
              <w:keepLines/>
              <w:spacing w:before="0" w:after="0" w:line="240" w:lineRule="auto"/>
              <w:contextualSpacing/>
              <w:textAlignment w:val="baseline"/>
              <w:rPr>
                <w:rFonts w:ascii="Times New Roman" w:eastAsia="Times New Roman" w:hAnsi="Times New Roman" w:cs="Times New Roman"/>
                <w:lang w:eastAsia="en-AU"/>
              </w:rPr>
            </w:pPr>
            <w:r>
              <w:rPr>
                <w:rFonts w:eastAsia="Times New Roman" w:cs="Arial"/>
                <w:b/>
                <w:bCs/>
                <w:color w:val="FEFFFF"/>
                <w:sz w:val="20"/>
                <w:szCs w:val="20"/>
                <w:lang w:eastAsia="en-AU"/>
              </w:rPr>
              <w:t>NDIS Act Section</w:t>
            </w:r>
          </w:p>
        </w:tc>
        <w:tc>
          <w:tcPr>
            <w:tcW w:w="2693" w:type="dxa"/>
            <w:tcBorders>
              <w:top w:val="single" w:sz="6" w:space="0" w:color="595959"/>
              <w:left w:val="single" w:sz="6" w:space="0" w:color="595959"/>
              <w:bottom w:val="single" w:sz="6" w:space="0" w:color="595959"/>
              <w:right w:val="single" w:sz="6" w:space="0" w:color="595959"/>
            </w:tcBorders>
            <w:shd w:val="clear" w:color="auto" w:fill="6B2976"/>
            <w:hideMark/>
          </w:tcPr>
          <w:p w14:paraId="3015BB10" w14:textId="77777777" w:rsidR="00ED0BB4" w:rsidRPr="00786128" w:rsidRDefault="00ED0BB4" w:rsidP="00ED0BB4">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b/>
                <w:bCs/>
                <w:color w:val="FEFFFF"/>
                <w:sz w:val="20"/>
                <w:szCs w:val="20"/>
                <w:lang w:eastAsia="en-AU"/>
              </w:rPr>
              <w:t xml:space="preserve">IER </w:t>
            </w:r>
            <w:r>
              <w:rPr>
                <w:rFonts w:eastAsia="Times New Roman" w:cs="Arial"/>
                <w:b/>
                <w:bCs/>
                <w:color w:val="FEFFFF"/>
                <w:sz w:val="20"/>
                <w:szCs w:val="20"/>
                <w:lang w:eastAsia="en-AU"/>
              </w:rPr>
              <w:t>to 31 January 2023</w:t>
            </w:r>
          </w:p>
          <w:p w14:paraId="4CB620B7" w14:textId="595433C8" w:rsidR="00ED0BB4" w:rsidRPr="00786128" w:rsidRDefault="00ED0BB4" w:rsidP="00ED0BB4">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CF445A">
              <w:rPr>
                <w:rFonts w:eastAsia="Times New Roman" w:cs="Arial"/>
                <w:b/>
                <w:bCs/>
                <w:color w:val="FEFFFF" w:themeColor="background1"/>
                <w:sz w:val="20"/>
                <w:szCs w:val="20"/>
                <w:lang w:eastAsia="en-AU"/>
              </w:rPr>
              <w:t>Matters referenced</w:t>
            </w:r>
            <w:r>
              <w:rPr>
                <w:rFonts w:eastAsia="Times New Roman" w:cs="Arial"/>
                <w:b/>
                <w:bCs/>
                <w:color w:val="FEFFFF" w:themeColor="background1"/>
                <w:sz w:val="20"/>
                <w:szCs w:val="20"/>
                <w:lang w:eastAsia="en-AU"/>
              </w:rPr>
              <w:t xml:space="preserve"> (%) </w:t>
            </w:r>
            <w:r w:rsidRPr="00786128">
              <w:rPr>
                <w:rFonts w:eastAsia="Times New Roman" w:cs="Arial"/>
                <w:b/>
                <w:bCs/>
                <w:color w:val="FEFFFF"/>
                <w:sz w:val="20"/>
                <w:szCs w:val="20"/>
                <w:lang w:eastAsia="en-AU"/>
              </w:rPr>
              <w:t>(n=1</w:t>
            </w:r>
            <w:r>
              <w:rPr>
                <w:rFonts w:eastAsia="Times New Roman" w:cs="Arial"/>
                <w:b/>
                <w:bCs/>
                <w:color w:val="FEFFFF"/>
                <w:sz w:val="20"/>
                <w:szCs w:val="20"/>
                <w:lang w:eastAsia="en-AU"/>
              </w:rPr>
              <w:t>14</w:t>
            </w:r>
            <w:r w:rsidRPr="00786128">
              <w:rPr>
                <w:rFonts w:eastAsia="Times New Roman" w:cs="Arial"/>
                <w:b/>
                <w:bCs/>
                <w:color w:val="FEFFFF"/>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6B2976"/>
            <w:hideMark/>
          </w:tcPr>
          <w:p w14:paraId="5E564499" w14:textId="77777777" w:rsidR="00ED0BB4" w:rsidRDefault="00ED0BB4" w:rsidP="00ED0BB4">
            <w:pPr>
              <w:keepNext/>
              <w:keepLines/>
              <w:spacing w:before="0" w:after="0" w:line="240" w:lineRule="auto"/>
              <w:contextualSpacing/>
              <w:jc w:val="center"/>
              <w:textAlignment w:val="baseline"/>
              <w:rPr>
                <w:rFonts w:eastAsia="Times New Roman" w:cs="Arial"/>
                <w:b/>
                <w:bCs/>
                <w:color w:val="FEFFFF"/>
                <w:sz w:val="20"/>
                <w:szCs w:val="20"/>
                <w:lang w:eastAsia="en-AU"/>
              </w:rPr>
            </w:pPr>
            <w:r w:rsidRPr="00786128">
              <w:rPr>
                <w:rFonts w:eastAsia="Times New Roman" w:cs="Arial"/>
                <w:b/>
                <w:bCs/>
                <w:color w:val="FEFFFF"/>
                <w:sz w:val="20"/>
                <w:szCs w:val="20"/>
                <w:lang w:eastAsia="en-AU"/>
              </w:rPr>
              <w:t>AAT-</w:t>
            </w:r>
            <w:r>
              <w:rPr>
                <w:rFonts w:eastAsia="Times New Roman" w:cs="Arial"/>
                <w:b/>
                <w:bCs/>
                <w:color w:val="FEFFFF"/>
                <w:sz w:val="20"/>
                <w:szCs w:val="20"/>
                <w:lang w:eastAsia="en-AU"/>
              </w:rPr>
              <w:t>h</w:t>
            </w:r>
            <w:r w:rsidRPr="00786128">
              <w:rPr>
                <w:rFonts w:eastAsia="Times New Roman" w:cs="Arial"/>
                <w:b/>
                <w:bCs/>
                <w:color w:val="FEFFFF"/>
                <w:sz w:val="20"/>
                <w:szCs w:val="20"/>
                <w:lang w:eastAsia="en-AU"/>
              </w:rPr>
              <w:t xml:space="preserve">earing </w:t>
            </w:r>
            <w:r>
              <w:rPr>
                <w:rFonts w:eastAsia="Times New Roman" w:cs="Arial"/>
                <w:b/>
                <w:bCs/>
                <w:color w:val="FEFFFF"/>
                <w:sz w:val="20"/>
                <w:szCs w:val="20"/>
                <w:lang w:eastAsia="en-AU"/>
              </w:rPr>
              <w:t>d</w:t>
            </w:r>
            <w:r w:rsidRPr="00786128">
              <w:rPr>
                <w:rFonts w:eastAsia="Times New Roman" w:cs="Arial"/>
                <w:b/>
                <w:bCs/>
                <w:color w:val="FEFFFF"/>
                <w:sz w:val="20"/>
                <w:szCs w:val="20"/>
                <w:lang w:eastAsia="en-AU"/>
              </w:rPr>
              <w:t>ecisions</w:t>
            </w:r>
            <w:r>
              <w:rPr>
                <w:rFonts w:eastAsia="Times New Roman" w:cs="Arial"/>
                <w:b/>
                <w:bCs/>
                <w:color w:val="FEFFFF"/>
                <w:sz w:val="20"/>
                <w:szCs w:val="20"/>
                <w:lang w:eastAsia="en-AU"/>
              </w:rPr>
              <w:t xml:space="preserve"> </w:t>
            </w:r>
          </w:p>
          <w:p w14:paraId="2E9295F2" w14:textId="77777777" w:rsidR="00ED0BB4" w:rsidRPr="00786128" w:rsidRDefault="00ED0BB4" w:rsidP="00ED0BB4">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183B44">
              <w:rPr>
                <w:rFonts w:eastAsia="Times New Roman" w:cs="Arial"/>
                <w:b/>
                <w:bCs/>
                <w:color w:val="FEFFFF" w:themeColor="background1"/>
                <w:sz w:val="20"/>
                <w:szCs w:val="20"/>
                <w:lang w:eastAsia="en-AU"/>
              </w:rPr>
              <w:t>Matters referenced</w:t>
            </w:r>
            <w:r>
              <w:rPr>
                <w:rFonts w:eastAsia="Times New Roman" w:cs="Arial"/>
                <w:b/>
                <w:bCs/>
                <w:color w:val="FEFFFF" w:themeColor="background1"/>
                <w:sz w:val="20"/>
                <w:szCs w:val="20"/>
                <w:lang w:eastAsia="en-AU"/>
              </w:rPr>
              <w:t xml:space="preserve"> (%)</w:t>
            </w:r>
          </w:p>
          <w:p w14:paraId="03C08956" w14:textId="77777777" w:rsidR="00ED0BB4" w:rsidRPr="00786128" w:rsidRDefault="00ED0BB4" w:rsidP="00ED0BB4">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b/>
                <w:bCs/>
                <w:color w:val="FEFFFF"/>
                <w:sz w:val="20"/>
                <w:szCs w:val="20"/>
                <w:lang w:eastAsia="en-AU"/>
              </w:rPr>
              <w:t>(n=41)</w:t>
            </w:r>
          </w:p>
        </w:tc>
      </w:tr>
      <w:tr w:rsidR="00C46DD7" w:rsidRPr="00786128" w14:paraId="020938EB" w14:textId="77777777" w:rsidTr="00ED0BB4">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1C0530C8" w14:textId="77777777" w:rsidR="00C46DD7" w:rsidRPr="00786128" w:rsidRDefault="00C46DD7">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Section 3-Objectives of the Act</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0E2D1C96"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9</w:t>
            </w:r>
            <w:r w:rsidRPr="00786128">
              <w:rPr>
                <w:rFonts w:eastAsia="Times New Roman" w:cs="Arial"/>
                <w:sz w:val="20"/>
                <w:szCs w:val="20"/>
                <w:lang w:eastAsia="en-AU"/>
              </w:rPr>
              <w:t>/</w:t>
            </w:r>
            <w:r>
              <w:rPr>
                <w:rFonts w:eastAsia="Times New Roman" w:cs="Arial"/>
                <w:sz w:val="20"/>
                <w:szCs w:val="20"/>
                <w:lang w:eastAsia="en-AU"/>
              </w:rPr>
              <w:t>114</w:t>
            </w:r>
            <w:r w:rsidRPr="00786128">
              <w:rPr>
                <w:rFonts w:eastAsia="Times New Roman" w:cs="Arial"/>
                <w:sz w:val="20"/>
                <w:szCs w:val="20"/>
                <w:lang w:eastAsia="en-AU"/>
              </w:rPr>
              <w:t xml:space="preserve"> (8%)</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73AE553F"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0/41 (0%)</w:t>
            </w:r>
          </w:p>
        </w:tc>
      </w:tr>
      <w:tr w:rsidR="00C46DD7" w:rsidRPr="00786128" w14:paraId="53FBB0FE" w14:textId="77777777" w:rsidTr="00ED0BB4">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auto"/>
            <w:hideMark/>
          </w:tcPr>
          <w:p w14:paraId="36D9398E" w14:textId="77777777" w:rsidR="00C46DD7" w:rsidRPr="00786128" w:rsidRDefault="00C46DD7">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Section 4-General Principles of the Act</w:t>
            </w:r>
          </w:p>
        </w:tc>
        <w:tc>
          <w:tcPr>
            <w:tcW w:w="2693" w:type="dxa"/>
            <w:tcBorders>
              <w:top w:val="single" w:sz="6" w:space="0" w:color="595959"/>
              <w:left w:val="single" w:sz="6" w:space="0" w:color="595959"/>
              <w:bottom w:val="single" w:sz="6" w:space="0" w:color="595959"/>
              <w:right w:val="single" w:sz="6" w:space="0" w:color="595959"/>
            </w:tcBorders>
            <w:shd w:val="clear" w:color="auto" w:fill="auto"/>
            <w:hideMark/>
          </w:tcPr>
          <w:p w14:paraId="4681E08B"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10</w:t>
            </w:r>
            <w:r w:rsidRPr="00786128">
              <w:rPr>
                <w:rFonts w:eastAsia="Times New Roman" w:cs="Arial"/>
                <w:sz w:val="20"/>
                <w:szCs w:val="20"/>
                <w:lang w:eastAsia="en-AU"/>
              </w:rPr>
              <w:t>/</w:t>
            </w:r>
            <w:r>
              <w:rPr>
                <w:rFonts w:eastAsia="Times New Roman" w:cs="Arial"/>
                <w:sz w:val="20"/>
                <w:szCs w:val="20"/>
                <w:lang w:eastAsia="en-AU"/>
              </w:rPr>
              <w:t>114</w:t>
            </w:r>
            <w:r w:rsidRPr="00786128">
              <w:rPr>
                <w:rFonts w:eastAsia="Times New Roman" w:cs="Arial"/>
                <w:sz w:val="20"/>
                <w:szCs w:val="20"/>
                <w:lang w:eastAsia="en-AU"/>
              </w:rPr>
              <w:t xml:space="preserve"> (9%)</w:t>
            </w:r>
          </w:p>
        </w:tc>
        <w:tc>
          <w:tcPr>
            <w:tcW w:w="2472" w:type="dxa"/>
            <w:tcBorders>
              <w:top w:val="single" w:sz="6" w:space="0" w:color="595959"/>
              <w:left w:val="single" w:sz="6" w:space="0" w:color="595959"/>
              <w:bottom w:val="single" w:sz="6" w:space="0" w:color="595959"/>
              <w:right w:val="single" w:sz="6" w:space="0" w:color="595959"/>
            </w:tcBorders>
            <w:shd w:val="clear" w:color="auto" w:fill="auto"/>
            <w:hideMark/>
          </w:tcPr>
          <w:p w14:paraId="7F900ACF"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0/41 (0%)</w:t>
            </w:r>
          </w:p>
        </w:tc>
      </w:tr>
      <w:tr w:rsidR="00C46DD7" w:rsidRPr="00786128" w14:paraId="0D4029F7" w14:textId="77777777" w:rsidTr="00ED0BB4">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79C1DB9C" w14:textId="77777777" w:rsidR="00C46DD7" w:rsidRPr="00786128" w:rsidRDefault="00C46DD7">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Section 14-Assistance by funding</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1D12D99F"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1/</w:t>
            </w:r>
            <w:r>
              <w:rPr>
                <w:rFonts w:eastAsia="Times New Roman" w:cs="Arial"/>
                <w:sz w:val="20"/>
                <w:szCs w:val="20"/>
                <w:lang w:eastAsia="en-AU"/>
              </w:rPr>
              <w:t>114</w:t>
            </w:r>
            <w:r w:rsidRPr="00786128">
              <w:rPr>
                <w:rFonts w:eastAsia="Times New Roman" w:cs="Arial"/>
                <w:sz w:val="20"/>
                <w:szCs w:val="20"/>
                <w:lang w:eastAsia="en-AU"/>
              </w:rPr>
              <w:t xml:space="preserve"> (</w:t>
            </w:r>
            <w:r>
              <w:rPr>
                <w:rFonts w:eastAsia="Times New Roman" w:cs="Arial"/>
                <w:sz w:val="20"/>
                <w:szCs w:val="20"/>
                <w:lang w:eastAsia="en-AU"/>
              </w:rPr>
              <w:t>1</w:t>
            </w:r>
            <w:r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77337C9A"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0/41 (0%)</w:t>
            </w:r>
          </w:p>
        </w:tc>
      </w:tr>
      <w:tr w:rsidR="00C46DD7" w:rsidRPr="00786128" w14:paraId="514A6D35" w14:textId="77777777" w:rsidTr="00ED0BB4">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auto"/>
            <w:hideMark/>
          </w:tcPr>
          <w:p w14:paraId="7196B2AF" w14:textId="77777777" w:rsidR="00C46DD7" w:rsidRPr="00786128" w:rsidRDefault="00C46DD7">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Section 24-Disability requirements</w:t>
            </w:r>
          </w:p>
        </w:tc>
        <w:tc>
          <w:tcPr>
            <w:tcW w:w="2693" w:type="dxa"/>
            <w:tcBorders>
              <w:top w:val="single" w:sz="6" w:space="0" w:color="595959"/>
              <w:left w:val="single" w:sz="6" w:space="0" w:color="595959"/>
              <w:bottom w:val="single" w:sz="6" w:space="0" w:color="595959"/>
              <w:right w:val="single" w:sz="6" w:space="0" w:color="595959"/>
            </w:tcBorders>
            <w:shd w:val="clear" w:color="auto" w:fill="auto"/>
            <w:hideMark/>
          </w:tcPr>
          <w:p w14:paraId="3D51C821"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9</w:t>
            </w:r>
            <w:r w:rsidRPr="00786128">
              <w:rPr>
                <w:rFonts w:eastAsia="Times New Roman" w:cs="Arial"/>
                <w:sz w:val="20"/>
                <w:szCs w:val="20"/>
                <w:lang w:eastAsia="en-AU"/>
              </w:rPr>
              <w:t>/</w:t>
            </w:r>
            <w:r>
              <w:rPr>
                <w:rFonts w:eastAsia="Times New Roman" w:cs="Arial"/>
                <w:sz w:val="20"/>
                <w:szCs w:val="20"/>
                <w:lang w:eastAsia="en-AU"/>
              </w:rPr>
              <w:t>114</w:t>
            </w:r>
            <w:r w:rsidRPr="00786128">
              <w:rPr>
                <w:rFonts w:eastAsia="Times New Roman" w:cs="Arial"/>
                <w:sz w:val="20"/>
                <w:szCs w:val="20"/>
                <w:lang w:eastAsia="en-AU"/>
              </w:rPr>
              <w:t xml:space="preserve"> (</w:t>
            </w:r>
            <w:r>
              <w:rPr>
                <w:rFonts w:eastAsia="Times New Roman" w:cs="Arial"/>
                <w:sz w:val="20"/>
                <w:szCs w:val="20"/>
                <w:lang w:eastAsia="en-AU"/>
              </w:rPr>
              <w:t>8</w:t>
            </w:r>
            <w:r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auto"/>
            <w:hideMark/>
          </w:tcPr>
          <w:p w14:paraId="05776AD7"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0/41 (0%)</w:t>
            </w:r>
          </w:p>
        </w:tc>
      </w:tr>
      <w:tr w:rsidR="00C46DD7" w:rsidRPr="00786128" w14:paraId="442A837F" w14:textId="77777777" w:rsidTr="00ED0BB4">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2F4C5F73" w14:textId="77777777" w:rsidR="00C46DD7" w:rsidRPr="00786128" w:rsidRDefault="00C46DD7">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Section 33-Plan requirements</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1FF68669"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17</w:t>
            </w:r>
            <w:r w:rsidRPr="00786128">
              <w:rPr>
                <w:rFonts w:eastAsia="Times New Roman" w:cs="Arial"/>
                <w:sz w:val="20"/>
                <w:szCs w:val="20"/>
                <w:lang w:eastAsia="en-AU"/>
              </w:rPr>
              <w:t>/</w:t>
            </w:r>
            <w:r>
              <w:rPr>
                <w:rFonts w:eastAsia="Times New Roman" w:cs="Arial"/>
                <w:sz w:val="20"/>
                <w:szCs w:val="20"/>
                <w:lang w:eastAsia="en-AU"/>
              </w:rPr>
              <w:t>114</w:t>
            </w:r>
            <w:r w:rsidRPr="00786128">
              <w:rPr>
                <w:rFonts w:eastAsia="Times New Roman" w:cs="Arial"/>
                <w:sz w:val="20"/>
                <w:szCs w:val="20"/>
                <w:lang w:eastAsia="en-AU"/>
              </w:rPr>
              <w:t xml:space="preserve"> (</w:t>
            </w:r>
            <w:r>
              <w:rPr>
                <w:rFonts w:eastAsia="Times New Roman" w:cs="Arial"/>
                <w:sz w:val="20"/>
                <w:szCs w:val="20"/>
                <w:lang w:eastAsia="en-AU"/>
              </w:rPr>
              <w:t>15</w:t>
            </w:r>
            <w:r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4F8F367F" w14:textId="77777777" w:rsidR="00C46DD7" w:rsidRPr="00786128" w:rsidRDefault="00C46DD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0/41 (0%)</w:t>
            </w:r>
          </w:p>
        </w:tc>
      </w:tr>
    </w:tbl>
    <w:p w14:paraId="61D0AB2B" w14:textId="77777777" w:rsidR="00ED0BB4" w:rsidRDefault="00ED0BB4" w:rsidP="00ED0BB4">
      <w:pPr>
        <w:keepNext/>
        <w:keepLines/>
        <w:spacing w:before="60" w:line="240" w:lineRule="auto"/>
        <w:textAlignment w:val="baseline"/>
        <w:rPr>
          <w:rFonts w:eastAsia="Times New Roman" w:cs="Arial"/>
          <w:szCs w:val="22"/>
          <w:lang w:eastAsia="en-AU"/>
        </w:rPr>
      </w:pPr>
      <w:r w:rsidRPr="0031204C">
        <w:rPr>
          <w:rFonts w:eastAsia="Times New Roman" w:cs="Arial"/>
          <w:szCs w:val="22"/>
          <w:lang w:eastAsia="en-AU"/>
        </w:rPr>
        <w:t>Source: Research and Evaluation Branch analysis of final IER and AAT decisions.</w:t>
      </w:r>
    </w:p>
    <w:p w14:paraId="74F3F34F" w14:textId="77777777" w:rsidR="00A86241" w:rsidRPr="0031204C" w:rsidRDefault="00A86241" w:rsidP="00ED0BB4">
      <w:pPr>
        <w:keepNext/>
        <w:keepLines/>
        <w:spacing w:before="60" w:line="240" w:lineRule="auto"/>
        <w:textAlignment w:val="baseline"/>
        <w:rPr>
          <w:rFonts w:eastAsia="Times New Roman" w:cs="Arial"/>
          <w:szCs w:val="22"/>
          <w:lang w:eastAsia="en-AU"/>
        </w:rPr>
      </w:pPr>
    </w:p>
    <w:p w14:paraId="03D29441" w14:textId="2F338C1B" w:rsidR="0062475D" w:rsidRPr="008003AF" w:rsidRDefault="0062475D" w:rsidP="00A86241">
      <w:pPr>
        <w:pStyle w:val="Caption-H4"/>
        <w:rPr>
          <w:rFonts w:ascii="Segoe UI" w:hAnsi="Segoe UI" w:cs="Segoe UI"/>
          <w:lang w:eastAsia="en-AU"/>
        </w:rPr>
      </w:pPr>
      <w:bookmarkStart w:id="93" w:name="_Ref140145368"/>
      <w:r w:rsidRPr="008003AF">
        <w:t xml:space="preserve">Table </w:t>
      </w:r>
      <w:r w:rsidRPr="008003AF">
        <w:fldChar w:fldCharType="begin"/>
      </w:r>
      <w:r w:rsidRPr="008003AF">
        <w:instrText>SEQ Table \* ARABIC</w:instrText>
      </w:r>
      <w:r w:rsidRPr="008003AF">
        <w:fldChar w:fldCharType="separate"/>
      </w:r>
      <w:r w:rsidR="000F1876">
        <w:rPr>
          <w:noProof/>
        </w:rPr>
        <w:t>5</w:t>
      </w:r>
      <w:r w:rsidRPr="008003AF">
        <w:fldChar w:fldCharType="end"/>
      </w:r>
      <w:bookmarkEnd w:id="93"/>
      <w:r w:rsidRPr="008003AF">
        <w:t>c</w:t>
      </w:r>
      <w:r w:rsidRPr="008003AF">
        <w:rPr>
          <w:lang w:eastAsia="en-AU"/>
        </w:rPr>
        <w:t xml:space="preserve">: Frequency NDIS </w:t>
      </w:r>
      <w:r w:rsidR="00C91E97" w:rsidRPr="008003AF">
        <w:rPr>
          <w:lang w:eastAsia="en-AU"/>
        </w:rPr>
        <w:t>Rules</w:t>
      </w:r>
      <w:r w:rsidRPr="008003AF">
        <w:rPr>
          <w:lang w:eastAsia="en-AU"/>
        </w:rPr>
        <w:t xml:space="preserve"> were cited in relation to decisions (listed by issue)</w:t>
      </w:r>
    </w:p>
    <w:tbl>
      <w:tblPr>
        <w:tblW w:w="8985" w:type="dxa"/>
        <w:tblBorders>
          <w:top w:val="outset" w:sz="6" w:space="0" w:color="auto"/>
          <w:left w:val="outset" w:sz="6" w:space="0" w:color="auto"/>
          <w:bottom w:val="outset" w:sz="6" w:space="0" w:color="auto"/>
          <w:right w:val="outset" w:sz="6" w:space="0" w:color="auto"/>
        </w:tblBorders>
        <w:tblCellMar>
          <w:top w:w="28" w:type="dxa"/>
          <w:bottom w:w="28" w:type="dxa"/>
        </w:tblCellMar>
        <w:tblLook w:val="04A0" w:firstRow="1" w:lastRow="0" w:firstColumn="1" w:lastColumn="0" w:noHBand="0" w:noVBand="1"/>
        <w:tblCaption w:val="Legislative framework/documentation cited in relation to decisions (listed by issue)"/>
        <w:tblDescription w:val="3 columns and 3 rows&#10;Table shows the legislative framework/documentation cited in relation to IERP matters and AAT hearing decisions. The first column lists several legislative frameworks under the subheadings: NDIS-Rules. Each corresponding row shows the number of citations in the total number of IER matters and number of hearing decisions."/>
      </w:tblPr>
      <w:tblGrid>
        <w:gridCol w:w="3820"/>
        <w:gridCol w:w="2693"/>
        <w:gridCol w:w="2472"/>
      </w:tblGrid>
      <w:tr w:rsidR="00D36ECF" w:rsidRPr="00786128" w14:paraId="293B3859" w14:textId="77777777" w:rsidTr="00D36ECF">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6B2976"/>
            <w:hideMark/>
          </w:tcPr>
          <w:p w14:paraId="1EA4B61E" w14:textId="6BCCCD58" w:rsidR="00D36ECF" w:rsidRPr="00786128" w:rsidRDefault="00BA1336" w:rsidP="00F010A7">
            <w:pPr>
              <w:spacing w:before="0" w:after="0" w:line="240" w:lineRule="auto"/>
              <w:contextualSpacing/>
              <w:textAlignment w:val="baseline"/>
              <w:rPr>
                <w:rFonts w:ascii="Times New Roman" w:eastAsia="Times New Roman" w:hAnsi="Times New Roman" w:cs="Times New Roman"/>
                <w:lang w:eastAsia="en-AU"/>
              </w:rPr>
            </w:pPr>
            <w:r>
              <w:rPr>
                <w:rFonts w:eastAsia="Times New Roman" w:cs="Arial"/>
                <w:b/>
                <w:bCs/>
                <w:color w:val="FEFFFF"/>
                <w:sz w:val="20"/>
                <w:szCs w:val="20"/>
                <w:lang w:eastAsia="en-AU"/>
              </w:rPr>
              <w:t>NDIS Rules</w:t>
            </w:r>
          </w:p>
        </w:tc>
        <w:tc>
          <w:tcPr>
            <w:tcW w:w="2693" w:type="dxa"/>
            <w:tcBorders>
              <w:top w:val="single" w:sz="6" w:space="0" w:color="595959"/>
              <w:left w:val="single" w:sz="6" w:space="0" w:color="595959"/>
              <w:bottom w:val="single" w:sz="6" w:space="0" w:color="595959"/>
              <w:right w:val="single" w:sz="6" w:space="0" w:color="595959"/>
            </w:tcBorders>
            <w:shd w:val="clear" w:color="auto" w:fill="6B2976"/>
            <w:hideMark/>
          </w:tcPr>
          <w:p w14:paraId="2FEB54B9" w14:textId="77777777" w:rsidR="00D36ECF" w:rsidRPr="00786128" w:rsidRDefault="00D36ECF" w:rsidP="00F010A7">
            <w:pPr>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b/>
                <w:bCs/>
                <w:color w:val="FEFFFF"/>
                <w:sz w:val="20"/>
                <w:szCs w:val="20"/>
                <w:lang w:eastAsia="en-AU"/>
              </w:rPr>
              <w:t xml:space="preserve">IER </w:t>
            </w:r>
            <w:r>
              <w:rPr>
                <w:rFonts w:eastAsia="Times New Roman" w:cs="Arial"/>
                <w:b/>
                <w:bCs/>
                <w:color w:val="FEFFFF"/>
                <w:sz w:val="20"/>
                <w:szCs w:val="20"/>
                <w:lang w:eastAsia="en-AU"/>
              </w:rPr>
              <w:t>to 31 January 2023</w:t>
            </w:r>
          </w:p>
          <w:p w14:paraId="721DFD0B" w14:textId="5AA9FE2C" w:rsidR="00D36ECF" w:rsidRPr="00786128" w:rsidRDefault="00D36ECF" w:rsidP="00F010A7">
            <w:pPr>
              <w:spacing w:before="0" w:after="0" w:line="240" w:lineRule="auto"/>
              <w:contextualSpacing/>
              <w:jc w:val="center"/>
              <w:textAlignment w:val="baseline"/>
              <w:rPr>
                <w:rFonts w:ascii="Times New Roman" w:eastAsia="Times New Roman" w:hAnsi="Times New Roman" w:cs="Times New Roman"/>
                <w:lang w:eastAsia="en-AU"/>
              </w:rPr>
            </w:pPr>
            <w:r w:rsidRPr="00CF445A">
              <w:rPr>
                <w:rFonts w:eastAsia="Times New Roman" w:cs="Arial"/>
                <w:b/>
                <w:bCs/>
                <w:color w:val="FEFFFF" w:themeColor="background1"/>
                <w:sz w:val="20"/>
                <w:szCs w:val="20"/>
                <w:lang w:eastAsia="en-AU"/>
              </w:rPr>
              <w:t>Matters referenced</w:t>
            </w:r>
            <w:r>
              <w:rPr>
                <w:rFonts w:eastAsia="Times New Roman" w:cs="Arial"/>
                <w:b/>
                <w:bCs/>
                <w:color w:val="FEFFFF" w:themeColor="background1"/>
                <w:sz w:val="20"/>
                <w:szCs w:val="20"/>
                <w:lang w:eastAsia="en-AU"/>
              </w:rPr>
              <w:t xml:space="preserve"> (%) </w:t>
            </w:r>
            <w:r w:rsidRPr="00786128">
              <w:rPr>
                <w:rFonts w:eastAsia="Times New Roman" w:cs="Arial"/>
                <w:b/>
                <w:bCs/>
                <w:color w:val="FEFFFF"/>
                <w:sz w:val="20"/>
                <w:szCs w:val="20"/>
                <w:lang w:eastAsia="en-AU"/>
              </w:rPr>
              <w:t>(n=1</w:t>
            </w:r>
            <w:r>
              <w:rPr>
                <w:rFonts w:eastAsia="Times New Roman" w:cs="Arial"/>
                <w:b/>
                <w:bCs/>
                <w:color w:val="FEFFFF"/>
                <w:sz w:val="20"/>
                <w:szCs w:val="20"/>
                <w:lang w:eastAsia="en-AU"/>
              </w:rPr>
              <w:t>14</w:t>
            </w:r>
            <w:r w:rsidRPr="00786128">
              <w:rPr>
                <w:rFonts w:eastAsia="Times New Roman" w:cs="Arial"/>
                <w:b/>
                <w:bCs/>
                <w:color w:val="FEFFFF"/>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6B2976"/>
            <w:hideMark/>
          </w:tcPr>
          <w:p w14:paraId="596F4BF9" w14:textId="77777777" w:rsidR="00D36ECF" w:rsidRDefault="00D36ECF" w:rsidP="00F010A7">
            <w:pPr>
              <w:spacing w:before="0" w:after="0" w:line="240" w:lineRule="auto"/>
              <w:contextualSpacing/>
              <w:jc w:val="center"/>
              <w:textAlignment w:val="baseline"/>
              <w:rPr>
                <w:rFonts w:eastAsia="Times New Roman" w:cs="Arial"/>
                <w:b/>
                <w:bCs/>
                <w:color w:val="FEFFFF"/>
                <w:sz w:val="20"/>
                <w:szCs w:val="20"/>
                <w:lang w:eastAsia="en-AU"/>
              </w:rPr>
            </w:pPr>
            <w:r w:rsidRPr="00786128">
              <w:rPr>
                <w:rFonts w:eastAsia="Times New Roman" w:cs="Arial"/>
                <w:b/>
                <w:bCs/>
                <w:color w:val="FEFFFF"/>
                <w:sz w:val="20"/>
                <w:szCs w:val="20"/>
                <w:lang w:eastAsia="en-AU"/>
              </w:rPr>
              <w:t>AAT-</w:t>
            </w:r>
            <w:r>
              <w:rPr>
                <w:rFonts w:eastAsia="Times New Roman" w:cs="Arial"/>
                <w:b/>
                <w:bCs/>
                <w:color w:val="FEFFFF"/>
                <w:sz w:val="20"/>
                <w:szCs w:val="20"/>
                <w:lang w:eastAsia="en-AU"/>
              </w:rPr>
              <w:t>h</w:t>
            </w:r>
            <w:r w:rsidRPr="00786128">
              <w:rPr>
                <w:rFonts w:eastAsia="Times New Roman" w:cs="Arial"/>
                <w:b/>
                <w:bCs/>
                <w:color w:val="FEFFFF"/>
                <w:sz w:val="20"/>
                <w:szCs w:val="20"/>
                <w:lang w:eastAsia="en-AU"/>
              </w:rPr>
              <w:t xml:space="preserve">earing </w:t>
            </w:r>
            <w:r>
              <w:rPr>
                <w:rFonts w:eastAsia="Times New Roman" w:cs="Arial"/>
                <w:b/>
                <w:bCs/>
                <w:color w:val="FEFFFF"/>
                <w:sz w:val="20"/>
                <w:szCs w:val="20"/>
                <w:lang w:eastAsia="en-AU"/>
              </w:rPr>
              <w:t>d</w:t>
            </w:r>
            <w:r w:rsidRPr="00786128">
              <w:rPr>
                <w:rFonts w:eastAsia="Times New Roman" w:cs="Arial"/>
                <w:b/>
                <w:bCs/>
                <w:color w:val="FEFFFF"/>
                <w:sz w:val="20"/>
                <w:szCs w:val="20"/>
                <w:lang w:eastAsia="en-AU"/>
              </w:rPr>
              <w:t>ecisions</w:t>
            </w:r>
            <w:r>
              <w:rPr>
                <w:rFonts w:eastAsia="Times New Roman" w:cs="Arial"/>
                <w:b/>
                <w:bCs/>
                <w:color w:val="FEFFFF"/>
                <w:sz w:val="20"/>
                <w:szCs w:val="20"/>
                <w:lang w:eastAsia="en-AU"/>
              </w:rPr>
              <w:t xml:space="preserve"> </w:t>
            </w:r>
          </w:p>
          <w:p w14:paraId="1DC26674" w14:textId="77777777" w:rsidR="00D36ECF" w:rsidRPr="00786128" w:rsidRDefault="00D36ECF" w:rsidP="00F010A7">
            <w:pPr>
              <w:spacing w:before="0" w:after="0" w:line="240" w:lineRule="auto"/>
              <w:contextualSpacing/>
              <w:jc w:val="center"/>
              <w:textAlignment w:val="baseline"/>
              <w:rPr>
                <w:rFonts w:ascii="Times New Roman" w:eastAsia="Times New Roman" w:hAnsi="Times New Roman" w:cs="Times New Roman"/>
                <w:lang w:eastAsia="en-AU"/>
              </w:rPr>
            </w:pPr>
            <w:r w:rsidRPr="00183B44">
              <w:rPr>
                <w:rFonts w:eastAsia="Times New Roman" w:cs="Arial"/>
                <w:b/>
                <w:bCs/>
                <w:color w:val="FEFFFF" w:themeColor="background1"/>
                <w:sz w:val="20"/>
                <w:szCs w:val="20"/>
                <w:lang w:eastAsia="en-AU"/>
              </w:rPr>
              <w:t>Matters referenced</w:t>
            </w:r>
            <w:r>
              <w:rPr>
                <w:rFonts w:eastAsia="Times New Roman" w:cs="Arial"/>
                <w:b/>
                <w:bCs/>
                <w:color w:val="FEFFFF" w:themeColor="background1"/>
                <w:sz w:val="20"/>
                <w:szCs w:val="20"/>
                <w:lang w:eastAsia="en-AU"/>
              </w:rPr>
              <w:t xml:space="preserve"> (%)</w:t>
            </w:r>
          </w:p>
          <w:p w14:paraId="1AFAF950" w14:textId="77777777" w:rsidR="00D36ECF" w:rsidRPr="00786128" w:rsidRDefault="00D36ECF" w:rsidP="00F010A7">
            <w:pPr>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b/>
                <w:bCs/>
                <w:color w:val="FEFFFF"/>
                <w:sz w:val="20"/>
                <w:szCs w:val="20"/>
                <w:lang w:eastAsia="en-AU"/>
              </w:rPr>
              <w:t>(n=41)</w:t>
            </w:r>
          </w:p>
        </w:tc>
      </w:tr>
      <w:tr w:rsidR="00027F6D" w:rsidRPr="00786128" w14:paraId="1821E91C" w14:textId="77777777" w:rsidTr="00D36ECF">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51DC401A" w14:textId="77777777" w:rsidR="00027F6D" w:rsidRPr="00786128" w:rsidRDefault="00027F6D" w:rsidP="00F010A7">
            <w:pPr>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Rules for Participants</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09941338" w14:textId="77777777" w:rsidR="00027F6D" w:rsidRPr="00786128" w:rsidRDefault="00027F6D" w:rsidP="00F010A7">
            <w:pPr>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39</w:t>
            </w:r>
            <w:r w:rsidRPr="00786128">
              <w:rPr>
                <w:rFonts w:eastAsia="Times New Roman" w:cs="Arial"/>
                <w:sz w:val="20"/>
                <w:szCs w:val="20"/>
                <w:lang w:eastAsia="en-AU"/>
              </w:rPr>
              <w:t>/</w:t>
            </w:r>
            <w:r>
              <w:rPr>
                <w:rFonts w:eastAsia="Times New Roman" w:cs="Arial"/>
                <w:sz w:val="20"/>
                <w:szCs w:val="20"/>
                <w:lang w:eastAsia="en-AU"/>
              </w:rPr>
              <w:t>114</w:t>
            </w:r>
            <w:r w:rsidRPr="00786128">
              <w:rPr>
                <w:rFonts w:eastAsia="Times New Roman" w:cs="Arial"/>
                <w:sz w:val="20"/>
                <w:szCs w:val="20"/>
                <w:lang w:eastAsia="en-AU"/>
              </w:rPr>
              <w:t xml:space="preserve"> (</w:t>
            </w:r>
            <w:r>
              <w:rPr>
                <w:rFonts w:eastAsia="Times New Roman" w:cs="Arial"/>
                <w:sz w:val="20"/>
                <w:szCs w:val="20"/>
                <w:lang w:eastAsia="en-AU"/>
              </w:rPr>
              <w:t>3</w:t>
            </w:r>
            <w:r w:rsidRPr="00786128">
              <w:rPr>
                <w:rFonts w:eastAsia="Times New Roman" w:cs="Arial"/>
                <w:sz w:val="20"/>
                <w:szCs w:val="20"/>
                <w:lang w:eastAsia="en-AU"/>
              </w:rPr>
              <w:t>4%)</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10B202CB" w14:textId="77777777" w:rsidR="00027F6D" w:rsidRPr="00786128" w:rsidRDefault="00027F6D" w:rsidP="00F010A7">
            <w:pPr>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22/41 (53.7%)</w:t>
            </w:r>
          </w:p>
        </w:tc>
      </w:tr>
      <w:tr w:rsidR="00027F6D" w:rsidRPr="00786128" w14:paraId="0B2EEF77" w14:textId="77777777" w:rsidTr="00D36ECF">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auto"/>
            <w:hideMark/>
          </w:tcPr>
          <w:p w14:paraId="67F895F6" w14:textId="77777777" w:rsidR="00027F6D" w:rsidRPr="00786128" w:rsidRDefault="00027F6D" w:rsidP="00F010A7">
            <w:pPr>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Rules for SDA</w:t>
            </w:r>
          </w:p>
        </w:tc>
        <w:tc>
          <w:tcPr>
            <w:tcW w:w="2693" w:type="dxa"/>
            <w:tcBorders>
              <w:top w:val="single" w:sz="6" w:space="0" w:color="595959"/>
              <w:left w:val="single" w:sz="6" w:space="0" w:color="595959"/>
              <w:bottom w:val="single" w:sz="6" w:space="0" w:color="595959"/>
              <w:right w:val="single" w:sz="6" w:space="0" w:color="595959"/>
            </w:tcBorders>
            <w:shd w:val="clear" w:color="auto" w:fill="auto"/>
            <w:hideMark/>
          </w:tcPr>
          <w:p w14:paraId="469DE073" w14:textId="77777777" w:rsidR="00027F6D" w:rsidRPr="00786128" w:rsidRDefault="00027F6D" w:rsidP="00F010A7">
            <w:pPr>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2</w:t>
            </w:r>
            <w:r w:rsidRPr="00786128">
              <w:rPr>
                <w:rFonts w:eastAsia="Times New Roman" w:cs="Arial"/>
                <w:sz w:val="20"/>
                <w:szCs w:val="20"/>
                <w:lang w:eastAsia="en-AU"/>
              </w:rPr>
              <w:t>/</w:t>
            </w:r>
            <w:r>
              <w:rPr>
                <w:rFonts w:eastAsia="Times New Roman" w:cs="Arial"/>
                <w:sz w:val="20"/>
                <w:szCs w:val="20"/>
                <w:lang w:eastAsia="en-AU"/>
              </w:rPr>
              <w:t>114</w:t>
            </w:r>
            <w:r w:rsidRPr="00786128">
              <w:rPr>
                <w:rFonts w:eastAsia="Times New Roman" w:cs="Arial"/>
                <w:sz w:val="20"/>
                <w:szCs w:val="20"/>
                <w:lang w:eastAsia="en-AU"/>
              </w:rPr>
              <w:t xml:space="preserve"> (</w:t>
            </w:r>
            <w:r>
              <w:rPr>
                <w:rFonts w:eastAsia="Times New Roman" w:cs="Arial"/>
                <w:sz w:val="20"/>
                <w:szCs w:val="20"/>
                <w:lang w:eastAsia="en-AU"/>
              </w:rPr>
              <w:t>2</w:t>
            </w:r>
            <w:r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auto"/>
            <w:hideMark/>
          </w:tcPr>
          <w:p w14:paraId="31B86CB3" w14:textId="77777777" w:rsidR="00027F6D" w:rsidRPr="00786128" w:rsidRDefault="00027F6D" w:rsidP="00F010A7">
            <w:pPr>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NA</w:t>
            </w:r>
          </w:p>
        </w:tc>
      </w:tr>
    </w:tbl>
    <w:p w14:paraId="2A516C00" w14:textId="3D60A615" w:rsidR="006D24F7" w:rsidRDefault="00C91E97" w:rsidP="00F010A7">
      <w:pPr>
        <w:spacing w:before="60" w:line="240" w:lineRule="auto"/>
        <w:textAlignment w:val="baseline"/>
      </w:pPr>
      <w:r w:rsidRPr="00183B44">
        <w:rPr>
          <w:rFonts w:eastAsia="Times New Roman" w:cs="Arial"/>
          <w:szCs w:val="22"/>
          <w:lang w:eastAsia="en-AU"/>
        </w:rPr>
        <w:t>Source: Research and Evaluation Branch analysis of final IER and AAT decisions.</w:t>
      </w:r>
    </w:p>
    <w:p w14:paraId="7D906D7E" w14:textId="20C1E8B7" w:rsidR="00B1008F" w:rsidRPr="008003AF" w:rsidRDefault="00B1008F" w:rsidP="00A86241">
      <w:pPr>
        <w:pStyle w:val="Caption-H4"/>
        <w:rPr>
          <w:rFonts w:ascii="Segoe UI" w:hAnsi="Segoe UI" w:cs="Segoe UI"/>
          <w:lang w:eastAsia="en-AU"/>
        </w:rPr>
      </w:pPr>
      <w:bookmarkStart w:id="94" w:name="_Ref140145606"/>
      <w:r w:rsidRPr="008003AF">
        <w:lastRenderedPageBreak/>
        <w:t xml:space="preserve">Table </w:t>
      </w:r>
      <w:r w:rsidRPr="008003AF">
        <w:fldChar w:fldCharType="begin"/>
      </w:r>
      <w:r w:rsidRPr="008003AF">
        <w:instrText>SEQ Table \* ARABIC</w:instrText>
      </w:r>
      <w:r w:rsidRPr="008003AF">
        <w:fldChar w:fldCharType="separate"/>
      </w:r>
      <w:r w:rsidR="000F1876">
        <w:rPr>
          <w:noProof/>
        </w:rPr>
        <w:t>6</w:t>
      </w:r>
      <w:r w:rsidRPr="008003AF">
        <w:fldChar w:fldCharType="end"/>
      </w:r>
      <w:bookmarkEnd w:id="94"/>
      <w:r w:rsidRPr="008003AF">
        <w:t>d</w:t>
      </w:r>
      <w:r w:rsidRPr="008003AF">
        <w:rPr>
          <w:lang w:eastAsia="en-AU"/>
        </w:rPr>
        <w:t xml:space="preserve">: Frequency NDIS </w:t>
      </w:r>
      <w:r w:rsidR="0031204C" w:rsidRPr="008003AF">
        <w:rPr>
          <w:lang w:eastAsia="en-AU"/>
        </w:rPr>
        <w:t xml:space="preserve">Operational Guidelines </w:t>
      </w:r>
      <w:r w:rsidRPr="008003AF">
        <w:rPr>
          <w:lang w:eastAsia="en-AU"/>
        </w:rPr>
        <w:t>were cited in relation to decisions (listed by issue)</w:t>
      </w:r>
    </w:p>
    <w:tbl>
      <w:tblPr>
        <w:tblW w:w="8985" w:type="dxa"/>
        <w:tblBorders>
          <w:top w:val="outset" w:sz="6" w:space="0" w:color="auto"/>
          <w:left w:val="outset" w:sz="6" w:space="0" w:color="auto"/>
          <w:bottom w:val="outset" w:sz="6" w:space="0" w:color="auto"/>
          <w:right w:val="outset" w:sz="6" w:space="0" w:color="auto"/>
        </w:tblBorders>
        <w:tblCellMar>
          <w:top w:w="28" w:type="dxa"/>
          <w:bottom w:w="28" w:type="dxa"/>
        </w:tblCellMar>
        <w:tblLook w:val="04A0" w:firstRow="1" w:lastRow="0" w:firstColumn="1" w:lastColumn="0" w:noHBand="0" w:noVBand="1"/>
        <w:tblCaption w:val="Legislative framework/documentation cited in relation to decisions (listed by issue)"/>
        <w:tblDescription w:val="3 columns and 4 rows&#10;Table shows the legislative framework/documentation cited in relation to IERP matters and AAT hearing decisions. The first column lists several legislative frameworks under the subheadings: Operational Guidelines and Other Documentation. Each corresponding row shows the number of citations in the total number of IER matters and number of hearing decisions."/>
      </w:tblPr>
      <w:tblGrid>
        <w:gridCol w:w="3820"/>
        <w:gridCol w:w="2693"/>
        <w:gridCol w:w="2472"/>
      </w:tblGrid>
      <w:tr w:rsidR="00B1008F" w:rsidRPr="00786128" w14:paraId="30CC39A2" w14:textId="77777777" w:rsidTr="00B1008F">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6B2976"/>
            <w:hideMark/>
          </w:tcPr>
          <w:p w14:paraId="525F9F57" w14:textId="224B66B4" w:rsidR="00B1008F" w:rsidRPr="00786128" w:rsidRDefault="00B1008F" w:rsidP="00F010A7">
            <w:pPr>
              <w:keepNext/>
              <w:keepLines/>
              <w:spacing w:before="0" w:after="0" w:line="240" w:lineRule="auto"/>
              <w:contextualSpacing/>
              <w:textAlignment w:val="baseline"/>
              <w:rPr>
                <w:rFonts w:ascii="Times New Roman" w:eastAsia="Times New Roman" w:hAnsi="Times New Roman" w:cs="Times New Roman"/>
                <w:lang w:eastAsia="en-AU"/>
              </w:rPr>
            </w:pPr>
            <w:r>
              <w:rPr>
                <w:rFonts w:eastAsia="Times New Roman" w:cs="Arial"/>
                <w:b/>
                <w:bCs/>
                <w:color w:val="FEFFFF"/>
                <w:sz w:val="20"/>
                <w:szCs w:val="20"/>
                <w:lang w:eastAsia="en-AU"/>
              </w:rPr>
              <w:t>Operational Guidelines</w:t>
            </w:r>
          </w:p>
        </w:tc>
        <w:tc>
          <w:tcPr>
            <w:tcW w:w="2693" w:type="dxa"/>
            <w:tcBorders>
              <w:top w:val="single" w:sz="6" w:space="0" w:color="595959"/>
              <w:left w:val="single" w:sz="6" w:space="0" w:color="595959"/>
              <w:bottom w:val="single" w:sz="6" w:space="0" w:color="595959"/>
              <w:right w:val="single" w:sz="6" w:space="0" w:color="595959"/>
            </w:tcBorders>
            <w:shd w:val="clear" w:color="auto" w:fill="6B2976"/>
            <w:hideMark/>
          </w:tcPr>
          <w:p w14:paraId="3970BDF9" w14:textId="77777777" w:rsidR="00B1008F" w:rsidRPr="00786128" w:rsidRDefault="00B1008F"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b/>
                <w:bCs/>
                <w:color w:val="FEFFFF"/>
                <w:sz w:val="20"/>
                <w:szCs w:val="20"/>
                <w:lang w:eastAsia="en-AU"/>
              </w:rPr>
              <w:t xml:space="preserve">IER </w:t>
            </w:r>
            <w:r>
              <w:rPr>
                <w:rFonts w:eastAsia="Times New Roman" w:cs="Arial"/>
                <w:b/>
                <w:bCs/>
                <w:color w:val="FEFFFF"/>
                <w:sz w:val="20"/>
                <w:szCs w:val="20"/>
                <w:lang w:eastAsia="en-AU"/>
              </w:rPr>
              <w:t>to 31 January 2023</w:t>
            </w:r>
          </w:p>
          <w:p w14:paraId="3534CC7B" w14:textId="51090382" w:rsidR="00B1008F" w:rsidRPr="00786128" w:rsidRDefault="00B1008F"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CF445A">
              <w:rPr>
                <w:rFonts w:eastAsia="Times New Roman" w:cs="Arial"/>
                <w:b/>
                <w:bCs/>
                <w:color w:val="FEFFFF" w:themeColor="background1"/>
                <w:sz w:val="20"/>
                <w:szCs w:val="20"/>
                <w:lang w:eastAsia="en-AU"/>
              </w:rPr>
              <w:t>Matters referenced</w:t>
            </w:r>
            <w:r>
              <w:rPr>
                <w:rFonts w:eastAsia="Times New Roman" w:cs="Arial"/>
                <w:b/>
                <w:bCs/>
                <w:color w:val="FEFFFF" w:themeColor="background1"/>
                <w:sz w:val="20"/>
                <w:szCs w:val="20"/>
                <w:lang w:eastAsia="en-AU"/>
              </w:rPr>
              <w:t xml:space="preserve"> (%) </w:t>
            </w:r>
            <w:r w:rsidRPr="00786128">
              <w:rPr>
                <w:rFonts w:eastAsia="Times New Roman" w:cs="Arial"/>
                <w:b/>
                <w:bCs/>
                <w:color w:val="FEFFFF"/>
                <w:sz w:val="20"/>
                <w:szCs w:val="20"/>
                <w:lang w:eastAsia="en-AU"/>
              </w:rPr>
              <w:t>(n=1</w:t>
            </w:r>
            <w:r>
              <w:rPr>
                <w:rFonts w:eastAsia="Times New Roman" w:cs="Arial"/>
                <w:b/>
                <w:bCs/>
                <w:color w:val="FEFFFF"/>
                <w:sz w:val="20"/>
                <w:szCs w:val="20"/>
                <w:lang w:eastAsia="en-AU"/>
              </w:rPr>
              <w:t>14</w:t>
            </w:r>
            <w:r w:rsidRPr="00786128">
              <w:rPr>
                <w:rFonts w:eastAsia="Times New Roman" w:cs="Arial"/>
                <w:b/>
                <w:bCs/>
                <w:color w:val="FEFFFF"/>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6B2976"/>
            <w:hideMark/>
          </w:tcPr>
          <w:p w14:paraId="571844FF" w14:textId="77777777" w:rsidR="00B1008F" w:rsidRDefault="00B1008F" w:rsidP="00F010A7">
            <w:pPr>
              <w:keepNext/>
              <w:keepLines/>
              <w:spacing w:before="0" w:after="0" w:line="240" w:lineRule="auto"/>
              <w:contextualSpacing/>
              <w:jc w:val="center"/>
              <w:textAlignment w:val="baseline"/>
              <w:rPr>
                <w:rFonts w:eastAsia="Times New Roman" w:cs="Arial"/>
                <w:b/>
                <w:bCs/>
                <w:color w:val="FEFFFF"/>
                <w:sz w:val="20"/>
                <w:szCs w:val="20"/>
                <w:lang w:eastAsia="en-AU"/>
              </w:rPr>
            </w:pPr>
            <w:r w:rsidRPr="00786128">
              <w:rPr>
                <w:rFonts w:eastAsia="Times New Roman" w:cs="Arial"/>
                <w:b/>
                <w:bCs/>
                <w:color w:val="FEFFFF"/>
                <w:sz w:val="20"/>
                <w:szCs w:val="20"/>
                <w:lang w:eastAsia="en-AU"/>
              </w:rPr>
              <w:t>AAT-</w:t>
            </w:r>
            <w:r>
              <w:rPr>
                <w:rFonts w:eastAsia="Times New Roman" w:cs="Arial"/>
                <w:b/>
                <w:bCs/>
                <w:color w:val="FEFFFF"/>
                <w:sz w:val="20"/>
                <w:szCs w:val="20"/>
                <w:lang w:eastAsia="en-AU"/>
              </w:rPr>
              <w:t>h</w:t>
            </w:r>
            <w:r w:rsidRPr="00786128">
              <w:rPr>
                <w:rFonts w:eastAsia="Times New Roman" w:cs="Arial"/>
                <w:b/>
                <w:bCs/>
                <w:color w:val="FEFFFF"/>
                <w:sz w:val="20"/>
                <w:szCs w:val="20"/>
                <w:lang w:eastAsia="en-AU"/>
              </w:rPr>
              <w:t xml:space="preserve">earing </w:t>
            </w:r>
            <w:r>
              <w:rPr>
                <w:rFonts w:eastAsia="Times New Roman" w:cs="Arial"/>
                <w:b/>
                <w:bCs/>
                <w:color w:val="FEFFFF"/>
                <w:sz w:val="20"/>
                <w:szCs w:val="20"/>
                <w:lang w:eastAsia="en-AU"/>
              </w:rPr>
              <w:t>d</w:t>
            </w:r>
            <w:r w:rsidRPr="00786128">
              <w:rPr>
                <w:rFonts w:eastAsia="Times New Roman" w:cs="Arial"/>
                <w:b/>
                <w:bCs/>
                <w:color w:val="FEFFFF"/>
                <w:sz w:val="20"/>
                <w:szCs w:val="20"/>
                <w:lang w:eastAsia="en-AU"/>
              </w:rPr>
              <w:t>ecisions</w:t>
            </w:r>
            <w:r>
              <w:rPr>
                <w:rFonts w:eastAsia="Times New Roman" w:cs="Arial"/>
                <w:b/>
                <w:bCs/>
                <w:color w:val="FEFFFF"/>
                <w:sz w:val="20"/>
                <w:szCs w:val="20"/>
                <w:lang w:eastAsia="en-AU"/>
              </w:rPr>
              <w:t xml:space="preserve"> </w:t>
            </w:r>
          </w:p>
          <w:p w14:paraId="591BC539" w14:textId="77777777" w:rsidR="00B1008F" w:rsidRPr="00786128" w:rsidRDefault="00B1008F"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183B44">
              <w:rPr>
                <w:rFonts w:eastAsia="Times New Roman" w:cs="Arial"/>
                <w:b/>
                <w:bCs/>
                <w:color w:val="FEFFFF" w:themeColor="background1"/>
                <w:sz w:val="20"/>
                <w:szCs w:val="20"/>
                <w:lang w:eastAsia="en-AU"/>
              </w:rPr>
              <w:t>Matters referenced</w:t>
            </w:r>
            <w:r>
              <w:rPr>
                <w:rFonts w:eastAsia="Times New Roman" w:cs="Arial"/>
                <w:b/>
                <w:bCs/>
                <w:color w:val="FEFFFF" w:themeColor="background1"/>
                <w:sz w:val="20"/>
                <w:szCs w:val="20"/>
                <w:lang w:eastAsia="en-AU"/>
              </w:rPr>
              <w:t xml:space="preserve"> (%)</w:t>
            </w:r>
          </w:p>
          <w:p w14:paraId="0AF9EB80" w14:textId="77777777" w:rsidR="00B1008F" w:rsidRPr="00786128" w:rsidRDefault="00B1008F"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b/>
                <w:bCs/>
                <w:color w:val="FEFFFF"/>
                <w:sz w:val="20"/>
                <w:szCs w:val="20"/>
                <w:lang w:eastAsia="en-AU"/>
              </w:rPr>
              <w:t>(n=41)</w:t>
            </w:r>
          </w:p>
        </w:tc>
      </w:tr>
      <w:tr w:rsidR="000B0F39" w:rsidRPr="00786128" w14:paraId="78938246" w14:textId="77777777" w:rsidTr="00B1008F">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63FF0FD1" w14:textId="77777777" w:rsidR="000B0F39" w:rsidRPr="00786128" w:rsidRDefault="000B0F39" w:rsidP="00F010A7">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Supported Independent Living</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4B0EB924" w14:textId="77777777" w:rsidR="000B0F39" w:rsidRPr="00786128" w:rsidRDefault="000B0F39"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2/</w:t>
            </w:r>
            <w:r>
              <w:rPr>
                <w:rFonts w:eastAsia="Times New Roman" w:cs="Arial"/>
                <w:sz w:val="20"/>
                <w:szCs w:val="20"/>
                <w:lang w:eastAsia="en-AU"/>
              </w:rPr>
              <w:t>114</w:t>
            </w:r>
            <w:r w:rsidRPr="00786128">
              <w:rPr>
                <w:rFonts w:eastAsia="Times New Roman" w:cs="Arial"/>
                <w:sz w:val="20"/>
                <w:szCs w:val="20"/>
                <w:lang w:eastAsia="en-AU"/>
              </w:rPr>
              <w:t xml:space="preserve"> (</w:t>
            </w:r>
            <w:r>
              <w:rPr>
                <w:rFonts w:eastAsia="Times New Roman" w:cs="Arial"/>
                <w:sz w:val="20"/>
                <w:szCs w:val="20"/>
                <w:lang w:eastAsia="en-AU"/>
              </w:rPr>
              <w:t>2</w:t>
            </w:r>
            <w:r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0EE1695B" w14:textId="77777777" w:rsidR="000B0F39" w:rsidRPr="00786128" w:rsidRDefault="000B0F39"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0/41 (0%)</w:t>
            </w:r>
          </w:p>
        </w:tc>
      </w:tr>
      <w:tr w:rsidR="000B0F39" w:rsidRPr="00786128" w14:paraId="499BFFC2" w14:textId="77777777" w:rsidTr="00B1008F">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auto"/>
            <w:hideMark/>
          </w:tcPr>
          <w:p w14:paraId="4DF9BCCD" w14:textId="77777777" w:rsidR="000B0F39" w:rsidRPr="00786128" w:rsidRDefault="000B0F39" w:rsidP="00F010A7">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Specialist Disability Accommodation</w:t>
            </w:r>
          </w:p>
        </w:tc>
        <w:tc>
          <w:tcPr>
            <w:tcW w:w="2693" w:type="dxa"/>
            <w:tcBorders>
              <w:top w:val="single" w:sz="6" w:space="0" w:color="595959"/>
              <w:left w:val="single" w:sz="6" w:space="0" w:color="595959"/>
              <w:bottom w:val="single" w:sz="6" w:space="0" w:color="595959"/>
              <w:right w:val="single" w:sz="6" w:space="0" w:color="595959"/>
            </w:tcBorders>
            <w:shd w:val="clear" w:color="auto" w:fill="auto"/>
            <w:hideMark/>
          </w:tcPr>
          <w:p w14:paraId="00CCEA9B" w14:textId="77777777" w:rsidR="000B0F39" w:rsidRPr="00786128" w:rsidRDefault="000B0F39"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Pr>
                <w:rFonts w:eastAsia="Times New Roman" w:cs="Arial"/>
                <w:sz w:val="20"/>
                <w:szCs w:val="20"/>
                <w:lang w:eastAsia="en-AU"/>
              </w:rPr>
              <w:t>7</w:t>
            </w:r>
            <w:r w:rsidRPr="00786128">
              <w:rPr>
                <w:rFonts w:eastAsia="Times New Roman" w:cs="Arial"/>
                <w:sz w:val="20"/>
                <w:szCs w:val="20"/>
                <w:lang w:eastAsia="en-AU"/>
              </w:rPr>
              <w:t>/</w:t>
            </w:r>
            <w:r>
              <w:rPr>
                <w:rFonts w:eastAsia="Times New Roman" w:cs="Arial"/>
                <w:sz w:val="20"/>
                <w:szCs w:val="20"/>
                <w:lang w:eastAsia="en-AU"/>
              </w:rPr>
              <w:t>114</w:t>
            </w:r>
            <w:r w:rsidRPr="00786128">
              <w:rPr>
                <w:rFonts w:eastAsia="Times New Roman" w:cs="Arial"/>
                <w:sz w:val="20"/>
                <w:szCs w:val="20"/>
                <w:lang w:eastAsia="en-AU"/>
              </w:rPr>
              <w:t xml:space="preserve"> (6%)</w:t>
            </w:r>
          </w:p>
        </w:tc>
        <w:tc>
          <w:tcPr>
            <w:tcW w:w="2472" w:type="dxa"/>
            <w:tcBorders>
              <w:top w:val="single" w:sz="6" w:space="0" w:color="595959"/>
              <w:left w:val="single" w:sz="6" w:space="0" w:color="595959"/>
              <w:bottom w:val="single" w:sz="6" w:space="0" w:color="595959"/>
              <w:right w:val="single" w:sz="6" w:space="0" w:color="595959"/>
            </w:tcBorders>
            <w:shd w:val="clear" w:color="auto" w:fill="auto"/>
            <w:hideMark/>
          </w:tcPr>
          <w:p w14:paraId="5050DF86" w14:textId="77777777" w:rsidR="000B0F39" w:rsidRPr="00786128" w:rsidRDefault="000B0F39"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0/41 (0%)</w:t>
            </w:r>
          </w:p>
        </w:tc>
      </w:tr>
      <w:tr w:rsidR="000B0F39" w:rsidRPr="00786128" w14:paraId="45ECD1E0" w14:textId="77777777" w:rsidTr="00B1008F">
        <w:trPr>
          <w:trHeight w:val="300"/>
        </w:trPr>
        <w:tc>
          <w:tcPr>
            <w:tcW w:w="3820" w:type="dxa"/>
            <w:tcBorders>
              <w:top w:val="single" w:sz="6" w:space="0" w:color="595959"/>
              <w:left w:val="single" w:sz="6" w:space="0" w:color="595959"/>
              <w:bottom w:val="single" w:sz="6" w:space="0" w:color="595959"/>
              <w:right w:val="single" w:sz="6" w:space="0" w:color="595959"/>
            </w:tcBorders>
            <w:shd w:val="clear" w:color="auto" w:fill="F7EEF7"/>
            <w:hideMark/>
          </w:tcPr>
          <w:p w14:paraId="00AF7FE2" w14:textId="77777777" w:rsidR="000B0F39" w:rsidRPr="00786128" w:rsidRDefault="000B0F39" w:rsidP="00F010A7">
            <w:pPr>
              <w:keepNext/>
              <w:keepLines/>
              <w:spacing w:before="0" w:after="0" w:line="240" w:lineRule="auto"/>
              <w:contextualSpacing/>
              <w:textAlignment w:val="baseline"/>
              <w:rPr>
                <w:rFonts w:ascii="Times New Roman" w:eastAsia="Times New Roman" w:hAnsi="Times New Roman" w:cs="Times New Roman"/>
                <w:lang w:eastAsia="en-AU"/>
              </w:rPr>
            </w:pPr>
            <w:r w:rsidRPr="00786128">
              <w:rPr>
                <w:rFonts w:eastAsia="Times New Roman" w:cs="Arial"/>
                <w:sz w:val="20"/>
                <w:szCs w:val="20"/>
                <w:lang w:eastAsia="en-AU"/>
              </w:rPr>
              <w:t>Planning</w:t>
            </w:r>
          </w:p>
        </w:tc>
        <w:tc>
          <w:tcPr>
            <w:tcW w:w="2693" w:type="dxa"/>
            <w:tcBorders>
              <w:top w:val="single" w:sz="6" w:space="0" w:color="595959"/>
              <w:left w:val="single" w:sz="6" w:space="0" w:color="595959"/>
              <w:bottom w:val="single" w:sz="6" w:space="0" w:color="595959"/>
              <w:right w:val="single" w:sz="6" w:space="0" w:color="595959"/>
            </w:tcBorders>
            <w:shd w:val="clear" w:color="auto" w:fill="F7EEF7"/>
            <w:hideMark/>
          </w:tcPr>
          <w:p w14:paraId="67C9C2BD" w14:textId="77777777" w:rsidR="000B0F39" w:rsidRPr="00786128" w:rsidRDefault="000B0F39"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4/</w:t>
            </w:r>
            <w:r>
              <w:rPr>
                <w:rFonts w:eastAsia="Times New Roman" w:cs="Arial"/>
                <w:sz w:val="20"/>
                <w:szCs w:val="20"/>
                <w:lang w:eastAsia="en-AU"/>
              </w:rPr>
              <w:t>114</w:t>
            </w:r>
            <w:r w:rsidRPr="00786128">
              <w:rPr>
                <w:rFonts w:eastAsia="Times New Roman" w:cs="Arial"/>
                <w:sz w:val="20"/>
                <w:szCs w:val="20"/>
                <w:lang w:eastAsia="en-AU"/>
              </w:rPr>
              <w:t xml:space="preserve"> (</w:t>
            </w:r>
            <w:r>
              <w:rPr>
                <w:rFonts w:eastAsia="Times New Roman" w:cs="Arial"/>
                <w:sz w:val="20"/>
                <w:szCs w:val="20"/>
                <w:lang w:eastAsia="en-AU"/>
              </w:rPr>
              <w:t>4</w:t>
            </w:r>
            <w:r w:rsidRPr="00786128">
              <w:rPr>
                <w:rFonts w:eastAsia="Times New Roman" w:cs="Arial"/>
                <w:sz w:val="20"/>
                <w:szCs w:val="20"/>
                <w:lang w:eastAsia="en-AU"/>
              </w:rPr>
              <w:t>%)</w:t>
            </w:r>
          </w:p>
        </w:tc>
        <w:tc>
          <w:tcPr>
            <w:tcW w:w="2472" w:type="dxa"/>
            <w:tcBorders>
              <w:top w:val="single" w:sz="6" w:space="0" w:color="595959"/>
              <w:left w:val="single" w:sz="6" w:space="0" w:color="595959"/>
              <w:bottom w:val="single" w:sz="6" w:space="0" w:color="595959"/>
              <w:right w:val="single" w:sz="6" w:space="0" w:color="595959"/>
            </w:tcBorders>
            <w:shd w:val="clear" w:color="auto" w:fill="F7EEF7"/>
            <w:hideMark/>
          </w:tcPr>
          <w:p w14:paraId="4240AAFF" w14:textId="77777777" w:rsidR="000B0F39" w:rsidRPr="00786128" w:rsidRDefault="000B0F39" w:rsidP="00F010A7">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786128">
              <w:rPr>
                <w:rFonts w:eastAsia="Times New Roman" w:cs="Arial"/>
                <w:sz w:val="20"/>
                <w:szCs w:val="20"/>
                <w:lang w:eastAsia="en-AU"/>
              </w:rPr>
              <w:t>0/41 (0%)</w:t>
            </w:r>
          </w:p>
        </w:tc>
      </w:tr>
    </w:tbl>
    <w:p w14:paraId="75AEA130" w14:textId="77777777" w:rsidR="00EB59E5" w:rsidRPr="00183B44" w:rsidRDefault="00EB59E5" w:rsidP="00F010A7">
      <w:pPr>
        <w:keepNext/>
        <w:keepLines/>
        <w:spacing w:before="60" w:line="240" w:lineRule="auto"/>
        <w:textAlignment w:val="baseline"/>
        <w:rPr>
          <w:rFonts w:eastAsia="Times New Roman" w:cs="Arial"/>
          <w:szCs w:val="22"/>
          <w:lang w:eastAsia="en-AU"/>
        </w:rPr>
      </w:pPr>
      <w:r w:rsidRPr="00183B44">
        <w:rPr>
          <w:rFonts w:eastAsia="Times New Roman" w:cs="Arial"/>
          <w:szCs w:val="22"/>
          <w:lang w:eastAsia="en-AU"/>
        </w:rPr>
        <w:t>Source: Research and Evaluation Branch analysis of final IER and AAT decisions.</w:t>
      </w:r>
    </w:p>
    <w:p w14:paraId="502B609A" w14:textId="4EA23B31" w:rsidR="005366E8" w:rsidRDefault="005366E8" w:rsidP="002E37DB">
      <w:pPr>
        <w:pStyle w:val="Heading3"/>
      </w:pPr>
      <w:bookmarkStart w:id="95" w:name="_Toc142918599"/>
      <w:r>
        <w:t xml:space="preserve">Recommendations by </w:t>
      </w:r>
      <w:r w:rsidR="009A6017">
        <w:t xml:space="preserve">independent experts </w:t>
      </w:r>
      <w:r w:rsidR="00EA079E">
        <w:t xml:space="preserve">compared to </w:t>
      </w:r>
      <w:r w:rsidR="0028737E">
        <w:t>AAT hearing decisions</w:t>
      </w:r>
      <w:bookmarkEnd w:id="95"/>
    </w:p>
    <w:p w14:paraId="1B1A2DE0" w14:textId="7F223AD6" w:rsidR="00C36A94" w:rsidRPr="007D5F1A" w:rsidRDefault="00122E6D" w:rsidP="006A1186">
      <w:r w:rsidRPr="007D5F1A">
        <w:rPr>
          <w:lang w:eastAsia="en-AU"/>
        </w:rPr>
        <w:fldChar w:fldCharType="begin"/>
      </w:r>
      <w:r w:rsidRPr="007D5F1A">
        <w:rPr>
          <w:lang w:eastAsia="en-AU"/>
        </w:rPr>
        <w:instrText xml:space="preserve"> REF _Ref135730398 \h </w:instrText>
      </w:r>
      <w:r w:rsidR="007D5F1A">
        <w:rPr>
          <w:lang w:eastAsia="en-AU"/>
        </w:rPr>
        <w:instrText xml:space="preserve"> \* MERGEFORMAT </w:instrText>
      </w:r>
      <w:r w:rsidRPr="007D5F1A">
        <w:rPr>
          <w:lang w:eastAsia="en-AU"/>
        </w:rPr>
      </w:r>
      <w:r w:rsidRPr="007D5F1A">
        <w:rPr>
          <w:lang w:eastAsia="en-AU"/>
        </w:rPr>
        <w:fldChar w:fldCharType="separate"/>
      </w:r>
      <w:r w:rsidR="000F1876" w:rsidRPr="0044219C">
        <w:t xml:space="preserve">Figure </w:t>
      </w:r>
      <w:r w:rsidR="000F1876">
        <w:rPr>
          <w:noProof/>
        </w:rPr>
        <w:t>6</w:t>
      </w:r>
      <w:r w:rsidRPr="007D5F1A">
        <w:rPr>
          <w:lang w:eastAsia="en-AU"/>
        </w:rPr>
        <w:fldChar w:fldCharType="end"/>
      </w:r>
      <w:r w:rsidR="00545EAD" w:rsidRPr="007D5F1A">
        <w:rPr>
          <w:lang w:eastAsia="en-AU"/>
        </w:rPr>
        <w:t xml:space="preserve"> </w:t>
      </w:r>
      <w:r w:rsidR="00DE5F1D" w:rsidRPr="007D5F1A">
        <w:rPr>
          <w:lang w:eastAsia="en-AU"/>
        </w:rPr>
        <w:t xml:space="preserve">compares </w:t>
      </w:r>
      <w:r w:rsidR="00D3405F" w:rsidRPr="007D5F1A">
        <w:rPr>
          <w:lang w:eastAsia="en-AU"/>
        </w:rPr>
        <w:t xml:space="preserve">the </w:t>
      </w:r>
      <w:r w:rsidR="007A49C8" w:rsidRPr="007D5F1A">
        <w:rPr>
          <w:lang w:eastAsia="en-AU"/>
        </w:rPr>
        <w:t xml:space="preserve">recommendations from independent experts of the IERP with </w:t>
      </w:r>
      <w:r w:rsidR="0076104F" w:rsidRPr="007D5F1A">
        <w:rPr>
          <w:lang w:eastAsia="en-AU"/>
        </w:rPr>
        <w:t>a</w:t>
      </w:r>
      <w:r w:rsidR="007A49C8" w:rsidRPr="007D5F1A">
        <w:rPr>
          <w:lang w:eastAsia="en-AU"/>
        </w:rPr>
        <w:t xml:space="preserve"> comparison sample of decision</w:t>
      </w:r>
      <w:r w:rsidR="0076104F" w:rsidRPr="007D5F1A">
        <w:rPr>
          <w:lang w:eastAsia="en-AU"/>
        </w:rPr>
        <w:t>s</w:t>
      </w:r>
      <w:r w:rsidR="007A49C8" w:rsidRPr="007D5F1A">
        <w:rPr>
          <w:lang w:eastAsia="en-AU"/>
        </w:rPr>
        <w:t xml:space="preserve"> made at AAT hearings</w:t>
      </w:r>
      <w:r w:rsidR="00F1156A" w:rsidRPr="007D5F1A">
        <w:rPr>
          <w:rStyle w:val="FootnoteReference"/>
          <w:lang w:eastAsia="en-AU"/>
        </w:rPr>
        <w:footnoteReference w:id="25"/>
      </w:r>
      <w:r w:rsidR="007A49C8" w:rsidRPr="007D5F1A">
        <w:rPr>
          <w:lang w:eastAsia="en-AU"/>
        </w:rPr>
        <w:t>.</w:t>
      </w:r>
      <w:r w:rsidR="001D4439" w:rsidRPr="007D5F1A">
        <w:rPr>
          <w:lang w:eastAsia="en-AU"/>
        </w:rPr>
        <w:t xml:space="preserve"> </w:t>
      </w:r>
      <w:r w:rsidR="00B03DBE" w:rsidRPr="007D5F1A">
        <w:rPr>
          <w:rFonts w:asciiTheme="minorHAnsi" w:hAnsiTheme="minorHAnsi" w:cstheme="minorHAnsi"/>
          <w:szCs w:val="22"/>
          <w:lang w:eastAsia="en-AU"/>
        </w:rPr>
        <w:t xml:space="preserve">Noting the small sample size, independent experts </w:t>
      </w:r>
      <w:r w:rsidR="00453978" w:rsidRPr="007D5F1A">
        <w:rPr>
          <w:rFonts w:asciiTheme="minorHAnsi" w:hAnsiTheme="minorHAnsi" w:cstheme="minorHAnsi"/>
          <w:szCs w:val="22"/>
          <w:lang w:eastAsia="en-AU"/>
        </w:rPr>
        <w:t>have recommended in</w:t>
      </w:r>
      <w:r w:rsidR="001D4439" w:rsidRPr="007D5F1A">
        <w:rPr>
          <w:lang w:eastAsia="en-AU"/>
        </w:rPr>
        <w:t xml:space="preserve"> favour of the participant</w:t>
      </w:r>
      <w:r w:rsidR="00453978" w:rsidRPr="007D5F1A">
        <w:rPr>
          <w:lang w:eastAsia="en-AU"/>
        </w:rPr>
        <w:t xml:space="preserve"> (i.e</w:t>
      </w:r>
      <w:r w:rsidR="00D50759" w:rsidRPr="007D5F1A">
        <w:rPr>
          <w:lang w:eastAsia="en-AU"/>
        </w:rPr>
        <w:t>.,</w:t>
      </w:r>
      <w:r w:rsidR="00453978" w:rsidRPr="007D5F1A">
        <w:rPr>
          <w:lang w:eastAsia="en-AU"/>
        </w:rPr>
        <w:t xml:space="preserve"> </w:t>
      </w:r>
      <w:r w:rsidR="003C4076" w:rsidRPr="007D5F1A">
        <w:rPr>
          <w:lang w:eastAsia="en-AU"/>
        </w:rPr>
        <w:t>accepted</w:t>
      </w:r>
      <w:r w:rsidR="00453978" w:rsidRPr="007D5F1A">
        <w:rPr>
          <w:lang w:eastAsia="en-AU"/>
        </w:rPr>
        <w:t xml:space="preserve"> the participant’s request) at around twice the rate of the AAT (</w:t>
      </w:r>
      <w:r w:rsidR="00821E9D" w:rsidRPr="007D5F1A">
        <w:rPr>
          <w:lang w:eastAsia="en-AU"/>
        </w:rPr>
        <w:t xml:space="preserve">fully </w:t>
      </w:r>
      <w:r w:rsidR="003C4076" w:rsidRPr="007D5F1A">
        <w:rPr>
          <w:lang w:eastAsia="en-AU"/>
        </w:rPr>
        <w:t>accepted</w:t>
      </w:r>
      <w:r w:rsidR="00821E9D" w:rsidRPr="007D5F1A">
        <w:rPr>
          <w:lang w:eastAsia="en-AU"/>
        </w:rPr>
        <w:t xml:space="preserve"> </w:t>
      </w:r>
      <w:r w:rsidR="00453978" w:rsidRPr="007D5F1A">
        <w:rPr>
          <w:lang w:eastAsia="en-AU"/>
        </w:rPr>
        <w:t>36% c.f. 17%</w:t>
      </w:r>
      <w:r w:rsidR="00821E9D" w:rsidRPr="007D5F1A">
        <w:rPr>
          <w:lang w:eastAsia="en-AU"/>
        </w:rPr>
        <w:t xml:space="preserve"> and partially </w:t>
      </w:r>
      <w:r w:rsidR="003C4076" w:rsidRPr="007D5F1A">
        <w:rPr>
          <w:lang w:eastAsia="en-AU"/>
        </w:rPr>
        <w:t>accepted</w:t>
      </w:r>
      <w:r w:rsidR="00821E9D" w:rsidRPr="007D5F1A">
        <w:rPr>
          <w:lang w:eastAsia="en-AU"/>
        </w:rPr>
        <w:t xml:space="preserve"> </w:t>
      </w:r>
      <w:r w:rsidR="00CB413B" w:rsidRPr="007D5F1A">
        <w:rPr>
          <w:lang w:eastAsia="en-AU"/>
        </w:rPr>
        <w:t>3</w:t>
      </w:r>
      <w:r w:rsidR="00606866" w:rsidRPr="007D5F1A">
        <w:rPr>
          <w:lang w:eastAsia="en-AU"/>
        </w:rPr>
        <w:t>5</w:t>
      </w:r>
      <w:r w:rsidR="00CB413B" w:rsidRPr="007D5F1A">
        <w:rPr>
          <w:lang w:eastAsia="en-AU"/>
        </w:rPr>
        <w:t>% c.f. 17%).</w:t>
      </w:r>
      <w:r w:rsidR="002846AC" w:rsidRPr="007D5F1A">
        <w:rPr>
          <w:lang w:eastAsia="en-AU"/>
        </w:rPr>
        <w:t xml:space="preserve"> The AAT </w:t>
      </w:r>
      <w:r w:rsidR="006E26F9" w:rsidRPr="007D5F1A">
        <w:rPr>
          <w:lang w:eastAsia="en-AU"/>
        </w:rPr>
        <w:t>declined</w:t>
      </w:r>
      <w:r w:rsidR="002846AC" w:rsidRPr="007D5F1A">
        <w:rPr>
          <w:lang w:eastAsia="en-AU"/>
        </w:rPr>
        <w:t xml:space="preserve"> the participant’s request in 56% of the matters compared </w:t>
      </w:r>
      <w:r w:rsidR="003C4076" w:rsidRPr="007D5F1A">
        <w:rPr>
          <w:lang w:eastAsia="en-AU"/>
        </w:rPr>
        <w:t>to</w:t>
      </w:r>
      <w:r w:rsidR="002846AC" w:rsidRPr="007D5F1A">
        <w:rPr>
          <w:lang w:eastAsia="en-AU"/>
        </w:rPr>
        <w:t xml:space="preserve"> </w:t>
      </w:r>
      <w:r w:rsidR="00D43D6E" w:rsidRPr="007D5F1A">
        <w:rPr>
          <w:lang w:eastAsia="en-AU"/>
        </w:rPr>
        <w:t>1</w:t>
      </w:r>
      <w:r w:rsidR="00606866" w:rsidRPr="007D5F1A">
        <w:rPr>
          <w:lang w:eastAsia="en-AU"/>
        </w:rPr>
        <w:t>8</w:t>
      </w:r>
      <w:r w:rsidR="00D43D6E" w:rsidRPr="007D5F1A">
        <w:rPr>
          <w:lang w:eastAsia="en-AU"/>
        </w:rPr>
        <w:t>% by independent experts.</w:t>
      </w:r>
      <w:r w:rsidR="000708C8" w:rsidRPr="007D5F1A">
        <w:rPr>
          <w:lang w:eastAsia="en-AU"/>
        </w:rPr>
        <w:t xml:space="preserve"> The rate of non-decision is comparable</w:t>
      </w:r>
      <w:r w:rsidR="00425B82" w:rsidRPr="007D5F1A">
        <w:rPr>
          <w:lang w:eastAsia="en-AU"/>
        </w:rPr>
        <w:t xml:space="preserve">, most commonly </w:t>
      </w:r>
      <w:r w:rsidR="003C4076" w:rsidRPr="007D5F1A">
        <w:rPr>
          <w:lang w:eastAsia="en-AU"/>
        </w:rPr>
        <w:t xml:space="preserve">occurring </w:t>
      </w:r>
      <w:r w:rsidR="00FD2016" w:rsidRPr="007D5F1A">
        <w:rPr>
          <w:lang w:eastAsia="en-AU"/>
        </w:rPr>
        <w:t xml:space="preserve">for matters seen as </w:t>
      </w:r>
      <w:r w:rsidR="006A1186" w:rsidRPr="007D5F1A">
        <w:t xml:space="preserve">out of scope or best deferred until other </w:t>
      </w:r>
      <w:r w:rsidR="00FD2016" w:rsidRPr="007D5F1A">
        <w:t xml:space="preserve">matters </w:t>
      </w:r>
      <w:r w:rsidR="00C36A94" w:rsidRPr="007D5F1A">
        <w:t>are</w:t>
      </w:r>
      <w:r w:rsidR="006A1186" w:rsidRPr="007D5F1A">
        <w:t xml:space="preserve"> addressed</w:t>
      </w:r>
      <w:r w:rsidR="00FD2016" w:rsidRPr="007D5F1A">
        <w:t>.</w:t>
      </w:r>
      <w:r w:rsidR="002763CC" w:rsidRPr="007D5F1A">
        <w:t xml:space="preserve"> </w:t>
      </w:r>
    </w:p>
    <w:p w14:paraId="4C547244" w14:textId="25CDF5B9" w:rsidR="00545EAD" w:rsidRPr="0044219C" w:rsidRDefault="00020CC6" w:rsidP="00A86241">
      <w:pPr>
        <w:pStyle w:val="Caption-H4"/>
        <w:rPr>
          <w:lang w:eastAsia="en-AU"/>
        </w:rPr>
      </w:pPr>
      <w:bookmarkStart w:id="96" w:name="_Ref135730398"/>
      <w:r w:rsidRPr="0044219C">
        <w:lastRenderedPageBreak/>
        <w:t xml:space="preserve">Figure </w:t>
      </w:r>
      <w:r w:rsidRPr="00325FD3">
        <w:fldChar w:fldCharType="begin"/>
      </w:r>
      <w:r w:rsidRPr="0044219C">
        <w:instrText>SEQ Figure \* ARABIC</w:instrText>
      </w:r>
      <w:r w:rsidRPr="00325FD3">
        <w:fldChar w:fldCharType="separate"/>
      </w:r>
      <w:r w:rsidR="000F1876">
        <w:rPr>
          <w:noProof/>
        </w:rPr>
        <w:t>6</w:t>
      </w:r>
      <w:r w:rsidRPr="00325FD3">
        <w:fldChar w:fldCharType="end"/>
      </w:r>
      <w:bookmarkEnd w:id="96"/>
      <w:r w:rsidR="00545EAD" w:rsidRPr="0044219C">
        <w:rPr>
          <w:lang w:eastAsia="en-AU"/>
        </w:rPr>
        <w:t xml:space="preserve">: </w:t>
      </w:r>
      <w:r w:rsidR="009F5DBB" w:rsidRPr="0044219C">
        <w:rPr>
          <w:lang w:eastAsia="en-AU"/>
        </w:rPr>
        <w:t xml:space="preserve">Comparison of IERP </w:t>
      </w:r>
      <w:r w:rsidR="00C65508" w:rsidRPr="0044219C">
        <w:rPr>
          <w:lang w:eastAsia="en-AU"/>
        </w:rPr>
        <w:t xml:space="preserve">planning </w:t>
      </w:r>
      <w:r w:rsidR="00545EAD" w:rsidRPr="0044219C">
        <w:rPr>
          <w:lang w:eastAsia="en-AU"/>
        </w:rPr>
        <w:t>recommendations and AAT decisions</w:t>
      </w:r>
    </w:p>
    <w:p w14:paraId="4FF94920" w14:textId="2977278B" w:rsidR="00DB1B5E" w:rsidRPr="004969A1" w:rsidRDefault="00DB1B5E" w:rsidP="00D32E6F">
      <w:pPr>
        <w:spacing w:before="0" w:after="0"/>
        <w:rPr>
          <w:lang w:eastAsia="en-AU"/>
        </w:rPr>
      </w:pPr>
      <w:r>
        <w:rPr>
          <w:noProof/>
        </w:rPr>
        <w:drawing>
          <wp:inline distT="0" distB="0" distL="0" distR="0" wp14:anchorId="5B34CDF2" wp14:editId="754536DB">
            <wp:extent cx="5295900" cy="2333625"/>
            <wp:effectExtent l="0" t="0" r="0" b="0"/>
            <wp:docPr id="13" name="Chart 13" descr="Figure shows the comparison of IERP planning recommendations and AAT decisions. &#10;Figure is a vertical bar chart that shows the percentage of recommendations either recommended, partially recommended, not recommended, and no decision given at either the AAT (hearing decision) or at IER phase 1.&#10;There are 4 pairs of graphs, each pair comprises 1 bar representing AAT – hearing decision (n=41) and IER phase 1 (n=114). &#10;Results show that independent experts have recommended in favour of the participant at around twice the rate of the AAT.&#10;Results:&#10;Recommended.&#10;AAT - hearing decision, 17%.&#10;IER phase 1, 36%.&#10;&#10;Partially recommended.&#10;AAT - hearing decision, 17%.&#10;IER phase 1, 35%.&#10;&#10;Not recommended.&#10;AAT - hearing decision, 56%.&#10;IER phase 1, 18%.&#10;&#10;No decision. &#10;AAT - hearing decision, 10%.&#10;IER phase 1, 1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2E4ABE" w14:textId="45C75E17" w:rsidR="00545EAD" w:rsidRPr="00325FD3" w:rsidRDefault="00545EAD" w:rsidP="00F5706F">
      <w:pPr>
        <w:keepNext/>
        <w:keepLines/>
        <w:spacing w:before="0" w:after="200"/>
        <w:textAlignment w:val="baseline"/>
        <w:rPr>
          <w:rFonts w:ascii="Segoe UI" w:eastAsia="Times New Roman" w:hAnsi="Segoe UI" w:cs="Segoe UI"/>
          <w:szCs w:val="22"/>
          <w:lang w:eastAsia="en-AU"/>
        </w:rPr>
      </w:pPr>
      <w:r w:rsidRPr="00325FD3">
        <w:rPr>
          <w:rFonts w:eastAsia="Times New Roman" w:cs="Arial"/>
          <w:szCs w:val="22"/>
          <w:lang w:eastAsia="en-AU"/>
        </w:rPr>
        <w:t xml:space="preserve">Source: Research and Evaluation Branch analysis of </w:t>
      </w:r>
      <w:r w:rsidR="009A6017" w:rsidRPr="00325FD3">
        <w:rPr>
          <w:rFonts w:eastAsia="Times New Roman" w:cs="Arial"/>
          <w:szCs w:val="22"/>
          <w:lang w:eastAsia="en-AU"/>
        </w:rPr>
        <w:t>IERP recommendations</w:t>
      </w:r>
      <w:r w:rsidRPr="00325FD3">
        <w:rPr>
          <w:rFonts w:eastAsia="Times New Roman" w:cs="Arial"/>
          <w:szCs w:val="22"/>
          <w:lang w:eastAsia="en-AU"/>
        </w:rPr>
        <w:t xml:space="preserve"> and AAT decisions. Data includes AAT matters closed </w:t>
      </w:r>
      <w:r w:rsidR="00993FF4" w:rsidRPr="00325FD3">
        <w:rPr>
          <w:rFonts w:eastAsia="Times New Roman" w:cs="Arial"/>
          <w:szCs w:val="22"/>
          <w:lang w:eastAsia="en-AU"/>
        </w:rPr>
        <w:t>between Jul 20</w:t>
      </w:r>
      <w:r w:rsidR="00662962" w:rsidRPr="00325FD3">
        <w:rPr>
          <w:rFonts w:eastAsia="Times New Roman" w:cs="Arial"/>
          <w:szCs w:val="22"/>
          <w:lang w:eastAsia="en-AU"/>
        </w:rPr>
        <w:t>2</w:t>
      </w:r>
      <w:r w:rsidRPr="00325FD3">
        <w:rPr>
          <w:rFonts w:eastAsia="Times New Roman" w:cs="Arial"/>
          <w:szCs w:val="22"/>
          <w:lang w:eastAsia="en-AU"/>
        </w:rPr>
        <w:t>2</w:t>
      </w:r>
      <w:r w:rsidR="00993FF4" w:rsidRPr="00325FD3">
        <w:rPr>
          <w:rFonts w:eastAsia="Times New Roman" w:cs="Arial"/>
          <w:szCs w:val="22"/>
          <w:lang w:eastAsia="en-AU"/>
        </w:rPr>
        <w:t xml:space="preserve"> and Jan 2023</w:t>
      </w:r>
      <w:r w:rsidRPr="00325FD3">
        <w:rPr>
          <w:rFonts w:eastAsia="Times New Roman" w:cs="Arial"/>
          <w:szCs w:val="22"/>
          <w:lang w:eastAsia="en-AU"/>
        </w:rPr>
        <w:t xml:space="preserve"> and IER matters closed </w:t>
      </w:r>
      <w:r w:rsidR="00993FF4" w:rsidRPr="00325FD3">
        <w:rPr>
          <w:rFonts w:eastAsia="Times New Roman" w:cs="Arial"/>
          <w:szCs w:val="22"/>
          <w:lang w:eastAsia="en-AU"/>
        </w:rPr>
        <w:t>between Sep 2022 and Jan 2023</w:t>
      </w:r>
      <w:r w:rsidR="009F5DBB" w:rsidRPr="00325FD3">
        <w:rPr>
          <w:rFonts w:eastAsia="Times New Roman" w:cs="Arial"/>
          <w:szCs w:val="22"/>
          <w:lang w:eastAsia="en-AU"/>
        </w:rPr>
        <w:t>.</w:t>
      </w:r>
    </w:p>
    <w:p w14:paraId="06AF14AC" w14:textId="651F4565" w:rsidR="00D77F98" w:rsidRDefault="00820C5B" w:rsidP="008D20B8">
      <w:pPr>
        <w:rPr>
          <w:lang w:eastAsia="en-AU"/>
        </w:rPr>
      </w:pPr>
      <w:r>
        <w:rPr>
          <w:highlight w:val="yellow"/>
          <w:lang w:eastAsia="en-AU"/>
        </w:rPr>
        <w:fldChar w:fldCharType="begin"/>
      </w:r>
      <w:r>
        <w:rPr>
          <w:lang w:eastAsia="en-AU"/>
        </w:rPr>
        <w:instrText xml:space="preserve"> REF _Ref134453358 \h </w:instrText>
      </w:r>
      <w:r>
        <w:rPr>
          <w:highlight w:val="yellow"/>
          <w:lang w:eastAsia="en-AU"/>
        </w:rPr>
      </w:r>
      <w:r>
        <w:rPr>
          <w:highlight w:val="yellow"/>
          <w:lang w:eastAsia="en-AU"/>
        </w:rPr>
        <w:fldChar w:fldCharType="separate"/>
      </w:r>
      <w:r w:rsidR="000F1876" w:rsidRPr="00325FD3">
        <w:t xml:space="preserve">Figure </w:t>
      </w:r>
      <w:r w:rsidR="000F1876">
        <w:rPr>
          <w:noProof/>
        </w:rPr>
        <w:t>7</w:t>
      </w:r>
      <w:r>
        <w:rPr>
          <w:highlight w:val="yellow"/>
          <w:lang w:eastAsia="en-AU"/>
        </w:rPr>
        <w:fldChar w:fldCharType="end"/>
      </w:r>
      <w:r w:rsidR="006E26F9">
        <w:rPr>
          <w:lang w:eastAsia="en-AU"/>
        </w:rPr>
        <w:t xml:space="preserve"> compares the percentage of recommendations to </w:t>
      </w:r>
      <w:r w:rsidR="003C45BC">
        <w:rPr>
          <w:lang w:eastAsia="en-AU"/>
        </w:rPr>
        <w:t>grant</w:t>
      </w:r>
      <w:r w:rsidR="006E26F9">
        <w:rPr>
          <w:lang w:eastAsia="en-AU"/>
        </w:rPr>
        <w:t xml:space="preserve"> and decline the participant’s </w:t>
      </w:r>
      <w:r w:rsidR="00B12166">
        <w:rPr>
          <w:lang w:eastAsia="en-AU"/>
        </w:rPr>
        <w:t>request between independent experts with legal and non-legal backgrounds.</w:t>
      </w:r>
      <w:r w:rsidR="002D0474">
        <w:rPr>
          <w:lang w:eastAsia="en-AU"/>
        </w:rPr>
        <w:t xml:space="preserve"> </w:t>
      </w:r>
      <w:r w:rsidR="00543866">
        <w:rPr>
          <w:lang w:eastAsia="en-AU"/>
        </w:rPr>
        <w:t>Of</w:t>
      </w:r>
      <w:r w:rsidR="002D0474">
        <w:rPr>
          <w:lang w:eastAsia="en-AU"/>
        </w:rPr>
        <w:t xml:space="preserve"> </w:t>
      </w:r>
      <w:r w:rsidR="00CA1F10">
        <w:rPr>
          <w:lang w:eastAsia="en-AU"/>
        </w:rPr>
        <w:t>the 1</w:t>
      </w:r>
      <w:r w:rsidR="0038670C">
        <w:rPr>
          <w:lang w:eastAsia="en-AU"/>
        </w:rPr>
        <w:t>7</w:t>
      </w:r>
      <w:r w:rsidR="00CA1F10">
        <w:rPr>
          <w:lang w:eastAsia="en-AU"/>
        </w:rPr>
        <w:t xml:space="preserve"> </w:t>
      </w:r>
      <w:r w:rsidR="0066263E">
        <w:rPr>
          <w:lang w:eastAsia="en-AU"/>
        </w:rPr>
        <w:t xml:space="preserve">IERP </w:t>
      </w:r>
      <w:r w:rsidR="006106EE">
        <w:rPr>
          <w:lang w:eastAsia="en-AU"/>
        </w:rPr>
        <w:t>independent experts</w:t>
      </w:r>
      <w:r w:rsidR="00CA1F10">
        <w:rPr>
          <w:lang w:eastAsia="en-AU"/>
        </w:rPr>
        <w:t xml:space="preserve">, </w:t>
      </w:r>
      <w:r w:rsidR="006073A6">
        <w:rPr>
          <w:lang w:eastAsia="en-AU"/>
        </w:rPr>
        <w:t>1</w:t>
      </w:r>
      <w:r w:rsidR="00063FE1">
        <w:rPr>
          <w:lang w:eastAsia="en-AU"/>
        </w:rPr>
        <w:t>2</w:t>
      </w:r>
      <w:r w:rsidR="006073A6">
        <w:rPr>
          <w:lang w:eastAsia="en-AU"/>
        </w:rPr>
        <w:t xml:space="preserve"> have a legal background </w:t>
      </w:r>
      <w:r w:rsidR="00D869D6">
        <w:rPr>
          <w:lang w:eastAsia="en-AU"/>
        </w:rPr>
        <w:t xml:space="preserve">with </w:t>
      </w:r>
      <w:r w:rsidR="000565D6">
        <w:rPr>
          <w:lang w:eastAsia="en-AU"/>
        </w:rPr>
        <w:t>most</w:t>
      </w:r>
      <w:r w:rsidR="00D869D6">
        <w:rPr>
          <w:lang w:eastAsia="en-AU"/>
        </w:rPr>
        <w:t xml:space="preserve"> </w:t>
      </w:r>
      <w:r w:rsidR="007F114F">
        <w:rPr>
          <w:lang w:eastAsia="en-AU"/>
        </w:rPr>
        <w:t>either</w:t>
      </w:r>
      <w:r w:rsidR="00D869D6">
        <w:rPr>
          <w:lang w:eastAsia="en-AU"/>
        </w:rPr>
        <w:t xml:space="preserve"> </w:t>
      </w:r>
      <w:r w:rsidR="00C02A75">
        <w:rPr>
          <w:lang w:eastAsia="en-AU"/>
        </w:rPr>
        <w:t>a current or retried</w:t>
      </w:r>
      <w:r w:rsidR="00D869D6">
        <w:rPr>
          <w:lang w:eastAsia="en-AU"/>
        </w:rPr>
        <w:t xml:space="preserve"> lawyer or </w:t>
      </w:r>
      <w:r w:rsidR="007F114F">
        <w:rPr>
          <w:lang w:eastAsia="en-AU"/>
        </w:rPr>
        <w:t xml:space="preserve">a </w:t>
      </w:r>
      <w:r w:rsidR="00C02A75">
        <w:rPr>
          <w:lang w:eastAsia="en-AU"/>
        </w:rPr>
        <w:t>barrister</w:t>
      </w:r>
      <w:r w:rsidR="0017772F">
        <w:rPr>
          <w:lang w:eastAsia="en-AU"/>
        </w:rPr>
        <w:t>.</w:t>
      </w:r>
      <w:r w:rsidR="002800C5">
        <w:rPr>
          <w:lang w:eastAsia="en-AU"/>
        </w:rPr>
        <w:t xml:space="preserve"> </w:t>
      </w:r>
    </w:p>
    <w:p w14:paraId="45200854" w14:textId="48267A58" w:rsidR="005606C4" w:rsidRDefault="00943396" w:rsidP="008D20B8">
      <w:pPr>
        <w:rPr>
          <w:lang w:eastAsia="en-AU"/>
        </w:rPr>
      </w:pPr>
      <w:r>
        <w:rPr>
          <w:lang w:eastAsia="en-AU"/>
        </w:rPr>
        <w:t xml:space="preserve">As of </w:t>
      </w:r>
      <w:r w:rsidR="006F4C43">
        <w:rPr>
          <w:lang w:eastAsia="en-AU"/>
        </w:rPr>
        <w:t xml:space="preserve">31 </w:t>
      </w:r>
      <w:r w:rsidR="00A624E2">
        <w:rPr>
          <w:lang w:eastAsia="en-AU"/>
        </w:rPr>
        <w:t>January 2023</w:t>
      </w:r>
      <w:r w:rsidR="00DC2883">
        <w:rPr>
          <w:lang w:eastAsia="en-AU"/>
        </w:rPr>
        <w:t xml:space="preserve">, independent experts </w:t>
      </w:r>
      <w:r w:rsidR="001E23CD">
        <w:rPr>
          <w:lang w:eastAsia="en-AU"/>
        </w:rPr>
        <w:t>within the IER</w:t>
      </w:r>
      <w:r w:rsidR="00771E77">
        <w:rPr>
          <w:lang w:eastAsia="en-AU"/>
        </w:rPr>
        <w:t>P</w:t>
      </w:r>
      <w:r w:rsidR="00DC2883">
        <w:rPr>
          <w:lang w:eastAsia="en-AU"/>
        </w:rPr>
        <w:t xml:space="preserve"> with a non-legal background </w:t>
      </w:r>
      <w:r w:rsidR="00685DEB">
        <w:rPr>
          <w:lang w:eastAsia="en-AU"/>
        </w:rPr>
        <w:t>we</w:t>
      </w:r>
      <w:r w:rsidR="00775F0C">
        <w:rPr>
          <w:lang w:eastAsia="en-AU"/>
        </w:rPr>
        <w:t xml:space="preserve">re more likely to </w:t>
      </w:r>
      <w:r w:rsidR="005224FD">
        <w:rPr>
          <w:lang w:eastAsia="en-AU"/>
        </w:rPr>
        <w:t>recommend</w:t>
      </w:r>
      <w:r w:rsidR="00775F0C">
        <w:rPr>
          <w:lang w:eastAsia="en-AU"/>
        </w:rPr>
        <w:t xml:space="preserve"> </w:t>
      </w:r>
      <w:r w:rsidR="005A2748">
        <w:rPr>
          <w:lang w:eastAsia="en-AU"/>
        </w:rPr>
        <w:t xml:space="preserve">the participant’s request compared to </w:t>
      </w:r>
      <w:r w:rsidR="00BE2D19">
        <w:rPr>
          <w:lang w:eastAsia="en-AU"/>
        </w:rPr>
        <w:t>t</w:t>
      </w:r>
      <w:r w:rsidR="00D8524F">
        <w:rPr>
          <w:lang w:eastAsia="en-AU"/>
        </w:rPr>
        <w:t>hose</w:t>
      </w:r>
      <w:r w:rsidR="00FE76F0">
        <w:rPr>
          <w:lang w:eastAsia="en-AU"/>
        </w:rPr>
        <w:t xml:space="preserve"> with </w:t>
      </w:r>
      <w:r w:rsidR="00BE2D19">
        <w:rPr>
          <w:lang w:eastAsia="en-AU"/>
        </w:rPr>
        <w:t>a</w:t>
      </w:r>
      <w:r w:rsidR="00FE76F0">
        <w:rPr>
          <w:lang w:eastAsia="en-AU"/>
        </w:rPr>
        <w:t xml:space="preserve"> </w:t>
      </w:r>
      <w:r w:rsidR="005067C1">
        <w:rPr>
          <w:lang w:eastAsia="en-AU"/>
        </w:rPr>
        <w:t>legal background</w:t>
      </w:r>
      <w:r w:rsidR="00B06F1C">
        <w:rPr>
          <w:lang w:eastAsia="en-AU"/>
        </w:rPr>
        <w:t xml:space="preserve"> (</w:t>
      </w:r>
      <w:r w:rsidR="00275796">
        <w:rPr>
          <w:lang w:eastAsia="en-AU"/>
        </w:rPr>
        <w:t xml:space="preserve">45% c.f. 30%). Independent experts with a legal background were </w:t>
      </w:r>
      <w:r w:rsidR="005067C1">
        <w:rPr>
          <w:lang w:eastAsia="en-AU"/>
        </w:rPr>
        <w:t xml:space="preserve">more likely </w:t>
      </w:r>
      <w:r w:rsidR="006B721F">
        <w:rPr>
          <w:lang w:eastAsia="en-AU"/>
        </w:rPr>
        <w:t>t</w:t>
      </w:r>
      <w:r w:rsidR="005067C1">
        <w:rPr>
          <w:lang w:eastAsia="en-AU"/>
        </w:rPr>
        <w:t xml:space="preserve">o </w:t>
      </w:r>
      <w:r w:rsidR="00581909">
        <w:rPr>
          <w:lang w:eastAsia="en-AU"/>
        </w:rPr>
        <w:t xml:space="preserve">partially </w:t>
      </w:r>
      <w:r w:rsidR="00275796">
        <w:rPr>
          <w:lang w:eastAsia="en-AU"/>
        </w:rPr>
        <w:t xml:space="preserve">recommend the participant’s request </w:t>
      </w:r>
      <w:r w:rsidR="00C80646">
        <w:rPr>
          <w:lang w:eastAsia="en-AU"/>
        </w:rPr>
        <w:t>(46% c.f</w:t>
      </w:r>
      <w:r w:rsidR="008C7AB0">
        <w:rPr>
          <w:lang w:eastAsia="en-AU"/>
        </w:rPr>
        <w:t>.</w:t>
      </w:r>
      <w:r w:rsidR="00C80646">
        <w:rPr>
          <w:lang w:eastAsia="en-AU"/>
        </w:rPr>
        <w:t xml:space="preserve"> </w:t>
      </w:r>
      <w:r w:rsidR="00D77F98">
        <w:rPr>
          <w:lang w:eastAsia="en-AU"/>
        </w:rPr>
        <w:t xml:space="preserve">18%). Interestingly, non-legal independent experts were more likely to decline the </w:t>
      </w:r>
      <w:r w:rsidR="008C7AB0">
        <w:rPr>
          <w:lang w:eastAsia="en-AU"/>
        </w:rPr>
        <w:t>participant’s</w:t>
      </w:r>
      <w:r w:rsidR="00D77F98">
        <w:rPr>
          <w:lang w:eastAsia="en-AU"/>
        </w:rPr>
        <w:t xml:space="preserve"> request</w:t>
      </w:r>
      <w:r w:rsidR="003C5733">
        <w:rPr>
          <w:lang w:eastAsia="en-AU"/>
        </w:rPr>
        <w:t>.</w:t>
      </w:r>
    </w:p>
    <w:p w14:paraId="08896A74" w14:textId="66E6EFDE" w:rsidR="003775E9" w:rsidRDefault="005606C4" w:rsidP="00FA1FF2">
      <w:pPr>
        <w:rPr>
          <w:lang w:eastAsia="en-AU"/>
        </w:rPr>
      </w:pPr>
      <w:r w:rsidRPr="007D5F1A">
        <w:rPr>
          <w:lang w:eastAsia="en-AU"/>
        </w:rPr>
        <w:t>T</w:t>
      </w:r>
      <w:r w:rsidR="00B737CD" w:rsidRPr="007D5F1A">
        <w:rPr>
          <w:lang w:eastAsia="en-AU"/>
        </w:rPr>
        <w:t>h</w:t>
      </w:r>
      <w:r w:rsidR="00AD2853" w:rsidRPr="007D5F1A">
        <w:rPr>
          <w:lang w:eastAsia="en-AU"/>
        </w:rPr>
        <w:t xml:space="preserve">is could reflect </w:t>
      </w:r>
      <w:r w:rsidR="00B737CD" w:rsidRPr="007D5F1A">
        <w:rPr>
          <w:lang w:eastAsia="en-AU"/>
        </w:rPr>
        <w:t xml:space="preserve">differences </w:t>
      </w:r>
      <w:r w:rsidR="00AD2853" w:rsidRPr="007D5F1A">
        <w:rPr>
          <w:lang w:eastAsia="en-AU"/>
        </w:rPr>
        <w:t>in</w:t>
      </w:r>
      <w:r w:rsidR="00B737CD" w:rsidRPr="007D5F1A">
        <w:rPr>
          <w:lang w:eastAsia="en-AU"/>
        </w:rPr>
        <w:t xml:space="preserve"> the cases </w:t>
      </w:r>
      <w:r w:rsidRPr="007D5F1A">
        <w:rPr>
          <w:lang w:eastAsia="en-AU"/>
        </w:rPr>
        <w:t xml:space="preserve">independent experts </w:t>
      </w:r>
      <w:r w:rsidR="00B737CD" w:rsidRPr="007D5F1A">
        <w:rPr>
          <w:lang w:eastAsia="en-AU"/>
        </w:rPr>
        <w:t>reviewed</w:t>
      </w:r>
      <w:r w:rsidRPr="007D5F1A">
        <w:rPr>
          <w:lang w:eastAsia="en-AU"/>
        </w:rPr>
        <w:t>. However</w:t>
      </w:r>
      <w:r w:rsidR="0067479B" w:rsidRPr="007D5F1A">
        <w:rPr>
          <w:lang w:eastAsia="en-AU"/>
        </w:rPr>
        <w:t>, a</w:t>
      </w:r>
      <w:r w:rsidR="00C47CBC" w:rsidRPr="007D5F1A">
        <w:rPr>
          <w:lang w:eastAsia="en-AU"/>
        </w:rPr>
        <w:t xml:space="preserve">nother possible explanation is that independent experts from different backgrounds are reviewing </w:t>
      </w:r>
      <w:r w:rsidR="00281EB1" w:rsidRPr="007D5F1A">
        <w:rPr>
          <w:lang w:eastAsia="en-AU"/>
        </w:rPr>
        <w:t xml:space="preserve">the case </w:t>
      </w:r>
      <w:r w:rsidR="00F107E0" w:rsidRPr="007D5F1A">
        <w:rPr>
          <w:lang w:eastAsia="en-AU"/>
        </w:rPr>
        <w:t>evidence</w:t>
      </w:r>
      <w:r w:rsidRPr="007D5F1A">
        <w:rPr>
          <w:lang w:eastAsia="en-AU"/>
        </w:rPr>
        <w:t xml:space="preserve"> </w:t>
      </w:r>
      <w:r w:rsidR="00281EB1" w:rsidRPr="007D5F1A">
        <w:rPr>
          <w:lang w:eastAsia="en-AU"/>
        </w:rPr>
        <w:t>against the NDIS legislation differently.</w:t>
      </w:r>
      <w:r w:rsidR="007340FC" w:rsidRPr="007D5F1A">
        <w:rPr>
          <w:lang w:eastAsia="en-AU"/>
        </w:rPr>
        <w:t xml:space="preserve"> This supports feedback from many independent experts around their additional and ongoing training needs</w:t>
      </w:r>
      <w:r w:rsidR="00A44096" w:rsidRPr="007D5F1A">
        <w:rPr>
          <w:lang w:eastAsia="en-AU"/>
        </w:rPr>
        <w:t xml:space="preserve"> and </w:t>
      </w:r>
      <w:r w:rsidR="003C4076" w:rsidRPr="007D5F1A">
        <w:rPr>
          <w:lang w:eastAsia="en-AU"/>
        </w:rPr>
        <w:t xml:space="preserve">that </w:t>
      </w:r>
      <w:r w:rsidR="005009D5" w:rsidRPr="007D5F1A">
        <w:rPr>
          <w:lang w:eastAsia="en-AU"/>
        </w:rPr>
        <w:t xml:space="preserve">such differences </w:t>
      </w:r>
      <w:r w:rsidR="00A44096" w:rsidRPr="007D5F1A">
        <w:rPr>
          <w:lang w:eastAsia="en-AU"/>
        </w:rPr>
        <w:t xml:space="preserve">should be monitored </w:t>
      </w:r>
      <w:r w:rsidR="00C16F6C" w:rsidRPr="007D5F1A">
        <w:rPr>
          <w:lang w:eastAsia="en-AU"/>
        </w:rPr>
        <w:t>for possible inconsistencies</w:t>
      </w:r>
      <w:r w:rsidR="003C4076" w:rsidRPr="007D5F1A">
        <w:rPr>
          <w:lang w:eastAsia="en-AU"/>
        </w:rPr>
        <w:t xml:space="preserve"> over time</w:t>
      </w:r>
      <w:r w:rsidR="00C16F6C" w:rsidRPr="007D5F1A">
        <w:rPr>
          <w:lang w:eastAsia="en-AU"/>
        </w:rPr>
        <w:t>.</w:t>
      </w:r>
    </w:p>
    <w:p w14:paraId="07C38321" w14:textId="0627E877" w:rsidR="006E26F9" w:rsidRPr="00325FD3" w:rsidRDefault="006E26F9" w:rsidP="00A86241">
      <w:pPr>
        <w:pStyle w:val="Caption-H4"/>
      </w:pPr>
      <w:bookmarkStart w:id="97" w:name="_Ref134453358"/>
      <w:r w:rsidRPr="00325FD3">
        <w:lastRenderedPageBreak/>
        <w:t xml:space="preserve">Figure </w:t>
      </w:r>
      <w:r w:rsidRPr="00325FD3">
        <w:fldChar w:fldCharType="begin"/>
      </w:r>
      <w:r w:rsidRPr="00325FD3">
        <w:instrText>SEQ Figure \* ARABIC</w:instrText>
      </w:r>
      <w:r w:rsidRPr="00325FD3">
        <w:fldChar w:fldCharType="separate"/>
      </w:r>
      <w:r w:rsidR="000F1876">
        <w:rPr>
          <w:noProof/>
        </w:rPr>
        <w:t>7</w:t>
      </w:r>
      <w:r w:rsidRPr="00325FD3">
        <w:fldChar w:fldCharType="end"/>
      </w:r>
      <w:bookmarkEnd w:id="97"/>
      <w:r w:rsidRPr="00325FD3">
        <w:t xml:space="preserve">: </w:t>
      </w:r>
      <w:r w:rsidR="00C61F74" w:rsidRPr="00325FD3">
        <w:t xml:space="preserve">Comparison of </w:t>
      </w:r>
      <w:r w:rsidR="00292906" w:rsidRPr="00325FD3">
        <w:t xml:space="preserve">supports </w:t>
      </w:r>
      <w:r w:rsidR="007514A9" w:rsidRPr="00325FD3">
        <w:t>recommended</w:t>
      </w:r>
      <w:r w:rsidR="00ED020B" w:rsidRPr="00325FD3">
        <w:t xml:space="preserve"> between independent experts with legal and non-legal backgrounds</w:t>
      </w:r>
    </w:p>
    <w:p w14:paraId="0A69555A" w14:textId="076A31A6" w:rsidR="00EE2869" w:rsidRPr="00EE2869" w:rsidRDefault="00E532E1" w:rsidP="0079048B">
      <w:pPr>
        <w:spacing w:before="0" w:after="0"/>
      </w:pPr>
      <w:r>
        <w:rPr>
          <w:noProof/>
        </w:rPr>
        <w:drawing>
          <wp:inline distT="0" distB="0" distL="0" distR="0" wp14:anchorId="0FFF6847" wp14:editId="7503B336">
            <wp:extent cx="4692015" cy="2667000"/>
            <wp:effectExtent l="0" t="0" r="0" b="0"/>
            <wp:docPr id="1" name="Chart 1" descr="Figure shows the comparison of supports recommended between independent experts with legal and non-legal backgrounds. &#10;Figure is a bar chart that shows the percentage of recommendations either recommended, partially recommended, not recommended, and no decision given by legal and non-legal background independent experts. &#10;There are 4 pairs of graphs, each pair has 1 bar representing independent experts with Legal and 1 bar independent experts wit Non legal backgrounds. &#10;&#10;Results show that Independent experts with a legal background were more likely to partially recommend the participant’s request, and non-legal background experts were more likely to fully recommend the participants request.&#10;Results:&#10;Recommended.&#10;Legal, 30%.&#10;Non-legal, 45%.&#10;&#10;Partially recommended.&#10;Legal, 46%.&#10;Non-legal, 18%.&#10;&#10;Not recommended. &#10;Legal, 13%.&#10;Non-legal, 27%.&#10;&#10;No decision.&#10;Legal, 11%.&#10;Non-legal, 9%.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291EAE7" w14:textId="6A2AB52C" w:rsidR="00C61F74" w:rsidRPr="00325FD3" w:rsidRDefault="00C61F74" w:rsidP="001808F8">
      <w:pPr>
        <w:spacing w:before="0" w:after="0"/>
        <w:rPr>
          <w:rFonts w:ascii="Segoe UI" w:eastAsia="Times New Roman" w:hAnsi="Segoe UI" w:cs="Segoe UI"/>
          <w:szCs w:val="22"/>
          <w:lang w:eastAsia="en-AU"/>
        </w:rPr>
      </w:pPr>
      <w:r w:rsidRPr="00325FD3">
        <w:rPr>
          <w:rFonts w:eastAsia="Times New Roman" w:cs="Arial"/>
          <w:szCs w:val="22"/>
          <w:lang w:eastAsia="en-AU"/>
        </w:rPr>
        <w:t xml:space="preserve">Source: Research and Evaluation Branch analysis of IERP recommendations closed between </w:t>
      </w:r>
      <w:r w:rsidR="00800CA2" w:rsidRPr="00325FD3">
        <w:rPr>
          <w:rFonts w:eastAsia="Times New Roman" w:cs="Arial"/>
          <w:szCs w:val="22"/>
          <w:lang w:eastAsia="en-AU"/>
        </w:rPr>
        <w:t>Oct</w:t>
      </w:r>
      <w:r w:rsidRPr="00325FD3">
        <w:rPr>
          <w:rFonts w:eastAsia="Times New Roman" w:cs="Arial"/>
          <w:szCs w:val="22"/>
          <w:lang w:eastAsia="en-AU"/>
        </w:rPr>
        <w:t xml:space="preserve"> 2022 and Jan 2023.</w:t>
      </w:r>
    </w:p>
    <w:p w14:paraId="4B469E46" w14:textId="48DE318A" w:rsidR="00A0066D" w:rsidRDefault="00A0066D" w:rsidP="005A2BD9">
      <w:pPr>
        <w:pStyle w:val="Heading3"/>
      </w:pPr>
      <w:bookmarkStart w:id="98" w:name="_Toc142918600"/>
      <w:r>
        <w:t>The extent recommendations align with NDIS legislation and operational guidelines</w:t>
      </w:r>
      <w:bookmarkEnd w:id="98"/>
    </w:p>
    <w:p w14:paraId="4411FB97" w14:textId="77777777" w:rsidR="004A5377" w:rsidRDefault="004A5377" w:rsidP="004A5377">
      <w:r>
        <w:t>The above findings show that independent experts were more likely to recommend in favour of the participant’s request than the AAT. The evaluation did not explore the reasons. However, this does have potential cost implications for the NDIS while the Agency commits to largely accepting the independent experts’ recommendations.</w:t>
      </w:r>
    </w:p>
    <w:p w14:paraId="17F369F8" w14:textId="4461B984" w:rsidR="00A54E48" w:rsidRPr="007D5F1A" w:rsidRDefault="00A54E48" w:rsidP="00A54E48">
      <w:r>
        <w:t xml:space="preserve">As previously noted, the NDIA committed to accepting recommendations unless they were </w:t>
      </w:r>
      <w:r w:rsidRPr="00A13860">
        <w:t>unlawful, contain</w:t>
      </w:r>
      <w:r>
        <w:t>ed</w:t>
      </w:r>
      <w:r w:rsidRPr="00A13860">
        <w:t xml:space="preserve"> a significant </w:t>
      </w:r>
      <w:r>
        <w:t>or material error of fact or law</w:t>
      </w:r>
      <w:r w:rsidRPr="00A13860">
        <w:t xml:space="preserve"> or </w:t>
      </w:r>
      <w:r>
        <w:t>were inconsistent with operational guidelines and could not be reconciled as an appropriate exception</w:t>
      </w:r>
      <w:r w:rsidRPr="007D5F1A">
        <w:t>. In line with this, at 31 July 2023 the NDIA had accepted 74% of recommendations in full and 22% in part, while completely not accepting only 4%. The reasons why the Agency did not accept a recommendation have included:</w:t>
      </w:r>
    </w:p>
    <w:p w14:paraId="70351C91" w14:textId="77777777" w:rsidR="00A54E48" w:rsidRPr="007D5F1A" w:rsidRDefault="00A54E48" w:rsidP="000705FE">
      <w:pPr>
        <w:pStyle w:val="ListParagraph"/>
        <w:numPr>
          <w:ilvl w:val="0"/>
          <w:numId w:val="57"/>
        </w:numPr>
      </w:pPr>
      <w:r w:rsidRPr="007D5F1A">
        <w:t>an independent expert error in the application of the NDIS Act, Rules and/or accompanying OG,</w:t>
      </w:r>
    </w:p>
    <w:p w14:paraId="4095DFD6" w14:textId="77777777" w:rsidR="00A54E48" w:rsidRPr="007D5F1A" w:rsidRDefault="00A54E48" w:rsidP="000705FE">
      <w:pPr>
        <w:pStyle w:val="ListParagraph"/>
        <w:numPr>
          <w:ilvl w:val="0"/>
          <w:numId w:val="57"/>
        </w:numPr>
      </w:pPr>
      <w:r w:rsidRPr="007D5F1A">
        <w:t>the matter required forensic testing before the AAT, and</w:t>
      </w:r>
    </w:p>
    <w:p w14:paraId="50B8E3A4" w14:textId="77777777" w:rsidR="00A54E48" w:rsidRPr="007D5F1A" w:rsidRDefault="00A54E48" w:rsidP="000705FE">
      <w:pPr>
        <w:pStyle w:val="ListParagraph"/>
        <w:numPr>
          <w:ilvl w:val="0"/>
          <w:numId w:val="57"/>
        </w:numPr>
      </w:pPr>
      <w:r w:rsidRPr="007D5F1A">
        <w:lastRenderedPageBreak/>
        <w:t>another funding body being more appropriate to fund a support in consideration of the evidence before the independent expert.</w:t>
      </w:r>
    </w:p>
    <w:p w14:paraId="73DE8782" w14:textId="57BC3348" w:rsidR="00574080" w:rsidRDefault="004A5377" w:rsidP="004A5377">
      <w:r>
        <w:t xml:space="preserve">This suggests that the recommendations from independent experts have aligned with the NDIS Act, </w:t>
      </w:r>
      <w:r w:rsidR="00007777">
        <w:t>Rules,</w:t>
      </w:r>
      <w:r>
        <w:t xml:space="preserve"> and </w:t>
      </w:r>
      <w:r w:rsidR="00915297">
        <w:t>OGs</w:t>
      </w:r>
      <w:r>
        <w:t xml:space="preserve">. To explore this further, </w:t>
      </w:r>
      <w:r w:rsidR="0083122C">
        <w:t xml:space="preserve">the evaluation </w:t>
      </w:r>
      <w:r w:rsidR="00134B93">
        <w:t>requested</w:t>
      </w:r>
      <w:r w:rsidR="00E31753">
        <w:t xml:space="preserve"> the </w:t>
      </w:r>
      <w:r w:rsidR="007A2D54">
        <w:t xml:space="preserve">NDIA’s </w:t>
      </w:r>
      <w:r w:rsidR="00F93D20">
        <w:t xml:space="preserve">IERP legal team </w:t>
      </w:r>
      <w:r w:rsidR="00CD5C4C">
        <w:t xml:space="preserve">and </w:t>
      </w:r>
      <w:r w:rsidR="00796B6F">
        <w:t>T</w:t>
      </w:r>
      <w:r>
        <w:t>echnical Advisory Branch (T</w:t>
      </w:r>
      <w:r w:rsidR="00796B6F">
        <w:t>AB</w:t>
      </w:r>
      <w:r>
        <w:t>)</w:t>
      </w:r>
      <w:r w:rsidR="00591DFC">
        <w:rPr>
          <w:rStyle w:val="FootnoteReference"/>
        </w:rPr>
        <w:footnoteReference w:id="26"/>
      </w:r>
      <w:r w:rsidR="00F54232">
        <w:t xml:space="preserve"> to </w:t>
      </w:r>
      <w:r w:rsidR="00266C59">
        <w:t xml:space="preserve">separately review the recommendations </w:t>
      </w:r>
      <w:r w:rsidR="0066698E">
        <w:t xml:space="preserve">made </w:t>
      </w:r>
      <w:r w:rsidR="0009213D">
        <w:t>up to 31 January 2023</w:t>
      </w:r>
      <w:r w:rsidR="00366571">
        <w:t>.</w:t>
      </w:r>
    </w:p>
    <w:p w14:paraId="0CBFA136" w14:textId="6BA0B6DA" w:rsidR="00366571" w:rsidRPr="000B79CC" w:rsidRDefault="00DE7978" w:rsidP="00366571">
      <w:r>
        <w:t xml:space="preserve">The NDIA’s IERP legal team manage the implementation of the IERP and </w:t>
      </w:r>
      <w:r w:rsidR="00290220">
        <w:t xml:space="preserve">provide advice </w:t>
      </w:r>
      <w:r w:rsidR="0064270E">
        <w:t xml:space="preserve">on the extent the recommendations align with </w:t>
      </w:r>
      <w:r w:rsidR="00AE498D">
        <w:t xml:space="preserve">their </w:t>
      </w:r>
      <w:r w:rsidR="0064270E">
        <w:t>pre-determined acceptance</w:t>
      </w:r>
      <w:r w:rsidR="00366571" w:rsidRPr="000B79CC">
        <w:t xml:space="preserve"> </w:t>
      </w:r>
      <w:r w:rsidR="00AE498D">
        <w:t>criteria</w:t>
      </w:r>
      <w:r w:rsidR="00A67BC5">
        <w:t xml:space="preserve">. </w:t>
      </w:r>
    </w:p>
    <w:p w14:paraId="47C89912" w14:textId="109D575A" w:rsidR="001368A8" w:rsidRDefault="009E7FAC" w:rsidP="00366571">
      <w:pPr>
        <w:spacing w:before="120"/>
      </w:pPr>
      <w:r>
        <w:t>TAB</w:t>
      </w:r>
      <w:r w:rsidR="001368A8">
        <w:t xml:space="preserve"> </w:t>
      </w:r>
      <w:r w:rsidR="00082BBF">
        <w:t>provide technical and clinical subject matter expertise for staff and the NDIA’s Partners in the Community</w:t>
      </w:r>
      <w:r w:rsidR="008450F7">
        <w:t xml:space="preserve"> to:</w:t>
      </w:r>
      <w:r w:rsidR="00A17E9F">
        <w:t xml:space="preserve"> </w:t>
      </w:r>
    </w:p>
    <w:p w14:paraId="491BD4CE" w14:textId="2C1CC712" w:rsidR="008450F7" w:rsidRDefault="008450F7" w:rsidP="000705FE">
      <w:pPr>
        <w:pStyle w:val="ListParagraph"/>
        <w:numPr>
          <w:ilvl w:val="0"/>
          <w:numId w:val="45"/>
        </w:numPr>
        <w:spacing w:before="120" w:after="120"/>
        <w:contextualSpacing/>
      </w:pPr>
      <w:r>
        <w:t>consistently interpret and apply the NDIS Act</w:t>
      </w:r>
      <w:r w:rsidR="001D74A2">
        <w:t>,</w:t>
      </w:r>
      <w:r>
        <w:t xml:space="preserve"> </w:t>
      </w:r>
      <w:r w:rsidR="00007777">
        <w:t>Rules,</w:t>
      </w:r>
      <w:r>
        <w:t xml:space="preserve"> and </w:t>
      </w:r>
      <w:r w:rsidR="00C55BD0">
        <w:t>OGs</w:t>
      </w:r>
    </w:p>
    <w:p w14:paraId="154BAF4F" w14:textId="77777777" w:rsidR="008450F7" w:rsidRDefault="008450F7" w:rsidP="000705FE">
      <w:pPr>
        <w:pStyle w:val="ListParagraph"/>
        <w:numPr>
          <w:ilvl w:val="0"/>
          <w:numId w:val="45"/>
        </w:numPr>
        <w:spacing w:before="120" w:after="120"/>
        <w:contextualSpacing/>
      </w:pPr>
      <w:r>
        <w:t>ensure supports are evidence-based and align with best practice guidelines</w:t>
      </w:r>
    </w:p>
    <w:p w14:paraId="0C715B5B" w14:textId="77777777" w:rsidR="008450F7" w:rsidRDefault="008450F7" w:rsidP="000705FE">
      <w:pPr>
        <w:pStyle w:val="ListParagraph"/>
        <w:numPr>
          <w:ilvl w:val="0"/>
          <w:numId w:val="45"/>
        </w:numPr>
        <w:spacing w:before="120" w:after="120"/>
      </w:pPr>
      <w:r>
        <w:t>make transparent decisions and explain their decisions to participants.</w:t>
      </w:r>
    </w:p>
    <w:p w14:paraId="268C48F0" w14:textId="4C5B01F1" w:rsidR="0075112D" w:rsidRDefault="0055424C" w:rsidP="005A4A2F">
      <w:pPr>
        <w:rPr>
          <w:rFonts w:eastAsia="Times New Roman" w:cs="Arial"/>
          <w:lang w:eastAsia="en-AU"/>
        </w:rPr>
      </w:pPr>
      <w:r>
        <w:t>Both</w:t>
      </w:r>
      <w:r w:rsidR="00653150">
        <w:t xml:space="preserve"> </w:t>
      </w:r>
      <w:r w:rsidR="00290220">
        <w:t>groups</w:t>
      </w:r>
      <w:r w:rsidR="004F2333">
        <w:t xml:space="preserve"> assessed whether the independent experts</w:t>
      </w:r>
      <w:r w:rsidR="000211F9">
        <w:t xml:space="preserve">’ recommendations </w:t>
      </w:r>
      <w:r w:rsidR="00BF03E7">
        <w:t xml:space="preserve">aligned with </w:t>
      </w:r>
      <w:r w:rsidR="00653150">
        <w:t xml:space="preserve">the NDIS </w:t>
      </w:r>
      <w:r w:rsidR="00072279">
        <w:t xml:space="preserve">Act, </w:t>
      </w:r>
      <w:r w:rsidR="00DA259B">
        <w:t>Rules,</w:t>
      </w:r>
      <w:r w:rsidR="00072279">
        <w:t xml:space="preserve"> and </w:t>
      </w:r>
      <w:r w:rsidR="00C55BD0">
        <w:t>OGs</w:t>
      </w:r>
      <w:r w:rsidR="00DB1875">
        <w:t xml:space="preserve"> and </w:t>
      </w:r>
      <w:r w:rsidR="00F53D0E">
        <w:t xml:space="preserve">if they disagreed, </w:t>
      </w:r>
      <w:r w:rsidR="00873C19">
        <w:t xml:space="preserve">provided </w:t>
      </w:r>
      <w:r w:rsidR="00630D46">
        <w:t>an explanatory note</w:t>
      </w:r>
      <w:r w:rsidR="00F53D0E">
        <w:t>.</w:t>
      </w:r>
      <w:r w:rsidR="00DB1875">
        <w:t xml:space="preserve"> </w:t>
      </w:r>
      <w:r w:rsidR="00AA6C58">
        <w:fldChar w:fldCharType="begin"/>
      </w:r>
      <w:r w:rsidR="00AA6C58">
        <w:instrText xml:space="preserve"> REF _Ref135221173 \h </w:instrText>
      </w:r>
      <w:r w:rsidR="00AA6C58">
        <w:fldChar w:fldCharType="separate"/>
      </w:r>
      <w:r w:rsidR="000F1876" w:rsidRPr="0007566E">
        <w:t xml:space="preserve">Table </w:t>
      </w:r>
      <w:r w:rsidR="000F1876">
        <w:rPr>
          <w:noProof/>
        </w:rPr>
        <w:t>7</w:t>
      </w:r>
      <w:r w:rsidR="00AA6C58">
        <w:fldChar w:fldCharType="end"/>
      </w:r>
      <w:r w:rsidR="00420783">
        <w:rPr>
          <w:rFonts w:eastAsia="Times New Roman" w:cs="Arial"/>
          <w:lang w:eastAsia="en-AU"/>
        </w:rPr>
        <w:t xml:space="preserve"> </w:t>
      </w:r>
      <w:r w:rsidR="00AA6C58">
        <w:rPr>
          <w:rFonts w:eastAsia="Times New Roman" w:cs="Arial"/>
          <w:lang w:eastAsia="en-AU"/>
        </w:rPr>
        <w:t>outline</w:t>
      </w:r>
      <w:r w:rsidR="008436FB">
        <w:rPr>
          <w:rFonts w:eastAsia="Times New Roman" w:cs="Arial"/>
          <w:lang w:eastAsia="en-AU"/>
        </w:rPr>
        <w:t>s the results of the</w:t>
      </w:r>
      <w:r w:rsidR="00EB2213">
        <w:rPr>
          <w:rFonts w:eastAsia="Times New Roman" w:cs="Arial"/>
          <w:lang w:eastAsia="en-AU"/>
        </w:rPr>
        <w:t>ir</w:t>
      </w:r>
      <w:r w:rsidR="008436FB">
        <w:rPr>
          <w:rFonts w:eastAsia="Times New Roman" w:cs="Arial"/>
          <w:lang w:eastAsia="en-AU"/>
        </w:rPr>
        <w:t xml:space="preserve"> </w:t>
      </w:r>
      <w:r w:rsidR="008E7BE4">
        <w:rPr>
          <w:rFonts w:eastAsia="Times New Roman" w:cs="Arial"/>
          <w:lang w:eastAsia="en-AU"/>
        </w:rPr>
        <w:t>assessments</w:t>
      </w:r>
      <w:r w:rsidR="008436FB">
        <w:rPr>
          <w:rFonts w:eastAsia="Times New Roman" w:cs="Arial"/>
          <w:lang w:eastAsia="en-AU"/>
        </w:rPr>
        <w:t>.</w:t>
      </w:r>
      <w:r w:rsidR="00F53D0E">
        <w:rPr>
          <w:rFonts w:eastAsia="Times New Roman" w:cs="Arial"/>
          <w:lang w:eastAsia="en-AU"/>
        </w:rPr>
        <w:t xml:space="preserve"> In summary:</w:t>
      </w:r>
    </w:p>
    <w:p w14:paraId="4DF58F63" w14:textId="140FFA99" w:rsidR="00F53D0E" w:rsidRPr="00261AB6" w:rsidRDefault="00447F1B" w:rsidP="000705FE">
      <w:pPr>
        <w:pStyle w:val="ListParagraph"/>
        <w:numPr>
          <w:ilvl w:val="0"/>
          <w:numId w:val="37"/>
        </w:numPr>
        <w:spacing w:before="120" w:after="120"/>
        <w:ind w:left="714" w:hanging="357"/>
        <w:rPr>
          <w:rFonts w:eastAsia="Times New Roman" w:cs="Arial"/>
          <w:lang w:eastAsia="en-AU"/>
        </w:rPr>
      </w:pPr>
      <w:r>
        <w:rPr>
          <w:rFonts w:eastAsia="Times New Roman" w:cs="Arial"/>
          <w:lang w:eastAsia="en-AU"/>
        </w:rPr>
        <w:t>The IERP legal team</w:t>
      </w:r>
      <w:r w:rsidR="008E7BE4">
        <w:rPr>
          <w:rFonts w:eastAsia="Times New Roman" w:cs="Arial"/>
          <w:lang w:eastAsia="en-AU"/>
        </w:rPr>
        <w:t xml:space="preserve"> agreed </w:t>
      </w:r>
      <w:r w:rsidR="004431DF">
        <w:rPr>
          <w:rFonts w:eastAsia="Times New Roman" w:cs="Arial"/>
          <w:lang w:eastAsia="en-AU"/>
        </w:rPr>
        <w:t>that</w:t>
      </w:r>
      <w:r w:rsidR="008E7BE4">
        <w:rPr>
          <w:rFonts w:eastAsia="Times New Roman" w:cs="Arial"/>
          <w:lang w:eastAsia="en-AU"/>
        </w:rPr>
        <w:t xml:space="preserve"> all the recommendations </w:t>
      </w:r>
      <w:r w:rsidR="00045226">
        <w:rPr>
          <w:rFonts w:eastAsia="Times New Roman" w:cs="Arial"/>
          <w:lang w:eastAsia="en-AU"/>
        </w:rPr>
        <w:t xml:space="preserve">from </w:t>
      </w:r>
      <w:r w:rsidR="0087147B">
        <w:rPr>
          <w:rFonts w:eastAsia="Times New Roman" w:cs="Arial"/>
          <w:lang w:eastAsia="en-AU"/>
        </w:rPr>
        <w:t xml:space="preserve">IERP </w:t>
      </w:r>
      <w:r w:rsidR="00045226">
        <w:rPr>
          <w:rFonts w:eastAsia="Times New Roman" w:cs="Arial"/>
          <w:lang w:eastAsia="en-AU"/>
        </w:rPr>
        <w:t>indepen</w:t>
      </w:r>
      <w:r w:rsidR="002B6EE6">
        <w:rPr>
          <w:rFonts w:eastAsia="Times New Roman" w:cs="Arial"/>
          <w:lang w:eastAsia="en-AU"/>
        </w:rPr>
        <w:t xml:space="preserve">dent experts aligned with </w:t>
      </w:r>
      <w:r w:rsidR="00741C53">
        <w:rPr>
          <w:rFonts w:eastAsia="Times New Roman" w:cs="Arial"/>
          <w:lang w:eastAsia="en-AU"/>
        </w:rPr>
        <w:t xml:space="preserve">the </w:t>
      </w:r>
      <w:r w:rsidR="00337CCC">
        <w:rPr>
          <w:rFonts w:eastAsia="Times New Roman" w:cs="Arial"/>
          <w:lang w:eastAsia="en-AU"/>
        </w:rPr>
        <w:t>Agency’s acceptance criteria.</w:t>
      </w:r>
    </w:p>
    <w:p w14:paraId="7332400C" w14:textId="5AC7F713" w:rsidR="00165514" w:rsidRDefault="00C835B6" w:rsidP="000705FE">
      <w:pPr>
        <w:pStyle w:val="ListParagraph"/>
        <w:numPr>
          <w:ilvl w:val="0"/>
          <w:numId w:val="37"/>
        </w:numPr>
        <w:spacing w:before="120" w:after="120"/>
        <w:ind w:left="714" w:hanging="357"/>
        <w:rPr>
          <w:rFonts w:eastAsia="Times New Roman" w:cs="Arial"/>
          <w:lang w:eastAsia="en-AU"/>
        </w:rPr>
      </w:pPr>
      <w:r>
        <w:rPr>
          <w:rFonts w:eastAsia="Times New Roman" w:cs="Arial"/>
          <w:lang w:eastAsia="en-AU"/>
        </w:rPr>
        <w:t xml:space="preserve">TAB </w:t>
      </w:r>
      <w:r w:rsidR="002F306B">
        <w:rPr>
          <w:rFonts w:eastAsia="Times New Roman" w:cs="Arial"/>
          <w:lang w:eastAsia="en-AU"/>
        </w:rPr>
        <w:t xml:space="preserve">indicated strong agreement </w:t>
      </w:r>
      <w:r w:rsidR="00EC2655">
        <w:rPr>
          <w:rFonts w:eastAsia="Times New Roman" w:cs="Arial"/>
          <w:lang w:eastAsia="en-AU"/>
        </w:rPr>
        <w:t>(</w:t>
      </w:r>
      <w:r w:rsidR="006B0B61">
        <w:rPr>
          <w:rFonts w:eastAsia="Times New Roman" w:cs="Arial"/>
          <w:lang w:eastAsia="en-AU"/>
        </w:rPr>
        <w:t xml:space="preserve">an average of </w:t>
      </w:r>
      <w:r w:rsidR="00EC2655">
        <w:rPr>
          <w:rFonts w:eastAsia="Times New Roman" w:cs="Arial"/>
          <w:lang w:eastAsia="en-AU"/>
        </w:rPr>
        <w:t>89%</w:t>
      </w:r>
      <w:r w:rsidR="00DC1F3E">
        <w:rPr>
          <w:rFonts w:eastAsia="Times New Roman" w:cs="Arial"/>
          <w:lang w:eastAsia="en-AU"/>
        </w:rPr>
        <w:t xml:space="preserve"> overall</w:t>
      </w:r>
      <w:r w:rsidR="00EC2655">
        <w:rPr>
          <w:rFonts w:eastAsia="Times New Roman" w:cs="Arial"/>
          <w:lang w:eastAsia="en-AU"/>
        </w:rPr>
        <w:t xml:space="preserve">) </w:t>
      </w:r>
      <w:r w:rsidR="002138C8">
        <w:rPr>
          <w:rFonts w:eastAsia="Times New Roman" w:cs="Arial"/>
          <w:lang w:eastAsia="en-AU"/>
        </w:rPr>
        <w:t>that</w:t>
      </w:r>
      <w:r w:rsidR="002F306B">
        <w:rPr>
          <w:rFonts w:eastAsia="Times New Roman" w:cs="Arial"/>
          <w:lang w:eastAsia="en-AU"/>
        </w:rPr>
        <w:t xml:space="preserve"> recommendations from independent experts </w:t>
      </w:r>
      <w:r w:rsidR="002138C8">
        <w:rPr>
          <w:rFonts w:eastAsia="Times New Roman" w:cs="Arial"/>
          <w:lang w:eastAsia="en-AU"/>
        </w:rPr>
        <w:t xml:space="preserve">aligned with the Agency’s acceptance criteria </w:t>
      </w:r>
      <w:r w:rsidR="00322E9F">
        <w:rPr>
          <w:rFonts w:eastAsia="Times New Roman" w:cs="Arial"/>
          <w:lang w:eastAsia="en-AU"/>
        </w:rPr>
        <w:t xml:space="preserve">(and </w:t>
      </w:r>
      <w:r w:rsidR="0044368C">
        <w:rPr>
          <w:rFonts w:eastAsia="Times New Roman" w:cs="Arial"/>
          <w:lang w:eastAsia="en-AU"/>
        </w:rPr>
        <w:t xml:space="preserve">that </w:t>
      </w:r>
      <w:r w:rsidR="00322E9F">
        <w:rPr>
          <w:rFonts w:eastAsia="Times New Roman" w:cs="Arial"/>
          <w:lang w:eastAsia="en-AU"/>
        </w:rPr>
        <w:t xml:space="preserve">93% </w:t>
      </w:r>
      <w:r w:rsidR="002138C8">
        <w:rPr>
          <w:rFonts w:eastAsia="Times New Roman" w:cs="Arial"/>
          <w:lang w:eastAsia="en-AU"/>
        </w:rPr>
        <w:t xml:space="preserve">should be </w:t>
      </w:r>
      <w:r w:rsidR="00824059" w:rsidRPr="00824059">
        <w:rPr>
          <w:rFonts w:eastAsia="Times New Roman" w:cs="Arial"/>
          <w:lang w:eastAsia="en-AU"/>
        </w:rPr>
        <w:t>a</w:t>
      </w:r>
      <w:r w:rsidR="00677848" w:rsidRPr="00824059">
        <w:rPr>
          <w:rFonts w:eastAsia="Times New Roman" w:cs="Arial"/>
          <w:lang w:eastAsia="en-AU"/>
        </w:rPr>
        <w:t xml:space="preserve">ccepted or </w:t>
      </w:r>
      <w:r w:rsidR="00824059" w:rsidRPr="00824059">
        <w:rPr>
          <w:rFonts w:eastAsia="Times New Roman" w:cs="Arial"/>
          <w:lang w:eastAsia="en-AU"/>
        </w:rPr>
        <w:t>p</w:t>
      </w:r>
      <w:r w:rsidR="00677848" w:rsidRPr="00824059">
        <w:rPr>
          <w:rFonts w:eastAsia="Times New Roman" w:cs="Arial"/>
          <w:lang w:eastAsia="en-AU"/>
        </w:rPr>
        <w:t>artially accepted</w:t>
      </w:r>
      <w:r w:rsidR="00322E9F" w:rsidRPr="00824059">
        <w:rPr>
          <w:rFonts w:eastAsia="Times New Roman" w:cs="Arial"/>
          <w:lang w:eastAsia="en-AU"/>
        </w:rPr>
        <w:t>)</w:t>
      </w:r>
    </w:p>
    <w:p w14:paraId="7BC26053" w14:textId="16D26A2B" w:rsidR="0090312F" w:rsidRPr="0007566E" w:rsidRDefault="0090312F" w:rsidP="00A86241">
      <w:pPr>
        <w:pStyle w:val="Caption-H4"/>
      </w:pPr>
      <w:bookmarkStart w:id="99" w:name="_Ref135221173"/>
      <w:r w:rsidRPr="0007566E">
        <w:lastRenderedPageBreak/>
        <w:t xml:space="preserve">Table </w:t>
      </w:r>
      <w:r w:rsidRPr="0007566E">
        <w:fldChar w:fldCharType="begin"/>
      </w:r>
      <w:r w:rsidRPr="0007566E">
        <w:instrText>SEQ Table \* ARABIC</w:instrText>
      </w:r>
      <w:r w:rsidRPr="0007566E">
        <w:fldChar w:fldCharType="separate"/>
      </w:r>
      <w:r w:rsidR="000F1876">
        <w:rPr>
          <w:noProof/>
        </w:rPr>
        <w:t>7</w:t>
      </w:r>
      <w:r w:rsidRPr="0007566E">
        <w:fldChar w:fldCharType="end"/>
      </w:r>
      <w:bookmarkEnd w:id="99"/>
      <w:r w:rsidR="00966C56" w:rsidRPr="0007566E">
        <w:t>:</w:t>
      </w:r>
      <w:r w:rsidR="00D35A38" w:rsidRPr="0007566E">
        <w:t xml:space="preserve"> A</w:t>
      </w:r>
      <w:r w:rsidRPr="0007566E">
        <w:t>ssessment of IER recommendations</w:t>
      </w:r>
      <w:r w:rsidR="007C7E66" w:rsidRPr="0007566E">
        <w:rPr>
          <w:rStyle w:val="FootnoteReference"/>
          <w:szCs w:val="24"/>
        </w:rPr>
        <w:footnoteReference w:id="27"/>
      </w:r>
    </w:p>
    <w:tbl>
      <w:tblPr>
        <w:tblW w:w="5000" w:type="pct"/>
        <w:tblBorders>
          <w:top w:val="outset" w:sz="6" w:space="0" w:color="auto"/>
          <w:left w:val="outset" w:sz="6" w:space="0" w:color="auto"/>
          <w:bottom w:val="outset" w:sz="6" w:space="0" w:color="auto"/>
          <w:right w:val="outset" w:sz="6" w:space="0" w:color="auto"/>
        </w:tblBorders>
        <w:tblLayout w:type="fixed"/>
        <w:tblCellMar>
          <w:top w:w="28" w:type="dxa"/>
          <w:bottom w:w="28" w:type="dxa"/>
        </w:tblCellMar>
        <w:tblLook w:val="04A0" w:firstRow="1" w:lastRow="0" w:firstColumn="1" w:lastColumn="0" w:noHBand="0" w:noVBand="1"/>
        <w:tblCaption w:val="Assessment of IER recommendations"/>
        <w:tblDescription w:val="5 columns and 10 rows&#10;Table shows the number and percentage of IERP phase 1 recommendations that were agreed with, disagreed with, and uncertain of, by the technical advisory branch and the IERP legal team."/>
      </w:tblPr>
      <w:tblGrid>
        <w:gridCol w:w="1978"/>
        <w:gridCol w:w="1699"/>
        <w:gridCol w:w="1703"/>
        <w:gridCol w:w="1842"/>
        <w:gridCol w:w="1788"/>
      </w:tblGrid>
      <w:tr w:rsidR="0062567A" w:rsidRPr="00800CA2" w14:paraId="097B5B3D"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6B2976"/>
            <w:hideMark/>
          </w:tcPr>
          <w:p w14:paraId="7D9F3CAB" w14:textId="77777777" w:rsidR="0062567A" w:rsidRPr="0007566E" w:rsidRDefault="0062567A">
            <w:pPr>
              <w:keepNext/>
              <w:keepLines/>
              <w:spacing w:before="0" w:after="0" w:line="240" w:lineRule="auto"/>
              <w:contextualSpacing/>
              <w:textAlignment w:val="baseline"/>
              <w:rPr>
                <w:rFonts w:ascii="Times New Roman" w:eastAsia="Times New Roman" w:hAnsi="Times New Roman" w:cs="Times New Roman"/>
                <w:lang w:eastAsia="en-AU"/>
              </w:rPr>
            </w:pPr>
            <w:r w:rsidRPr="0007566E">
              <w:rPr>
                <w:rFonts w:eastAsia="Times New Roman" w:cs="Arial"/>
                <w:b/>
                <w:color w:val="FEFFFF"/>
                <w:lang w:eastAsia="en-AU"/>
              </w:rPr>
              <w:t>Reviewer</w:t>
            </w:r>
          </w:p>
        </w:tc>
        <w:tc>
          <w:tcPr>
            <w:tcW w:w="943" w:type="pct"/>
            <w:tcBorders>
              <w:top w:val="single" w:sz="6" w:space="0" w:color="595959"/>
              <w:left w:val="single" w:sz="6" w:space="0" w:color="595959"/>
              <w:bottom w:val="single" w:sz="6" w:space="0" w:color="595959"/>
              <w:right w:val="single" w:sz="6" w:space="0" w:color="595959"/>
            </w:tcBorders>
            <w:shd w:val="clear" w:color="auto" w:fill="6B2976"/>
            <w:hideMark/>
          </w:tcPr>
          <w:p w14:paraId="60E76B6C" w14:textId="6121FFE4" w:rsidR="0062567A" w:rsidRPr="0007566E" w:rsidRDefault="00DA140B">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07566E">
              <w:rPr>
                <w:rFonts w:eastAsia="Times New Roman" w:cs="Arial"/>
                <w:b/>
                <w:color w:val="FEFFFF"/>
                <w:lang w:eastAsia="en-AU"/>
              </w:rPr>
              <w:t>Recommended</w:t>
            </w:r>
          </w:p>
        </w:tc>
        <w:tc>
          <w:tcPr>
            <w:tcW w:w="945" w:type="pct"/>
            <w:tcBorders>
              <w:top w:val="single" w:sz="6" w:space="0" w:color="595959"/>
              <w:left w:val="single" w:sz="6" w:space="0" w:color="595959"/>
              <w:bottom w:val="single" w:sz="6" w:space="0" w:color="595959"/>
              <w:right w:val="single" w:sz="6" w:space="0" w:color="595959"/>
            </w:tcBorders>
            <w:shd w:val="clear" w:color="auto" w:fill="6B2976"/>
            <w:hideMark/>
          </w:tcPr>
          <w:p w14:paraId="2910FF74" w14:textId="78FE4759" w:rsidR="0062567A" w:rsidRPr="0007566E" w:rsidRDefault="0062567A">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07566E">
              <w:rPr>
                <w:rFonts w:eastAsia="Times New Roman" w:cs="Arial"/>
                <w:b/>
                <w:color w:val="FEFFFF"/>
                <w:lang w:eastAsia="en-AU"/>
              </w:rPr>
              <w:t xml:space="preserve">Partially </w:t>
            </w:r>
            <w:r w:rsidR="00DA140B" w:rsidRPr="0007566E">
              <w:rPr>
                <w:rFonts w:eastAsia="Times New Roman" w:cs="Arial"/>
                <w:b/>
                <w:color w:val="FEFFFF"/>
                <w:lang w:eastAsia="en-AU"/>
              </w:rPr>
              <w:t>recommended</w:t>
            </w:r>
          </w:p>
        </w:tc>
        <w:tc>
          <w:tcPr>
            <w:tcW w:w="1022" w:type="pct"/>
            <w:tcBorders>
              <w:top w:val="single" w:sz="6" w:space="0" w:color="595959"/>
              <w:left w:val="single" w:sz="6" w:space="0" w:color="595959"/>
              <w:bottom w:val="single" w:sz="6" w:space="0" w:color="595959"/>
              <w:right w:val="single" w:sz="6" w:space="0" w:color="595959"/>
            </w:tcBorders>
            <w:shd w:val="clear" w:color="auto" w:fill="6B2976"/>
            <w:hideMark/>
          </w:tcPr>
          <w:p w14:paraId="0C24CA3A" w14:textId="6EEAA6BD" w:rsidR="0062567A" w:rsidRPr="0007566E" w:rsidRDefault="00530D33">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07566E">
              <w:rPr>
                <w:rFonts w:eastAsia="Times New Roman" w:cs="Arial"/>
                <w:b/>
                <w:color w:val="FEFFFF"/>
                <w:lang w:eastAsia="en-AU"/>
              </w:rPr>
              <w:t>Not recommended</w:t>
            </w:r>
          </w:p>
        </w:tc>
        <w:tc>
          <w:tcPr>
            <w:tcW w:w="992" w:type="pct"/>
            <w:tcBorders>
              <w:top w:val="single" w:sz="6" w:space="0" w:color="595959"/>
              <w:left w:val="single" w:sz="6" w:space="0" w:color="595959"/>
              <w:bottom w:val="single" w:sz="6" w:space="0" w:color="595959"/>
              <w:right w:val="single" w:sz="6" w:space="0" w:color="595959"/>
            </w:tcBorders>
            <w:shd w:val="clear" w:color="auto" w:fill="6B2976"/>
            <w:hideMark/>
          </w:tcPr>
          <w:p w14:paraId="7A6ED8AD" w14:textId="574E8B9B" w:rsidR="0062567A" w:rsidRPr="0007566E" w:rsidRDefault="0062567A">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07566E">
              <w:rPr>
                <w:rFonts w:eastAsia="Times New Roman" w:cs="Arial"/>
                <w:b/>
                <w:color w:val="FEFFFF"/>
                <w:lang w:eastAsia="en-AU"/>
              </w:rPr>
              <w:t>No decision/</w:t>
            </w:r>
            <w:r w:rsidR="00800CA2" w:rsidRPr="0007566E">
              <w:rPr>
                <w:rFonts w:eastAsia="Times New Roman" w:cs="Arial"/>
                <w:b/>
                <w:color w:val="FEFFFF"/>
                <w:lang w:eastAsia="en-AU"/>
              </w:rPr>
              <w:t xml:space="preserve"> </w:t>
            </w:r>
            <w:r w:rsidRPr="0007566E">
              <w:rPr>
                <w:rFonts w:eastAsia="Times New Roman" w:cs="Arial"/>
                <w:b/>
                <w:color w:val="FEFFFF"/>
                <w:lang w:eastAsia="en-AU"/>
              </w:rPr>
              <w:t>unclear</w:t>
            </w:r>
          </w:p>
        </w:tc>
      </w:tr>
      <w:tr w:rsidR="0062567A" w:rsidRPr="00800CA2" w14:paraId="3B1D225B"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F7EEF7"/>
            <w:hideMark/>
          </w:tcPr>
          <w:p w14:paraId="5C67E656" w14:textId="77777777" w:rsidR="0062567A" w:rsidRPr="00986B2B" w:rsidRDefault="0062567A">
            <w:pPr>
              <w:keepNext/>
              <w:keepLines/>
              <w:spacing w:before="0" w:after="0" w:line="240" w:lineRule="auto"/>
              <w:contextualSpacing/>
              <w:textAlignment w:val="baseline"/>
              <w:rPr>
                <w:rFonts w:ascii="Times New Roman" w:eastAsia="Times New Roman" w:hAnsi="Times New Roman" w:cs="Times New Roman"/>
                <w:lang w:eastAsia="en-AU"/>
              </w:rPr>
            </w:pPr>
            <w:r w:rsidRPr="00986B2B">
              <w:rPr>
                <w:rFonts w:eastAsia="Times New Roman" w:cs="Arial"/>
                <w:b/>
                <w:lang w:eastAsia="en-AU"/>
              </w:rPr>
              <w:t>Independent experts (Phase 1)</w:t>
            </w:r>
          </w:p>
        </w:tc>
        <w:tc>
          <w:tcPr>
            <w:tcW w:w="943" w:type="pct"/>
            <w:tcBorders>
              <w:top w:val="single" w:sz="6" w:space="0" w:color="595959"/>
              <w:left w:val="single" w:sz="6" w:space="0" w:color="595959"/>
              <w:bottom w:val="single" w:sz="6" w:space="0" w:color="595959"/>
              <w:right w:val="single" w:sz="6" w:space="0" w:color="595959"/>
            </w:tcBorders>
            <w:shd w:val="clear" w:color="auto" w:fill="F7EEF7"/>
            <w:hideMark/>
          </w:tcPr>
          <w:p w14:paraId="18FC4D68" w14:textId="0D229161" w:rsidR="0062567A" w:rsidRPr="00986B2B" w:rsidRDefault="0062567A">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986B2B">
              <w:rPr>
                <w:rFonts w:eastAsia="Times New Roman" w:cs="Arial"/>
                <w:lang w:eastAsia="en-AU"/>
              </w:rPr>
              <w:t>41/114 (36%)</w:t>
            </w:r>
          </w:p>
        </w:tc>
        <w:tc>
          <w:tcPr>
            <w:tcW w:w="945" w:type="pct"/>
            <w:tcBorders>
              <w:top w:val="single" w:sz="6" w:space="0" w:color="595959"/>
              <w:left w:val="single" w:sz="6" w:space="0" w:color="595959"/>
              <w:bottom w:val="single" w:sz="6" w:space="0" w:color="595959"/>
              <w:right w:val="single" w:sz="6" w:space="0" w:color="595959"/>
            </w:tcBorders>
            <w:shd w:val="clear" w:color="auto" w:fill="F7EEF7"/>
            <w:hideMark/>
          </w:tcPr>
          <w:p w14:paraId="2232524B" w14:textId="77777777" w:rsidR="0062567A" w:rsidRPr="00986B2B" w:rsidRDefault="0062567A">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986B2B">
              <w:rPr>
                <w:rFonts w:eastAsia="Times New Roman" w:cs="Arial"/>
                <w:lang w:eastAsia="en-AU"/>
              </w:rPr>
              <w:t>40/114 (35%)</w:t>
            </w:r>
          </w:p>
        </w:tc>
        <w:tc>
          <w:tcPr>
            <w:tcW w:w="1022" w:type="pct"/>
            <w:tcBorders>
              <w:top w:val="single" w:sz="6" w:space="0" w:color="595959"/>
              <w:left w:val="single" w:sz="6" w:space="0" w:color="595959"/>
              <w:bottom w:val="single" w:sz="6" w:space="0" w:color="595959"/>
              <w:right w:val="single" w:sz="6" w:space="0" w:color="595959"/>
            </w:tcBorders>
            <w:shd w:val="clear" w:color="auto" w:fill="F7EEF7"/>
            <w:hideMark/>
          </w:tcPr>
          <w:p w14:paraId="7F8BD3F8" w14:textId="77777777" w:rsidR="0062567A" w:rsidRPr="00986B2B" w:rsidRDefault="0062567A">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986B2B">
              <w:rPr>
                <w:rFonts w:eastAsia="Times New Roman" w:cs="Arial"/>
                <w:lang w:eastAsia="en-AU"/>
              </w:rPr>
              <w:t>21/114 (18%)</w:t>
            </w:r>
          </w:p>
        </w:tc>
        <w:tc>
          <w:tcPr>
            <w:tcW w:w="992" w:type="pct"/>
            <w:tcBorders>
              <w:top w:val="single" w:sz="6" w:space="0" w:color="595959"/>
              <w:left w:val="single" w:sz="6" w:space="0" w:color="595959"/>
              <w:bottom w:val="single" w:sz="6" w:space="0" w:color="595959"/>
              <w:right w:val="single" w:sz="6" w:space="0" w:color="595959"/>
            </w:tcBorders>
            <w:shd w:val="clear" w:color="auto" w:fill="F7EEF7"/>
            <w:hideMark/>
          </w:tcPr>
          <w:p w14:paraId="324FD14C" w14:textId="77777777" w:rsidR="0062567A" w:rsidRPr="00986B2B" w:rsidRDefault="0062567A">
            <w:pPr>
              <w:keepNext/>
              <w:keepLines/>
              <w:spacing w:before="0" w:after="0" w:line="240" w:lineRule="auto"/>
              <w:contextualSpacing/>
              <w:jc w:val="center"/>
              <w:textAlignment w:val="baseline"/>
              <w:rPr>
                <w:rFonts w:ascii="Times New Roman" w:eastAsia="Times New Roman" w:hAnsi="Times New Roman" w:cs="Times New Roman"/>
                <w:lang w:eastAsia="en-AU"/>
              </w:rPr>
            </w:pPr>
            <w:r w:rsidRPr="00986B2B">
              <w:rPr>
                <w:rFonts w:eastAsia="Times New Roman" w:cs="Arial"/>
                <w:lang w:eastAsia="en-AU"/>
              </w:rPr>
              <w:t>12/114 (10%)</w:t>
            </w:r>
          </w:p>
        </w:tc>
      </w:tr>
      <w:tr w:rsidR="0062567A" w:rsidRPr="00800CA2" w14:paraId="69278CCB"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BFBFBF"/>
            <w:hideMark/>
          </w:tcPr>
          <w:p w14:paraId="67BBDD6A" w14:textId="77777777" w:rsidR="0062567A" w:rsidRPr="00986B2B" w:rsidRDefault="0062567A">
            <w:pPr>
              <w:keepNext/>
              <w:keepLines/>
              <w:spacing w:before="0" w:after="0" w:line="240" w:lineRule="auto"/>
              <w:contextualSpacing/>
              <w:textAlignment w:val="baseline"/>
              <w:rPr>
                <w:rFonts w:eastAsia="Times New Roman" w:cs="Arial"/>
                <w:lang w:eastAsia="en-AU"/>
              </w:rPr>
            </w:pPr>
            <w:r w:rsidRPr="00986B2B">
              <w:rPr>
                <w:rFonts w:eastAsia="Times New Roman" w:cs="Arial"/>
                <w:b/>
                <w:lang w:eastAsia="en-AU"/>
              </w:rPr>
              <w:t>IERP Legal Team</w:t>
            </w:r>
          </w:p>
        </w:tc>
        <w:tc>
          <w:tcPr>
            <w:tcW w:w="943" w:type="pct"/>
            <w:tcBorders>
              <w:top w:val="single" w:sz="6" w:space="0" w:color="595959"/>
              <w:left w:val="single" w:sz="6" w:space="0" w:color="595959"/>
              <w:bottom w:val="single" w:sz="6" w:space="0" w:color="595959"/>
              <w:right w:val="single" w:sz="6" w:space="0" w:color="595959"/>
            </w:tcBorders>
            <w:shd w:val="clear" w:color="auto" w:fill="BFBFBF"/>
            <w:hideMark/>
          </w:tcPr>
          <w:p w14:paraId="2D2A1BFA" w14:textId="130DA044" w:rsidR="0062567A" w:rsidRPr="00986B2B" w:rsidRDefault="00800CA2">
            <w:pPr>
              <w:keepNext/>
              <w:keepLines/>
              <w:spacing w:before="0" w:after="0" w:line="240" w:lineRule="auto"/>
              <w:contextualSpacing/>
              <w:jc w:val="center"/>
              <w:textAlignment w:val="baseline"/>
              <w:rPr>
                <w:rFonts w:eastAsia="Times New Roman" w:cs="Arial"/>
                <w:color w:val="C0C0C0"/>
                <w:lang w:eastAsia="en-AU"/>
              </w:rPr>
            </w:pPr>
            <w:r w:rsidRPr="00986B2B">
              <w:rPr>
                <w:rFonts w:eastAsia="Times New Roman" w:cs="Times New Roman"/>
                <w:color w:val="C0C0C0"/>
                <w:lang w:eastAsia="en-AU"/>
              </w:rPr>
              <w:t>Matters</w:t>
            </w:r>
            <w:r w:rsidR="0062567A" w:rsidRPr="00986B2B">
              <w:rPr>
                <w:rFonts w:eastAsia="Times New Roman" w:cs="Times New Roman"/>
                <w:color w:val="C0C0C0"/>
                <w:lang w:eastAsia="en-AU"/>
              </w:rPr>
              <w:t>/n (%)</w:t>
            </w:r>
          </w:p>
        </w:tc>
        <w:tc>
          <w:tcPr>
            <w:tcW w:w="945" w:type="pct"/>
            <w:tcBorders>
              <w:top w:val="single" w:sz="6" w:space="0" w:color="595959"/>
              <w:left w:val="single" w:sz="6" w:space="0" w:color="595959"/>
              <w:bottom w:val="single" w:sz="6" w:space="0" w:color="595959"/>
              <w:right w:val="single" w:sz="6" w:space="0" w:color="595959"/>
            </w:tcBorders>
            <w:shd w:val="clear" w:color="auto" w:fill="BFBFBF"/>
            <w:hideMark/>
          </w:tcPr>
          <w:p w14:paraId="438011F3" w14:textId="0A4E52C0" w:rsidR="0062567A" w:rsidRPr="00986B2B" w:rsidRDefault="00800CA2">
            <w:pPr>
              <w:keepNext/>
              <w:keepLines/>
              <w:spacing w:before="0" w:after="0" w:line="240" w:lineRule="auto"/>
              <w:contextualSpacing/>
              <w:jc w:val="center"/>
              <w:textAlignment w:val="baseline"/>
              <w:rPr>
                <w:rFonts w:eastAsia="Times New Roman" w:cs="Arial"/>
                <w:color w:val="C0C0C0"/>
                <w:lang w:eastAsia="en-AU"/>
              </w:rPr>
            </w:pPr>
            <w:r w:rsidRPr="00986B2B">
              <w:rPr>
                <w:rFonts w:eastAsia="Times New Roman" w:cs="Times New Roman"/>
                <w:color w:val="C0C0C0"/>
                <w:lang w:eastAsia="en-AU"/>
              </w:rPr>
              <w:t>Matters</w:t>
            </w:r>
            <w:r w:rsidR="0062567A" w:rsidRPr="00986B2B">
              <w:rPr>
                <w:rFonts w:eastAsia="Times New Roman" w:cs="Times New Roman"/>
                <w:color w:val="C0C0C0"/>
                <w:lang w:eastAsia="en-AU"/>
              </w:rPr>
              <w:t>/n (%)</w:t>
            </w:r>
          </w:p>
        </w:tc>
        <w:tc>
          <w:tcPr>
            <w:tcW w:w="1022" w:type="pct"/>
            <w:tcBorders>
              <w:top w:val="single" w:sz="6" w:space="0" w:color="595959"/>
              <w:left w:val="single" w:sz="6" w:space="0" w:color="595959"/>
              <w:bottom w:val="single" w:sz="6" w:space="0" w:color="595959"/>
              <w:right w:val="single" w:sz="6" w:space="0" w:color="595959"/>
            </w:tcBorders>
            <w:shd w:val="clear" w:color="auto" w:fill="BFBFBF"/>
            <w:hideMark/>
          </w:tcPr>
          <w:p w14:paraId="233D5FBC" w14:textId="397DF5BC" w:rsidR="0062567A" w:rsidRPr="00986B2B" w:rsidRDefault="00800CA2">
            <w:pPr>
              <w:keepNext/>
              <w:keepLines/>
              <w:spacing w:before="0" w:after="0" w:line="240" w:lineRule="auto"/>
              <w:contextualSpacing/>
              <w:jc w:val="center"/>
              <w:textAlignment w:val="baseline"/>
              <w:rPr>
                <w:rFonts w:eastAsia="Times New Roman" w:cs="Arial"/>
                <w:color w:val="C0C0C0"/>
                <w:lang w:eastAsia="en-AU"/>
              </w:rPr>
            </w:pPr>
            <w:r w:rsidRPr="00986B2B">
              <w:rPr>
                <w:rFonts w:eastAsia="Times New Roman" w:cs="Times New Roman"/>
                <w:color w:val="C0C0C0"/>
                <w:lang w:eastAsia="en-AU"/>
              </w:rPr>
              <w:t>Matters</w:t>
            </w:r>
            <w:r w:rsidR="0062567A" w:rsidRPr="00986B2B">
              <w:rPr>
                <w:rFonts w:eastAsia="Times New Roman" w:cs="Times New Roman"/>
                <w:color w:val="C0C0C0"/>
                <w:lang w:eastAsia="en-AU"/>
              </w:rPr>
              <w:t>/n (%)</w:t>
            </w:r>
          </w:p>
        </w:tc>
        <w:tc>
          <w:tcPr>
            <w:tcW w:w="992" w:type="pct"/>
            <w:tcBorders>
              <w:top w:val="single" w:sz="6" w:space="0" w:color="595959"/>
              <w:left w:val="single" w:sz="6" w:space="0" w:color="595959"/>
              <w:bottom w:val="single" w:sz="6" w:space="0" w:color="595959"/>
              <w:right w:val="single" w:sz="6" w:space="0" w:color="595959"/>
            </w:tcBorders>
            <w:shd w:val="clear" w:color="auto" w:fill="BFBFBF"/>
            <w:hideMark/>
          </w:tcPr>
          <w:p w14:paraId="048E7B94" w14:textId="7AAF71E3" w:rsidR="0062567A" w:rsidRPr="00986B2B" w:rsidRDefault="00800CA2">
            <w:pPr>
              <w:keepNext/>
              <w:keepLines/>
              <w:spacing w:before="0" w:after="0" w:line="240" w:lineRule="auto"/>
              <w:contextualSpacing/>
              <w:jc w:val="center"/>
              <w:textAlignment w:val="baseline"/>
              <w:rPr>
                <w:rFonts w:eastAsia="Times New Roman" w:cs="Arial"/>
                <w:color w:val="C0C0C0"/>
                <w:lang w:eastAsia="en-AU"/>
              </w:rPr>
            </w:pPr>
            <w:r w:rsidRPr="00986B2B">
              <w:rPr>
                <w:rFonts w:eastAsia="Times New Roman" w:cs="Times New Roman"/>
                <w:color w:val="C0C0C0"/>
                <w:lang w:eastAsia="en-AU"/>
              </w:rPr>
              <w:t>Matters</w:t>
            </w:r>
            <w:r w:rsidR="0062567A" w:rsidRPr="00986B2B">
              <w:rPr>
                <w:rFonts w:eastAsia="Times New Roman" w:cs="Times New Roman"/>
                <w:color w:val="C0C0C0"/>
                <w:lang w:eastAsia="en-AU"/>
              </w:rPr>
              <w:t>/n (%)</w:t>
            </w:r>
          </w:p>
        </w:tc>
      </w:tr>
      <w:tr w:rsidR="0062567A" w:rsidRPr="00800CA2" w14:paraId="505E04D5"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F7EEF7"/>
            <w:hideMark/>
          </w:tcPr>
          <w:p w14:paraId="2D513225" w14:textId="5E0D9601" w:rsidR="0062567A" w:rsidRPr="00986B2B" w:rsidRDefault="0062567A">
            <w:pPr>
              <w:keepNext/>
              <w:keepLines/>
              <w:spacing w:before="0" w:after="0" w:line="240" w:lineRule="auto"/>
              <w:contextualSpacing/>
              <w:textAlignment w:val="baseline"/>
              <w:rPr>
                <w:rFonts w:eastAsia="Times New Roman" w:cs="Arial"/>
                <w:lang w:eastAsia="en-AU"/>
              </w:rPr>
            </w:pPr>
            <w:r w:rsidRPr="00986B2B">
              <w:rPr>
                <w:rFonts w:eastAsia="Times New Roman" w:cs="Arial"/>
                <w:lang w:eastAsia="en-AU"/>
              </w:rPr>
              <w:t>Agree</w:t>
            </w:r>
          </w:p>
        </w:tc>
        <w:tc>
          <w:tcPr>
            <w:tcW w:w="943" w:type="pct"/>
            <w:tcBorders>
              <w:top w:val="single" w:sz="6" w:space="0" w:color="595959"/>
              <w:left w:val="single" w:sz="6" w:space="0" w:color="595959"/>
              <w:bottom w:val="single" w:sz="6" w:space="0" w:color="595959"/>
              <w:right w:val="single" w:sz="6" w:space="0" w:color="595959"/>
            </w:tcBorders>
            <w:shd w:val="clear" w:color="auto" w:fill="F7EEF7"/>
          </w:tcPr>
          <w:p w14:paraId="1EFD8C96"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41/41 (100%)</w:t>
            </w:r>
          </w:p>
        </w:tc>
        <w:tc>
          <w:tcPr>
            <w:tcW w:w="945" w:type="pct"/>
            <w:tcBorders>
              <w:top w:val="single" w:sz="6" w:space="0" w:color="595959"/>
              <w:left w:val="single" w:sz="6" w:space="0" w:color="595959"/>
              <w:bottom w:val="single" w:sz="6" w:space="0" w:color="595959"/>
              <w:right w:val="single" w:sz="6" w:space="0" w:color="595959"/>
            </w:tcBorders>
            <w:shd w:val="clear" w:color="auto" w:fill="F7EEF7"/>
          </w:tcPr>
          <w:p w14:paraId="0007137D"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40/40 (100%)</w:t>
            </w:r>
          </w:p>
        </w:tc>
        <w:tc>
          <w:tcPr>
            <w:tcW w:w="1022" w:type="pct"/>
            <w:tcBorders>
              <w:top w:val="single" w:sz="6" w:space="0" w:color="595959"/>
              <w:left w:val="single" w:sz="6" w:space="0" w:color="595959"/>
              <w:bottom w:val="single" w:sz="6" w:space="0" w:color="595959"/>
              <w:right w:val="single" w:sz="6" w:space="0" w:color="595959"/>
            </w:tcBorders>
            <w:shd w:val="clear" w:color="auto" w:fill="F7EEF7"/>
          </w:tcPr>
          <w:p w14:paraId="2A835058"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21/21 (100%)</w:t>
            </w:r>
          </w:p>
        </w:tc>
        <w:tc>
          <w:tcPr>
            <w:tcW w:w="992" w:type="pct"/>
            <w:tcBorders>
              <w:top w:val="single" w:sz="6" w:space="0" w:color="595959"/>
              <w:left w:val="single" w:sz="6" w:space="0" w:color="595959"/>
              <w:bottom w:val="single" w:sz="6" w:space="0" w:color="595959"/>
              <w:right w:val="single" w:sz="6" w:space="0" w:color="595959"/>
            </w:tcBorders>
            <w:shd w:val="clear" w:color="auto" w:fill="F7EEF7"/>
          </w:tcPr>
          <w:p w14:paraId="0AAE00B6"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12/12 (100%)</w:t>
            </w:r>
          </w:p>
        </w:tc>
      </w:tr>
      <w:tr w:rsidR="0062567A" w:rsidRPr="00800CA2" w14:paraId="49EC7F42"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auto"/>
            <w:hideMark/>
          </w:tcPr>
          <w:p w14:paraId="41EC3A7E" w14:textId="4A409DF9" w:rsidR="0062567A" w:rsidRPr="00986B2B" w:rsidRDefault="0062567A">
            <w:pPr>
              <w:keepNext/>
              <w:keepLines/>
              <w:spacing w:before="0" w:after="0" w:line="240" w:lineRule="auto"/>
              <w:contextualSpacing/>
              <w:textAlignment w:val="baseline"/>
              <w:rPr>
                <w:rFonts w:eastAsia="Times New Roman" w:cs="Arial"/>
                <w:lang w:eastAsia="en-AU"/>
              </w:rPr>
            </w:pPr>
            <w:r w:rsidRPr="00986B2B">
              <w:rPr>
                <w:rFonts w:eastAsia="Times New Roman" w:cs="Arial"/>
                <w:lang w:eastAsia="en-AU"/>
              </w:rPr>
              <w:t>Disagree</w:t>
            </w:r>
          </w:p>
        </w:tc>
        <w:tc>
          <w:tcPr>
            <w:tcW w:w="943" w:type="pct"/>
            <w:tcBorders>
              <w:top w:val="single" w:sz="6" w:space="0" w:color="595959"/>
              <w:left w:val="single" w:sz="6" w:space="0" w:color="595959"/>
              <w:bottom w:val="single" w:sz="6" w:space="0" w:color="595959"/>
              <w:right w:val="single" w:sz="6" w:space="0" w:color="595959"/>
            </w:tcBorders>
            <w:shd w:val="clear" w:color="auto" w:fill="auto"/>
          </w:tcPr>
          <w:p w14:paraId="1E8CC8D2"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0/41 (0%)</w:t>
            </w:r>
          </w:p>
        </w:tc>
        <w:tc>
          <w:tcPr>
            <w:tcW w:w="945" w:type="pct"/>
            <w:tcBorders>
              <w:top w:val="single" w:sz="6" w:space="0" w:color="595959"/>
              <w:left w:val="single" w:sz="6" w:space="0" w:color="595959"/>
              <w:bottom w:val="single" w:sz="6" w:space="0" w:color="595959"/>
              <w:right w:val="single" w:sz="6" w:space="0" w:color="595959"/>
            </w:tcBorders>
            <w:shd w:val="clear" w:color="auto" w:fill="auto"/>
          </w:tcPr>
          <w:p w14:paraId="1A00D9FD"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0/40 (0%)</w:t>
            </w:r>
          </w:p>
        </w:tc>
        <w:tc>
          <w:tcPr>
            <w:tcW w:w="1022" w:type="pct"/>
            <w:tcBorders>
              <w:top w:val="single" w:sz="6" w:space="0" w:color="595959"/>
              <w:left w:val="single" w:sz="6" w:space="0" w:color="595959"/>
              <w:bottom w:val="single" w:sz="6" w:space="0" w:color="595959"/>
              <w:right w:val="single" w:sz="6" w:space="0" w:color="595959"/>
            </w:tcBorders>
            <w:shd w:val="clear" w:color="auto" w:fill="auto"/>
          </w:tcPr>
          <w:p w14:paraId="2DB76D24"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0/21 (0%)</w:t>
            </w:r>
          </w:p>
        </w:tc>
        <w:tc>
          <w:tcPr>
            <w:tcW w:w="992" w:type="pct"/>
            <w:tcBorders>
              <w:top w:val="single" w:sz="6" w:space="0" w:color="595959"/>
              <w:left w:val="single" w:sz="6" w:space="0" w:color="595959"/>
              <w:bottom w:val="single" w:sz="6" w:space="0" w:color="595959"/>
              <w:right w:val="single" w:sz="6" w:space="0" w:color="595959"/>
            </w:tcBorders>
            <w:shd w:val="clear" w:color="auto" w:fill="auto"/>
          </w:tcPr>
          <w:p w14:paraId="70E2DAB0" w14:textId="22A18B85"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0/1</w:t>
            </w:r>
            <w:r w:rsidR="00A05A7C" w:rsidRPr="00986B2B">
              <w:rPr>
                <w:rFonts w:eastAsia="Times New Roman" w:cs="Arial"/>
                <w:lang w:eastAsia="en-AU"/>
              </w:rPr>
              <w:t>2</w:t>
            </w:r>
            <w:r w:rsidRPr="00986B2B">
              <w:rPr>
                <w:rFonts w:eastAsia="Times New Roman" w:cs="Arial"/>
                <w:lang w:eastAsia="en-AU"/>
              </w:rPr>
              <w:t xml:space="preserve"> (0%)</w:t>
            </w:r>
          </w:p>
        </w:tc>
      </w:tr>
      <w:tr w:rsidR="0062567A" w:rsidRPr="00800CA2" w14:paraId="5757A9BE"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F7EEF7"/>
            <w:hideMark/>
          </w:tcPr>
          <w:p w14:paraId="10DAE16B" w14:textId="77777777" w:rsidR="0062567A" w:rsidRPr="00986B2B" w:rsidRDefault="0062567A">
            <w:pPr>
              <w:keepNext/>
              <w:keepLines/>
              <w:spacing w:before="0" w:after="0" w:line="240" w:lineRule="auto"/>
              <w:contextualSpacing/>
              <w:textAlignment w:val="baseline"/>
              <w:rPr>
                <w:rFonts w:eastAsia="Times New Roman" w:cs="Arial"/>
                <w:lang w:eastAsia="en-AU"/>
              </w:rPr>
            </w:pPr>
            <w:r w:rsidRPr="00986B2B">
              <w:rPr>
                <w:rFonts w:eastAsia="Times New Roman" w:cs="Arial"/>
                <w:lang w:eastAsia="en-AU"/>
              </w:rPr>
              <w:t>Uncertain</w:t>
            </w:r>
          </w:p>
        </w:tc>
        <w:tc>
          <w:tcPr>
            <w:tcW w:w="943" w:type="pct"/>
            <w:tcBorders>
              <w:top w:val="single" w:sz="6" w:space="0" w:color="595959"/>
              <w:left w:val="single" w:sz="6" w:space="0" w:color="595959"/>
              <w:bottom w:val="single" w:sz="6" w:space="0" w:color="595959"/>
              <w:right w:val="single" w:sz="6" w:space="0" w:color="595959"/>
            </w:tcBorders>
            <w:shd w:val="clear" w:color="auto" w:fill="F7EEF7"/>
          </w:tcPr>
          <w:p w14:paraId="38068290"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0/41 (0%)</w:t>
            </w:r>
          </w:p>
        </w:tc>
        <w:tc>
          <w:tcPr>
            <w:tcW w:w="945" w:type="pct"/>
            <w:tcBorders>
              <w:top w:val="single" w:sz="6" w:space="0" w:color="595959"/>
              <w:left w:val="single" w:sz="6" w:space="0" w:color="595959"/>
              <w:bottom w:val="single" w:sz="6" w:space="0" w:color="595959"/>
              <w:right w:val="single" w:sz="6" w:space="0" w:color="595959"/>
            </w:tcBorders>
            <w:shd w:val="clear" w:color="auto" w:fill="F7EEF7"/>
          </w:tcPr>
          <w:p w14:paraId="6CCBAD18"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0/40 (0%)</w:t>
            </w:r>
          </w:p>
        </w:tc>
        <w:tc>
          <w:tcPr>
            <w:tcW w:w="1022" w:type="pct"/>
            <w:tcBorders>
              <w:top w:val="single" w:sz="6" w:space="0" w:color="595959"/>
              <w:left w:val="single" w:sz="6" w:space="0" w:color="595959"/>
              <w:bottom w:val="single" w:sz="6" w:space="0" w:color="595959"/>
              <w:right w:val="single" w:sz="6" w:space="0" w:color="595959"/>
            </w:tcBorders>
            <w:shd w:val="clear" w:color="auto" w:fill="F7EEF7"/>
          </w:tcPr>
          <w:p w14:paraId="5CBC694E"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0/21 (0%)</w:t>
            </w:r>
          </w:p>
        </w:tc>
        <w:tc>
          <w:tcPr>
            <w:tcW w:w="992" w:type="pct"/>
            <w:tcBorders>
              <w:top w:val="single" w:sz="6" w:space="0" w:color="595959"/>
              <w:left w:val="single" w:sz="6" w:space="0" w:color="595959"/>
              <w:bottom w:val="single" w:sz="6" w:space="0" w:color="595959"/>
              <w:right w:val="single" w:sz="6" w:space="0" w:color="595959"/>
            </w:tcBorders>
            <w:shd w:val="clear" w:color="auto" w:fill="F7EEF7"/>
          </w:tcPr>
          <w:p w14:paraId="4320AB47" w14:textId="31AFE3EA"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0/1</w:t>
            </w:r>
            <w:r w:rsidR="00A05A7C" w:rsidRPr="00986B2B">
              <w:rPr>
                <w:rFonts w:eastAsia="Times New Roman" w:cs="Arial"/>
                <w:lang w:eastAsia="en-AU"/>
              </w:rPr>
              <w:t>2</w:t>
            </w:r>
            <w:r w:rsidRPr="00986B2B">
              <w:rPr>
                <w:rFonts w:eastAsia="Times New Roman" w:cs="Arial"/>
                <w:lang w:eastAsia="en-AU"/>
              </w:rPr>
              <w:t xml:space="preserve"> (0%)</w:t>
            </w:r>
          </w:p>
        </w:tc>
      </w:tr>
      <w:tr w:rsidR="0062567A" w:rsidRPr="00800CA2" w14:paraId="7FB8FB2D"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BFBFBF"/>
            <w:hideMark/>
          </w:tcPr>
          <w:p w14:paraId="5917CDE4" w14:textId="77777777" w:rsidR="0062567A" w:rsidRPr="00986B2B" w:rsidRDefault="0062567A">
            <w:pPr>
              <w:keepNext/>
              <w:keepLines/>
              <w:spacing w:before="0" w:after="0" w:line="240" w:lineRule="auto"/>
              <w:contextualSpacing/>
              <w:textAlignment w:val="baseline"/>
              <w:rPr>
                <w:rFonts w:eastAsia="Times New Roman" w:cs="Arial"/>
                <w:lang w:eastAsia="en-AU"/>
              </w:rPr>
            </w:pPr>
            <w:r w:rsidRPr="00986B2B">
              <w:rPr>
                <w:rFonts w:eastAsia="Times New Roman" w:cs="Arial"/>
                <w:b/>
                <w:lang w:eastAsia="en-AU"/>
              </w:rPr>
              <w:t>Technical Advisory Branch</w:t>
            </w:r>
          </w:p>
        </w:tc>
        <w:tc>
          <w:tcPr>
            <w:tcW w:w="943" w:type="pct"/>
            <w:tcBorders>
              <w:top w:val="single" w:sz="6" w:space="0" w:color="595959"/>
              <w:left w:val="single" w:sz="6" w:space="0" w:color="595959"/>
              <w:bottom w:val="single" w:sz="6" w:space="0" w:color="595959"/>
              <w:right w:val="single" w:sz="6" w:space="0" w:color="595959"/>
            </w:tcBorders>
            <w:shd w:val="clear" w:color="auto" w:fill="BFBFBF"/>
          </w:tcPr>
          <w:p w14:paraId="014284F0" w14:textId="31387B9D" w:rsidR="0062567A" w:rsidRPr="00986B2B" w:rsidRDefault="00800CA2">
            <w:pPr>
              <w:keepNext/>
              <w:keepLines/>
              <w:spacing w:before="0" w:after="0" w:line="240" w:lineRule="auto"/>
              <w:contextualSpacing/>
              <w:jc w:val="center"/>
              <w:textAlignment w:val="baseline"/>
              <w:rPr>
                <w:rFonts w:eastAsia="Times New Roman" w:cs="Arial"/>
                <w:color w:val="C0C0C0"/>
                <w:lang w:eastAsia="en-AU"/>
              </w:rPr>
            </w:pPr>
            <w:r w:rsidRPr="00986B2B">
              <w:rPr>
                <w:rFonts w:eastAsia="Times New Roman" w:cs="Times New Roman"/>
                <w:color w:val="C0C0C0"/>
                <w:lang w:eastAsia="en-AU"/>
              </w:rPr>
              <w:t>Matters</w:t>
            </w:r>
            <w:r w:rsidR="0062567A" w:rsidRPr="00986B2B">
              <w:rPr>
                <w:rFonts w:eastAsia="Times New Roman" w:cs="Times New Roman"/>
                <w:color w:val="C0C0C0"/>
                <w:lang w:eastAsia="en-AU"/>
              </w:rPr>
              <w:t>/n (%)</w:t>
            </w:r>
          </w:p>
        </w:tc>
        <w:tc>
          <w:tcPr>
            <w:tcW w:w="945" w:type="pct"/>
            <w:tcBorders>
              <w:top w:val="single" w:sz="6" w:space="0" w:color="595959"/>
              <w:left w:val="single" w:sz="6" w:space="0" w:color="595959"/>
              <w:bottom w:val="single" w:sz="6" w:space="0" w:color="595959"/>
              <w:right w:val="single" w:sz="6" w:space="0" w:color="595959"/>
            </w:tcBorders>
            <w:shd w:val="clear" w:color="auto" w:fill="BFBFBF"/>
          </w:tcPr>
          <w:p w14:paraId="6FF2AE3F" w14:textId="78ECCBA4" w:rsidR="0062567A" w:rsidRPr="00986B2B" w:rsidRDefault="00800CA2">
            <w:pPr>
              <w:keepNext/>
              <w:keepLines/>
              <w:spacing w:before="0" w:after="0" w:line="240" w:lineRule="auto"/>
              <w:contextualSpacing/>
              <w:jc w:val="center"/>
              <w:textAlignment w:val="baseline"/>
              <w:rPr>
                <w:rFonts w:eastAsia="Times New Roman" w:cs="Arial"/>
                <w:color w:val="C0C0C0"/>
                <w:lang w:eastAsia="en-AU"/>
              </w:rPr>
            </w:pPr>
            <w:r w:rsidRPr="00986B2B">
              <w:rPr>
                <w:rFonts w:eastAsia="Times New Roman" w:cs="Times New Roman"/>
                <w:color w:val="C0C0C0"/>
                <w:lang w:eastAsia="en-AU"/>
              </w:rPr>
              <w:t>Matters</w:t>
            </w:r>
            <w:r w:rsidR="0062567A" w:rsidRPr="00986B2B">
              <w:rPr>
                <w:rFonts w:eastAsia="Times New Roman" w:cs="Times New Roman"/>
                <w:color w:val="C0C0C0"/>
                <w:lang w:eastAsia="en-AU"/>
              </w:rPr>
              <w:t>/n (%)</w:t>
            </w:r>
          </w:p>
        </w:tc>
        <w:tc>
          <w:tcPr>
            <w:tcW w:w="1022" w:type="pct"/>
            <w:tcBorders>
              <w:top w:val="single" w:sz="6" w:space="0" w:color="595959"/>
              <w:left w:val="single" w:sz="6" w:space="0" w:color="595959"/>
              <w:bottom w:val="single" w:sz="6" w:space="0" w:color="595959"/>
              <w:right w:val="single" w:sz="6" w:space="0" w:color="595959"/>
            </w:tcBorders>
            <w:shd w:val="clear" w:color="auto" w:fill="BFBFBF"/>
          </w:tcPr>
          <w:p w14:paraId="4C139688" w14:textId="44033943" w:rsidR="0062567A" w:rsidRPr="00986B2B" w:rsidRDefault="00800CA2">
            <w:pPr>
              <w:keepNext/>
              <w:keepLines/>
              <w:spacing w:before="0" w:after="0" w:line="240" w:lineRule="auto"/>
              <w:contextualSpacing/>
              <w:jc w:val="center"/>
              <w:textAlignment w:val="baseline"/>
              <w:rPr>
                <w:rFonts w:eastAsia="Times New Roman" w:cs="Arial"/>
                <w:color w:val="C0C0C0"/>
                <w:lang w:eastAsia="en-AU"/>
              </w:rPr>
            </w:pPr>
            <w:r w:rsidRPr="00986B2B">
              <w:rPr>
                <w:rFonts w:eastAsia="Times New Roman" w:cs="Times New Roman"/>
                <w:color w:val="C0C0C0"/>
                <w:lang w:eastAsia="en-AU"/>
              </w:rPr>
              <w:t>Matters</w:t>
            </w:r>
            <w:r w:rsidR="0062567A" w:rsidRPr="00986B2B">
              <w:rPr>
                <w:rFonts w:eastAsia="Times New Roman" w:cs="Times New Roman"/>
                <w:color w:val="C0C0C0"/>
                <w:lang w:eastAsia="en-AU"/>
              </w:rPr>
              <w:t>/n (%)</w:t>
            </w:r>
          </w:p>
        </w:tc>
        <w:tc>
          <w:tcPr>
            <w:tcW w:w="992" w:type="pct"/>
            <w:tcBorders>
              <w:top w:val="single" w:sz="6" w:space="0" w:color="595959"/>
              <w:left w:val="single" w:sz="6" w:space="0" w:color="595959"/>
              <w:bottom w:val="single" w:sz="6" w:space="0" w:color="595959"/>
              <w:right w:val="single" w:sz="6" w:space="0" w:color="595959"/>
            </w:tcBorders>
            <w:shd w:val="clear" w:color="auto" w:fill="BFBFBF"/>
          </w:tcPr>
          <w:p w14:paraId="2682B726" w14:textId="28B955C9" w:rsidR="0062567A" w:rsidRPr="00986B2B" w:rsidRDefault="00800CA2">
            <w:pPr>
              <w:keepNext/>
              <w:keepLines/>
              <w:spacing w:before="0" w:after="0" w:line="240" w:lineRule="auto"/>
              <w:contextualSpacing/>
              <w:jc w:val="center"/>
              <w:textAlignment w:val="baseline"/>
              <w:rPr>
                <w:rFonts w:eastAsia="Times New Roman" w:cs="Arial"/>
                <w:color w:val="C0C0C0"/>
                <w:lang w:eastAsia="en-AU"/>
              </w:rPr>
            </w:pPr>
            <w:r w:rsidRPr="00986B2B">
              <w:rPr>
                <w:rFonts w:eastAsia="Times New Roman" w:cs="Times New Roman"/>
                <w:color w:val="C0C0C0"/>
                <w:lang w:eastAsia="en-AU"/>
              </w:rPr>
              <w:t>Matters</w:t>
            </w:r>
            <w:r w:rsidR="0062567A" w:rsidRPr="00986B2B">
              <w:rPr>
                <w:rFonts w:eastAsia="Times New Roman" w:cs="Times New Roman"/>
                <w:color w:val="C0C0C0"/>
                <w:lang w:eastAsia="en-AU"/>
              </w:rPr>
              <w:t>/n (%)</w:t>
            </w:r>
          </w:p>
        </w:tc>
      </w:tr>
      <w:tr w:rsidR="0062567A" w:rsidRPr="00800CA2" w14:paraId="52D07830"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F7EEF7"/>
            <w:hideMark/>
          </w:tcPr>
          <w:p w14:paraId="7688ED66" w14:textId="2BF92BBB" w:rsidR="0062567A" w:rsidRPr="00986B2B" w:rsidRDefault="0062567A">
            <w:pPr>
              <w:keepNext/>
              <w:keepLines/>
              <w:spacing w:before="0" w:after="0" w:line="240" w:lineRule="auto"/>
              <w:contextualSpacing/>
              <w:textAlignment w:val="baseline"/>
              <w:rPr>
                <w:rFonts w:eastAsia="Times New Roman" w:cs="Arial"/>
                <w:lang w:eastAsia="en-AU"/>
              </w:rPr>
            </w:pPr>
            <w:r w:rsidRPr="00986B2B">
              <w:rPr>
                <w:rFonts w:eastAsia="Times New Roman" w:cs="Arial"/>
                <w:lang w:eastAsia="en-AU"/>
              </w:rPr>
              <w:t>Agree</w:t>
            </w:r>
          </w:p>
        </w:tc>
        <w:tc>
          <w:tcPr>
            <w:tcW w:w="943" w:type="pct"/>
            <w:tcBorders>
              <w:top w:val="single" w:sz="6" w:space="0" w:color="595959"/>
              <w:left w:val="single" w:sz="6" w:space="0" w:color="595959"/>
              <w:bottom w:val="single" w:sz="6" w:space="0" w:color="595959"/>
              <w:right w:val="single" w:sz="6" w:space="0" w:color="595959"/>
            </w:tcBorders>
            <w:shd w:val="clear" w:color="auto" w:fill="F7EEF7"/>
          </w:tcPr>
          <w:p w14:paraId="7E084C3A"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39/41 (95%)</w:t>
            </w:r>
          </w:p>
        </w:tc>
        <w:tc>
          <w:tcPr>
            <w:tcW w:w="945" w:type="pct"/>
            <w:tcBorders>
              <w:top w:val="single" w:sz="6" w:space="0" w:color="595959"/>
              <w:left w:val="single" w:sz="6" w:space="0" w:color="595959"/>
              <w:bottom w:val="single" w:sz="6" w:space="0" w:color="595959"/>
              <w:right w:val="single" w:sz="6" w:space="0" w:color="595959"/>
            </w:tcBorders>
            <w:shd w:val="clear" w:color="auto" w:fill="F7EEF7"/>
          </w:tcPr>
          <w:p w14:paraId="1F6135BF"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37/40 (92.5%)</w:t>
            </w:r>
          </w:p>
        </w:tc>
        <w:tc>
          <w:tcPr>
            <w:tcW w:w="1022" w:type="pct"/>
            <w:tcBorders>
              <w:top w:val="single" w:sz="6" w:space="0" w:color="595959"/>
              <w:left w:val="single" w:sz="6" w:space="0" w:color="595959"/>
              <w:bottom w:val="single" w:sz="6" w:space="0" w:color="595959"/>
              <w:right w:val="single" w:sz="6" w:space="0" w:color="595959"/>
            </w:tcBorders>
            <w:shd w:val="clear" w:color="auto" w:fill="F7EEF7"/>
          </w:tcPr>
          <w:p w14:paraId="6F57B0C8"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18/21 (85%)</w:t>
            </w:r>
          </w:p>
        </w:tc>
        <w:tc>
          <w:tcPr>
            <w:tcW w:w="992" w:type="pct"/>
            <w:tcBorders>
              <w:top w:val="single" w:sz="6" w:space="0" w:color="595959"/>
              <w:left w:val="single" w:sz="6" w:space="0" w:color="595959"/>
              <w:bottom w:val="single" w:sz="6" w:space="0" w:color="595959"/>
              <w:right w:val="single" w:sz="6" w:space="0" w:color="595959"/>
            </w:tcBorders>
            <w:shd w:val="clear" w:color="auto" w:fill="F7EEF7"/>
          </w:tcPr>
          <w:p w14:paraId="1225E50A"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10/12 (83%)</w:t>
            </w:r>
          </w:p>
        </w:tc>
      </w:tr>
      <w:tr w:rsidR="0062567A" w:rsidRPr="00800CA2" w14:paraId="3FC8B860"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auto"/>
            <w:hideMark/>
          </w:tcPr>
          <w:p w14:paraId="229FB530" w14:textId="110F6959" w:rsidR="0062567A" w:rsidRPr="00986B2B" w:rsidRDefault="0062567A">
            <w:pPr>
              <w:keepNext/>
              <w:keepLines/>
              <w:spacing w:before="0" w:after="0" w:line="240" w:lineRule="auto"/>
              <w:contextualSpacing/>
              <w:textAlignment w:val="baseline"/>
              <w:rPr>
                <w:rFonts w:eastAsia="Times New Roman" w:cs="Arial"/>
                <w:lang w:eastAsia="en-AU"/>
              </w:rPr>
            </w:pPr>
            <w:r w:rsidRPr="00986B2B">
              <w:rPr>
                <w:rFonts w:eastAsia="Times New Roman" w:cs="Arial"/>
                <w:lang w:eastAsia="en-AU"/>
              </w:rPr>
              <w:t>Disagree</w:t>
            </w:r>
          </w:p>
        </w:tc>
        <w:tc>
          <w:tcPr>
            <w:tcW w:w="943" w:type="pct"/>
            <w:tcBorders>
              <w:top w:val="single" w:sz="6" w:space="0" w:color="595959"/>
              <w:left w:val="single" w:sz="6" w:space="0" w:color="595959"/>
              <w:bottom w:val="single" w:sz="6" w:space="0" w:color="595959"/>
              <w:right w:val="single" w:sz="6" w:space="0" w:color="595959"/>
            </w:tcBorders>
            <w:shd w:val="clear" w:color="auto" w:fill="auto"/>
          </w:tcPr>
          <w:p w14:paraId="63F6AD8E"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0/41 (0%)</w:t>
            </w:r>
          </w:p>
        </w:tc>
        <w:tc>
          <w:tcPr>
            <w:tcW w:w="945" w:type="pct"/>
            <w:tcBorders>
              <w:top w:val="single" w:sz="6" w:space="0" w:color="595959"/>
              <w:left w:val="single" w:sz="6" w:space="0" w:color="595959"/>
              <w:bottom w:val="single" w:sz="6" w:space="0" w:color="595959"/>
              <w:right w:val="single" w:sz="6" w:space="0" w:color="595959"/>
            </w:tcBorders>
            <w:shd w:val="clear" w:color="auto" w:fill="auto"/>
          </w:tcPr>
          <w:p w14:paraId="096D067E"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1/40 (2.5%)</w:t>
            </w:r>
          </w:p>
        </w:tc>
        <w:tc>
          <w:tcPr>
            <w:tcW w:w="1022" w:type="pct"/>
            <w:tcBorders>
              <w:top w:val="single" w:sz="6" w:space="0" w:color="595959"/>
              <w:left w:val="single" w:sz="6" w:space="0" w:color="595959"/>
              <w:bottom w:val="single" w:sz="6" w:space="0" w:color="595959"/>
              <w:right w:val="single" w:sz="6" w:space="0" w:color="595959"/>
            </w:tcBorders>
            <w:shd w:val="clear" w:color="auto" w:fill="auto"/>
          </w:tcPr>
          <w:p w14:paraId="369EC473"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1/21 (5%)</w:t>
            </w:r>
          </w:p>
        </w:tc>
        <w:tc>
          <w:tcPr>
            <w:tcW w:w="992" w:type="pct"/>
            <w:tcBorders>
              <w:top w:val="single" w:sz="6" w:space="0" w:color="595959"/>
              <w:left w:val="single" w:sz="6" w:space="0" w:color="595959"/>
              <w:bottom w:val="single" w:sz="6" w:space="0" w:color="595959"/>
              <w:right w:val="single" w:sz="6" w:space="0" w:color="595959"/>
            </w:tcBorders>
            <w:shd w:val="clear" w:color="auto" w:fill="auto"/>
          </w:tcPr>
          <w:p w14:paraId="03E33DDB" w14:textId="74959E7E"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2/1</w:t>
            </w:r>
            <w:r w:rsidR="00A05A7C" w:rsidRPr="00986B2B">
              <w:rPr>
                <w:rFonts w:eastAsia="Times New Roman" w:cs="Arial"/>
                <w:lang w:eastAsia="en-AU"/>
              </w:rPr>
              <w:t>2</w:t>
            </w:r>
            <w:r w:rsidRPr="00986B2B">
              <w:rPr>
                <w:rFonts w:eastAsia="Times New Roman" w:cs="Arial"/>
                <w:lang w:eastAsia="en-AU"/>
              </w:rPr>
              <w:t xml:space="preserve"> (</w:t>
            </w:r>
            <w:r w:rsidR="00336196" w:rsidRPr="00986B2B">
              <w:rPr>
                <w:rFonts w:eastAsia="Times New Roman" w:cs="Arial"/>
                <w:lang w:eastAsia="en-AU"/>
              </w:rPr>
              <w:t>1</w:t>
            </w:r>
            <w:r w:rsidRPr="00986B2B">
              <w:rPr>
                <w:rFonts w:eastAsia="Times New Roman" w:cs="Arial"/>
                <w:lang w:eastAsia="en-AU"/>
              </w:rPr>
              <w:t>7%)</w:t>
            </w:r>
          </w:p>
        </w:tc>
      </w:tr>
      <w:tr w:rsidR="0062567A" w:rsidRPr="00800CA2" w14:paraId="63AFF7F0" w14:textId="77777777" w:rsidTr="00530D33">
        <w:trPr>
          <w:trHeight w:val="300"/>
        </w:trPr>
        <w:tc>
          <w:tcPr>
            <w:tcW w:w="1098" w:type="pct"/>
            <w:tcBorders>
              <w:top w:val="single" w:sz="6" w:space="0" w:color="595959"/>
              <w:left w:val="single" w:sz="6" w:space="0" w:color="595959"/>
              <w:bottom w:val="single" w:sz="6" w:space="0" w:color="595959"/>
              <w:right w:val="single" w:sz="6" w:space="0" w:color="595959"/>
            </w:tcBorders>
            <w:shd w:val="clear" w:color="auto" w:fill="F7EEF7"/>
            <w:hideMark/>
          </w:tcPr>
          <w:p w14:paraId="12560F19" w14:textId="77777777" w:rsidR="0062567A" w:rsidRPr="00986B2B" w:rsidRDefault="0062567A">
            <w:pPr>
              <w:keepNext/>
              <w:keepLines/>
              <w:spacing w:before="0" w:after="0" w:line="240" w:lineRule="auto"/>
              <w:contextualSpacing/>
              <w:textAlignment w:val="baseline"/>
              <w:rPr>
                <w:rFonts w:eastAsia="Times New Roman" w:cs="Arial"/>
                <w:lang w:eastAsia="en-AU"/>
              </w:rPr>
            </w:pPr>
            <w:r w:rsidRPr="00986B2B">
              <w:rPr>
                <w:rFonts w:eastAsia="Times New Roman" w:cs="Arial"/>
                <w:lang w:eastAsia="en-AU"/>
              </w:rPr>
              <w:t>Uncertain</w:t>
            </w:r>
          </w:p>
        </w:tc>
        <w:tc>
          <w:tcPr>
            <w:tcW w:w="943" w:type="pct"/>
            <w:tcBorders>
              <w:top w:val="single" w:sz="6" w:space="0" w:color="595959"/>
              <w:left w:val="single" w:sz="6" w:space="0" w:color="595959"/>
              <w:bottom w:val="single" w:sz="6" w:space="0" w:color="595959"/>
              <w:right w:val="single" w:sz="6" w:space="0" w:color="595959"/>
            </w:tcBorders>
            <w:shd w:val="clear" w:color="auto" w:fill="F7EEF7"/>
          </w:tcPr>
          <w:p w14:paraId="0A8DEBDB"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2/41 (5%)</w:t>
            </w:r>
          </w:p>
        </w:tc>
        <w:tc>
          <w:tcPr>
            <w:tcW w:w="945" w:type="pct"/>
            <w:tcBorders>
              <w:top w:val="single" w:sz="6" w:space="0" w:color="595959"/>
              <w:left w:val="single" w:sz="6" w:space="0" w:color="595959"/>
              <w:bottom w:val="single" w:sz="6" w:space="0" w:color="595959"/>
              <w:right w:val="single" w:sz="6" w:space="0" w:color="595959"/>
            </w:tcBorders>
            <w:shd w:val="clear" w:color="auto" w:fill="F7EEF7"/>
          </w:tcPr>
          <w:p w14:paraId="019DE5C3"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2/40 (5%)</w:t>
            </w:r>
          </w:p>
        </w:tc>
        <w:tc>
          <w:tcPr>
            <w:tcW w:w="1022" w:type="pct"/>
            <w:tcBorders>
              <w:top w:val="single" w:sz="6" w:space="0" w:color="595959"/>
              <w:left w:val="single" w:sz="6" w:space="0" w:color="595959"/>
              <w:bottom w:val="single" w:sz="6" w:space="0" w:color="595959"/>
              <w:right w:val="single" w:sz="6" w:space="0" w:color="595959"/>
            </w:tcBorders>
            <w:shd w:val="clear" w:color="auto" w:fill="F7EEF7"/>
          </w:tcPr>
          <w:p w14:paraId="21841BF8" w14:textId="77777777"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2/21 (9%)</w:t>
            </w:r>
          </w:p>
        </w:tc>
        <w:tc>
          <w:tcPr>
            <w:tcW w:w="992" w:type="pct"/>
            <w:tcBorders>
              <w:top w:val="single" w:sz="6" w:space="0" w:color="595959"/>
              <w:left w:val="single" w:sz="6" w:space="0" w:color="595959"/>
              <w:bottom w:val="single" w:sz="6" w:space="0" w:color="595959"/>
              <w:right w:val="single" w:sz="6" w:space="0" w:color="595959"/>
            </w:tcBorders>
            <w:shd w:val="clear" w:color="auto" w:fill="F7EEF7"/>
          </w:tcPr>
          <w:p w14:paraId="6431C06D" w14:textId="59E98928" w:rsidR="0062567A" w:rsidRPr="00986B2B" w:rsidRDefault="0062567A">
            <w:pPr>
              <w:keepNext/>
              <w:keepLines/>
              <w:spacing w:before="0" w:after="0" w:line="240" w:lineRule="auto"/>
              <w:contextualSpacing/>
              <w:jc w:val="center"/>
              <w:textAlignment w:val="baseline"/>
              <w:rPr>
                <w:rFonts w:eastAsia="Times New Roman" w:cs="Arial"/>
                <w:lang w:eastAsia="en-AU"/>
              </w:rPr>
            </w:pPr>
            <w:r w:rsidRPr="00986B2B">
              <w:rPr>
                <w:rFonts w:eastAsia="Times New Roman" w:cs="Arial"/>
                <w:lang w:eastAsia="en-AU"/>
              </w:rPr>
              <w:t>0/1</w:t>
            </w:r>
            <w:r w:rsidR="00A05A7C" w:rsidRPr="00986B2B">
              <w:rPr>
                <w:rFonts w:eastAsia="Times New Roman" w:cs="Arial"/>
                <w:lang w:eastAsia="en-AU"/>
              </w:rPr>
              <w:t>2</w:t>
            </w:r>
            <w:r w:rsidRPr="00986B2B">
              <w:rPr>
                <w:rFonts w:eastAsia="Times New Roman" w:cs="Arial"/>
                <w:lang w:eastAsia="en-AU"/>
              </w:rPr>
              <w:t xml:space="preserve"> (0%)</w:t>
            </w:r>
          </w:p>
        </w:tc>
      </w:tr>
    </w:tbl>
    <w:p w14:paraId="036FB590" w14:textId="35C6934B" w:rsidR="0090312F" w:rsidRPr="00325FD3" w:rsidRDefault="0090312F" w:rsidP="0090312F">
      <w:pPr>
        <w:spacing w:before="0" w:after="0"/>
        <w:rPr>
          <w:szCs w:val="22"/>
        </w:rPr>
      </w:pPr>
      <w:r w:rsidRPr="00325FD3">
        <w:rPr>
          <w:szCs w:val="22"/>
        </w:rPr>
        <w:t xml:space="preserve">Source: Research and Evaluation Branch analysis of </w:t>
      </w:r>
      <w:r w:rsidR="00E27760" w:rsidRPr="00325FD3">
        <w:rPr>
          <w:szCs w:val="22"/>
        </w:rPr>
        <w:t>independent expert recommendations</w:t>
      </w:r>
      <w:r w:rsidR="0043390B" w:rsidRPr="00325FD3">
        <w:rPr>
          <w:szCs w:val="22"/>
        </w:rPr>
        <w:t xml:space="preserve"> as of 31 January 2023</w:t>
      </w:r>
      <w:r w:rsidRPr="00325FD3">
        <w:rPr>
          <w:szCs w:val="22"/>
        </w:rPr>
        <w:t xml:space="preserve">, and </w:t>
      </w:r>
      <w:r w:rsidR="00E27760" w:rsidRPr="00325FD3">
        <w:rPr>
          <w:szCs w:val="22"/>
        </w:rPr>
        <w:t>IERP Team</w:t>
      </w:r>
      <w:r w:rsidRPr="00325FD3">
        <w:rPr>
          <w:szCs w:val="22"/>
        </w:rPr>
        <w:t xml:space="preserve"> </w:t>
      </w:r>
      <w:r w:rsidR="00E27760" w:rsidRPr="00325FD3">
        <w:rPr>
          <w:szCs w:val="22"/>
        </w:rPr>
        <w:t>and Technical Advisory</w:t>
      </w:r>
      <w:r w:rsidRPr="00325FD3">
        <w:rPr>
          <w:szCs w:val="22"/>
        </w:rPr>
        <w:t xml:space="preserve"> Branch assessment of </w:t>
      </w:r>
      <w:r w:rsidR="00E27760" w:rsidRPr="00325FD3">
        <w:rPr>
          <w:szCs w:val="22"/>
        </w:rPr>
        <w:t>recommendations.</w:t>
      </w:r>
    </w:p>
    <w:p w14:paraId="49C096A4" w14:textId="01C01A5B" w:rsidR="00165514" w:rsidRDefault="00165514" w:rsidP="00165514">
      <w:r w:rsidRPr="00C94D32">
        <w:t xml:space="preserve">The Agency appropriately relies on the expertise and advice </w:t>
      </w:r>
      <w:r w:rsidR="00252E2E" w:rsidRPr="00C94D32">
        <w:t xml:space="preserve">of </w:t>
      </w:r>
      <w:r w:rsidRPr="00C94D32">
        <w:t xml:space="preserve">TAB and </w:t>
      </w:r>
      <w:r w:rsidR="00252E2E" w:rsidRPr="00C94D32">
        <w:t xml:space="preserve">the </w:t>
      </w:r>
      <w:r w:rsidRPr="00C94D32">
        <w:t>O</w:t>
      </w:r>
      <w:r w:rsidR="00F820E2">
        <w:t>perations and Housing Support (</w:t>
      </w:r>
      <w:r w:rsidR="001A13F8">
        <w:t>O</w:t>
      </w:r>
      <w:r w:rsidR="00A84696">
        <w:t>HS</w:t>
      </w:r>
      <w:r w:rsidR="00F820E2">
        <w:t>)</w:t>
      </w:r>
      <w:r w:rsidR="00A84696">
        <w:t xml:space="preserve"> Branch</w:t>
      </w:r>
      <w:r w:rsidRPr="00C94D32">
        <w:t xml:space="preserve"> to inform their decision making. </w:t>
      </w:r>
      <w:r w:rsidRPr="001F2FF8">
        <w:t xml:space="preserve">The openness of the legislation and Agency </w:t>
      </w:r>
      <w:r w:rsidR="001B64CE">
        <w:t>OGs</w:t>
      </w:r>
      <w:r w:rsidRPr="001F2FF8">
        <w:t xml:space="preserve"> to variable interpretation </w:t>
      </w:r>
      <w:r w:rsidR="00CB55D4" w:rsidRPr="001F2FF8">
        <w:t xml:space="preserve">demonstrates </w:t>
      </w:r>
      <w:r w:rsidR="004A0C6C" w:rsidRPr="001F2FF8">
        <w:t xml:space="preserve">the discretionary </w:t>
      </w:r>
      <w:r w:rsidR="0012508E" w:rsidRPr="001F2FF8">
        <w:t xml:space="preserve">nature of the </w:t>
      </w:r>
      <w:r w:rsidR="00562086" w:rsidRPr="001F2FF8">
        <w:t>current legislative framework</w:t>
      </w:r>
      <w:r w:rsidRPr="001F2FF8">
        <w:t xml:space="preserve">, </w:t>
      </w:r>
      <w:r w:rsidR="001F2FF8" w:rsidRPr="001F2FF8">
        <w:t>rather than a flaw</w:t>
      </w:r>
      <w:r w:rsidRPr="001F2FF8">
        <w:t xml:space="preserve"> in how the IER</w:t>
      </w:r>
      <w:r w:rsidR="00733C1F" w:rsidRPr="001F2FF8">
        <w:t>P</w:t>
      </w:r>
      <w:r w:rsidRPr="001F2FF8">
        <w:t xml:space="preserve"> operates.</w:t>
      </w:r>
      <w:r>
        <w:t xml:space="preserve"> </w:t>
      </w:r>
    </w:p>
    <w:p w14:paraId="7CDDB5CC" w14:textId="39FAA1DA" w:rsidR="00F27398" w:rsidRDefault="00F27398" w:rsidP="00F27398">
      <w:pPr>
        <w:pStyle w:val="Heading3"/>
      </w:pPr>
      <w:bookmarkStart w:id="100" w:name="_Toc133655513"/>
      <w:bookmarkStart w:id="101" w:name="_Toc142918601"/>
      <w:r>
        <w:t>The time to resolve matters</w:t>
      </w:r>
      <w:bookmarkEnd w:id="100"/>
      <w:bookmarkEnd w:id="101"/>
    </w:p>
    <w:p w14:paraId="059C034D" w14:textId="341EEBF1" w:rsidR="00E64DE9" w:rsidRDefault="00F55002" w:rsidP="00261AB6">
      <w:pPr>
        <w:rPr>
          <w:lang w:eastAsia="en-AU"/>
        </w:rPr>
      </w:pPr>
      <w:r>
        <w:rPr>
          <w:lang w:eastAsia="en-AU"/>
        </w:rPr>
        <w:fldChar w:fldCharType="begin"/>
      </w:r>
      <w:r>
        <w:rPr>
          <w:lang w:eastAsia="en-AU"/>
        </w:rPr>
        <w:instrText xml:space="preserve"> REF _Ref134137509 </w:instrText>
      </w:r>
      <w:r w:rsidR="00BD0A06">
        <w:rPr>
          <w:lang w:eastAsia="en-AU"/>
        </w:rPr>
        <w:instrText xml:space="preserve"> \* MERGEFORMAT </w:instrText>
      </w:r>
      <w:r>
        <w:rPr>
          <w:lang w:eastAsia="en-AU"/>
        </w:rPr>
        <w:fldChar w:fldCharType="separate"/>
      </w:r>
      <w:r w:rsidR="000F1876" w:rsidRPr="00325FD3">
        <w:t xml:space="preserve">Figure </w:t>
      </w:r>
      <w:r w:rsidR="000F1876">
        <w:rPr>
          <w:noProof/>
        </w:rPr>
        <w:t>8</w:t>
      </w:r>
      <w:r>
        <w:rPr>
          <w:lang w:eastAsia="en-AU"/>
        </w:rPr>
        <w:fldChar w:fldCharType="end"/>
      </w:r>
      <w:r w:rsidR="00DC6349" w:rsidRPr="003E0801">
        <w:rPr>
          <w:lang w:eastAsia="en-AU"/>
        </w:rPr>
        <w:t xml:space="preserve"> shows </w:t>
      </w:r>
      <w:r w:rsidR="00DC6349">
        <w:rPr>
          <w:lang w:eastAsia="en-AU"/>
        </w:rPr>
        <w:t xml:space="preserve">the distribution </w:t>
      </w:r>
      <w:r w:rsidR="00273303">
        <w:rPr>
          <w:lang w:eastAsia="en-AU"/>
        </w:rPr>
        <w:t xml:space="preserve">of the </w:t>
      </w:r>
      <w:r w:rsidR="00327230">
        <w:rPr>
          <w:lang w:eastAsia="en-AU"/>
        </w:rPr>
        <w:t xml:space="preserve">number of </w:t>
      </w:r>
      <w:r w:rsidR="00DC6349">
        <w:rPr>
          <w:lang w:eastAsia="en-AU"/>
        </w:rPr>
        <w:t xml:space="preserve">days between </w:t>
      </w:r>
      <w:r w:rsidR="008572A1">
        <w:rPr>
          <w:lang w:eastAsia="en-AU"/>
        </w:rPr>
        <w:t>when</w:t>
      </w:r>
      <w:r w:rsidR="00DC6349">
        <w:rPr>
          <w:lang w:eastAsia="en-AU"/>
        </w:rPr>
        <w:t xml:space="preserve"> </w:t>
      </w:r>
      <w:r w:rsidR="00080A66">
        <w:rPr>
          <w:lang w:eastAsia="en-AU"/>
        </w:rPr>
        <w:t xml:space="preserve">an </w:t>
      </w:r>
      <w:r w:rsidR="00DC6349">
        <w:rPr>
          <w:lang w:eastAsia="en-AU"/>
        </w:rPr>
        <w:t xml:space="preserve">AAT matter </w:t>
      </w:r>
      <w:r w:rsidR="00080A66">
        <w:rPr>
          <w:lang w:eastAsia="en-AU"/>
        </w:rPr>
        <w:t>was filed</w:t>
      </w:r>
      <w:r w:rsidR="00327230">
        <w:rPr>
          <w:rStyle w:val="FootnoteReference"/>
          <w:rFonts w:eastAsia="Times New Roman" w:cs="Arial"/>
          <w:szCs w:val="22"/>
          <w:lang w:eastAsia="en-AU"/>
        </w:rPr>
        <w:footnoteReference w:id="28"/>
      </w:r>
      <w:r w:rsidR="00DC6349">
        <w:rPr>
          <w:lang w:eastAsia="en-AU"/>
        </w:rPr>
        <w:t xml:space="preserve"> and </w:t>
      </w:r>
      <w:r w:rsidR="00CA45AE">
        <w:rPr>
          <w:lang w:eastAsia="en-AU"/>
        </w:rPr>
        <w:t>when it was closed</w:t>
      </w:r>
      <w:r w:rsidR="00DC6349">
        <w:rPr>
          <w:lang w:eastAsia="en-AU"/>
        </w:rPr>
        <w:t xml:space="preserve">. It shows </w:t>
      </w:r>
      <w:r w:rsidR="00C93D86">
        <w:rPr>
          <w:lang w:eastAsia="en-AU"/>
        </w:rPr>
        <w:t>the median time</w:t>
      </w:r>
      <w:r w:rsidR="00D67A33">
        <w:rPr>
          <w:lang w:eastAsia="en-AU"/>
        </w:rPr>
        <w:t xml:space="preserve"> </w:t>
      </w:r>
      <w:r w:rsidR="00DC6349">
        <w:rPr>
          <w:lang w:eastAsia="en-AU"/>
        </w:rPr>
        <w:t xml:space="preserve">to </w:t>
      </w:r>
      <w:r w:rsidR="00C12187">
        <w:rPr>
          <w:lang w:eastAsia="en-AU"/>
        </w:rPr>
        <w:t>resolve AAT matters</w:t>
      </w:r>
      <w:r w:rsidR="003D3DE7">
        <w:rPr>
          <w:lang w:eastAsia="en-AU"/>
        </w:rPr>
        <w:t xml:space="preserve"> that closed between July 2022 and January 2023</w:t>
      </w:r>
      <w:r w:rsidR="00C93D86">
        <w:rPr>
          <w:lang w:eastAsia="en-AU"/>
        </w:rPr>
        <w:t xml:space="preserve"> was 257 days</w:t>
      </w:r>
      <w:r w:rsidR="00DC6349">
        <w:rPr>
          <w:lang w:eastAsia="en-AU"/>
        </w:rPr>
        <w:t>.</w:t>
      </w:r>
    </w:p>
    <w:p w14:paraId="0C5A28E3" w14:textId="4A9F38BF" w:rsidR="00DC6349" w:rsidRPr="00325FD3" w:rsidRDefault="00705F14" w:rsidP="00A86241">
      <w:pPr>
        <w:pStyle w:val="Caption-H4"/>
        <w:rPr>
          <w:lang w:eastAsia="en-AU"/>
        </w:rPr>
      </w:pPr>
      <w:bookmarkStart w:id="102" w:name="_Ref134137509"/>
      <w:r w:rsidRPr="00325FD3">
        <w:lastRenderedPageBreak/>
        <w:t xml:space="preserve">Figure </w:t>
      </w:r>
      <w:r w:rsidRPr="00325FD3">
        <w:fldChar w:fldCharType="begin"/>
      </w:r>
      <w:r w:rsidRPr="00325FD3">
        <w:instrText>SEQ Figure \* ARABIC</w:instrText>
      </w:r>
      <w:r w:rsidRPr="00325FD3">
        <w:fldChar w:fldCharType="separate"/>
      </w:r>
      <w:r w:rsidR="000F1876">
        <w:rPr>
          <w:noProof/>
        </w:rPr>
        <w:t>8</w:t>
      </w:r>
      <w:r w:rsidRPr="00325FD3">
        <w:fldChar w:fldCharType="end"/>
      </w:r>
      <w:bookmarkEnd w:id="102"/>
      <w:r w:rsidR="00DC6349" w:rsidRPr="00325FD3">
        <w:rPr>
          <w:lang w:eastAsia="en-AU"/>
        </w:rPr>
        <w:t>: Frequency distribution of days between AAT date received and date closed.</w:t>
      </w:r>
    </w:p>
    <w:p w14:paraId="79DF4256" w14:textId="232DCBC9" w:rsidR="00DC6349" w:rsidRDefault="009E1575" w:rsidP="009E1575">
      <w:pPr>
        <w:spacing w:after="0"/>
        <w:rPr>
          <w:rFonts w:eastAsia="Times New Roman" w:cs="Arial"/>
          <w:szCs w:val="22"/>
          <w:lang w:eastAsia="en-AU"/>
        </w:rPr>
      </w:pPr>
      <w:r w:rsidRPr="00856A5A">
        <w:rPr>
          <w:noProof/>
        </w:rPr>
        <w:drawing>
          <wp:anchor distT="0" distB="0" distL="114300" distR="114300" simplePos="0" relativeHeight="251658243" behindDoc="0" locked="0" layoutInCell="1" allowOverlap="1" wp14:anchorId="54FBCF93" wp14:editId="0A5881BE">
            <wp:simplePos x="0" y="0"/>
            <wp:positionH relativeFrom="column">
              <wp:posOffset>3781425</wp:posOffset>
            </wp:positionH>
            <wp:positionV relativeFrom="paragraph">
              <wp:posOffset>287655</wp:posOffset>
            </wp:positionV>
            <wp:extent cx="1289648" cy="581025"/>
            <wp:effectExtent l="0" t="0" r="6350" b="0"/>
            <wp:wrapNone/>
            <wp:docPr id="21" name="Picture 2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289648" cy="581025"/>
                    </a:xfrm>
                    <a:prstGeom prst="rect">
                      <a:avLst/>
                    </a:prstGeom>
                  </pic:spPr>
                </pic:pic>
              </a:graphicData>
            </a:graphic>
            <wp14:sizeRelH relativeFrom="page">
              <wp14:pctWidth>0</wp14:pctWidth>
            </wp14:sizeRelH>
            <wp14:sizeRelV relativeFrom="page">
              <wp14:pctHeight>0</wp14:pctHeight>
            </wp14:sizeRelV>
          </wp:anchor>
        </w:drawing>
      </w:r>
      <w:r w:rsidR="00C10888">
        <w:rPr>
          <w:noProof/>
          <w:lang w:eastAsia="en-AU"/>
        </w:rPr>
        <mc:AlternateContent>
          <mc:Choice Requires="wps">
            <w:drawing>
              <wp:anchor distT="0" distB="0" distL="114300" distR="114300" simplePos="0" relativeHeight="251658240" behindDoc="0" locked="0" layoutInCell="1" allowOverlap="1" wp14:anchorId="68999698" wp14:editId="54739D7D">
                <wp:simplePos x="0" y="0"/>
                <wp:positionH relativeFrom="column">
                  <wp:posOffset>1419182</wp:posOffset>
                </wp:positionH>
                <wp:positionV relativeFrom="paragraph">
                  <wp:posOffset>185972</wp:posOffset>
                </wp:positionV>
                <wp:extent cx="0" cy="1960900"/>
                <wp:effectExtent l="0" t="0" r="38100" b="20320"/>
                <wp:wrapNone/>
                <wp:docPr id="18" name="Straight Connector 18"/>
                <wp:cNvGraphicFramePr/>
                <a:graphic xmlns:a="http://schemas.openxmlformats.org/drawingml/2006/main">
                  <a:graphicData uri="http://schemas.microsoft.com/office/word/2010/wordprocessingShape">
                    <wps:wsp>
                      <wps:cNvCnPr/>
                      <wps:spPr>
                        <a:xfrm flipV="1">
                          <a:off x="0" y="0"/>
                          <a:ext cx="0" cy="1960900"/>
                        </a:xfrm>
                        <a:prstGeom prst="line">
                          <a:avLst/>
                        </a:prstGeom>
                        <a:ln w="12700">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535BDB" id="Straight Connector 18"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1.75pt,14.65pt" to="111.75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" strokecolor="#c5296d [3207]" strokeweight="1pt">
                <v:stroke dashstyle="dash" joinstyle="miter"/>
              </v:line>
            </w:pict>
          </mc:Fallback>
        </mc:AlternateContent>
      </w:r>
      <w:r w:rsidR="00C10888">
        <w:rPr>
          <w:noProof/>
          <w:lang w:eastAsia="en-AU"/>
        </w:rPr>
        <mc:AlternateContent>
          <mc:Choice Requires="wps">
            <w:drawing>
              <wp:anchor distT="0" distB="0" distL="114300" distR="114300" simplePos="0" relativeHeight="251658241" behindDoc="0" locked="0" layoutInCell="1" allowOverlap="1" wp14:anchorId="6A435452" wp14:editId="65E00D58">
                <wp:simplePos x="0" y="0"/>
                <wp:positionH relativeFrom="column">
                  <wp:posOffset>1535033</wp:posOffset>
                </wp:positionH>
                <wp:positionV relativeFrom="paragraph">
                  <wp:posOffset>185971</wp:posOffset>
                </wp:positionV>
                <wp:extent cx="4138" cy="1969175"/>
                <wp:effectExtent l="0" t="0" r="34290" b="12065"/>
                <wp:wrapNone/>
                <wp:docPr id="19" name="Straight Connector 19"/>
                <wp:cNvGraphicFramePr/>
                <a:graphic xmlns:a="http://schemas.openxmlformats.org/drawingml/2006/main">
                  <a:graphicData uri="http://schemas.microsoft.com/office/word/2010/wordprocessingShape">
                    <wps:wsp>
                      <wps:cNvCnPr/>
                      <wps:spPr>
                        <a:xfrm flipV="1">
                          <a:off x="0" y="0"/>
                          <a:ext cx="4138" cy="1969175"/>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B8E1A" id="Straight Connector 19"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85pt,14.65pt" to="121.2pt,1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" strokecolor="#57bcc7 [3204]" strokeweight="1pt">
                <v:stroke dashstyle="dash" joinstyle="miter"/>
              </v:line>
            </w:pict>
          </mc:Fallback>
        </mc:AlternateContent>
      </w:r>
      <w:r w:rsidR="00C10888">
        <w:rPr>
          <w:noProof/>
          <w:lang w:eastAsia="en-AU"/>
        </w:rPr>
        <mc:AlternateContent>
          <mc:Choice Requires="wps">
            <w:drawing>
              <wp:anchor distT="0" distB="0" distL="114300" distR="114300" simplePos="0" relativeHeight="251658242" behindDoc="0" locked="0" layoutInCell="1" allowOverlap="1" wp14:anchorId="248E1156" wp14:editId="726D9C99">
                <wp:simplePos x="0" y="0"/>
                <wp:positionH relativeFrom="column">
                  <wp:posOffset>1712948</wp:posOffset>
                </wp:positionH>
                <wp:positionV relativeFrom="paragraph">
                  <wp:posOffset>185971</wp:posOffset>
                </wp:positionV>
                <wp:extent cx="4138" cy="1960900"/>
                <wp:effectExtent l="0" t="0" r="34290" b="20320"/>
                <wp:wrapNone/>
                <wp:docPr id="20" name="Straight Connector 20"/>
                <wp:cNvGraphicFramePr/>
                <a:graphic xmlns:a="http://schemas.openxmlformats.org/drawingml/2006/main">
                  <a:graphicData uri="http://schemas.microsoft.com/office/word/2010/wordprocessingShape">
                    <wps:wsp>
                      <wps:cNvCnPr/>
                      <wps:spPr>
                        <a:xfrm flipV="1">
                          <a:off x="0" y="0"/>
                          <a:ext cx="4138" cy="1960900"/>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CDDE9" id="Straight Connector 2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9pt,14.65pt" to="135.25pt,1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" strokecolor="#faa41a [3208]" strokeweight="1pt">
                <v:stroke dashstyle="dash" joinstyle="miter"/>
              </v:line>
            </w:pict>
          </mc:Fallback>
        </mc:AlternateContent>
      </w:r>
      <w:r w:rsidR="009D5E01">
        <w:rPr>
          <w:noProof/>
          <w:lang w:eastAsia="en-AU"/>
        </w:rPr>
        <mc:AlternateContent>
          <mc:Choice Requires="cx1">
            <w:drawing>
              <wp:inline distT="0" distB="0" distL="0" distR="0" wp14:anchorId="5794E8CB" wp14:editId="1A903278">
                <wp:extent cx="5351228" cy="2989691"/>
                <wp:effectExtent l="0" t="0" r="1905" b="1270"/>
                <wp:docPr id="17" name="Chart 17" descr="Figure shows a histogram of the frequency distribution of days between AAT date matter received and date closed. The figure shows a marginally positively skewed distribution with indicators for the mean (271 days), median (257 days), and mode (203 days) between AAT date received and AAT date closed. "/>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4"/>
                  </a:graphicData>
                </a:graphic>
              </wp:inline>
            </w:drawing>
          </mc:Choice>
          <mc:Fallback>
            <w:drawing>
              <wp:inline distT="0" distB="0" distL="0" distR="0" wp14:anchorId="5794E8CB" wp14:editId="1A903278">
                <wp:extent cx="5351228" cy="2989691"/>
                <wp:effectExtent l="0" t="0" r="1905" b="1270"/>
                <wp:docPr id="17" name="Chart 17" descr="Figure shows a histogram of the frequency distribution of days between AAT date matter received and date closed. The figure shows a marginally positively skewed distribution with indicators for the mean (271 days), median (257 days), and mode (203 days) between AAT date received and AAT date closed. "/>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 name="Chart 17" descr="Figure shows a histogram of the frequency distribution of days between AAT date matter received and date closed. The figure shows a marginally positively skewed distribution with indicators for the mean (271 days), median (257 days), and mode (203 days) between AAT date received and AAT date closed. "/>
                        <pic:cNvPicPr>
                          <a:picLocks noGrp="1" noRot="1" noChangeAspect="1" noMove="1" noResize="1" noEditPoints="1" noAdjustHandles="1" noChangeArrowheads="1" noChangeShapeType="1"/>
                        </pic:cNvPicPr>
                      </pic:nvPicPr>
                      <pic:blipFill>
                        <a:blip r:embed="rId25"/>
                        <a:stretch>
                          <a:fillRect/>
                        </a:stretch>
                      </pic:blipFill>
                      <pic:spPr>
                        <a:xfrm>
                          <a:off x="0" y="0"/>
                          <a:ext cx="5351145" cy="2989580"/>
                        </a:xfrm>
                        <a:prstGeom prst="rect">
                          <a:avLst/>
                        </a:prstGeom>
                      </pic:spPr>
                    </pic:pic>
                  </a:graphicData>
                </a:graphic>
              </wp:inline>
            </w:drawing>
          </mc:Fallback>
        </mc:AlternateContent>
      </w:r>
    </w:p>
    <w:p w14:paraId="0500CE17" w14:textId="34F98F71" w:rsidR="00DC6349" w:rsidRPr="00325FD3" w:rsidRDefault="00DC6349" w:rsidP="009E1575">
      <w:pPr>
        <w:keepNext/>
        <w:keepLines/>
        <w:spacing w:before="0" w:line="240" w:lineRule="auto"/>
        <w:textAlignment w:val="baseline"/>
        <w:rPr>
          <w:rFonts w:ascii="Segoe UI" w:eastAsia="Times New Roman" w:hAnsi="Segoe UI" w:cs="Segoe UI"/>
          <w:szCs w:val="22"/>
          <w:lang w:eastAsia="en-AU"/>
        </w:rPr>
      </w:pPr>
      <w:r w:rsidRPr="00325FD3">
        <w:rPr>
          <w:rFonts w:eastAsia="Times New Roman" w:cs="Arial"/>
          <w:szCs w:val="22"/>
          <w:lang w:eastAsia="en-AU"/>
        </w:rPr>
        <w:t>Source: Research and Evaluation Branch analysis of final IER and AAT decisions</w:t>
      </w:r>
    </w:p>
    <w:p w14:paraId="4B2461E2" w14:textId="13C735D2" w:rsidR="00CC3E85" w:rsidRDefault="003D3DE7" w:rsidP="009F12C2">
      <w:pPr>
        <w:rPr>
          <w:lang w:eastAsia="en-AU"/>
        </w:rPr>
      </w:pPr>
      <w:r>
        <w:rPr>
          <w:lang w:eastAsia="en-AU"/>
        </w:rPr>
        <w:t>A</w:t>
      </w:r>
      <w:r w:rsidR="007A2433">
        <w:rPr>
          <w:lang w:eastAsia="en-AU"/>
        </w:rPr>
        <w:t xml:space="preserve">n objective of the IERP </w:t>
      </w:r>
      <w:r w:rsidR="00867FC6">
        <w:rPr>
          <w:lang w:eastAsia="en-AU"/>
        </w:rPr>
        <w:t>i</w:t>
      </w:r>
      <w:r w:rsidR="007A2433">
        <w:rPr>
          <w:lang w:eastAsia="en-AU"/>
        </w:rPr>
        <w:t xml:space="preserve">s to </w:t>
      </w:r>
      <w:r w:rsidR="00C91DCA">
        <w:rPr>
          <w:lang w:eastAsia="en-AU"/>
        </w:rPr>
        <w:t xml:space="preserve">expedite </w:t>
      </w:r>
      <w:r w:rsidR="00DF4490">
        <w:rPr>
          <w:lang w:eastAsia="en-AU"/>
        </w:rPr>
        <w:t>the resol</w:t>
      </w:r>
      <w:r w:rsidR="00A06C71">
        <w:rPr>
          <w:lang w:eastAsia="en-AU"/>
        </w:rPr>
        <w:t xml:space="preserve">ution of </w:t>
      </w:r>
      <w:r w:rsidR="00B97B3D">
        <w:rPr>
          <w:lang w:eastAsia="en-AU"/>
        </w:rPr>
        <w:t>complex matters</w:t>
      </w:r>
      <w:r w:rsidR="004C4A68">
        <w:rPr>
          <w:lang w:eastAsia="en-AU"/>
        </w:rPr>
        <w:t xml:space="preserve">. </w:t>
      </w:r>
      <w:r w:rsidR="0074480E">
        <w:rPr>
          <w:lang w:eastAsia="en-AU"/>
        </w:rPr>
        <w:fldChar w:fldCharType="begin"/>
      </w:r>
      <w:r w:rsidR="0074480E">
        <w:rPr>
          <w:lang w:eastAsia="en-AU"/>
        </w:rPr>
        <w:instrText xml:space="preserve"> REF _Ref135730516 \h </w:instrText>
      </w:r>
      <w:r w:rsidR="0074480E">
        <w:rPr>
          <w:lang w:eastAsia="en-AU"/>
        </w:rPr>
      </w:r>
      <w:r w:rsidR="0074480E">
        <w:rPr>
          <w:lang w:eastAsia="en-AU"/>
        </w:rPr>
        <w:fldChar w:fldCharType="separate"/>
      </w:r>
      <w:r w:rsidR="000F1876" w:rsidRPr="00325FD3">
        <w:t xml:space="preserve">Table </w:t>
      </w:r>
      <w:r w:rsidR="000F1876">
        <w:rPr>
          <w:noProof/>
        </w:rPr>
        <w:t>8</w:t>
      </w:r>
      <w:r w:rsidR="0074480E">
        <w:rPr>
          <w:lang w:eastAsia="en-AU"/>
        </w:rPr>
        <w:fldChar w:fldCharType="end"/>
      </w:r>
      <w:r w:rsidR="00DC6349">
        <w:rPr>
          <w:lang w:eastAsia="en-AU"/>
        </w:rPr>
        <w:t xml:space="preserve"> </w:t>
      </w:r>
      <w:r w:rsidR="00144C66">
        <w:rPr>
          <w:lang w:eastAsia="en-AU"/>
        </w:rPr>
        <w:t xml:space="preserve">shows </w:t>
      </w:r>
      <w:r w:rsidR="00CC3E85">
        <w:rPr>
          <w:lang w:eastAsia="en-AU"/>
        </w:rPr>
        <w:t xml:space="preserve">the IERP has </w:t>
      </w:r>
      <w:r w:rsidR="00C15C0F">
        <w:rPr>
          <w:lang w:eastAsia="en-AU"/>
        </w:rPr>
        <w:t xml:space="preserve">reached a recommendation much quicker than the median AAT duration, although </w:t>
      </w:r>
      <w:r w:rsidR="00D060BA">
        <w:rPr>
          <w:lang w:eastAsia="en-AU"/>
        </w:rPr>
        <w:t>the IERP has</w:t>
      </w:r>
      <w:r w:rsidR="00E92239">
        <w:rPr>
          <w:lang w:eastAsia="en-AU"/>
        </w:rPr>
        <w:t xml:space="preserve"> </w:t>
      </w:r>
      <w:r w:rsidR="00081B13">
        <w:rPr>
          <w:lang w:eastAsia="en-AU"/>
        </w:rPr>
        <w:t>clearly</w:t>
      </w:r>
      <w:r w:rsidR="00D060BA">
        <w:rPr>
          <w:lang w:eastAsia="en-AU"/>
        </w:rPr>
        <w:t xml:space="preserve"> benefited from the evidence gathered during the AAT process.</w:t>
      </w:r>
    </w:p>
    <w:p w14:paraId="2A38ECF9" w14:textId="0E7B8467" w:rsidR="00A46A76" w:rsidRDefault="00D060BA" w:rsidP="00876BF8">
      <w:pPr>
        <w:rPr>
          <w:lang w:eastAsia="en-AU"/>
        </w:rPr>
      </w:pPr>
      <w:r>
        <w:rPr>
          <w:lang w:eastAsia="en-AU"/>
        </w:rPr>
        <w:t>D</w:t>
      </w:r>
      <w:r w:rsidR="00B723C5">
        <w:rPr>
          <w:lang w:eastAsia="en-AU"/>
        </w:rPr>
        <w:t>uring Phase 1 of the IERP</w:t>
      </w:r>
      <w:r w:rsidR="003F32AA">
        <w:rPr>
          <w:lang w:eastAsia="en-AU"/>
        </w:rPr>
        <w:t xml:space="preserve">, </w:t>
      </w:r>
      <w:r w:rsidR="00334D89">
        <w:rPr>
          <w:lang w:eastAsia="en-AU"/>
        </w:rPr>
        <w:t xml:space="preserve">the median duration between </w:t>
      </w:r>
      <w:r w:rsidR="008D1740">
        <w:rPr>
          <w:lang w:eastAsia="en-AU"/>
        </w:rPr>
        <w:t>a participant accept</w:t>
      </w:r>
      <w:r w:rsidR="000C71C5">
        <w:rPr>
          <w:lang w:eastAsia="en-AU"/>
        </w:rPr>
        <w:t>ing</w:t>
      </w:r>
      <w:r w:rsidR="008D1740">
        <w:rPr>
          <w:lang w:eastAsia="en-AU"/>
        </w:rPr>
        <w:t xml:space="preserve"> the invitation to have an independent expert review their matter </w:t>
      </w:r>
      <w:r w:rsidR="003C6855">
        <w:rPr>
          <w:lang w:eastAsia="en-AU"/>
        </w:rPr>
        <w:t>and receiving the independent expert’s recommendation(s)</w:t>
      </w:r>
      <w:r w:rsidR="00334D89">
        <w:rPr>
          <w:lang w:eastAsia="en-AU"/>
        </w:rPr>
        <w:t xml:space="preserve"> was </w:t>
      </w:r>
      <w:r w:rsidR="009B7280">
        <w:rPr>
          <w:lang w:eastAsia="en-AU"/>
        </w:rPr>
        <w:t>19</w:t>
      </w:r>
      <w:r w:rsidR="00334D89">
        <w:rPr>
          <w:lang w:eastAsia="en-AU"/>
        </w:rPr>
        <w:t xml:space="preserve"> days</w:t>
      </w:r>
      <w:r w:rsidR="003C6855">
        <w:rPr>
          <w:lang w:eastAsia="en-AU"/>
        </w:rPr>
        <w:t>.</w:t>
      </w:r>
      <w:r w:rsidR="00334D89">
        <w:rPr>
          <w:lang w:eastAsia="en-AU"/>
        </w:rPr>
        <w:t xml:space="preserve"> This </w:t>
      </w:r>
      <w:r w:rsidR="00AF403C">
        <w:rPr>
          <w:lang w:eastAsia="en-AU"/>
        </w:rPr>
        <w:t xml:space="preserve">included a median </w:t>
      </w:r>
      <w:r w:rsidR="003105EC">
        <w:rPr>
          <w:lang w:eastAsia="en-AU"/>
        </w:rPr>
        <w:t xml:space="preserve">time </w:t>
      </w:r>
      <w:r w:rsidR="00AF403C">
        <w:rPr>
          <w:lang w:eastAsia="en-AU"/>
        </w:rPr>
        <w:t xml:space="preserve">of </w:t>
      </w:r>
      <w:r w:rsidR="009B7280">
        <w:rPr>
          <w:lang w:eastAsia="en-AU"/>
        </w:rPr>
        <w:t>9</w:t>
      </w:r>
      <w:r w:rsidR="00AF403C">
        <w:rPr>
          <w:lang w:eastAsia="en-AU"/>
        </w:rPr>
        <w:t xml:space="preserve"> days for independent experts to make their review.</w:t>
      </w:r>
      <w:r w:rsidR="00AA3600">
        <w:rPr>
          <w:lang w:eastAsia="en-AU"/>
        </w:rPr>
        <w:t xml:space="preserve"> </w:t>
      </w:r>
      <w:r w:rsidR="00693C53" w:rsidRPr="000A127C">
        <w:rPr>
          <w:lang w:eastAsia="en-AU"/>
        </w:rPr>
        <w:t xml:space="preserve">The total duration in Phase 2 </w:t>
      </w:r>
      <w:r w:rsidRPr="000A127C">
        <w:rPr>
          <w:lang w:eastAsia="en-AU"/>
        </w:rPr>
        <w:t xml:space="preserve">of the IERP </w:t>
      </w:r>
      <w:r w:rsidR="00263D75" w:rsidRPr="000A127C">
        <w:rPr>
          <w:lang w:eastAsia="en-AU"/>
        </w:rPr>
        <w:t>inc</w:t>
      </w:r>
      <w:r w:rsidR="00EE1B5D" w:rsidRPr="000A127C">
        <w:rPr>
          <w:lang w:eastAsia="en-AU"/>
        </w:rPr>
        <w:t xml:space="preserve">reased </w:t>
      </w:r>
      <w:r w:rsidR="00693C53" w:rsidRPr="000A127C">
        <w:rPr>
          <w:lang w:eastAsia="en-AU"/>
        </w:rPr>
        <w:t xml:space="preserve">to a median of </w:t>
      </w:r>
      <w:r w:rsidR="009B7280" w:rsidRPr="000A127C">
        <w:rPr>
          <w:lang w:eastAsia="en-AU"/>
        </w:rPr>
        <w:t>23</w:t>
      </w:r>
      <w:r w:rsidR="00693C53" w:rsidRPr="000A127C">
        <w:rPr>
          <w:lang w:eastAsia="en-AU"/>
        </w:rPr>
        <w:t xml:space="preserve"> days </w:t>
      </w:r>
      <w:r w:rsidR="00BD180A" w:rsidRPr="000A127C">
        <w:rPr>
          <w:lang w:eastAsia="en-AU"/>
        </w:rPr>
        <w:t>with</w:t>
      </w:r>
      <w:r w:rsidR="004D3368" w:rsidRPr="000A127C">
        <w:rPr>
          <w:lang w:eastAsia="en-AU"/>
        </w:rPr>
        <w:t xml:space="preserve"> independent expert</w:t>
      </w:r>
      <w:r w:rsidR="00200344" w:rsidRPr="000A127C">
        <w:rPr>
          <w:lang w:eastAsia="en-AU"/>
        </w:rPr>
        <w:t xml:space="preserve"> reviews</w:t>
      </w:r>
      <w:r w:rsidR="00593395" w:rsidRPr="000A127C">
        <w:rPr>
          <w:lang w:eastAsia="en-AU"/>
        </w:rPr>
        <w:t xml:space="preserve"> </w:t>
      </w:r>
      <w:r w:rsidR="004D3368" w:rsidRPr="000A127C">
        <w:rPr>
          <w:lang w:eastAsia="en-AU"/>
        </w:rPr>
        <w:t xml:space="preserve">taking </w:t>
      </w:r>
      <w:r w:rsidR="00593395" w:rsidRPr="000A127C">
        <w:rPr>
          <w:lang w:eastAsia="en-AU"/>
        </w:rPr>
        <w:t>marginally</w:t>
      </w:r>
      <w:r w:rsidR="004D3368" w:rsidRPr="000A127C">
        <w:rPr>
          <w:lang w:eastAsia="en-AU"/>
        </w:rPr>
        <w:t xml:space="preserve"> longer (median = </w:t>
      </w:r>
      <w:r w:rsidR="00AA7348" w:rsidRPr="000A127C">
        <w:rPr>
          <w:lang w:eastAsia="en-AU"/>
        </w:rPr>
        <w:t>12</w:t>
      </w:r>
      <w:r w:rsidR="004D3368" w:rsidRPr="000A127C">
        <w:rPr>
          <w:lang w:eastAsia="en-AU"/>
        </w:rPr>
        <w:t xml:space="preserve"> days) due to greater complexity of cases compared to Phase </w:t>
      </w:r>
      <w:r w:rsidR="00CC3E85">
        <w:rPr>
          <w:lang w:eastAsia="en-AU"/>
        </w:rPr>
        <w:t>1</w:t>
      </w:r>
      <w:r w:rsidR="00CC3E85" w:rsidRPr="007D5F1A">
        <w:rPr>
          <w:lang w:eastAsia="en-AU"/>
        </w:rPr>
        <w:t>.</w:t>
      </w:r>
      <w:r w:rsidR="001512B0" w:rsidRPr="007D5F1A">
        <w:rPr>
          <w:lang w:eastAsia="en-AU"/>
        </w:rPr>
        <w:t xml:space="preserve"> </w:t>
      </w:r>
      <w:r w:rsidR="00646993" w:rsidRPr="007D5F1A">
        <w:rPr>
          <w:lang w:eastAsia="en-AU"/>
        </w:rPr>
        <w:t xml:space="preserve">The total average time taken from issuing an </w:t>
      </w:r>
      <w:r w:rsidR="0005624B" w:rsidRPr="007D5F1A">
        <w:rPr>
          <w:lang w:eastAsia="en-AU"/>
        </w:rPr>
        <w:t xml:space="preserve">IERP </w:t>
      </w:r>
      <w:r w:rsidR="00646993" w:rsidRPr="007D5F1A">
        <w:rPr>
          <w:lang w:eastAsia="en-AU"/>
        </w:rPr>
        <w:t xml:space="preserve">invitation to </w:t>
      </w:r>
      <w:r w:rsidR="0005624B" w:rsidRPr="007D5F1A">
        <w:rPr>
          <w:lang w:eastAsia="en-AU"/>
        </w:rPr>
        <w:t xml:space="preserve">a participant to </w:t>
      </w:r>
      <w:r w:rsidR="00646993" w:rsidRPr="007D5F1A">
        <w:rPr>
          <w:lang w:eastAsia="en-AU"/>
        </w:rPr>
        <w:t xml:space="preserve">Agency acceptance of </w:t>
      </w:r>
      <w:r w:rsidR="0005624B" w:rsidRPr="007D5F1A">
        <w:rPr>
          <w:lang w:eastAsia="en-AU"/>
        </w:rPr>
        <w:t xml:space="preserve">recommendations was </w:t>
      </w:r>
      <w:r w:rsidR="00646993" w:rsidRPr="007D5F1A">
        <w:rPr>
          <w:lang w:eastAsia="en-AU"/>
        </w:rPr>
        <w:t>42 business days</w:t>
      </w:r>
      <w:r w:rsidR="0005624B" w:rsidRPr="007D5F1A">
        <w:rPr>
          <w:lang w:eastAsia="en-AU"/>
        </w:rPr>
        <w:t>.</w:t>
      </w:r>
    </w:p>
    <w:p w14:paraId="1F571D39" w14:textId="6001EEAE" w:rsidR="00144C66" w:rsidRDefault="001512B0" w:rsidP="004D3368">
      <w:pPr>
        <w:rPr>
          <w:lang w:eastAsia="en-AU"/>
        </w:rPr>
      </w:pPr>
      <w:r w:rsidRPr="00BD2639">
        <w:rPr>
          <w:lang w:eastAsia="en-AU"/>
        </w:rPr>
        <w:t xml:space="preserve">It is noted that the </w:t>
      </w:r>
      <w:r w:rsidR="002736ED" w:rsidRPr="00BD2639">
        <w:rPr>
          <w:lang w:eastAsia="en-AU"/>
        </w:rPr>
        <w:t xml:space="preserve">much greater </w:t>
      </w:r>
      <w:r w:rsidR="00241954" w:rsidRPr="00BD2639">
        <w:rPr>
          <w:lang w:eastAsia="en-AU"/>
        </w:rPr>
        <w:t xml:space="preserve">overall </w:t>
      </w:r>
      <w:r w:rsidR="00FA6964" w:rsidRPr="00BD2639">
        <w:rPr>
          <w:lang w:eastAsia="en-AU"/>
        </w:rPr>
        <w:t xml:space="preserve">complexity </w:t>
      </w:r>
      <w:r w:rsidR="0001573E" w:rsidRPr="00BD2639">
        <w:rPr>
          <w:lang w:eastAsia="en-AU"/>
        </w:rPr>
        <w:t xml:space="preserve">of matters </w:t>
      </w:r>
      <w:r w:rsidR="002736ED" w:rsidRPr="00BD2639">
        <w:rPr>
          <w:lang w:eastAsia="en-AU"/>
        </w:rPr>
        <w:t xml:space="preserve">addressed </w:t>
      </w:r>
      <w:r w:rsidR="00BA49B1" w:rsidRPr="00BD2639">
        <w:rPr>
          <w:lang w:eastAsia="en-AU"/>
        </w:rPr>
        <w:t xml:space="preserve">in the IERP </w:t>
      </w:r>
      <w:r w:rsidR="00C136A4" w:rsidRPr="00BD2639">
        <w:rPr>
          <w:lang w:eastAsia="en-AU"/>
        </w:rPr>
        <w:t xml:space="preserve">resulted in longer than anticipated </w:t>
      </w:r>
      <w:r w:rsidR="00B823D7" w:rsidRPr="00BD2639">
        <w:rPr>
          <w:lang w:eastAsia="en-AU"/>
        </w:rPr>
        <w:t xml:space="preserve">timeframes </w:t>
      </w:r>
      <w:r w:rsidR="00501F43" w:rsidRPr="00BD2639">
        <w:rPr>
          <w:lang w:eastAsia="en-AU"/>
        </w:rPr>
        <w:t xml:space="preserve">to </w:t>
      </w:r>
      <w:r w:rsidR="003F087E" w:rsidRPr="00BD2639">
        <w:rPr>
          <w:lang w:eastAsia="en-AU"/>
        </w:rPr>
        <w:t>complete eac</w:t>
      </w:r>
      <w:r w:rsidR="0072626A" w:rsidRPr="00BD2639">
        <w:rPr>
          <w:lang w:eastAsia="en-AU"/>
        </w:rPr>
        <w:t>h case</w:t>
      </w:r>
      <w:r w:rsidR="00EC0B93" w:rsidRPr="00BD2639">
        <w:rPr>
          <w:lang w:eastAsia="en-AU"/>
        </w:rPr>
        <w:t xml:space="preserve">. </w:t>
      </w:r>
      <w:r w:rsidR="00874EC7" w:rsidRPr="00BD2639">
        <w:rPr>
          <w:lang w:eastAsia="en-AU"/>
        </w:rPr>
        <w:t>Th</w:t>
      </w:r>
      <w:r w:rsidR="00340E66" w:rsidRPr="00BD2639">
        <w:rPr>
          <w:lang w:eastAsia="en-AU"/>
        </w:rPr>
        <w:t xml:space="preserve">is </w:t>
      </w:r>
      <w:r w:rsidR="002147C6" w:rsidRPr="00BD2639">
        <w:rPr>
          <w:lang w:eastAsia="en-AU"/>
        </w:rPr>
        <w:t>includ</w:t>
      </w:r>
      <w:r w:rsidR="001F6264" w:rsidRPr="00BD2639">
        <w:rPr>
          <w:lang w:eastAsia="en-AU"/>
        </w:rPr>
        <w:t xml:space="preserve">ed extended times </w:t>
      </w:r>
      <w:r w:rsidR="0041175C" w:rsidRPr="00BD2639">
        <w:rPr>
          <w:lang w:eastAsia="en-AU"/>
        </w:rPr>
        <w:t xml:space="preserve">to </w:t>
      </w:r>
      <w:r w:rsidR="00E774E2" w:rsidRPr="00BD2639">
        <w:rPr>
          <w:lang w:eastAsia="en-AU"/>
        </w:rPr>
        <w:t>collat</w:t>
      </w:r>
      <w:r w:rsidR="0041175C" w:rsidRPr="00BD2639">
        <w:rPr>
          <w:lang w:eastAsia="en-AU"/>
        </w:rPr>
        <w:t>e</w:t>
      </w:r>
      <w:r w:rsidR="00E774E2" w:rsidRPr="00BD2639">
        <w:rPr>
          <w:lang w:eastAsia="en-AU"/>
        </w:rPr>
        <w:t xml:space="preserve"> documents, identif</w:t>
      </w:r>
      <w:r w:rsidR="0041175C" w:rsidRPr="00BD2639">
        <w:rPr>
          <w:lang w:eastAsia="en-AU"/>
        </w:rPr>
        <w:t>y</w:t>
      </w:r>
      <w:r w:rsidR="00051120" w:rsidRPr="00BD2639">
        <w:rPr>
          <w:lang w:eastAsia="en-AU"/>
        </w:rPr>
        <w:t xml:space="preserve"> the</w:t>
      </w:r>
      <w:r w:rsidR="00E774E2" w:rsidRPr="00BD2639">
        <w:rPr>
          <w:lang w:eastAsia="en-AU"/>
        </w:rPr>
        <w:t xml:space="preserve"> requested supports in dispute, </w:t>
      </w:r>
      <w:r w:rsidR="00190218" w:rsidRPr="00BD2639">
        <w:rPr>
          <w:lang w:eastAsia="en-AU"/>
        </w:rPr>
        <w:t xml:space="preserve">list the reasonable and necessary </w:t>
      </w:r>
      <w:r w:rsidR="00E774E2" w:rsidRPr="00BD2639">
        <w:rPr>
          <w:lang w:eastAsia="en-AU"/>
        </w:rPr>
        <w:t xml:space="preserve">aspects </w:t>
      </w:r>
      <w:r w:rsidR="00190218" w:rsidRPr="00BD2639">
        <w:rPr>
          <w:lang w:eastAsia="en-AU"/>
        </w:rPr>
        <w:t>of the case</w:t>
      </w:r>
      <w:r w:rsidR="00E774E2" w:rsidRPr="00BD2639">
        <w:rPr>
          <w:lang w:eastAsia="en-AU"/>
        </w:rPr>
        <w:t xml:space="preserve">, </w:t>
      </w:r>
      <w:r w:rsidR="00877ABC" w:rsidRPr="00BD2639">
        <w:rPr>
          <w:lang w:eastAsia="en-AU"/>
        </w:rPr>
        <w:t xml:space="preserve">have </w:t>
      </w:r>
      <w:r w:rsidR="00D55C63" w:rsidRPr="00BD2639">
        <w:rPr>
          <w:lang w:eastAsia="en-AU"/>
        </w:rPr>
        <w:t xml:space="preserve">the </w:t>
      </w:r>
      <w:r w:rsidR="00D35EF7" w:rsidRPr="00BD2639">
        <w:rPr>
          <w:lang w:eastAsia="en-AU"/>
        </w:rPr>
        <w:t xml:space="preserve">independent expert </w:t>
      </w:r>
      <w:r w:rsidR="00E774E2" w:rsidRPr="00BD2639">
        <w:rPr>
          <w:lang w:eastAsia="en-AU"/>
        </w:rPr>
        <w:t xml:space="preserve">consider and prepare </w:t>
      </w:r>
      <w:r w:rsidR="00877ABC" w:rsidRPr="00BD2639">
        <w:rPr>
          <w:lang w:eastAsia="en-AU"/>
        </w:rPr>
        <w:t>the recommendation</w:t>
      </w:r>
      <w:r w:rsidR="00E774E2" w:rsidRPr="00BD2639">
        <w:rPr>
          <w:lang w:eastAsia="en-AU"/>
        </w:rPr>
        <w:t xml:space="preserve">, review </w:t>
      </w:r>
      <w:r w:rsidR="00877ABC" w:rsidRPr="00BD2639">
        <w:rPr>
          <w:lang w:eastAsia="en-AU"/>
        </w:rPr>
        <w:t xml:space="preserve">the </w:t>
      </w:r>
      <w:r w:rsidR="001E7E0D" w:rsidRPr="00BD2639">
        <w:rPr>
          <w:lang w:eastAsia="en-AU"/>
        </w:rPr>
        <w:t>recommendation</w:t>
      </w:r>
      <w:r w:rsidR="00E04D68" w:rsidRPr="00BD2639">
        <w:rPr>
          <w:lang w:eastAsia="en-AU"/>
        </w:rPr>
        <w:t xml:space="preserve"> provided</w:t>
      </w:r>
      <w:r w:rsidR="00E774E2" w:rsidRPr="00BD2639">
        <w:rPr>
          <w:lang w:eastAsia="en-AU"/>
        </w:rPr>
        <w:t xml:space="preserve">, </w:t>
      </w:r>
      <w:r w:rsidR="00CC1990" w:rsidRPr="00BD2639">
        <w:rPr>
          <w:lang w:eastAsia="en-AU"/>
        </w:rPr>
        <w:lastRenderedPageBreak/>
        <w:t xml:space="preserve">prepare the </w:t>
      </w:r>
      <w:r w:rsidR="00E774E2" w:rsidRPr="00BD2639">
        <w:rPr>
          <w:lang w:eastAsia="en-AU"/>
        </w:rPr>
        <w:t xml:space="preserve">internal authorisation for Agency acceptance, </w:t>
      </w:r>
      <w:r w:rsidR="009B4820" w:rsidRPr="00BD2639">
        <w:rPr>
          <w:lang w:eastAsia="en-AU"/>
        </w:rPr>
        <w:t xml:space="preserve">provide a </w:t>
      </w:r>
      <w:r w:rsidR="00E774E2" w:rsidRPr="00BD2639">
        <w:rPr>
          <w:lang w:eastAsia="en-AU"/>
        </w:rPr>
        <w:t>statement of reasons</w:t>
      </w:r>
      <w:r w:rsidR="00CF3C64" w:rsidRPr="00BD2639">
        <w:rPr>
          <w:lang w:eastAsia="en-AU"/>
        </w:rPr>
        <w:t xml:space="preserve"> and</w:t>
      </w:r>
      <w:r w:rsidR="004E67F2" w:rsidRPr="00BD2639">
        <w:rPr>
          <w:lang w:eastAsia="en-AU"/>
        </w:rPr>
        <w:t xml:space="preserve"> </w:t>
      </w:r>
      <w:r w:rsidR="00EA604D" w:rsidRPr="00BD2639">
        <w:rPr>
          <w:lang w:eastAsia="en-AU"/>
        </w:rPr>
        <w:t xml:space="preserve">the </w:t>
      </w:r>
      <w:r w:rsidR="004E67F2" w:rsidRPr="00BD2639">
        <w:rPr>
          <w:lang w:eastAsia="en-AU"/>
        </w:rPr>
        <w:t xml:space="preserve">formal </w:t>
      </w:r>
      <w:r w:rsidR="00E774E2" w:rsidRPr="00BD2639">
        <w:rPr>
          <w:lang w:eastAsia="en-AU"/>
        </w:rPr>
        <w:t xml:space="preserve">finalisation </w:t>
      </w:r>
      <w:r w:rsidR="004E67F2" w:rsidRPr="00BD2639">
        <w:rPr>
          <w:lang w:eastAsia="en-AU"/>
        </w:rPr>
        <w:t>of the matter</w:t>
      </w:r>
      <w:r w:rsidR="00EA604D" w:rsidRPr="00BD2639">
        <w:rPr>
          <w:lang w:eastAsia="en-AU"/>
        </w:rPr>
        <w:t>.</w:t>
      </w:r>
    </w:p>
    <w:p w14:paraId="3199390B" w14:textId="152D27B2" w:rsidR="00DC6349" w:rsidRPr="00325FD3" w:rsidRDefault="004E1BC9" w:rsidP="00A86241">
      <w:pPr>
        <w:pStyle w:val="Caption-H4"/>
        <w:rPr>
          <w:rFonts w:eastAsia="Times New Roman" w:cs="Arial"/>
          <w:lang w:eastAsia="en-AU"/>
        </w:rPr>
      </w:pPr>
      <w:bookmarkStart w:id="103" w:name="_Ref135730516"/>
      <w:r w:rsidRPr="00325FD3">
        <w:t xml:space="preserve">Table </w:t>
      </w:r>
      <w:r w:rsidRPr="00325FD3">
        <w:fldChar w:fldCharType="begin"/>
      </w:r>
      <w:r w:rsidRPr="00325FD3">
        <w:instrText>SEQ Table \* ARABIC</w:instrText>
      </w:r>
      <w:r w:rsidRPr="00325FD3">
        <w:fldChar w:fldCharType="separate"/>
      </w:r>
      <w:r w:rsidR="000F1876">
        <w:rPr>
          <w:noProof/>
        </w:rPr>
        <w:t>8</w:t>
      </w:r>
      <w:r w:rsidRPr="00325FD3">
        <w:fldChar w:fldCharType="end"/>
      </w:r>
      <w:bookmarkEnd w:id="103"/>
      <w:r w:rsidR="00DC6349" w:rsidRPr="00325FD3">
        <w:rPr>
          <w:rFonts w:eastAsia="Times New Roman" w:cs="Arial"/>
          <w:lang w:eastAsia="en-AU"/>
        </w:rPr>
        <w:t xml:space="preserve">: </w:t>
      </w:r>
      <w:r w:rsidR="003C6855" w:rsidRPr="00325FD3">
        <w:rPr>
          <w:rFonts w:eastAsia="Times New Roman" w:cs="Arial"/>
          <w:lang w:eastAsia="en-AU"/>
        </w:rPr>
        <w:t xml:space="preserve">Duration of IERP </w:t>
      </w:r>
      <w:r w:rsidR="00AF403C" w:rsidRPr="00325FD3">
        <w:rPr>
          <w:rFonts w:eastAsia="Times New Roman" w:cs="Arial"/>
          <w:lang w:eastAsia="en-AU"/>
        </w:rPr>
        <w:t>reviews</w:t>
      </w:r>
    </w:p>
    <w:tbl>
      <w:tblPr>
        <w:tblW w:w="4975" w:type="pct"/>
        <w:tblBorders>
          <w:top w:val="outset" w:sz="6" w:space="0" w:color="auto"/>
          <w:left w:val="outset" w:sz="6" w:space="0" w:color="auto"/>
          <w:bottom w:val="outset" w:sz="6" w:space="0" w:color="auto"/>
          <w:right w:val="outset" w:sz="6" w:space="0" w:color="auto"/>
        </w:tblBorders>
        <w:tblCellMar>
          <w:top w:w="28" w:type="dxa"/>
          <w:bottom w:w="28" w:type="dxa"/>
        </w:tblCellMar>
        <w:tblLook w:val="04A0" w:firstRow="1" w:lastRow="0" w:firstColumn="1" w:lastColumn="0" w:noHBand="0" w:noVBand="1"/>
        <w:tblCaption w:val="Duration of IERP reviews"/>
        <w:tblDescription w:val="3 columns and 5 rows&#10;Table shows the average and median days it took IERP phase 1 and IERP phase 2 to complete 2 stages: time from participant acceptance of invitation to receipt of recommendation, and time from independent expert acceptance of referral to providing a recommendation."/>
      </w:tblPr>
      <w:tblGrid>
        <w:gridCol w:w="5001"/>
        <w:gridCol w:w="1983"/>
        <w:gridCol w:w="1981"/>
      </w:tblGrid>
      <w:tr w:rsidR="003C6855" w:rsidRPr="0076494F" w14:paraId="2CCB8E6A" w14:textId="77777777" w:rsidTr="00CC0F2E">
        <w:trPr>
          <w:trHeight w:val="522"/>
        </w:trPr>
        <w:tc>
          <w:tcPr>
            <w:tcW w:w="2789" w:type="pct"/>
            <w:tcBorders>
              <w:top w:val="single" w:sz="6" w:space="0" w:color="595959"/>
              <w:left w:val="single" w:sz="6" w:space="0" w:color="595959"/>
              <w:bottom w:val="single" w:sz="6" w:space="0" w:color="595959"/>
              <w:right w:val="single" w:sz="6" w:space="0" w:color="595959"/>
            </w:tcBorders>
            <w:shd w:val="clear" w:color="auto" w:fill="6B2976"/>
            <w:hideMark/>
          </w:tcPr>
          <w:p w14:paraId="5E2E2087" w14:textId="0363ADE7" w:rsidR="003C6855" w:rsidRPr="00986B2B" w:rsidRDefault="003C6855" w:rsidP="00AF403C">
            <w:pPr>
              <w:keepNext/>
              <w:keepLines/>
              <w:spacing w:before="0" w:after="0" w:line="240" w:lineRule="auto"/>
              <w:textAlignment w:val="baseline"/>
              <w:rPr>
                <w:rFonts w:ascii="Times New Roman" w:eastAsia="Times New Roman" w:hAnsi="Times New Roman" w:cs="Times New Roman"/>
                <w:color w:val="FEFFFF" w:themeColor="background1"/>
                <w:lang w:eastAsia="en-AU"/>
              </w:rPr>
            </w:pPr>
            <w:r w:rsidRPr="00986B2B">
              <w:rPr>
                <w:rFonts w:cs="Times New Roman"/>
                <w:color w:val="FEFFFF" w:themeColor="background1"/>
              </w:rPr>
              <w:t>Event</w:t>
            </w:r>
          </w:p>
        </w:tc>
        <w:tc>
          <w:tcPr>
            <w:tcW w:w="1106" w:type="pct"/>
            <w:tcBorders>
              <w:top w:val="single" w:sz="6" w:space="0" w:color="595959"/>
              <w:left w:val="single" w:sz="6" w:space="0" w:color="595959"/>
              <w:bottom w:val="single" w:sz="6" w:space="0" w:color="595959"/>
              <w:right w:val="single" w:sz="6" w:space="0" w:color="595959"/>
            </w:tcBorders>
            <w:shd w:val="clear" w:color="auto" w:fill="6B2976"/>
            <w:hideMark/>
          </w:tcPr>
          <w:p w14:paraId="2AA2CA77" w14:textId="77777777" w:rsidR="003C6855" w:rsidRPr="00986B2B" w:rsidRDefault="003C6855" w:rsidP="00AF403C">
            <w:pPr>
              <w:keepNext/>
              <w:keepLines/>
              <w:spacing w:before="0" w:after="0" w:line="240" w:lineRule="auto"/>
              <w:jc w:val="center"/>
              <w:textAlignment w:val="baseline"/>
              <w:rPr>
                <w:rFonts w:ascii="Times New Roman" w:eastAsia="Times New Roman" w:hAnsi="Times New Roman" w:cs="Times New Roman"/>
                <w:color w:val="FEFFFF" w:themeColor="background1"/>
                <w:lang w:eastAsia="en-AU"/>
              </w:rPr>
            </w:pPr>
            <w:r w:rsidRPr="00986B2B">
              <w:rPr>
                <w:color w:val="FEFFFF" w:themeColor="background1"/>
              </w:rPr>
              <w:t>Average</w:t>
            </w:r>
          </w:p>
        </w:tc>
        <w:tc>
          <w:tcPr>
            <w:tcW w:w="1105" w:type="pct"/>
            <w:tcBorders>
              <w:top w:val="single" w:sz="6" w:space="0" w:color="595959"/>
              <w:left w:val="single" w:sz="6" w:space="0" w:color="595959"/>
              <w:bottom w:val="single" w:sz="6" w:space="0" w:color="595959"/>
              <w:right w:val="single" w:sz="6" w:space="0" w:color="595959"/>
            </w:tcBorders>
            <w:shd w:val="clear" w:color="auto" w:fill="6B2976"/>
            <w:hideMark/>
          </w:tcPr>
          <w:p w14:paraId="423DEE87" w14:textId="77777777" w:rsidR="003C6855" w:rsidRPr="00986B2B" w:rsidRDefault="003C6855" w:rsidP="00AF403C">
            <w:pPr>
              <w:keepNext/>
              <w:keepLines/>
              <w:spacing w:before="0" w:after="0" w:line="240" w:lineRule="auto"/>
              <w:jc w:val="center"/>
              <w:textAlignment w:val="baseline"/>
              <w:rPr>
                <w:rFonts w:ascii="Times New Roman" w:eastAsia="Times New Roman" w:hAnsi="Times New Roman" w:cs="Times New Roman"/>
                <w:color w:val="FEFFFF" w:themeColor="background1"/>
                <w:lang w:eastAsia="en-AU"/>
              </w:rPr>
            </w:pPr>
            <w:r w:rsidRPr="00986B2B">
              <w:rPr>
                <w:color w:val="FEFFFF" w:themeColor="background1"/>
              </w:rPr>
              <w:t>Median</w:t>
            </w:r>
          </w:p>
        </w:tc>
      </w:tr>
      <w:tr w:rsidR="003C6855" w:rsidRPr="0076494F" w14:paraId="3011BC55" w14:textId="77777777" w:rsidTr="00CC0F2E">
        <w:trPr>
          <w:trHeight w:val="522"/>
        </w:trPr>
        <w:tc>
          <w:tcPr>
            <w:tcW w:w="2789" w:type="pct"/>
            <w:tcBorders>
              <w:top w:val="single" w:sz="6" w:space="0" w:color="595959"/>
              <w:left w:val="single" w:sz="6" w:space="0" w:color="595959"/>
              <w:bottom w:val="single" w:sz="6" w:space="0" w:color="595959"/>
              <w:right w:val="single" w:sz="6" w:space="0" w:color="595959"/>
            </w:tcBorders>
            <w:shd w:val="clear" w:color="auto" w:fill="F7EEF7"/>
            <w:hideMark/>
          </w:tcPr>
          <w:p w14:paraId="1823337B" w14:textId="39A24F40" w:rsidR="003C6855" w:rsidRPr="00986B2B" w:rsidRDefault="00AF403C" w:rsidP="00AF403C">
            <w:pPr>
              <w:keepNext/>
              <w:keepLines/>
              <w:spacing w:before="0" w:after="0" w:line="240" w:lineRule="auto"/>
              <w:textAlignment w:val="baseline"/>
              <w:rPr>
                <w:rFonts w:ascii="Times New Roman" w:eastAsia="Times New Roman" w:hAnsi="Times New Roman" w:cs="Times New Roman"/>
                <w:lang w:eastAsia="en-AU"/>
              </w:rPr>
            </w:pPr>
            <w:r w:rsidRPr="00986B2B">
              <w:t xml:space="preserve">Phase 1 - </w:t>
            </w:r>
            <w:r w:rsidR="003C6855" w:rsidRPr="00986B2B">
              <w:t>Time from participant acceptance of invitation to receipt of a recommendation</w:t>
            </w:r>
          </w:p>
        </w:tc>
        <w:tc>
          <w:tcPr>
            <w:tcW w:w="1106" w:type="pct"/>
            <w:tcBorders>
              <w:top w:val="single" w:sz="6" w:space="0" w:color="595959"/>
              <w:left w:val="single" w:sz="6" w:space="0" w:color="595959"/>
              <w:bottom w:val="single" w:sz="6" w:space="0" w:color="595959"/>
              <w:right w:val="single" w:sz="6" w:space="0" w:color="595959"/>
            </w:tcBorders>
            <w:shd w:val="clear" w:color="auto" w:fill="F7EEF7"/>
            <w:hideMark/>
          </w:tcPr>
          <w:p w14:paraId="197AA74A" w14:textId="7264C804" w:rsidR="003C6855" w:rsidRPr="00986B2B" w:rsidRDefault="00A916E2" w:rsidP="00AF403C">
            <w:pPr>
              <w:keepNext/>
              <w:keepLines/>
              <w:spacing w:before="0" w:after="0" w:line="240" w:lineRule="auto"/>
              <w:jc w:val="center"/>
              <w:textAlignment w:val="baseline"/>
              <w:rPr>
                <w:rFonts w:ascii="Times New Roman" w:eastAsia="Times New Roman" w:hAnsi="Times New Roman" w:cs="Times New Roman"/>
                <w:lang w:eastAsia="en-AU"/>
              </w:rPr>
            </w:pPr>
            <w:r w:rsidRPr="00986B2B">
              <w:t>27</w:t>
            </w:r>
            <w:r w:rsidR="003C6855" w:rsidRPr="00986B2B">
              <w:t xml:space="preserve"> days</w:t>
            </w:r>
          </w:p>
        </w:tc>
        <w:tc>
          <w:tcPr>
            <w:tcW w:w="1105" w:type="pct"/>
            <w:tcBorders>
              <w:top w:val="single" w:sz="6" w:space="0" w:color="595959"/>
              <w:left w:val="single" w:sz="6" w:space="0" w:color="595959"/>
              <w:bottom w:val="single" w:sz="6" w:space="0" w:color="595959"/>
              <w:right w:val="single" w:sz="6" w:space="0" w:color="595959"/>
            </w:tcBorders>
            <w:shd w:val="clear" w:color="auto" w:fill="F7EEF7"/>
            <w:hideMark/>
          </w:tcPr>
          <w:p w14:paraId="11707ECD" w14:textId="55DE1186" w:rsidR="003C6855" w:rsidRPr="00986B2B" w:rsidRDefault="00B0041B" w:rsidP="00AF403C">
            <w:pPr>
              <w:keepNext/>
              <w:keepLines/>
              <w:spacing w:before="0" w:after="0" w:line="240" w:lineRule="auto"/>
              <w:jc w:val="center"/>
              <w:textAlignment w:val="baseline"/>
              <w:rPr>
                <w:rFonts w:ascii="Times New Roman" w:eastAsia="Times New Roman" w:hAnsi="Times New Roman" w:cs="Times New Roman"/>
                <w:lang w:eastAsia="en-AU"/>
              </w:rPr>
            </w:pPr>
            <w:r w:rsidRPr="00986B2B">
              <w:t>19</w:t>
            </w:r>
            <w:r w:rsidR="003C6855" w:rsidRPr="00986B2B">
              <w:t xml:space="preserve"> days</w:t>
            </w:r>
          </w:p>
        </w:tc>
      </w:tr>
      <w:tr w:rsidR="003C6855" w:rsidRPr="0076494F" w14:paraId="58184E43" w14:textId="77777777" w:rsidTr="00CC0F2E">
        <w:trPr>
          <w:trHeight w:val="522"/>
        </w:trPr>
        <w:tc>
          <w:tcPr>
            <w:tcW w:w="2789" w:type="pct"/>
            <w:tcBorders>
              <w:top w:val="single" w:sz="6" w:space="0" w:color="595959"/>
              <w:left w:val="single" w:sz="6" w:space="0" w:color="595959"/>
              <w:bottom w:val="single" w:sz="6" w:space="0" w:color="595959"/>
              <w:right w:val="single" w:sz="6" w:space="0" w:color="595959"/>
            </w:tcBorders>
            <w:shd w:val="clear" w:color="auto" w:fill="F7EEF7"/>
            <w:hideMark/>
          </w:tcPr>
          <w:p w14:paraId="3372DFF2" w14:textId="715A48C9" w:rsidR="003C6855" w:rsidRPr="00986B2B" w:rsidRDefault="00AF403C" w:rsidP="00AF403C">
            <w:pPr>
              <w:keepNext/>
              <w:keepLines/>
              <w:spacing w:before="0" w:after="0" w:line="240" w:lineRule="auto"/>
              <w:textAlignment w:val="baseline"/>
              <w:rPr>
                <w:rFonts w:ascii="Times New Roman" w:eastAsia="Times New Roman" w:hAnsi="Times New Roman" w:cs="Times New Roman"/>
                <w:lang w:eastAsia="en-AU"/>
              </w:rPr>
            </w:pPr>
            <w:r w:rsidRPr="00986B2B">
              <w:t xml:space="preserve">Phase 1 - </w:t>
            </w:r>
            <w:r w:rsidR="003C6855" w:rsidRPr="00986B2B">
              <w:t>Time from independent expert acceptance of referral to providing a recommendation</w:t>
            </w:r>
          </w:p>
        </w:tc>
        <w:tc>
          <w:tcPr>
            <w:tcW w:w="1106" w:type="pct"/>
            <w:tcBorders>
              <w:top w:val="single" w:sz="6" w:space="0" w:color="595959"/>
              <w:left w:val="single" w:sz="6" w:space="0" w:color="595959"/>
              <w:bottom w:val="single" w:sz="6" w:space="0" w:color="595959"/>
              <w:right w:val="single" w:sz="6" w:space="0" w:color="595959"/>
            </w:tcBorders>
            <w:shd w:val="clear" w:color="auto" w:fill="F7EEF7"/>
            <w:hideMark/>
          </w:tcPr>
          <w:p w14:paraId="5906234D" w14:textId="38A0FDD9" w:rsidR="003C6855" w:rsidRPr="00986B2B" w:rsidRDefault="004D7CBA" w:rsidP="00AF403C">
            <w:pPr>
              <w:keepNext/>
              <w:keepLines/>
              <w:spacing w:before="0" w:after="0" w:line="240" w:lineRule="auto"/>
              <w:jc w:val="center"/>
              <w:textAlignment w:val="baseline"/>
              <w:rPr>
                <w:rFonts w:ascii="Times New Roman" w:eastAsia="Times New Roman" w:hAnsi="Times New Roman" w:cs="Times New Roman"/>
                <w:lang w:eastAsia="en-AU"/>
              </w:rPr>
            </w:pPr>
            <w:r w:rsidRPr="00986B2B">
              <w:t>15</w:t>
            </w:r>
            <w:r w:rsidR="003C6855" w:rsidRPr="00986B2B">
              <w:t xml:space="preserve"> days</w:t>
            </w:r>
          </w:p>
        </w:tc>
        <w:tc>
          <w:tcPr>
            <w:tcW w:w="1105" w:type="pct"/>
            <w:tcBorders>
              <w:top w:val="single" w:sz="6" w:space="0" w:color="595959"/>
              <w:left w:val="single" w:sz="6" w:space="0" w:color="595959"/>
              <w:bottom w:val="single" w:sz="6" w:space="0" w:color="595959"/>
              <w:right w:val="single" w:sz="6" w:space="0" w:color="595959"/>
            </w:tcBorders>
            <w:shd w:val="clear" w:color="auto" w:fill="F7EEF7"/>
            <w:hideMark/>
          </w:tcPr>
          <w:p w14:paraId="5B851963" w14:textId="525EF46D" w:rsidR="003C6855" w:rsidRPr="00986B2B" w:rsidRDefault="00B0041B" w:rsidP="00AF403C">
            <w:pPr>
              <w:keepNext/>
              <w:keepLines/>
              <w:spacing w:before="0" w:after="0" w:line="240" w:lineRule="auto"/>
              <w:jc w:val="center"/>
              <w:textAlignment w:val="baseline"/>
              <w:rPr>
                <w:rFonts w:ascii="Times New Roman" w:eastAsia="Times New Roman" w:hAnsi="Times New Roman" w:cs="Times New Roman"/>
                <w:lang w:eastAsia="en-AU"/>
              </w:rPr>
            </w:pPr>
            <w:r w:rsidRPr="00986B2B">
              <w:t>9</w:t>
            </w:r>
            <w:r w:rsidR="003C6855" w:rsidRPr="00986B2B">
              <w:t xml:space="preserve"> days</w:t>
            </w:r>
          </w:p>
        </w:tc>
      </w:tr>
      <w:tr w:rsidR="007214B4" w:rsidRPr="0076494F" w14:paraId="4231B583" w14:textId="77777777" w:rsidTr="00CC0F2E">
        <w:trPr>
          <w:trHeight w:val="522"/>
        </w:trPr>
        <w:tc>
          <w:tcPr>
            <w:tcW w:w="2789" w:type="pct"/>
            <w:tcBorders>
              <w:top w:val="single" w:sz="6" w:space="0" w:color="595959"/>
              <w:left w:val="single" w:sz="6" w:space="0" w:color="595959"/>
              <w:bottom w:val="single" w:sz="6" w:space="0" w:color="595959"/>
              <w:right w:val="single" w:sz="6" w:space="0" w:color="595959"/>
            </w:tcBorders>
            <w:shd w:val="clear" w:color="auto" w:fill="auto"/>
          </w:tcPr>
          <w:p w14:paraId="4BB3F3BC" w14:textId="133C99A8" w:rsidR="007214B4" w:rsidRPr="00986B2B" w:rsidRDefault="00E20963" w:rsidP="00AF403C">
            <w:pPr>
              <w:keepNext/>
              <w:keepLines/>
              <w:spacing w:before="0" w:after="0" w:line="240" w:lineRule="auto"/>
              <w:textAlignment w:val="baseline"/>
            </w:pPr>
            <w:r w:rsidRPr="00986B2B">
              <w:t>Phase 2 - Time from participant acceptance of invitation to receipt of a recommendation</w:t>
            </w:r>
          </w:p>
        </w:tc>
        <w:tc>
          <w:tcPr>
            <w:tcW w:w="1106" w:type="pct"/>
            <w:tcBorders>
              <w:top w:val="single" w:sz="6" w:space="0" w:color="595959"/>
              <w:left w:val="single" w:sz="6" w:space="0" w:color="595959"/>
              <w:bottom w:val="single" w:sz="6" w:space="0" w:color="595959"/>
              <w:right w:val="single" w:sz="6" w:space="0" w:color="595959"/>
            </w:tcBorders>
            <w:shd w:val="clear" w:color="auto" w:fill="auto"/>
          </w:tcPr>
          <w:p w14:paraId="519A4F15" w14:textId="13374055" w:rsidR="007214B4" w:rsidRPr="00986B2B" w:rsidRDefault="00F26CE4" w:rsidP="00AF403C">
            <w:pPr>
              <w:keepNext/>
              <w:keepLines/>
              <w:spacing w:before="0" w:after="0" w:line="240" w:lineRule="auto"/>
              <w:jc w:val="center"/>
              <w:textAlignment w:val="baseline"/>
            </w:pPr>
            <w:r w:rsidRPr="00986B2B">
              <w:t>33</w:t>
            </w:r>
            <w:r w:rsidR="00E20963" w:rsidRPr="00986B2B">
              <w:t xml:space="preserve"> days</w:t>
            </w:r>
          </w:p>
        </w:tc>
        <w:tc>
          <w:tcPr>
            <w:tcW w:w="1105" w:type="pct"/>
            <w:tcBorders>
              <w:top w:val="single" w:sz="6" w:space="0" w:color="595959"/>
              <w:left w:val="single" w:sz="6" w:space="0" w:color="595959"/>
              <w:bottom w:val="single" w:sz="6" w:space="0" w:color="595959"/>
              <w:right w:val="single" w:sz="6" w:space="0" w:color="595959"/>
            </w:tcBorders>
            <w:shd w:val="clear" w:color="auto" w:fill="auto"/>
          </w:tcPr>
          <w:p w14:paraId="27D8C607" w14:textId="42D41B32" w:rsidR="007214B4" w:rsidRPr="00986B2B" w:rsidRDefault="00E20963" w:rsidP="00AF403C">
            <w:pPr>
              <w:keepNext/>
              <w:keepLines/>
              <w:spacing w:before="0" w:after="0" w:line="240" w:lineRule="auto"/>
              <w:jc w:val="center"/>
              <w:textAlignment w:val="baseline"/>
            </w:pPr>
            <w:r w:rsidRPr="00986B2B">
              <w:t>23 days</w:t>
            </w:r>
          </w:p>
        </w:tc>
      </w:tr>
      <w:tr w:rsidR="00AF403C" w:rsidRPr="00AF403C" w14:paraId="6F9347C8" w14:textId="77777777" w:rsidTr="00CC0F2E">
        <w:trPr>
          <w:trHeight w:val="522"/>
        </w:trPr>
        <w:tc>
          <w:tcPr>
            <w:tcW w:w="2789" w:type="pct"/>
            <w:tcBorders>
              <w:top w:val="single" w:sz="6" w:space="0" w:color="595959"/>
              <w:left w:val="single" w:sz="6" w:space="0" w:color="595959"/>
              <w:bottom w:val="single" w:sz="6" w:space="0" w:color="595959"/>
              <w:right w:val="single" w:sz="6" w:space="0" w:color="595959"/>
            </w:tcBorders>
            <w:shd w:val="clear" w:color="auto" w:fill="auto"/>
          </w:tcPr>
          <w:p w14:paraId="01EF1291" w14:textId="1623B745" w:rsidR="00AF403C" w:rsidRPr="00986B2B" w:rsidRDefault="00E20963" w:rsidP="00AF403C">
            <w:pPr>
              <w:keepNext/>
              <w:keepLines/>
              <w:spacing w:before="0" w:after="0" w:line="240" w:lineRule="auto"/>
              <w:textAlignment w:val="baseline"/>
            </w:pPr>
            <w:r w:rsidRPr="00986B2B">
              <w:t>Phase 2 - Time from independent expert acceptance of referral to providing a recommendation</w:t>
            </w:r>
          </w:p>
        </w:tc>
        <w:tc>
          <w:tcPr>
            <w:tcW w:w="1106" w:type="pct"/>
            <w:tcBorders>
              <w:top w:val="single" w:sz="6" w:space="0" w:color="595959"/>
              <w:left w:val="single" w:sz="6" w:space="0" w:color="595959"/>
              <w:bottom w:val="single" w:sz="6" w:space="0" w:color="595959"/>
              <w:right w:val="single" w:sz="6" w:space="0" w:color="595959"/>
            </w:tcBorders>
            <w:shd w:val="clear" w:color="auto" w:fill="auto"/>
          </w:tcPr>
          <w:p w14:paraId="4BA8044A" w14:textId="6A34D937" w:rsidR="00AF403C" w:rsidRPr="00986B2B" w:rsidRDefault="00E20963" w:rsidP="00AF403C">
            <w:pPr>
              <w:keepNext/>
              <w:keepLines/>
              <w:spacing w:before="0" w:after="0" w:line="240" w:lineRule="auto"/>
              <w:jc w:val="center"/>
              <w:textAlignment w:val="baseline"/>
            </w:pPr>
            <w:r w:rsidRPr="00986B2B">
              <w:t>1</w:t>
            </w:r>
            <w:r w:rsidR="00F07C9C" w:rsidRPr="00986B2B">
              <w:t>6</w:t>
            </w:r>
            <w:r w:rsidRPr="00986B2B">
              <w:t xml:space="preserve"> days</w:t>
            </w:r>
          </w:p>
        </w:tc>
        <w:tc>
          <w:tcPr>
            <w:tcW w:w="1105" w:type="pct"/>
            <w:tcBorders>
              <w:top w:val="single" w:sz="6" w:space="0" w:color="595959"/>
              <w:left w:val="single" w:sz="6" w:space="0" w:color="595959"/>
              <w:bottom w:val="single" w:sz="6" w:space="0" w:color="595959"/>
              <w:right w:val="single" w:sz="6" w:space="0" w:color="595959"/>
            </w:tcBorders>
            <w:shd w:val="clear" w:color="auto" w:fill="auto"/>
          </w:tcPr>
          <w:p w14:paraId="07B96CE5" w14:textId="21EFA6E5" w:rsidR="00AF403C" w:rsidRPr="00986B2B" w:rsidRDefault="00E20963" w:rsidP="00AF403C">
            <w:pPr>
              <w:keepNext/>
              <w:keepLines/>
              <w:spacing w:before="0" w:after="0" w:line="240" w:lineRule="auto"/>
              <w:jc w:val="center"/>
              <w:textAlignment w:val="baseline"/>
            </w:pPr>
            <w:r w:rsidRPr="00986B2B">
              <w:t>1</w:t>
            </w:r>
            <w:r w:rsidR="00614C5B" w:rsidRPr="00986B2B">
              <w:t>1</w:t>
            </w:r>
            <w:r w:rsidRPr="00986B2B">
              <w:t xml:space="preserve"> days</w:t>
            </w:r>
          </w:p>
        </w:tc>
      </w:tr>
    </w:tbl>
    <w:p w14:paraId="6647902F" w14:textId="120DF1D4" w:rsidR="003C586D" w:rsidRPr="00325FD3" w:rsidRDefault="00AF403C" w:rsidP="00AF403C">
      <w:pPr>
        <w:keepNext/>
        <w:keepLines/>
        <w:spacing w:before="60" w:after="60" w:line="240" w:lineRule="auto"/>
        <w:textAlignment w:val="baseline"/>
        <w:rPr>
          <w:rFonts w:eastAsia="Times New Roman" w:cs="Arial"/>
          <w:szCs w:val="22"/>
          <w:lang w:eastAsia="en-AU"/>
        </w:rPr>
      </w:pPr>
      <w:r w:rsidRPr="00325FD3">
        <w:rPr>
          <w:rFonts w:eastAsia="Times New Roman" w:cs="Arial"/>
          <w:szCs w:val="22"/>
          <w:lang w:eastAsia="en-AU"/>
        </w:rPr>
        <w:t xml:space="preserve">Phase 1: </w:t>
      </w:r>
      <w:r w:rsidR="003C586D" w:rsidRPr="00325FD3">
        <w:rPr>
          <w:rFonts w:eastAsia="Times New Roman" w:cs="Arial"/>
          <w:szCs w:val="22"/>
          <w:lang w:eastAsia="en-AU"/>
        </w:rPr>
        <w:t xml:space="preserve">N = </w:t>
      </w:r>
      <w:r w:rsidR="00A57A71">
        <w:rPr>
          <w:rFonts w:eastAsia="Times New Roman" w:cs="Arial"/>
          <w:szCs w:val="22"/>
          <w:lang w:eastAsia="en-AU"/>
        </w:rPr>
        <w:t>20</w:t>
      </w:r>
      <w:r w:rsidR="003C586D" w:rsidRPr="00325FD3">
        <w:rPr>
          <w:rFonts w:eastAsia="Times New Roman" w:cs="Arial"/>
          <w:szCs w:val="22"/>
          <w:lang w:eastAsia="en-AU"/>
        </w:rPr>
        <w:t xml:space="preserve"> cases</w:t>
      </w:r>
      <w:r w:rsidRPr="00325FD3">
        <w:rPr>
          <w:rFonts w:eastAsia="Times New Roman" w:cs="Arial"/>
          <w:szCs w:val="22"/>
          <w:lang w:eastAsia="en-AU"/>
        </w:rPr>
        <w:t xml:space="preserve">; Phase 2: N = </w:t>
      </w:r>
      <w:r w:rsidR="00B237AF">
        <w:rPr>
          <w:rFonts w:eastAsia="Times New Roman" w:cs="Arial"/>
          <w:szCs w:val="22"/>
          <w:lang w:eastAsia="en-AU"/>
        </w:rPr>
        <w:t>109</w:t>
      </w:r>
      <w:r w:rsidRPr="00325FD3">
        <w:rPr>
          <w:rFonts w:eastAsia="Times New Roman" w:cs="Arial"/>
          <w:szCs w:val="22"/>
          <w:lang w:eastAsia="en-AU"/>
        </w:rPr>
        <w:t xml:space="preserve"> cases</w:t>
      </w:r>
    </w:p>
    <w:p w14:paraId="3506E600" w14:textId="1B63FF58" w:rsidR="00DC6349" w:rsidRPr="00325FD3" w:rsidRDefault="00DC6349" w:rsidP="00AF403C">
      <w:pPr>
        <w:keepNext/>
        <w:keepLines/>
        <w:spacing w:before="60" w:after="200" w:line="240" w:lineRule="auto"/>
        <w:textAlignment w:val="baseline"/>
        <w:rPr>
          <w:rFonts w:ascii="Segoe UI" w:eastAsia="Times New Roman" w:hAnsi="Segoe UI" w:cs="Segoe UI"/>
          <w:szCs w:val="22"/>
          <w:lang w:eastAsia="en-AU"/>
        </w:rPr>
      </w:pPr>
      <w:r w:rsidRPr="00325FD3">
        <w:rPr>
          <w:rFonts w:eastAsia="Times New Roman" w:cs="Arial"/>
          <w:szCs w:val="22"/>
          <w:lang w:eastAsia="en-AU"/>
        </w:rPr>
        <w:t>Source: Research and Evaluation Branch analysis of final IER and AAT decisions</w:t>
      </w:r>
    </w:p>
    <w:p w14:paraId="1AA977C8" w14:textId="6343B945" w:rsidR="00A63F9F" w:rsidRDefault="00E70DA1" w:rsidP="00A63F9F">
      <w:pPr>
        <w:pStyle w:val="Heading2"/>
      </w:pPr>
      <w:bookmarkStart w:id="104" w:name="_Toc133655514"/>
      <w:bookmarkStart w:id="105" w:name="_Toc142918602"/>
      <w:r>
        <w:lastRenderedPageBreak/>
        <w:t>Costs</w:t>
      </w:r>
      <w:r w:rsidR="0060454F">
        <w:t xml:space="preserve"> of the IER Program</w:t>
      </w:r>
      <w:bookmarkEnd w:id="104"/>
      <w:bookmarkEnd w:id="105"/>
    </w:p>
    <w:p w14:paraId="5BA83980" w14:textId="2E03B69A" w:rsidR="00E70DA1" w:rsidRPr="00E70DA1" w:rsidRDefault="00E70DA1" w:rsidP="00E70DA1">
      <w:r>
        <w:t xml:space="preserve">This chapter presents analysis of the </w:t>
      </w:r>
      <w:r w:rsidR="0061421E">
        <w:t xml:space="preserve">operational </w:t>
      </w:r>
      <w:r>
        <w:t xml:space="preserve">costs of the IERP </w:t>
      </w:r>
      <w:r w:rsidR="0061421E">
        <w:t>and the cost of the recommendations to the NDIS.</w:t>
      </w:r>
    </w:p>
    <w:tbl>
      <w:tblPr>
        <w:tblStyle w:val="TableGrid"/>
        <w:tblW w:w="0" w:type="auto"/>
        <w:tblLook w:val="04A0" w:firstRow="1" w:lastRow="0" w:firstColumn="1" w:lastColumn="0" w:noHBand="0" w:noVBand="1"/>
      </w:tblPr>
      <w:tblGrid>
        <w:gridCol w:w="9016"/>
      </w:tblGrid>
      <w:tr w:rsidR="00A63F9F" w:rsidRPr="007D5F1A" w14:paraId="5F9FFCED" w14:textId="77777777" w:rsidTr="00CC0F2E">
        <w:trPr>
          <w:trHeight w:val="3513"/>
        </w:trPr>
        <w:tc>
          <w:tcPr>
            <w:tcW w:w="9016" w:type="dxa"/>
          </w:tcPr>
          <w:p w14:paraId="7CA2FA7F" w14:textId="6DFF962E" w:rsidR="007F3C9E" w:rsidRPr="007D5F1A" w:rsidRDefault="007F3C9E" w:rsidP="00A86241">
            <w:pPr>
              <w:pStyle w:val="KeyfindingsH3"/>
            </w:pPr>
            <w:r w:rsidRPr="00FB61B6">
              <w:t>Key find</w:t>
            </w:r>
            <w:r w:rsidRPr="007D5F1A">
              <w:t>ings</w:t>
            </w:r>
          </w:p>
          <w:p w14:paraId="6972360F" w14:textId="36933024" w:rsidR="00C701CF" w:rsidRPr="007D5F1A" w:rsidRDefault="00E27951" w:rsidP="000705FE">
            <w:pPr>
              <w:pStyle w:val="ListParagraph"/>
              <w:numPr>
                <w:ilvl w:val="0"/>
                <w:numId w:val="23"/>
              </w:numPr>
              <w:spacing w:before="120" w:after="120"/>
              <w:ind w:left="357" w:hanging="357"/>
            </w:pPr>
            <w:r w:rsidRPr="007D5F1A">
              <w:t xml:space="preserve">As of </w:t>
            </w:r>
            <w:r w:rsidR="00D24D18" w:rsidRPr="007D5F1A">
              <w:t>3</w:t>
            </w:r>
            <w:r w:rsidR="009C286B" w:rsidRPr="007D5F1A">
              <w:t>1</w:t>
            </w:r>
            <w:r w:rsidR="00D24D18" w:rsidRPr="007D5F1A">
              <w:t xml:space="preserve"> </w:t>
            </w:r>
            <w:r w:rsidR="00FE3E15" w:rsidRPr="007D5F1A">
              <w:t>Ju</w:t>
            </w:r>
            <w:r w:rsidR="009C286B" w:rsidRPr="007D5F1A">
              <w:t>ly</w:t>
            </w:r>
            <w:r w:rsidR="00D24D18" w:rsidRPr="007D5F1A">
              <w:t xml:space="preserve"> 2023</w:t>
            </w:r>
            <w:r w:rsidR="00722A1E" w:rsidRPr="007D5F1A">
              <w:t xml:space="preserve">, the </w:t>
            </w:r>
            <w:r w:rsidR="00155A74" w:rsidRPr="007D5F1A">
              <w:t xml:space="preserve">estimated </w:t>
            </w:r>
            <w:r w:rsidR="00BE1AF2" w:rsidRPr="007D5F1A">
              <w:t xml:space="preserve">average </w:t>
            </w:r>
            <w:r w:rsidR="00722A1E" w:rsidRPr="007D5F1A">
              <w:t xml:space="preserve">cost of resolving cases via the IERP </w:t>
            </w:r>
            <w:r w:rsidR="00223B0C" w:rsidRPr="007D5F1A">
              <w:t xml:space="preserve">was </w:t>
            </w:r>
            <w:r w:rsidR="00722A1E" w:rsidRPr="007D5F1A">
              <w:t>$</w:t>
            </w:r>
            <w:r w:rsidR="00D322A7" w:rsidRPr="007D5F1A">
              <w:t>10</w:t>
            </w:r>
            <w:r w:rsidR="00722A1E" w:rsidRPr="007D5F1A">
              <w:t>,</w:t>
            </w:r>
            <w:r w:rsidR="0087777A" w:rsidRPr="007D5F1A">
              <w:t>757</w:t>
            </w:r>
            <w:r w:rsidR="007F3C9E" w:rsidRPr="007D5F1A">
              <w:t>.</w:t>
            </w:r>
            <w:r w:rsidR="00582236" w:rsidRPr="007D5F1A">
              <w:t xml:space="preserve"> This compares to </w:t>
            </w:r>
            <w:r w:rsidR="00582236" w:rsidRPr="007D5F1A">
              <w:rPr>
                <w:lang w:eastAsia="en-AU"/>
              </w:rPr>
              <w:t>$29,899 to resolve a case at an AAT hearing.</w:t>
            </w:r>
          </w:p>
          <w:p w14:paraId="0582D20E" w14:textId="01E32487" w:rsidR="0044510D" w:rsidRPr="007D5F1A" w:rsidRDefault="0044510D" w:rsidP="000705FE">
            <w:pPr>
              <w:pStyle w:val="ListParagraph"/>
              <w:numPr>
                <w:ilvl w:val="0"/>
                <w:numId w:val="23"/>
              </w:numPr>
              <w:spacing w:before="120" w:after="120"/>
              <w:ind w:left="357" w:hanging="357"/>
            </w:pPr>
            <w:r w:rsidRPr="007D5F1A">
              <w:t xml:space="preserve">Based on other </w:t>
            </w:r>
            <w:r w:rsidR="00717096" w:rsidRPr="007D5F1A">
              <w:t xml:space="preserve">complex </w:t>
            </w:r>
            <w:r w:rsidR="000445E3" w:rsidRPr="007D5F1A">
              <w:t xml:space="preserve">AAT cases, </w:t>
            </w:r>
            <w:r w:rsidR="005408A7" w:rsidRPr="007D5F1A">
              <w:t xml:space="preserve">up to 30% of cases reviewed by independent experts would </w:t>
            </w:r>
            <w:r w:rsidR="00933702" w:rsidRPr="007D5F1A">
              <w:t xml:space="preserve">have </w:t>
            </w:r>
            <w:r w:rsidR="00857F24" w:rsidRPr="007D5F1A">
              <w:t>likely progressed to a</w:t>
            </w:r>
            <w:r w:rsidR="00835225" w:rsidRPr="007D5F1A">
              <w:t>n AAT</w:t>
            </w:r>
            <w:r w:rsidR="00857F24" w:rsidRPr="007D5F1A">
              <w:t xml:space="preserve"> hearing in the absence of the IERP</w:t>
            </w:r>
            <w:r w:rsidR="00835489" w:rsidRPr="007D5F1A">
              <w:t xml:space="preserve"> and </w:t>
            </w:r>
            <w:r w:rsidR="00D817DD" w:rsidRPr="007D5F1A">
              <w:t>have</w:t>
            </w:r>
            <w:r w:rsidR="00835489" w:rsidRPr="007D5F1A">
              <w:t xml:space="preserve"> avoided two months’ worth of pre-AAT resolution costs (final case conference, directions hearing etc.)</w:t>
            </w:r>
            <w:r w:rsidR="00D817DD" w:rsidRPr="007D5F1A">
              <w:t xml:space="preserve"> by </w:t>
            </w:r>
            <w:r w:rsidR="000400CC" w:rsidRPr="007D5F1A">
              <w:t>parti</w:t>
            </w:r>
            <w:r w:rsidR="00ED79BB" w:rsidRPr="007D5F1A">
              <w:t>cipating in</w:t>
            </w:r>
            <w:r w:rsidR="00D817DD" w:rsidRPr="007D5F1A">
              <w:t xml:space="preserve"> the IERP</w:t>
            </w:r>
            <w:r w:rsidR="00857F24" w:rsidRPr="007D5F1A">
              <w:t>.</w:t>
            </w:r>
          </w:p>
          <w:p w14:paraId="1370C5BD" w14:textId="29A24841" w:rsidR="007F3C9E" w:rsidRPr="007D5F1A" w:rsidRDefault="00CC6763" w:rsidP="000705FE">
            <w:pPr>
              <w:pStyle w:val="ListParagraph"/>
              <w:numPr>
                <w:ilvl w:val="0"/>
                <w:numId w:val="23"/>
              </w:numPr>
              <w:spacing w:before="120" w:after="120"/>
              <w:ind w:left="357" w:hanging="357"/>
            </w:pPr>
            <w:r w:rsidRPr="007D5F1A">
              <w:t>Assuming</w:t>
            </w:r>
            <w:r w:rsidR="00BE071F" w:rsidRPr="007D5F1A">
              <w:t xml:space="preserve"> the IERP results in </w:t>
            </w:r>
            <w:r w:rsidR="00707B9B" w:rsidRPr="007D5F1A">
              <w:t xml:space="preserve">a 30% reduction in </w:t>
            </w:r>
            <w:r w:rsidR="00F43584" w:rsidRPr="007D5F1A">
              <w:t xml:space="preserve">hearings, </w:t>
            </w:r>
            <w:r w:rsidR="001C5185" w:rsidRPr="007D5F1A">
              <w:t>and the pre-AAT resolution costs,</w:t>
            </w:r>
            <w:r w:rsidR="009E6246" w:rsidRPr="007D5F1A">
              <w:t xml:space="preserve"> the </w:t>
            </w:r>
            <w:r w:rsidR="001C5185" w:rsidRPr="007D5F1A">
              <w:t>avoided costs attributable to the IERP are $12,035 per case on</w:t>
            </w:r>
            <w:r w:rsidR="009E6246" w:rsidRPr="007D5F1A">
              <w:t xml:space="preserve"> average</w:t>
            </w:r>
            <w:r w:rsidR="001C5185" w:rsidRPr="007D5F1A">
              <w:t>. This equates to a net operational saving</w:t>
            </w:r>
            <w:r w:rsidR="009E6246" w:rsidRPr="007D5F1A">
              <w:t xml:space="preserve"> of </w:t>
            </w:r>
            <w:r w:rsidR="008F0A02" w:rsidRPr="007D5F1A">
              <w:t xml:space="preserve">the </w:t>
            </w:r>
            <w:r w:rsidR="001C5185" w:rsidRPr="007D5F1A">
              <w:t>IERP of $1,278 per case</w:t>
            </w:r>
            <w:r w:rsidR="00BD6B76" w:rsidRPr="007D5F1A">
              <w:t>.</w:t>
            </w:r>
          </w:p>
          <w:p w14:paraId="464E39E0" w14:textId="77777777" w:rsidR="00BA2461" w:rsidRPr="007D5F1A" w:rsidRDefault="00745390" w:rsidP="006308BF">
            <w:pPr>
              <w:pStyle w:val="ListParagraph"/>
              <w:spacing w:before="120" w:after="120"/>
              <w:ind w:left="357" w:hanging="357"/>
            </w:pPr>
            <w:r w:rsidRPr="007D5F1A">
              <w:t>On average</w:t>
            </w:r>
            <w:r w:rsidR="00334ED7" w:rsidRPr="007D5F1A">
              <w:t>,</w:t>
            </w:r>
            <w:r w:rsidRPr="007D5F1A">
              <w:t xml:space="preserve"> the </w:t>
            </w:r>
            <w:r w:rsidR="003D2C0C" w:rsidRPr="007D5F1A">
              <w:t>value of the first 39 recommendations</w:t>
            </w:r>
            <w:r w:rsidRPr="007D5F1A">
              <w:t xml:space="preserve"> by independent experts </w:t>
            </w:r>
            <w:r w:rsidR="004F01BA" w:rsidRPr="007D5F1A">
              <w:t xml:space="preserve">cost </w:t>
            </w:r>
            <w:r w:rsidR="00D170CF" w:rsidRPr="007D5F1A">
              <w:t>the NDIS</w:t>
            </w:r>
            <w:r w:rsidR="003C7168" w:rsidRPr="007D5F1A">
              <w:t xml:space="preserve"> $42,</w:t>
            </w:r>
            <w:r w:rsidR="005872C7" w:rsidRPr="007D5F1A">
              <w:t>733 (+18%).</w:t>
            </w:r>
            <w:r w:rsidR="003C7168" w:rsidRPr="007D5F1A">
              <w:t xml:space="preserve"> This compares to </w:t>
            </w:r>
            <w:r w:rsidR="00BF1B4E" w:rsidRPr="007D5F1A">
              <w:t>+</w:t>
            </w:r>
            <w:r w:rsidR="00712F75" w:rsidRPr="007D5F1A">
              <w:t>55,240 (+23%) for other support-related cases that took longer than 9-months to resolve and where the value of the plan in dispute was similar to IERP cases.</w:t>
            </w:r>
          </w:p>
          <w:p w14:paraId="16D7608F" w14:textId="611AC4E1" w:rsidR="00A63F9F" w:rsidRPr="007D5F1A" w:rsidRDefault="00712F75" w:rsidP="006308BF">
            <w:pPr>
              <w:pStyle w:val="ListParagraph"/>
              <w:spacing w:before="120" w:after="120"/>
              <w:ind w:left="357" w:hanging="357"/>
            </w:pPr>
            <w:r w:rsidRPr="007D5F1A">
              <w:t xml:space="preserve">Given </w:t>
            </w:r>
            <w:r w:rsidR="005821FB" w:rsidRPr="007D5F1A">
              <w:t xml:space="preserve">the uniqueness of </w:t>
            </w:r>
            <w:r w:rsidR="00BA2461" w:rsidRPr="007D5F1A">
              <w:t xml:space="preserve">all AAT and IERP </w:t>
            </w:r>
            <w:r w:rsidR="005821FB" w:rsidRPr="007D5F1A">
              <w:t xml:space="preserve">cases, the difference </w:t>
            </w:r>
            <w:r w:rsidR="00BA2461" w:rsidRPr="007D5F1A">
              <w:t>of plan values</w:t>
            </w:r>
            <w:r w:rsidR="005821FB" w:rsidRPr="007D5F1A">
              <w:t xml:space="preserve"> likely relates to </w:t>
            </w:r>
            <w:r w:rsidR="006F456E" w:rsidRPr="007D5F1A">
              <w:t>differences in</w:t>
            </w:r>
            <w:r w:rsidR="005821FB" w:rsidRPr="007D5F1A">
              <w:t xml:space="preserve"> the supports in dispute which could not be matched.</w:t>
            </w:r>
          </w:p>
        </w:tc>
      </w:tr>
    </w:tbl>
    <w:p w14:paraId="031B154F" w14:textId="161B6E7A" w:rsidR="00157C14" w:rsidRPr="007D5F1A" w:rsidRDefault="00C93EE2" w:rsidP="00EF3063">
      <w:pPr>
        <w:pStyle w:val="Heading3"/>
        <w:spacing w:before="240" w:after="240"/>
      </w:pPr>
      <w:bookmarkStart w:id="106" w:name="_Toc133655515"/>
      <w:bookmarkStart w:id="107" w:name="_Toc142918603"/>
      <w:r w:rsidRPr="007D5F1A">
        <w:t>IER</w:t>
      </w:r>
      <w:r w:rsidR="00417137" w:rsidRPr="007D5F1A">
        <w:t>P</w:t>
      </w:r>
      <w:r w:rsidRPr="007D5F1A">
        <w:t xml:space="preserve"> </w:t>
      </w:r>
      <w:r w:rsidRPr="007D5F1A" w:rsidDel="00A659AA">
        <w:t>o</w:t>
      </w:r>
      <w:r w:rsidR="00B00235" w:rsidRPr="007D5F1A" w:rsidDel="00A659AA">
        <w:t>perational costs</w:t>
      </w:r>
      <w:bookmarkEnd w:id="106"/>
      <w:r w:rsidR="00A659AA" w:rsidRPr="007D5F1A">
        <w:t xml:space="preserve"> per case</w:t>
      </w:r>
      <w:bookmarkEnd w:id="107"/>
    </w:p>
    <w:p w14:paraId="347DF67A" w14:textId="6250CC69" w:rsidR="00423E82" w:rsidRPr="007D5F1A" w:rsidRDefault="00051ABC" w:rsidP="00423E82">
      <w:pPr>
        <w:rPr>
          <w:lang w:eastAsia="en-AU"/>
        </w:rPr>
      </w:pPr>
      <w:r w:rsidRPr="007D5F1A">
        <w:rPr>
          <w:lang w:eastAsia="en-AU"/>
        </w:rPr>
        <w:fldChar w:fldCharType="begin"/>
      </w:r>
      <w:r w:rsidRPr="007D5F1A">
        <w:rPr>
          <w:lang w:eastAsia="en-AU"/>
        </w:rPr>
        <w:instrText xml:space="preserve"> REF _Ref135730558 \h </w:instrText>
      </w:r>
      <w:r w:rsidR="00423E82" w:rsidRPr="007D5F1A">
        <w:rPr>
          <w:lang w:eastAsia="en-AU"/>
        </w:rPr>
        <w:instrText xml:space="preserve"> \* MERGEFORMAT </w:instrText>
      </w:r>
      <w:r w:rsidRPr="007D5F1A">
        <w:rPr>
          <w:lang w:eastAsia="en-AU"/>
        </w:rPr>
      </w:r>
      <w:r w:rsidRPr="007D5F1A">
        <w:rPr>
          <w:lang w:eastAsia="en-AU"/>
        </w:rPr>
        <w:fldChar w:fldCharType="separate"/>
      </w:r>
      <w:r w:rsidR="000F1876" w:rsidRPr="00325FD3">
        <w:t xml:space="preserve">Table </w:t>
      </w:r>
      <w:r w:rsidR="000F1876">
        <w:rPr>
          <w:noProof/>
        </w:rPr>
        <w:t>9</w:t>
      </w:r>
      <w:r w:rsidRPr="007D5F1A">
        <w:rPr>
          <w:lang w:eastAsia="en-AU"/>
        </w:rPr>
        <w:fldChar w:fldCharType="end"/>
      </w:r>
      <w:r w:rsidRPr="007D5F1A">
        <w:rPr>
          <w:lang w:eastAsia="en-AU"/>
        </w:rPr>
        <w:t xml:space="preserve"> </w:t>
      </w:r>
      <w:r w:rsidR="009B12C6" w:rsidRPr="007D5F1A">
        <w:rPr>
          <w:lang w:eastAsia="en-AU"/>
        </w:rPr>
        <w:t>p</w:t>
      </w:r>
      <w:r w:rsidR="00292259" w:rsidRPr="007D5F1A">
        <w:rPr>
          <w:lang w:eastAsia="en-AU"/>
        </w:rPr>
        <w:t xml:space="preserve">resents </w:t>
      </w:r>
      <w:r w:rsidR="004D6AA3" w:rsidRPr="007D5F1A">
        <w:rPr>
          <w:lang w:eastAsia="en-AU"/>
        </w:rPr>
        <w:t xml:space="preserve">the </w:t>
      </w:r>
      <w:r w:rsidR="008A7DEF" w:rsidRPr="007D5F1A">
        <w:rPr>
          <w:lang w:eastAsia="en-AU"/>
        </w:rPr>
        <w:t>estimate</w:t>
      </w:r>
      <w:r w:rsidR="00AC5B49" w:rsidRPr="007D5F1A">
        <w:rPr>
          <w:lang w:eastAsia="en-AU"/>
        </w:rPr>
        <w:t>d</w:t>
      </w:r>
      <w:r w:rsidR="008B2BB2" w:rsidRPr="007D5F1A">
        <w:rPr>
          <w:lang w:eastAsia="en-AU"/>
        </w:rPr>
        <w:t xml:space="preserve"> </w:t>
      </w:r>
      <w:r w:rsidR="004D6AA3" w:rsidRPr="007D5F1A">
        <w:rPr>
          <w:lang w:eastAsia="en-AU"/>
        </w:rPr>
        <w:t xml:space="preserve">average </w:t>
      </w:r>
      <w:r w:rsidR="00714D35" w:rsidRPr="007D5F1A">
        <w:rPr>
          <w:lang w:eastAsia="en-AU"/>
        </w:rPr>
        <w:t xml:space="preserve">operational </w:t>
      </w:r>
      <w:r w:rsidR="004D6AA3" w:rsidRPr="007D5F1A">
        <w:rPr>
          <w:lang w:eastAsia="en-AU"/>
        </w:rPr>
        <w:t xml:space="preserve">cost </w:t>
      </w:r>
      <w:r w:rsidR="00714D35" w:rsidRPr="007D5F1A">
        <w:rPr>
          <w:lang w:eastAsia="en-AU"/>
        </w:rPr>
        <w:t xml:space="preserve">of an independent expert review ($10,757 per case) based on independent expert fees, average external legal costs to assist with preparing materials for independent experts and support from NDIA staff. </w:t>
      </w:r>
      <w:r w:rsidR="00423E82" w:rsidRPr="007D5F1A">
        <w:rPr>
          <w:lang w:eastAsia="en-AU"/>
        </w:rPr>
        <w:t xml:space="preserve">This figure does not include IERP design costs or costs incurred prior to </w:t>
      </w:r>
      <w:r w:rsidR="00423E82" w:rsidRPr="007D5F1A">
        <w:rPr>
          <w:lang w:eastAsia="en-AU"/>
        </w:rPr>
        <w:lastRenderedPageBreak/>
        <w:t>IERP referral to refine the case and gather additional evidence. These latter costs vary substantially between matters and are incurred irrespective of whether the cases enter the IERP.</w:t>
      </w:r>
    </w:p>
    <w:p w14:paraId="490ADAA3" w14:textId="6278F870" w:rsidR="00714D35" w:rsidRPr="007D5F1A" w:rsidRDefault="00714D35" w:rsidP="00417137">
      <w:pPr>
        <w:rPr>
          <w:lang w:eastAsia="en-AU"/>
        </w:rPr>
      </w:pPr>
      <w:r w:rsidRPr="007D5F1A">
        <w:rPr>
          <w:lang w:eastAsia="en-AU"/>
        </w:rPr>
        <w:t>Given that independent experts reviewed 156 cases between October and July 202</w:t>
      </w:r>
      <w:r w:rsidR="00835225" w:rsidRPr="007D5F1A">
        <w:rPr>
          <w:lang w:eastAsia="en-AU"/>
        </w:rPr>
        <w:t>3</w:t>
      </w:r>
      <w:r w:rsidRPr="007D5F1A">
        <w:rPr>
          <w:lang w:eastAsia="en-AU"/>
        </w:rPr>
        <w:t>, the total estimated operational expenditure was $1,678,092.</w:t>
      </w:r>
    </w:p>
    <w:p w14:paraId="72DEFF3A" w14:textId="2244C0F2" w:rsidR="002C2A24" w:rsidRDefault="00C8596B" w:rsidP="00BC58FA">
      <w:pPr>
        <w:rPr>
          <w:lang w:eastAsia="en-AU"/>
        </w:rPr>
      </w:pPr>
      <w:r w:rsidRPr="007D5F1A">
        <w:rPr>
          <w:lang w:eastAsia="en-AU"/>
        </w:rPr>
        <w:t>A</w:t>
      </w:r>
      <w:r w:rsidR="000344CA" w:rsidRPr="007D5F1A">
        <w:rPr>
          <w:lang w:eastAsia="en-AU"/>
        </w:rPr>
        <w:t xml:space="preserve">lmost half (48%) of </w:t>
      </w:r>
      <w:r w:rsidR="00CD4570" w:rsidRPr="007D5F1A">
        <w:rPr>
          <w:lang w:eastAsia="en-AU"/>
        </w:rPr>
        <w:t xml:space="preserve">the </w:t>
      </w:r>
      <w:r w:rsidR="00423E82" w:rsidRPr="007D5F1A">
        <w:rPr>
          <w:lang w:eastAsia="en-AU"/>
        </w:rPr>
        <w:t>operational costs have been</w:t>
      </w:r>
      <w:r w:rsidR="00C5761E" w:rsidRPr="007D5F1A">
        <w:rPr>
          <w:lang w:eastAsia="en-AU"/>
        </w:rPr>
        <w:t xml:space="preserve"> </w:t>
      </w:r>
      <w:r w:rsidRPr="007D5F1A">
        <w:rPr>
          <w:lang w:eastAsia="en-AU"/>
        </w:rPr>
        <w:t>payment</w:t>
      </w:r>
      <w:r w:rsidR="00423E82" w:rsidRPr="007D5F1A">
        <w:rPr>
          <w:lang w:eastAsia="en-AU"/>
        </w:rPr>
        <w:t>s</w:t>
      </w:r>
      <w:r w:rsidRPr="007D5F1A">
        <w:rPr>
          <w:lang w:eastAsia="en-AU"/>
        </w:rPr>
        <w:t xml:space="preserve"> to</w:t>
      </w:r>
      <w:r w:rsidR="00CD4570" w:rsidRPr="007D5F1A">
        <w:rPr>
          <w:lang w:eastAsia="en-AU"/>
        </w:rPr>
        <w:t xml:space="preserve"> independent expert</w:t>
      </w:r>
      <w:r w:rsidR="00423E82" w:rsidRPr="007D5F1A">
        <w:rPr>
          <w:lang w:eastAsia="en-AU"/>
        </w:rPr>
        <w:t>s</w:t>
      </w:r>
      <w:r w:rsidR="00CD4570" w:rsidRPr="007D5F1A">
        <w:rPr>
          <w:lang w:eastAsia="en-AU"/>
        </w:rPr>
        <w:t xml:space="preserve">. </w:t>
      </w:r>
      <w:r w:rsidR="007F1D37" w:rsidRPr="007D5F1A">
        <w:rPr>
          <w:lang w:eastAsia="en-AU"/>
        </w:rPr>
        <w:t xml:space="preserve">A further 12% </w:t>
      </w:r>
      <w:r w:rsidR="00BA31DA" w:rsidRPr="007D5F1A">
        <w:rPr>
          <w:lang w:eastAsia="en-AU"/>
        </w:rPr>
        <w:t xml:space="preserve">is attributable to </w:t>
      </w:r>
      <w:r w:rsidR="00CD4570" w:rsidRPr="007D5F1A">
        <w:rPr>
          <w:lang w:eastAsia="en-AU"/>
        </w:rPr>
        <w:t>external law firm costs</w:t>
      </w:r>
      <w:r w:rsidR="00331881" w:rsidRPr="007D5F1A">
        <w:rPr>
          <w:lang w:eastAsia="en-AU"/>
        </w:rPr>
        <w:t>.</w:t>
      </w:r>
      <w:r w:rsidR="00CD4570" w:rsidRPr="007D5F1A">
        <w:rPr>
          <w:lang w:eastAsia="en-AU"/>
        </w:rPr>
        <w:t xml:space="preserve"> The internal </w:t>
      </w:r>
      <w:r w:rsidR="00331881" w:rsidRPr="007D5F1A">
        <w:rPr>
          <w:lang w:eastAsia="en-AU"/>
        </w:rPr>
        <w:t xml:space="preserve">IERP </w:t>
      </w:r>
      <w:r w:rsidR="00CD4570" w:rsidRPr="007D5F1A">
        <w:rPr>
          <w:lang w:eastAsia="en-AU"/>
        </w:rPr>
        <w:t>costs to the NDIA are largely preparation and review by legal and referral officers</w:t>
      </w:r>
      <w:r w:rsidR="00D454E7" w:rsidRPr="007D5F1A">
        <w:rPr>
          <w:lang w:eastAsia="en-AU"/>
        </w:rPr>
        <w:t>,</w:t>
      </w:r>
      <w:r w:rsidR="00CD4570" w:rsidRPr="007D5F1A">
        <w:rPr>
          <w:lang w:eastAsia="en-AU"/>
        </w:rPr>
        <w:t xml:space="preserve"> and account for the remaining 40%.</w:t>
      </w:r>
    </w:p>
    <w:p w14:paraId="71088503" w14:textId="4832955C" w:rsidR="005B4D38" w:rsidRPr="00325FD3" w:rsidRDefault="005B4D38" w:rsidP="00A86241">
      <w:pPr>
        <w:pStyle w:val="Caption-H4"/>
      </w:pPr>
      <w:bookmarkStart w:id="108" w:name="_Ref135730558"/>
      <w:r w:rsidRPr="00325FD3">
        <w:t xml:space="preserve">Table </w:t>
      </w:r>
      <w:r w:rsidRPr="00325FD3">
        <w:fldChar w:fldCharType="begin"/>
      </w:r>
      <w:r w:rsidRPr="00325FD3">
        <w:instrText>SEQ Table \* ARABIC</w:instrText>
      </w:r>
      <w:r w:rsidRPr="00325FD3">
        <w:fldChar w:fldCharType="separate"/>
      </w:r>
      <w:r w:rsidR="000F1876">
        <w:rPr>
          <w:noProof/>
        </w:rPr>
        <w:t>9</w:t>
      </w:r>
      <w:r w:rsidRPr="00325FD3">
        <w:fldChar w:fldCharType="end"/>
      </w:r>
      <w:bookmarkEnd w:id="108"/>
      <w:r w:rsidRPr="00325FD3">
        <w:t xml:space="preserve">: </w:t>
      </w:r>
      <w:r w:rsidR="00423E82">
        <w:t>Estimated</w:t>
      </w:r>
      <w:r w:rsidR="00B727A0" w:rsidRPr="00325FD3">
        <w:t xml:space="preserve"> </w:t>
      </w:r>
      <w:r w:rsidRPr="00325FD3">
        <w:t xml:space="preserve">IERP </w:t>
      </w:r>
      <w:r w:rsidR="00423E82">
        <w:t>operational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Caption w:val="Average IERP cost per matter"/>
        <w:tblDescription w:val="3 columns and 9 rows&#10;Table shows the cost breakdown by component of the average cost of resolving an IERP matter. Table also shows which components are internal or external costs to the NDIS, and shows the estimated total operating cost of resolving IERP matters."/>
      </w:tblPr>
      <w:tblGrid>
        <w:gridCol w:w="5230"/>
        <w:gridCol w:w="2078"/>
        <w:gridCol w:w="1708"/>
      </w:tblGrid>
      <w:tr w:rsidR="00F34620" w:rsidRPr="008D03BE" w14:paraId="285B2A72" w14:textId="77777777" w:rsidTr="004510C5">
        <w:trPr>
          <w:trHeight w:val="591"/>
        </w:trPr>
        <w:tc>
          <w:tcPr>
            <w:tcW w:w="2832" w:type="pct"/>
            <w:shd w:val="clear" w:color="000000" w:fill="6B2976"/>
            <w:noWrap/>
            <w:vAlign w:val="center"/>
            <w:hideMark/>
          </w:tcPr>
          <w:p w14:paraId="242CAA8D" w14:textId="77777777" w:rsidR="004510C5" w:rsidRPr="008D03BE" w:rsidRDefault="004510C5" w:rsidP="008560ED">
            <w:pPr>
              <w:keepNext/>
              <w:keepLines/>
              <w:spacing w:before="0" w:after="0" w:line="240" w:lineRule="auto"/>
              <w:contextualSpacing/>
              <w:rPr>
                <w:rFonts w:eastAsia="Times New Roman" w:cs="Arial"/>
                <w:b/>
                <w:bCs/>
                <w:color w:val="FEFFFF" w:themeColor="background1"/>
                <w:sz w:val="20"/>
                <w:szCs w:val="20"/>
                <w:lang w:eastAsia="en-AU"/>
              </w:rPr>
            </w:pPr>
            <w:r w:rsidRPr="008D03BE">
              <w:rPr>
                <w:b/>
                <w:bCs/>
                <w:color w:val="FEFFFF" w:themeColor="background1"/>
                <w:sz w:val="20"/>
                <w:szCs w:val="20"/>
              </w:rPr>
              <w:t>Cost category</w:t>
            </w:r>
          </w:p>
        </w:tc>
        <w:tc>
          <w:tcPr>
            <w:tcW w:w="1187" w:type="pct"/>
            <w:shd w:val="clear" w:color="000000" w:fill="6B2976"/>
            <w:vAlign w:val="center"/>
          </w:tcPr>
          <w:p w14:paraId="6097B052" w14:textId="4BF56E35" w:rsidR="004510C5" w:rsidRPr="008D03BE" w:rsidRDefault="000240BB" w:rsidP="008560ED">
            <w:pPr>
              <w:keepNext/>
              <w:keepLines/>
              <w:spacing w:before="0" w:after="0" w:line="240" w:lineRule="auto"/>
              <w:contextualSpacing/>
              <w:jc w:val="center"/>
              <w:rPr>
                <w:rFonts w:eastAsia="Times New Roman" w:cs="Arial"/>
                <w:b/>
                <w:bCs/>
                <w:color w:val="FEFFFF" w:themeColor="background1"/>
                <w:sz w:val="20"/>
                <w:szCs w:val="20"/>
                <w:lang w:eastAsia="en-AU"/>
              </w:rPr>
            </w:pPr>
            <w:r w:rsidRPr="008D03BE">
              <w:rPr>
                <w:b/>
                <w:bCs/>
                <w:color w:val="FEFFFF" w:themeColor="background1"/>
                <w:sz w:val="20"/>
                <w:szCs w:val="20"/>
              </w:rPr>
              <w:t>C</w:t>
            </w:r>
            <w:r w:rsidR="004510C5" w:rsidRPr="008D03BE">
              <w:rPr>
                <w:b/>
                <w:bCs/>
                <w:color w:val="FEFFFF" w:themeColor="background1"/>
                <w:sz w:val="20"/>
                <w:szCs w:val="20"/>
              </w:rPr>
              <w:t>ost type</w:t>
            </w:r>
          </w:p>
        </w:tc>
        <w:tc>
          <w:tcPr>
            <w:tcW w:w="982" w:type="pct"/>
            <w:shd w:val="clear" w:color="000000" w:fill="6B2976"/>
            <w:vAlign w:val="center"/>
            <w:hideMark/>
          </w:tcPr>
          <w:p w14:paraId="36543678" w14:textId="77777777" w:rsidR="004510C5" w:rsidRPr="008D03BE" w:rsidRDefault="004510C5" w:rsidP="008560ED">
            <w:pPr>
              <w:keepNext/>
              <w:keepLines/>
              <w:spacing w:before="0" w:after="0" w:line="240" w:lineRule="auto"/>
              <w:contextualSpacing/>
              <w:jc w:val="center"/>
              <w:rPr>
                <w:rFonts w:eastAsia="Times New Roman" w:cs="Arial"/>
                <w:b/>
                <w:bCs/>
                <w:color w:val="FEFFFF" w:themeColor="background1"/>
                <w:sz w:val="20"/>
                <w:szCs w:val="20"/>
                <w:lang w:eastAsia="en-AU"/>
              </w:rPr>
            </w:pPr>
            <w:r w:rsidRPr="008D03BE">
              <w:rPr>
                <w:b/>
                <w:bCs/>
                <w:color w:val="FEFFFF" w:themeColor="background1"/>
                <w:sz w:val="20"/>
                <w:szCs w:val="20"/>
              </w:rPr>
              <w:t>IERP</w:t>
            </w:r>
          </w:p>
        </w:tc>
      </w:tr>
      <w:tr w:rsidR="00F34620" w:rsidRPr="008D03BE" w14:paraId="31DD91DB" w14:textId="77777777" w:rsidTr="004510C5">
        <w:trPr>
          <w:trHeight w:val="407"/>
        </w:trPr>
        <w:tc>
          <w:tcPr>
            <w:tcW w:w="2832" w:type="pct"/>
            <w:shd w:val="clear" w:color="000000" w:fill="F7EEF7"/>
            <w:noWrap/>
            <w:vAlign w:val="center"/>
            <w:hideMark/>
          </w:tcPr>
          <w:p w14:paraId="4C781408" w14:textId="77777777" w:rsidR="004510C5" w:rsidRPr="008D03BE" w:rsidRDefault="004510C5" w:rsidP="008560ED">
            <w:pPr>
              <w:keepNext/>
              <w:keepLines/>
              <w:spacing w:before="0" w:after="0" w:line="240" w:lineRule="auto"/>
              <w:contextualSpacing/>
              <w:rPr>
                <w:rFonts w:eastAsia="Times New Roman" w:cs="Arial"/>
                <w:color w:val="000000"/>
                <w:sz w:val="20"/>
                <w:szCs w:val="20"/>
                <w:lang w:eastAsia="en-AU"/>
              </w:rPr>
            </w:pPr>
            <w:r w:rsidRPr="008D03BE">
              <w:rPr>
                <w:sz w:val="20"/>
                <w:szCs w:val="20"/>
              </w:rPr>
              <w:t>Independent Expert Invoice</w:t>
            </w:r>
          </w:p>
        </w:tc>
        <w:tc>
          <w:tcPr>
            <w:tcW w:w="1187" w:type="pct"/>
            <w:shd w:val="clear" w:color="000000" w:fill="F7EEF7"/>
            <w:vAlign w:val="center"/>
          </w:tcPr>
          <w:p w14:paraId="35A54EB9"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External</w:t>
            </w:r>
          </w:p>
        </w:tc>
        <w:tc>
          <w:tcPr>
            <w:tcW w:w="982" w:type="pct"/>
            <w:shd w:val="clear" w:color="000000" w:fill="F7EEF7"/>
            <w:vAlign w:val="center"/>
            <w:hideMark/>
          </w:tcPr>
          <w:p w14:paraId="21C9E48D"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$5,199</w:t>
            </w:r>
          </w:p>
        </w:tc>
      </w:tr>
      <w:tr w:rsidR="00F34620" w:rsidRPr="008D03BE" w14:paraId="48BE7801" w14:textId="77777777" w:rsidTr="004510C5">
        <w:trPr>
          <w:trHeight w:val="413"/>
        </w:trPr>
        <w:tc>
          <w:tcPr>
            <w:tcW w:w="2832" w:type="pct"/>
            <w:shd w:val="clear" w:color="auto" w:fill="auto"/>
            <w:vAlign w:val="center"/>
            <w:hideMark/>
          </w:tcPr>
          <w:p w14:paraId="1C315CAC" w14:textId="77777777" w:rsidR="004510C5" w:rsidRPr="008D03BE" w:rsidRDefault="004510C5" w:rsidP="008560ED">
            <w:pPr>
              <w:keepNext/>
              <w:keepLines/>
              <w:spacing w:before="0" w:after="0" w:line="240" w:lineRule="auto"/>
              <w:contextualSpacing/>
              <w:rPr>
                <w:rFonts w:eastAsia="Times New Roman" w:cs="Arial"/>
                <w:color w:val="000000"/>
                <w:sz w:val="20"/>
                <w:szCs w:val="20"/>
                <w:lang w:eastAsia="en-AU"/>
              </w:rPr>
            </w:pPr>
            <w:r w:rsidRPr="008D03BE">
              <w:rPr>
                <w:sz w:val="20"/>
                <w:szCs w:val="20"/>
              </w:rPr>
              <w:t>External law firm support for IER referral</w:t>
            </w:r>
          </w:p>
        </w:tc>
        <w:tc>
          <w:tcPr>
            <w:tcW w:w="1187" w:type="pct"/>
            <w:vAlign w:val="center"/>
          </w:tcPr>
          <w:p w14:paraId="2CBCEB5B"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External</w:t>
            </w:r>
          </w:p>
        </w:tc>
        <w:tc>
          <w:tcPr>
            <w:tcW w:w="982" w:type="pct"/>
            <w:shd w:val="clear" w:color="auto" w:fill="auto"/>
            <w:vAlign w:val="center"/>
            <w:hideMark/>
          </w:tcPr>
          <w:p w14:paraId="669DD6BA"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$1,300</w:t>
            </w:r>
          </w:p>
        </w:tc>
      </w:tr>
      <w:tr w:rsidR="00F34620" w:rsidRPr="008D03BE" w14:paraId="09859595" w14:textId="77777777" w:rsidTr="004510C5">
        <w:trPr>
          <w:trHeight w:val="277"/>
        </w:trPr>
        <w:tc>
          <w:tcPr>
            <w:tcW w:w="2832" w:type="pct"/>
            <w:shd w:val="clear" w:color="auto" w:fill="F7EEF7"/>
            <w:noWrap/>
            <w:vAlign w:val="center"/>
            <w:hideMark/>
          </w:tcPr>
          <w:p w14:paraId="4E0E991A" w14:textId="77777777" w:rsidR="004510C5" w:rsidRPr="008D03BE" w:rsidRDefault="004510C5" w:rsidP="008560ED">
            <w:pPr>
              <w:keepNext/>
              <w:keepLines/>
              <w:spacing w:before="0" w:after="0" w:line="240" w:lineRule="auto"/>
              <w:contextualSpacing/>
              <w:rPr>
                <w:rFonts w:eastAsia="Times New Roman" w:cs="Arial"/>
                <w:color w:val="000000"/>
                <w:sz w:val="20"/>
                <w:szCs w:val="20"/>
                <w:lang w:eastAsia="en-AU"/>
              </w:rPr>
            </w:pPr>
            <w:r w:rsidRPr="008D03BE">
              <w:rPr>
                <w:sz w:val="20"/>
                <w:szCs w:val="20"/>
              </w:rPr>
              <w:t>Preparation of recommendation by IER referral officer</w:t>
            </w:r>
          </w:p>
        </w:tc>
        <w:tc>
          <w:tcPr>
            <w:tcW w:w="1187" w:type="pct"/>
            <w:shd w:val="clear" w:color="000000" w:fill="F7EEF7"/>
            <w:vAlign w:val="center"/>
          </w:tcPr>
          <w:p w14:paraId="21145303"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Internal</w:t>
            </w:r>
          </w:p>
        </w:tc>
        <w:tc>
          <w:tcPr>
            <w:tcW w:w="982" w:type="pct"/>
            <w:shd w:val="clear" w:color="000000" w:fill="F7EEF7"/>
            <w:vAlign w:val="center"/>
            <w:hideMark/>
          </w:tcPr>
          <w:p w14:paraId="23C16864"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$2,657</w:t>
            </w:r>
          </w:p>
        </w:tc>
      </w:tr>
      <w:tr w:rsidR="00F34620" w:rsidRPr="008D03BE" w14:paraId="69271BC5" w14:textId="77777777" w:rsidTr="004510C5">
        <w:trPr>
          <w:trHeight w:val="525"/>
        </w:trPr>
        <w:tc>
          <w:tcPr>
            <w:tcW w:w="2832" w:type="pct"/>
            <w:shd w:val="clear" w:color="auto" w:fill="auto"/>
            <w:noWrap/>
            <w:vAlign w:val="center"/>
            <w:hideMark/>
          </w:tcPr>
          <w:p w14:paraId="64C83005" w14:textId="2F194EA7" w:rsidR="004510C5" w:rsidRPr="008D03BE" w:rsidRDefault="004510C5" w:rsidP="008560ED">
            <w:pPr>
              <w:keepNext/>
              <w:keepLines/>
              <w:spacing w:before="0" w:after="0" w:line="240" w:lineRule="auto"/>
              <w:contextualSpacing/>
              <w:rPr>
                <w:rFonts w:eastAsia="Times New Roman" w:cs="Arial"/>
                <w:color w:val="000000"/>
                <w:sz w:val="20"/>
                <w:szCs w:val="20"/>
                <w:lang w:eastAsia="en-AU"/>
              </w:rPr>
            </w:pPr>
            <w:r w:rsidRPr="008D03BE">
              <w:rPr>
                <w:sz w:val="20"/>
                <w:szCs w:val="20"/>
              </w:rPr>
              <w:t xml:space="preserve">Legal review of referral/recommendation by </w:t>
            </w:r>
            <w:r w:rsidR="00385DAA" w:rsidRPr="008D03BE">
              <w:rPr>
                <w:sz w:val="20"/>
                <w:szCs w:val="20"/>
              </w:rPr>
              <w:t xml:space="preserve">NDIA </w:t>
            </w:r>
            <w:r w:rsidRPr="008D03BE">
              <w:rPr>
                <w:sz w:val="20"/>
                <w:szCs w:val="20"/>
              </w:rPr>
              <w:t>lawyer</w:t>
            </w:r>
          </w:p>
        </w:tc>
        <w:tc>
          <w:tcPr>
            <w:tcW w:w="1187" w:type="pct"/>
            <w:vAlign w:val="center"/>
          </w:tcPr>
          <w:p w14:paraId="6EE7272D"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Internal</w:t>
            </w:r>
          </w:p>
        </w:tc>
        <w:tc>
          <w:tcPr>
            <w:tcW w:w="982" w:type="pct"/>
            <w:shd w:val="clear" w:color="auto" w:fill="auto"/>
            <w:vAlign w:val="center"/>
            <w:hideMark/>
          </w:tcPr>
          <w:p w14:paraId="34D6D0C0"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$1,170</w:t>
            </w:r>
          </w:p>
        </w:tc>
      </w:tr>
      <w:tr w:rsidR="00F34620" w:rsidRPr="008D03BE" w14:paraId="4FDF436D" w14:textId="77777777" w:rsidTr="004510C5">
        <w:trPr>
          <w:trHeight w:val="429"/>
        </w:trPr>
        <w:tc>
          <w:tcPr>
            <w:tcW w:w="2832" w:type="pct"/>
            <w:shd w:val="clear" w:color="auto" w:fill="F7EEF7"/>
            <w:vAlign w:val="center"/>
            <w:hideMark/>
          </w:tcPr>
          <w:p w14:paraId="1C61403E" w14:textId="4552BB8A" w:rsidR="004510C5" w:rsidRPr="008D03BE" w:rsidRDefault="004510C5" w:rsidP="008560ED">
            <w:pPr>
              <w:keepNext/>
              <w:keepLines/>
              <w:spacing w:before="0" w:after="0" w:line="240" w:lineRule="auto"/>
              <w:contextualSpacing/>
              <w:rPr>
                <w:rFonts w:eastAsia="Times New Roman" w:cs="Arial"/>
                <w:color w:val="000000"/>
                <w:sz w:val="20"/>
                <w:szCs w:val="20"/>
                <w:lang w:eastAsia="en-AU"/>
              </w:rPr>
            </w:pPr>
            <w:r w:rsidRPr="008D03BE">
              <w:rPr>
                <w:sz w:val="20"/>
                <w:szCs w:val="20"/>
              </w:rPr>
              <w:t>Admin support</w:t>
            </w:r>
          </w:p>
        </w:tc>
        <w:tc>
          <w:tcPr>
            <w:tcW w:w="1187" w:type="pct"/>
            <w:shd w:val="clear" w:color="000000" w:fill="F7EEF7"/>
            <w:vAlign w:val="center"/>
          </w:tcPr>
          <w:p w14:paraId="59EA3EAC"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Internal</w:t>
            </w:r>
          </w:p>
        </w:tc>
        <w:tc>
          <w:tcPr>
            <w:tcW w:w="982" w:type="pct"/>
            <w:shd w:val="clear" w:color="000000" w:fill="F7EEF7"/>
            <w:vAlign w:val="center"/>
            <w:hideMark/>
          </w:tcPr>
          <w:p w14:paraId="0A733683" w14:textId="77777777" w:rsidR="004510C5" w:rsidRPr="008D03BE" w:rsidRDefault="004510C5"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$431</w:t>
            </w:r>
          </w:p>
        </w:tc>
      </w:tr>
      <w:tr w:rsidR="00F34620" w:rsidRPr="008D03BE" w14:paraId="008BC5A2" w14:textId="77777777" w:rsidTr="004510C5">
        <w:trPr>
          <w:trHeight w:val="471"/>
        </w:trPr>
        <w:tc>
          <w:tcPr>
            <w:tcW w:w="2832" w:type="pct"/>
            <w:shd w:val="clear" w:color="auto" w:fill="000000" w:themeFill="text1"/>
            <w:noWrap/>
            <w:vAlign w:val="center"/>
            <w:hideMark/>
          </w:tcPr>
          <w:p w14:paraId="432A7F05" w14:textId="01B3F1F7" w:rsidR="004510C5" w:rsidRPr="008D03BE" w:rsidRDefault="004510C5" w:rsidP="008560ED">
            <w:pPr>
              <w:keepNext/>
              <w:keepLines/>
              <w:spacing w:before="0" w:after="0" w:line="240" w:lineRule="auto"/>
              <w:contextualSpacing/>
              <w:rPr>
                <w:rFonts w:eastAsia="Times New Roman" w:cs="Arial"/>
                <w:b/>
                <w:bCs/>
                <w:sz w:val="20"/>
                <w:szCs w:val="20"/>
                <w:lang w:eastAsia="en-AU"/>
              </w:rPr>
            </w:pPr>
            <w:r w:rsidRPr="008D03BE">
              <w:rPr>
                <w:sz w:val="20"/>
                <w:szCs w:val="20"/>
              </w:rPr>
              <w:t>Average cost per IER matter</w:t>
            </w:r>
          </w:p>
        </w:tc>
        <w:tc>
          <w:tcPr>
            <w:tcW w:w="1187" w:type="pct"/>
            <w:shd w:val="clear" w:color="auto" w:fill="000000" w:themeFill="text1"/>
            <w:vAlign w:val="center"/>
          </w:tcPr>
          <w:p w14:paraId="5057C0A0" w14:textId="61EC4A1E" w:rsidR="004510C5" w:rsidRPr="008D03BE" w:rsidRDefault="004510C5" w:rsidP="004510C5">
            <w:pPr>
              <w:keepNext/>
              <w:keepLines/>
              <w:spacing w:before="0" w:after="0" w:line="240" w:lineRule="auto"/>
              <w:contextualSpacing/>
              <w:jc w:val="center"/>
              <w:rPr>
                <w:rFonts w:eastAsia="Times New Roman" w:cs="Arial"/>
                <w:b/>
                <w:bCs/>
                <w:sz w:val="20"/>
                <w:szCs w:val="20"/>
                <w:lang w:eastAsia="en-AU"/>
              </w:rPr>
            </w:pPr>
            <w:r w:rsidRPr="008D03BE">
              <w:rPr>
                <w:rFonts w:eastAsia="Times New Roman" w:cs="Arial"/>
                <w:b/>
                <w:bCs/>
                <w:color w:val="000000" w:themeColor="text1"/>
                <w:sz w:val="20"/>
                <w:szCs w:val="20"/>
                <w:lang w:eastAsia="en-AU"/>
              </w:rPr>
              <w:t>Agency cost ty</w:t>
            </w:r>
          </w:p>
        </w:tc>
        <w:tc>
          <w:tcPr>
            <w:tcW w:w="982" w:type="pct"/>
            <w:shd w:val="clear" w:color="auto" w:fill="000000" w:themeFill="text1"/>
            <w:vAlign w:val="center"/>
            <w:hideMark/>
          </w:tcPr>
          <w:p w14:paraId="5185A3D9" w14:textId="77777777" w:rsidR="004510C5" w:rsidRPr="008D03BE" w:rsidRDefault="004510C5" w:rsidP="008560ED">
            <w:pPr>
              <w:keepNext/>
              <w:keepLines/>
              <w:spacing w:before="0" w:after="0" w:line="240" w:lineRule="auto"/>
              <w:contextualSpacing/>
              <w:jc w:val="center"/>
              <w:rPr>
                <w:rFonts w:eastAsia="Times New Roman" w:cs="Arial"/>
                <w:b/>
                <w:bCs/>
                <w:color w:val="FEFFFF" w:themeColor="background1"/>
                <w:sz w:val="20"/>
                <w:szCs w:val="20"/>
                <w:lang w:eastAsia="en-AU"/>
              </w:rPr>
            </w:pPr>
            <w:r w:rsidRPr="008D03BE">
              <w:rPr>
                <w:color w:val="FEFFFF" w:themeColor="background1"/>
                <w:sz w:val="20"/>
                <w:szCs w:val="20"/>
              </w:rPr>
              <w:t>$10,757</w:t>
            </w:r>
          </w:p>
        </w:tc>
      </w:tr>
      <w:tr w:rsidR="00F34620" w:rsidRPr="008D03BE" w14:paraId="15423B96" w14:textId="77777777" w:rsidTr="004510C5">
        <w:trPr>
          <w:trHeight w:val="413"/>
        </w:trPr>
        <w:tc>
          <w:tcPr>
            <w:tcW w:w="2832" w:type="pct"/>
            <w:shd w:val="clear" w:color="auto" w:fill="F7EEF7"/>
            <w:noWrap/>
            <w:vAlign w:val="center"/>
            <w:hideMark/>
          </w:tcPr>
          <w:p w14:paraId="0D29826A" w14:textId="2755B28E" w:rsidR="004510C5" w:rsidRPr="008D03BE" w:rsidRDefault="004510C5" w:rsidP="008560ED">
            <w:pPr>
              <w:keepNext/>
              <w:keepLines/>
              <w:spacing w:before="0" w:after="0" w:line="240" w:lineRule="auto"/>
              <w:contextualSpacing/>
              <w:rPr>
                <w:rFonts w:eastAsia="Times New Roman" w:cs="Arial"/>
                <w:color w:val="000000"/>
                <w:sz w:val="20"/>
                <w:szCs w:val="20"/>
                <w:lang w:eastAsia="en-AU"/>
              </w:rPr>
            </w:pPr>
            <w:r w:rsidRPr="008D03BE">
              <w:rPr>
                <w:sz w:val="20"/>
                <w:szCs w:val="20"/>
              </w:rPr>
              <w:t>Number of matters (</w:t>
            </w:r>
            <w:r w:rsidR="005E4977" w:rsidRPr="008D03BE">
              <w:rPr>
                <w:sz w:val="20"/>
                <w:szCs w:val="20"/>
              </w:rPr>
              <w:t>4 October</w:t>
            </w:r>
            <w:r w:rsidR="00F34620" w:rsidRPr="008D03BE">
              <w:rPr>
                <w:sz w:val="20"/>
                <w:szCs w:val="20"/>
              </w:rPr>
              <w:t xml:space="preserve"> 2022</w:t>
            </w:r>
            <w:r w:rsidRPr="008D03BE">
              <w:rPr>
                <w:sz w:val="20"/>
                <w:szCs w:val="20"/>
              </w:rPr>
              <w:t xml:space="preserve"> to 3</w:t>
            </w:r>
            <w:r w:rsidR="00F34620" w:rsidRPr="008D03BE">
              <w:rPr>
                <w:sz w:val="20"/>
                <w:szCs w:val="20"/>
              </w:rPr>
              <w:t>1 July</w:t>
            </w:r>
            <w:r w:rsidRPr="008D03BE">
              <w:rPr>
                <w:sz w:val="20"/>
                <w:szCs w:val="20"/>
              </w:rPr>
              <w:t xml:space="preserve"> 2023)</w:t>
            </w:r>
          </w:p>
        </w:tc>
        <w:tc>
          <w:tcPr>
            <w:tcW w:w="1187" w:type="pct"/>
            <w:shd w:val="clear" w:color="auto" w:fill="F7EEF7"/>
            <w:vAlign w:val="center"/>
          </w:tcPr>
          <w:p w14:paraId="0C7CD695" w14:textId="5B5A470D" w:rsidR="004510C5" w:rsidRPr="008D03BE" w:rsidRDefault="004510C5" w:rsidP="008560ED">
            <w:pPr>
              <w:keepNext/>
              <w:keepLines/>
              <w:spacing w:before="0" w:after="0" w:line="240" w:lineRule="auto"/>
              <w:contextualSpacing/>
              <w:jc w:val="center"/>
              <w:rPr>
                <w:rFonts w:eastAsia="Times New Roman" w:cs="Arial"/>
                <w:color w:val="F7EEF7"/>
                <w:sz w:val="20"/>
                <w:szCs w:val="20"/>
                <w:lang w:eastAsia="en-AU"/>
              </w:rPr>
            </w:pPr>
            <w:r w:rsidRPr="008D03BE">
              <w:rPr>
                <w:rFonts w:eastAsia="Times New Roman" w:cs="Arial"/>
                <w:color w:val="F7EEF7"/>
                <w:sz w:val="20"/>
                <w:szCs w:val="20"/>
                <w:lang w:eastAsia="en-AU"/>
              </w:rPr>
              <w:t>count</w:t>
            </w:r>
          </w:p>
        </w:tc>
        <w:tc>
          <w:tcPr>
            <w:tcW w:w="982" w:type="pct"/>
            <w:shd w:val="clear" w:color="auto" w:fill="F7EEF7"/>
            <w:vAlign w:val="center"/>
            <w:hideMark/>
          </w:tcPr>
          <w:p w14:paraId="2C40C857" w14:textId="2E5E7582" w:rsidR="004510C5" w:rsidRPr="008D03BE" w:rsidRDefault="005E4977" w:rsidP="008560ED">
            <w:pPr>
              <w:keepNext/>
              <w:keepLines/>
              <w:spacing w:before="0" w:after="0" w:line="240" w:lineRule="auto"/>
              <w:contextualSpacing/>
              <w:jc w:val="center"/>
              <w:rPr>
                <w:rFonts w:eastAsia="Times New Roman" w:cs="Arial"/>
                <w:color w:val="000000"/>
                <w:sz w:val="20"/>
                <w:szCs w:val="20"/>
                <w:lang w:eastAsia="en-AU"/>
              </w:rPr>
            </w:pPr>
            <w:r w:rsidRPr="008D03BE">
              <w:rPr>
                <w:sz w:val="20"/>
                <w:szCs w:val="20"/>
              </w:rPr>
              <w:t>156</w:t>
            </w:r>
          </w:p>
        </w:tc>
      </w:tr>
      <w:tr w:rsidR="00F34620" w:rsidRPr="00264B9C" w14:paraId="0926F422" w14:textId="77777777" w:rsidTr="004510C5">
        <w:trPr>
          <w:trHeight w:val="417"/>
        </w:trPr>
        <w:tc>
          <w:tcPr>
            <w:tcW w:w="2832" w:type="pct"/>
            <w:shd w:val="clear" w:color="auto" w:fill="000000" w:themeFill="text1"/>
            <w:noWrap/>
            <w:vAlign w:val="center"/>
            <w:hideMark/>
          </w:tcPr>
          <w:p w14:paraId="28F49EFE" w14:textId="00170773" w:rsidR="004510C5" w:rsidRPr="008D03BE" w:rsidRDefault="004510C5" w:rsidP="008560ED">
            <w:pPr>
              <w:keepNext/>
              <w:keepLines/>
              <w:spacing w:before="0" w:after="0" w:line="240" w:lineRule="auto"/>
              <w:contextualSpacing/>
              <w:rPr>
                <w:rFonts w:eastAsia="Times New Roman" w:cs="Arial"/>
                <w:b/>
                <w:bCs/>
                <w:color w:val="FEFFFF" w:themeColor="background1"/>
                <w:sz w:val="20"/>
                <w:szCs w:val="20"/>
                <w:lang w:eastAsia="en-AU"/>
              </w:rPr>
            </w:pPr>
            <w:r w:rsidRPr="008D03BE">
              <w:rPr>
                <w:color w:val="FEFFFF" w:themeColor="background1"/>
                <w:sz w:val="20"/>
                <w:szCs w:val="20"/>
              </w:rPr>
              <w:t xml:space="preserve">Total </w:t>
            </w:r>
            <w:r w:rsidR="00EF744E" w:rsidRPr="008D03BE">
              <w:rPr>
                <w:color w:val="FEFFFF" w:themeColor="background1"/>
                <w:sz w:val="20"/>
                <w:szCs w:val="20"/>
              </w:rPr>
              <w:t>estimated</w:t>
            </w:r>
            <w:r w:rsidRPr="008D03BE">
              <w:rPr>
                <w:color w:val="FEFFFF" w:themeColor="background1"/>
                <w:sz w:val="20"/>
                <w:szCs w:val="20"/>
              </w:rPr>
              <w:t xml:space="preserve"> operating expense</w:t>
            </w:r>
          </w:p>
        </w:tc>
        <w:tc>
          <w:tcPr>
            <w:tcW w:w="1187" w:type="pct"/>
            <w:shd w:val="clear" w:color="auto" w:fill="000000" w:themeFill="text1"/>
            <w:vAlign w:val="center"/>
          </w:tcPr>
          <w:p w14:paraId="4B844446" w14:textId="69054993" w:rsidR="004510C5" w:rsidRPr="008D03BE" w:rsidRDefault="004510C5" w:rsidP="008560ED">
            <w:pPr>
              <w:keepNext/>
              <w:keepLines/>
              <w:spacing w:before="0" w:after="0" w:line="240" w:lineRule="auto"/>
              <w:contextualSpacing/>
              <w:jc w:val="center"/>
              <w:rPr>
                <w:rFonts w:eastAsia="Times New Roman" w:cs="Arial"/>
                <w:b/>
                <w:bCs/>
                <w:color w:val="000000" w:themeColor="text1"/>
                <w:sz w:val="20"/>
                <w:szCs w:val="20"/>
                <w:lang w:eastAsia="en-AU"/>
              </w:rPr>
            </w:pPr>
            <w:r w:rsidRPr="008D03BE">
              <w:rPr>
                <w:rFonts w:eastAsia="Times New Roman" w:cs="Arial"/>
                <w:b/>
                <w:bCs/>
                <w:color w:val="000000" w:themeColor="text1"/>
                <w:sz w:val="20"/>
                <w:szCs w:val="20"/>
                <w:lang w:eastAsia="en-AU"/>
              </w:rPr>
              <w:t>Total</w:t>
            </w:r>
          </w:p>
        </w:tc>
        <w:tc>
          <w:tcPr>
            <w:tcW w:w="982" w:type="pct"/>
            <w:shd w:val="clear" w:color="auto" w:fill="000000" w:themeFill="text1"/>
            <w:vAlign w:val="center"/>
            <w:hideMark/>
          </w:tcPr>
          <w:p w14:paraId="2C3C0EA4" w14:textId="10969E60" w:rsidR="004510C5" w:rsidRPr="008D03BE" w:rsidRDefault="00EF3B95" w:rsidP="008560ED">
            <w:pPr>
              <w:keepNext/>
              <w:keepLines/>
              <w:spacing w:before="0" w:after="0" w:line="240" w:lineRule="auto"/>
              <w:contextualSpacing/>
              <w:jc w:val="center"/>
              <w:rPr>
                <w:rFonts w:eastAsia="Times New Roman" w:cs="Arial"/>
                <w:b/>
                <w:bCs/>
                <w:color w:val="FEFFFF" w:themeColor="background1"/>
                <w:sz w:val="20"/>
                <w:szCs w:val="20"/>
                <w:lang w:eastAsia="en-AU"/>
              </w:rPr>
            </w:pPr>
            <w:r w:rsidRPr="008D03BE">
              <w:rPr>
                <w:rFonts w:cs="Arial"/>
                <w:b/>
                <w:bCs/>
                <w:color w:val="FEFFFF" w:themeColor="background1"/>
                <w:sz w:val="20"/>
                <w:szCs w:val="20"/>
              </w:rPr>
              <w:t>$</w:t>
            </w:r>
            <w:r w:rsidR="00535E34" w:rsidRPr="008D03BE">
              <w:rPr>
                <w:rFonts w:cs="Arial"/>
                <w:b/>
                <w:bCs/>
                <w:color w:val="FEFFFF" w:themeColor="background1"/>
                <w:sz w:val="20"/>
                <w:szCs w:val="20"/>
              </w:rPr>
              <w:t>1,678,092</w:t>
            </w:r>
          </w:p>
        </w:tc>
      </w:tr>
    </w:tbl>
    <w:p w14:paraId="7BB32A29" w14:textId="20238F72" w:rsidR="005B2528" w:rsidRPr="00325FD3" w:rsidRDefault="008B2BB2" w:rsidP="00933842">
      <w:pPr>
        <w:spacing w:before="60" w:after="60"/>
        <w:rPr>
          <w:szCs w:val="22"/>
          <w:lang w:eastAsia="en-AU"/>
        </w:rPr>
      </w:pPr>
      <w:r w:rsidRPr="00325FD3">
        <w:rPr>
          <w:szCs w:val="22"/>
          <w:lang w:eastAsia="en-AU"/>
        </w:rPr>
        <w:t>Source: REB analysis of data submission from IER</w:t>
      </w:r>
      <w:r w:rsidR="001D006F" w:rsidRPr="00325FD3">
        <w:rPr>
          <w:szCs w:val="22"/>
          <w:lang w:eastAsia="en-AU"/>
        </w:rPr>
        <w:t>P</w:t>
      </w:r>
      <w:r w:rsidRPr="00325FD3">
        <w:rPr>
          <w:szCs w:val="22"/>
          <w:lang w:eastAsia="en-AU"/>
        </w:rPr>
        <w:t xml:space="preserve"> </w:t>
      </w:r>
      <w:r w:rsidR="00793BD3" w:rsidRPr="00325FD3">
        <w:rPr>
          <w:szCs w:val="22"/>
          <w:lang w:eastAsia="en-AU"/>
        </w:rPr>
        <w:t xml:space="preserve">and </w:t>
      </w:r>
      <w:r w:rsidR="00B33953" w:rsidRPr="00325FD3">
        <w:rPr>
          <w:szCs w:val="22"/>
          <w:lang w:eastAsia="en-AU"/>
        </w:rPr>
        <w:t xml:space="preserve">Data &amp; Reporting </w:t>
      </w:r>
      <w:r w:rsidRPr="00325FD3">
        <w:rPr>
          <w:szCs w:val="22"/>
          <w:lang w:eastAsia="en-AU"/>
        </w:rPr>
        <w:t>team</w:t>
      </w:r>
      <w:r w:rsidR="00122AEF" w:rsidRPr="00325FD3">
        <w:rPr>
          <w:szCs w:val="22"/>
          <w:lang w:eastAsia="en-AU"/>
        </w:rPr>
        <w:t>s</w:t>
      </w:r>
      <w:r w:rsidRPr="00325FD3">
        <w:rPr>
          <w:szCs w:val="22"/>
          <w:lang w:eastAsia="en-AU"/>
        </w:rPr>
        <w:t xml:space="preserve"> </w:t>
      </w:r>
      <w:r w:rsidR="00122AEF" w:rsidRPr="00325FD3">
        <w:rPr>
          <w:szCs w:val="22"/>
          <w:lang w:eastAsia="en-AU"/>
        </w:rPr>
        <w:t>from</w:t>
      </w:r>
      <w:r w:rsidRPr="00325FD3">
        <w:rPr>
          <w:szCs w:val="22"/>
          <w:lang w:eastAsia="en-AU"/>
        </w:rPr>
        <w:t xml:space="preserve"> Chief Counsel Division</w:t>
      </w:r>
      <w:r w:rsidR="00122AEF" w:rsidRPr="00325FD3">
        <w:rPr>
          <w:szCs w:val="22"/>
          <w:lang w:eastAsia="en-AU"/>
        </w:rPr>
        <w:t xml:space="preserve"> and</w:t>
      </w:r>
      <w:r w:rsidR="006A0155" w:rsidRPr="00325FD3">
        <w:rPr>
          <w:szCs w:val="22"/>
          <w:lang w:eastAsia="en-AU"/>
        </w:rPr>
        <w:t xml:space="preserve"> </w:t>
      </w:r>
      <w:r w:rsidR="00C50E06" w:rsidRPr="00325FD3">
        <w:rPr>
          <w:szCs w:val="22"/>
          <w:lang w:eastAsia="en-AU"/>
        </w:rPr>
        <w:t>Finance Business Partner</w:t>
      </w:r>
      <w:r w:rsidR="00931EAE" w:rsidRPr="00325FD3">
        <w:rPr>
          <w:szCs w:val="22"/>
          <w:lang w:eastAsia="en-AU"/>
        </w:rPr>
        <w:t>- Government</w:t>
      </w:r>
      <w:r w:rsidR="00B51C70" w:rsidRPr="00325FD3">
        <w:rPr>
          <w:szCs w:val="22"/>
          <w:lang w:eastAsia="en-AU"/>
        </w:rPr>
        <w:t>, Engagement &amp; Legal</w:t>
      </w:r>
      <w:r w:rsidR="006A0155" w:rsidRPr="00325FD3">
        <w:rPr>
          <w:szCs w:val="22"/>
          <w:lang w:eastAsia="en-AU"/>
        </w:rPr>
        <w:t xml:space="preserve"> team</w:t>
      </w:r>
      <w:r w:rsidR="00890D41">
        <w:rPr>
          <w:szCs w:val="22"/>
          <w:lang w:eastAsia="en-AU"/>
        </w:rPr>
        <w:t>.</w:t>
      </w:r>
    </w:p>
    <w:p w14:paraId="32A7BA30" w14:textId="77777777" w:rsidR="00165455" w:rsidRPr="00325FD3" w:rsidRDefault="008B2BB2" w:rsidP="00DD70C1">
      <w:pPr>
        <w:spacing w:before="40" w:after="40"/>
        <w:rPr>
          <w:szCs w:val="22"/>
          <w:lang w:eastAsia="en-AU"/>
        </w:rPr>
      </w:pPr>
      <w:r w:rsidRPr="00325FD3">
        <w:rPr>
          <w:szCs w:val="22"/>
          <w:lang w:eastAsia="en-AU"/>
        </w:rPr>
        <w:t>Notes:</w:t>
      </w:r>
      <w:r w:rsidR="00F43C1B" w:rsidRPr="00325FD3">
        <w:rPr>
          <w:szCs w:val="22"/>
          <w:lang w:eastAsia="en-AU"/>
        </w:rPr>
        <w:t xml:space="preserve"> </w:t>
      </w:r>
    </w:p>
    <w:p w14:paraId="474500DF" w14:textId="41DBD3EC" w:rsidR="00C35998" w:rsidRPr="00325FD3" w:rsidRDefault="00B13A48" w:rsidP="000705FE">
      <w:pPr>
        <w:pStyle w:val="ListParagraph"/>
        <w:numPr>
          <w:ilvl w:val="0"/>
          <w:numId w:val="43"/>
        </w:numPr>
        <w:ind w:left="426"/>
        <w:rPr>
          <w:rFonts w:eastAsia="Times New Roman" w:cs="Arial"/>
          <w:szCs w:val="22"/>
          <w:lang w:eastAsia="en-AU"/>
        </w:rPr>
      </w:pPr>
      <w:r w:rsidRPr="00325FD3">
        <w:rPr>
          <w:rFonts w:eastAsia="Times New Roman" w:cs="Arial"/>
          <w:szCs w:val="22"/>
          <w:lang w:eastAsia="en-AU"/>
        </w:rPr>
        <w:t>D</w:t>
      </w:r>
      <w:r w:rsidR="008B2BB2" w:rsidRPr="00325FD3">
        <w:rPr>
          <w:rFonts w:eastAsia="Times New Roman" w:cs="Arial"/>
          <w:szCs w:val="22"/>
          <w:lang w:eastAsia="en-AU"/>
        </w:rPr>
        <w:t xml:space="preserve">ata </w:t>
      </w:r>
      <w:r w:rsidR="009766E2" w:rsidRPr="00325FD3">
        <w:rPr>
          <w:rFonts w:eastAsia="Times New Roman" w:cs="Arial"/>
          <w:szCs w:val="22"/>
          <w:lang w:eastAsia="en-AU"/>
        </w:rPr>
        <w:t>assumes that labour is hired at an APS FTE rate, working 230 days per year</w:t>
      </w:r>
      <w:r w:rsidR="001C275A" w:rsidRPr="00325FD3">
        <w:rPr>
          <w:rFonts w:eastAsia="Times New Roman" w:cs="Arial"/>
          <w:szCs w:val="22"/>
          <w:lang w:eastAsia="en-AU"/>
        </w:rPr>
        <w:t xml:space="preserve">, </w:t>
      </w:r>
      <w:r w:rsidR="00CB28E5" w:rsidRPr="00325FD3">
        <w:rPr>
          <w:rFonts w:eastAsia="Times New Roman" w:cs="Arial"/>
          <w:szCs w:val="22"/>
          <w:lang w:eastAsia="en-AU"/>
        </w:rPr>
        <w:t xml:space="preserve">where a matter requires an average of </w:t>
      </w:r>
      <w:r w:rsidR="009B07B1" w:rsidRPr="00325FD3">
        <w:rPr>
          <w:rFonts w:eastAsia="Times New Roman" w:cs="Arial"/>
          <w:szCs w:val="22"/>
          <w:lang w:eastAsia="en-AU"/>
        </w:rPr>
        <w:t>five</w:t>
      </w:r>
      <w:r w:rsidR="00CB28E5" w:rsidRPr="00325FD3">
        <w:rPr>
          <w:rFonts w:eastAsia="Times New Roman" w:cs="Arial"/>
          <w:szCs w:val="22"/>
          <w:lang w:eastAsia="en-AU"/>
        </w:rPr>
        <w:t xml:space="preserve"> case management days, </w:t>
      </w:r>
      <w:r w:rsidR="009B07B1" w:rsidRPr="00325FD3">
        <w:rPr>
          <w:rFonts w:eastAsia="Times New Roman" w:cs="Arial"/>
          <w:szCs w:val="22"/>
          <w:lang w:eastAsia="en-AU"/>
        </w:rPr>
        <w:t>two</w:t>
      </w:r>
      <w:r w:rsidR="00CB28E5" w:rsidRPr="00325FD3">
        <w:rPr>
          <w:rFonts w:eastAsia="Times New Roman" w:cs="Arial"/>
          <w:szCs w:val="22"/>
          <w:lang w:eastAsia="en-AU"/>
        </w:rPr>
        <w:t xml:space="preserve"> lawyer days to </w:t>
      </w:r>
      <w:r w:rsidR="009B07B1" w:rsidRPr="00325FD3">
        <w:rPr>
          <w:rFonts w:eastAsia="Times New Roman" w:cs="Arial"/>
          <w:szCs w:val="22"/>
          <w:lang w:eastAsia="en-AU"/>
        </w:rPr>
        <w:t>review</w:t>
      </w:r>
      <w:r w:rsidR="00BF156D" w:rsidRPr="00325FD3">
        <w:rPr>
          <w:rFonts w:eastAsia="Times New Roman" w:cs="Arial"/>
          <w:szCs w:val="22"/>
          <w:lang w:eastAsia="en-AU"/>
        </w:rPr>
        <w:t xml:space="preserve"> the </w:t>
      </w:r>
      <w:r w:rsidR="009B07B1" w:rsidRPr="00325FD3">
        <w:rPr>
          <w:rFonts w:eastAsia="Times New Roman" w:cs="Arial"/>
          <w:szCs w:val="22"/>
          <w:lang w:eastAsia="en-AU"/>
        </w:rPr>
        <w:t>recommendation</w:t>
      </w:r>
      <w:r w:rsidR="00161217" w:rsidRPr="00325FD3">
        <w:rPr>
          <w:rFonts w:eastAsia="Times New Roman" w:cs="Arial"/>
          <w:szCs w:val="22"/>
          <w:lang w:eastAsia="en-AU"/>
        </w:rPr>
        <w:t>/s</w:t>
      </w:r>
      <w:r w:rsidR="00BF156D" w:rsidRPr="00325FD3">
        <w:rPr>
          <w:rFonts w:eastAsia="Times New Roman" w:cs="Arial"/>
          <w:szCs w:val="22"/>
          <w:lang w:eastAsia="en-AU"/>
        </w:rPr>
        <w:t xml:space="preserve">, </w:t>
      </w:r>
      <w:r w:rsidR="009B07B1" w:rsidRPr="00325FD3">
        <w:rPr>
          <w:rFonts w:eastAsia="Times New Roman" w:cs="Arial"/>
          <w:szCs w:val="22"/>
          <w:lang w:eastAsia="en-AU"/>
        </w:rPr>
        <w:t>one</w:t>
      </w:r>
      <w:r w:rsidR="00FC1253" w:rsidRPr="00325FD3">
        <w:rPr>
          <w:rFonts w:eastAsia="Times New Roman" w:cs="Arial"/>
          <w:szCs w:val="22"/>
          <w:lang w:eastAsia="en-AU"/>
        </w:rPr>
        <w:t xml:space="preserve"> admin</w:t>
      </w:r>
      <w:r w:rsidR="00161217" w:rsidRPr="00325FD3">
        <w:rPr>
          <w:rFonts w:eastAsia="Times New Roman" w:cs="Arial"/>
          <w:szCs w:val="22"/>
          <w:lang w:eastAsia="en-AU"/>
        </w:rPr>
        <w:t>istrative</w:t>
      </w:r>
      <w:r w:rsidR="00FC1253" w:rsidRPr="00325FD3">
        <w:rPr>
          <w:rFonts w:eastAsia="Times New Roman" w:cs="Arial"/>
          <w:szCs w:val="22"/>
          <w:lang w:eastAsia="en-AU"/>
        </w:rPr>
        <w:t xml:space="preserve"> day p</w:t>
      </w:r>
      <w:r w:rsidR="009B07B1" w:rsidRPr="00325FD3">
        <w:rPr>
          <w:rFonts w:eastAsia="Times New Roman" w:cs="Arial"/>
          <w:szCs w:val="22"/>
          <w:lang w:eastAsia="en-AU"/>
        </w:rPr>
        <w:t>e</w:t>
      </w:r>
      <w:r w:rsidR="00FC1253" w:rsidRPr="00325FD3">
        <w:rPr>
          <w:rFonts w:eastAsia="Times New Roman" w:cs="Arial"/>
          <w:szCs w:val="22"/>
          <w:lang w:eastAsia="en-AU"/>
        </w:rPr>
        <w:t>r matter, and external costs (</w:t>
      </w:r>
      <w:r w:rsidR="00721056" w:rsidRPr="00325FD3">
        <w:rPr>
          <w:rFonts w:eastAsia="Times New Roman" w:cs="Arial"/>
          <w:szCs w:val="22"/>
          <w:lang w:eastAsia="en-AU"/>
        </w:rPr>
        <w:t>independent expert</w:t>
      </w:r>
      <w:r w:rsidR="00FC1253" w:rsidRPr="00325FD3">
        <w:rPr>
          <w:rFonts w:eastAsia="Times New Roman" w:cs="Arial"/>
          <w:szCs w:val="22"/>
          <w:lang w:eastAsia="en-AU"/>
        </w:rPr>
        <w:t xml:space="preserve"> and </w:t>
      </w:r>
      <w:r w:rsidR="009B07B1" w:rsidRPr="00325FD3">
        <w:rPr>
          <w:rFonts w:eastAsia="Times New Roman" w:cs="Arial"/>
          <w:szCs w:val="22"/>
          <w:lang w:eastAsia="en-AU"/>
        </w:rPr>
        <w:t>external law firm support) are average estimates from actual IERP invoices and data.</w:t>
      </w:r>
    </w:p>
    <w:p w14:paraId="2016B280" w14:textId="1BD3705C" w:rsidR="00B37A5D" w:rsidRDefault="00C3711E" w:rsidP="00B37A5D">
      <w:pPr>
        <w:pStyle w:val="Heading3"/>
      </w:pPr>
      <w:bookmarkStart w:id="109" w:name="_Toc142918604"/>
      <w:r>
        <w:rPr>
          <w:lang w:eastAsia="en-AU"/>
        </w:rPr>
        <w:lastRenderedPageBreak/>
        <w:t xml:space="preserve">Net costs of </w:t>
      </w:r>
      <w:r w:rsidR="00B37A5D">
        <w:rPr>
          <w:lang w:eastAsia="en-AU"/>
        </w:rPr>
        <w:t>the IERP</w:t>
      </w:r>
      <w:bookmarkEnd w:id="109"/>
    </w:p>
    <w:p w14:paraId="655BD900" w14:textId="6E599D7F" w:rsidR="00B87B01" w:rsidRDefault="006F0430" w:rsidP="00C8596B">
      <w:r>
        <w:t>T</w:t>
      </w:r>
      <w:r w:rsidR="00C8596B">
        <w:t xml:space="preserve">he </w:t>
      </w:r>
      <w:r w:rsidR="002774B8">
        <w:t xml:space="preserve">cost savings attributable the </w:t>
      </w:r>
      <w:r w:rsidR="00C8596B">
        <w:t xml:space="preserve">IERP are </w:t>
      </w:r>
      <w:r w:rsidR="009A2408">
        <w:t xml:space="preserve">from avoided </w:t>
      </w:r>
      <w:r w:rsidR="002303B1">
        <w:t>AAT hearings</w:t>
      </w:r>
      <w:r w:rsidR="00714F57">
        <w:t xml:space="preserve"> and other pre-AAT resolution costs </w:t>
      </w:r>
      <w:r w:rsidR="00B87B01">
        <w:t>including directions hearings</w:t>
      </w:r>
      <w:r w:rsidR="00714F57">
        <w:t xml:space="preserve"> and </w:t>
      </w:r>
      <w:r w:rsidR="00B87B01">
        <w:t xml:space="preserve">a final case conference to reach </w:t>
      </w:r>
      <w:r w:rsidR="00714F57">
        <w:t xml:space="preserve">a </w:t>
      </w:r>
      <w:r w:rsidR="00B87B01">
        <w:t>settlement</w:t>
      </w:r>
      <w:r w:rsidR="002303B1">
        <w:t>.</w:t>
      </w:r>
      <w:r w:rsidR="000E518B">
        <w:rPr>
          <w:rStyle w:val="FootnoteReference"/>
        </w:rPr>
        <w:footnoteReference w:id="29"/>
      </w:r>
    </w:p>
    <w:p w14:paraId="15C2F476" w14:textId="04B957F1" w:rsidR="002F4E13" w:rsidRPr="007D5F1A" w:rsidRDefault="002F4E13" w:rsidP="002F4E13">
      <w:pPr>
        <w:pStyle w:val="Heading4"/>
      </w:pPr>
      <w:r w:rsidRPr="007D5F1A">
        <w:t>Estimated savings due to avoided AAT hearings</w:t>
      </w:r>
    </w:p>
    <w:p w14:paraId="75DA78A4" w14:textId="77777777" w:rsidR="00B87B01" w:rsidRPr="007D5F1A" w:rsidRDefault="00B87B01" w:rsidP="00C8596B">
      <w:pPr>
        <w:rPr>
          <w:lang w:eastAsia="en-AU"/>
        </w:rPr>
      </w:pPr>
      <w:r w:rsidRPr="007D5F1A">
        <w:t>Based, on activity estimates, t</w:t>
      </w:r>
      <w:r w:rsidR="002303B1" w:rsidRPr="007D5F1A">
        <w:rPr>
          <w:lang w:eastAsia="en-AU"/>
        </w:rPr>
        <w:t xml:space="preserve">he estimated average cost to the Agency of an AAT hearing is $29,899 against </w:t>
      </w:r>
      <w:r w:rsidR="00965E73" w:rsidRPr="007D5F1A">
        <w:rPr>
          <w:lang w:eastAsia="en-AU"/>
        </w:rPr>
        <w:t>$10,757 for the IERP</w:t>
      </w:r>
      <w:r w:rsidR="000A6E14" w:rsidRPr="007D5F1A">
        <w:rPr>
          <w:lang w:eastAsia="en-AU"/>
        </w:rPr>
        <w:t xml:space="preserve"> (</w:t>
      </w:r>
      <w:r w:rsidR="00916A68" w:rsidRPr="007D5F1A">
        <w:rPr>
          <w:lang w:eastAsia="en-AU"/>
        </w:rPr>
        <w:noBreakHyphen/>
      </w:r>
      <w:r w:rsidR="000A6E14" w:rsidRPr="007D5F1A">
        <w:rPr>
          <w:lang w:eastAsia="en-AU"/>
        </w:rPr>
        <w:t>64%)</w:t>
      </w:r>
      <w:r w:rsidR="00E46E7A" w:rsidRPr="007D5F1A">
        <w:rPr>
          <w:rStyle w:val="FootnoteReference"/>
          <w:lang w:eastAsia="en-AU"/>
        </w:rPr>
        <w:footnoteReference w:id="30"/>
      </w:r>
      <w:r w:rsidR="00965E73" w:rsidRPr="007D5F1A">
        <w:rPr>
          <w:lang w:eastAsia="en-AU"/>
        </w:rPr>
        <w:t>.</w:t>
      </w:r>
      <w:r w:rsidRPr="007D5F1A">
        <w:rPr>
          <w:lang w:eastAsia="en-AU"/>
        </w:rPr>
        <w:t xml:space="preserve"> The net savings costs related to avoided AAT hearings </w:t>
      </w:r>
      <w:r w:rsidR="007A429A" w:rsidRPr="007D5F1A">
        <w:rPr>
          <w:lang w:eastAsia="en-AU"/>
        </w:rPr>
        <w:t>depends on the number of IERP cases that would have progressed to a hearing in the absence of the IERP.</w:t>
      </w:r>
      <w:r w:rsidR="00032628" w:rsidRPr="007D5F1A">
        <w:rPr>
          <w:lang w:eastAsia="en-AU"/>
        </w:rPr>
        <w:t xml:space="preserve"> </w:t>
      </w:r>
    </w:p>
    <w:p w14:paraId="18421C50" w14:textId="3C7F4E82" w:rsidR="00060251" w:rsidRPr="007D5F1A" w:rsidRDefault="00B8634D" w:rsidP="00C8596B">
      <w:pPr>
        <w:rPr>
          <w:lang w:eastAsia="en-AU"/>
        </w:rPr>
      </w:pPr>
      <w:r w:rsidRPr="007D5F1A">
        <w:rPr>
          <w:lang w:eastAsia="en-AU"/>
        </w:rPr>
        <w:t xml:space="preserve">To estimate </w:t>
      </w:r>
      <w:r w:rsidR="007A429A" w:rsidRPr="007D5F1A">
        <w:rPr>
          <w:lang w:eastAsia="en-AU"/>
        </w:rPr>
        <w:t>this number</w:t>
      </w:r>
      <w:r w:rsidRPr="007D5F1A">
        <w:rPr>
          <w:lang w:eastAsia="en-AU"/>
        </w:rPr>
        <w:t xml:space="preserve">, </w:t>
      </w:r>
      <w:r w:rsidR="00793722" w:rsidRPr="007D5F1A">
        <w:rPr>
          <w:lang w:eastAsia="en-AU"/>
        </w:rPr>
        <w:t xml:space="preserve">we analysed the outcomes of other AAT </w:t>
      </w:r>
      <w:r w:rsidR="00AF0E0B" w:rsidRPr="007D5F1A">
        <w:rPr>
          <w:lang w:eastAsia="en-AU"/>
        </w:rPr>
        <w:t xml:space="preserve">support-related cases between July 2022 and </w:t>
      </w:r>
      <w:r w:rsidR="0003438B" w:rsidRPr="007D5F1A">
        <w:rPr>
          <w:lang w:eastAsia="en-AU"/>
        </w:rPr>
        <w:t>January 2023</w:t>
      </w:r>
      <w:r w:rsidR="00B87B01" w:rsidRPr="007D5F1A">
        <w:rPr>
          <w:lang w:eastAsia="en-AU"/>
        </w:rPr>
        <w:t>, which was the latest date detailed case information was available for the evaluation</w:t>
      </w:r>
      <w:r w:rsidR="0003438B" w:rsidRPr="007D5F1A">
        <w:rPr>
          <w:lang w:eastAsia="en-AU"/>
        </w:rPr>
        <w:t>.</w:t>
      </w:r>
      <w:r w:rsidR="00B87B01" w:rsidRPr="007D5F1A">
        <w:rPr>
          <w:lang w:eastAsia="en-AU"/>
        </w:rPr>
        <w:t xml:space="preserve"> </w:t>
      </w:r>
      <w:r w:rsidR="00174AD4" w:rsidRPr="007D5F1A">
        <w:rPr>
          <w:lang w:eastAsia="en-AU"/>
        </w:rPr>
        <w:t>The unique combination of the supports in dispute and their value mean</w:t>
      </w:r>
      <w:r w:rsidR="00B012C9" w:rsidRPr="007D5F1A">
        <w:rPr>
          <w:lang w:eastAsia="en-AU"/>
        </w:rPr>
        <w:t>s</w:t>
      </w:r>
      <w:r w:rsidR="00174AD4" w:rsidRPr="007D5F1A">
        <w:rPr>
          <w:lang w:eastAsia="en-AU"/>
        </w:rPr>
        <w:t xml:space="preserve"> that it </w:t>
      </w:r>
      <w:r w:rsidR="00835225" w:rsidRPr="007D5F1A">
        <w:rPr>
          <w:lang w:eastAsia="en-AU"/>
        </w:rPr>
        <w:t>was</w:t>
      </w:r>
      <w:r w:rsidR="00174AD4" w:rsidRPr="007D5F1A">
        <w:rPr>
          <w:lang w:eastAsia="en-AU"/>
        </w:rPr>
        <w:t xml:space="preserve"> not possible to identify a </w:t>
      </w:r>
      <w:r w:rsidR="00B263FA" w:rsidRPr="007D5F1A">
        <w:rPr>
          <w:lang w:eastAsia="en-AU"/>
        </w:rPr>
        <w:t>perfect</w:t>
      </w:r>
      <w:r w:rsidR="00174AD4" w:rsidRPr="007D5F1A">
        <w:rPr>
          <w:lang w:eastAsia="en-AU"/>
        </w:rPr>
        <w:t xml:space="preserve"> case matched comparison set of IERP and AAT cases</w:t>
      </w:r>
      <w:r w:rsidR="00B263FA" w:rsidRPr="007D5F1A">
        <w:rPr>
          <w:lang w:eastAsia="en-AU"/>
        </w:rPr>
        <w:t xml:space="preserve">. However, </w:t>
      </w:r>
      <w:r w:rsidR="00226CC4" w:rsidRPr="007D5F1A">
        <w:rPr>
          <w:lang w:eastAsia="en-AU"/>
        </w:rPr>
        <w:t>there were</w:t>
      </w:r>
      <w:r w:rsidR="00D330AA" w:rsidRPr="007D5F1A">
        <w:rPr>
          <w:lang w:eastAsia="en-AU"/>
        </w:rPr>
        <w:t xml:space="preserve"> 119 AAT </w:t>
      </w:r>
      <w:r w:rsidR="00226CC4" w:rsidRPr="007D5F1A">
        <w:rPr>
          <w:lang w:eastAsia="en-AU"/>
        </w:rPr>
        <w:t xml:space="preserve">support-related </w:t>
      </w:r>
      <w:r w:rsidR="00D330AA" w:rsidRPr="007D5F1A">
        <w:rPr>
          <w:lang w:eastAsia="en-AU"/>
        </w:rPr>
        <w:t xml:space="preserve">cases </w:t>
      </w:r>
      <w:r w:rsidR="00DD2F32" w:rsidRPr="007D5F1A">
        <w:rPr>
          <w:lang w:eastAsia="en-AU"/>
        </w:rPr>
        <w:t>that took longer than nine months to resolve</w:t>
      </w:r>
      <w:r w:rsidR="00226CC4" w:rsidRPr="007D5F1A">
        <w:rPr>
          <w:lang w:eastAsia="en-AU"/>
        </w:rPr>
        <w:t xml:space="preserve"> and where the value of supports in dispute were more than 20% of the underlying plan value. </w:t>
      </w:r>
    </w:p>
    <w:p w14:paraId="540632AB" w14:textId="076F4F5F" w:rsidR="002F4E13" w:rsidRPr="007D5F1A" w:rsidRDefault="00226CC4" w:rsidP="00C8596B">
      <w:pPr>
        <w:rPr>
          <w:lang w:eastAsia="en-AU"/>
        </w:rPr>
      </w:pPr>
      <w:r w:rsidRPr="007D5F1A">
        <w:rPr>
          <w:lang w:eastAsia="en-AU"/>
        </w:rPr>
        <w:t>Assuming th</w:t>
      </w:r>
      <w:r w:rsidR="00FA565F" w:rsidRPr="007D5F1A">
        <w:rPr>
          <w:lang w:eastAsia="en-AU"/>
        </w:rPr>
        <w:t>ese</w:t>
      </w:r>
      <w:r w:rsidRPr="007D5F1A">
        <w:rPr>
          <w:lang w:eastAsia="en-AU"/>
        </w:rPr>
        <w:t xml:space="preserve"> </w:t>
      </w:r>
      <w:r w:rsidR="00060251" w:rsidRPr="007D5F1A">
        <w:rPr>
          <w:lang w:eastAsia="en-AU"/>
        </w:rPr>
        <w:t>119 AAT cases were</w:t>
      </w:r>
      <w:r w:rsidRPr="007D5F1A">
        <w:rPr>
          <w:lang w:eastAsia="en-AU"/>
        </w:rPr>
        <w:t xml:space="preserve"> highly complex, we were able to identify </w:t>
      </w:r>
      <w:r w:rsidR="00AC1646" w:rsidRPr="007D5F1A">
        <w:rPr>
          <w:lang w:eastAsia="en-AU"/>
        </w:rPr>
        <w:t xml:space="preserve">35 </w:t>
      </w:r>
      <w:r w:rsidR="00E04B1A" w:rsidRPr="007D5F1A">
        <w:rPr>
          <w:lang w:eastAsia="en-AU"/>
        </w:rPr>
        <w:t xml:space="preserve">cases </w:t>
      </w:r>
      <w:r w:rsidR="0098048F" w:rsidRPr="007D5F1A">
        <w:rPr>
          <w:lang w:eastAsia="en-AU"/>
        </w:rPr>
        <w:t>where the participant’s age, primary disability and residential State or Territory matched with IERP cases completed as of 31 January 2023</w:t>
      </w:r>
      <w:r w:rsidR="000D3333" w:rsidRPr="007D5F1A">
        <w:rPr>
          <w:lang w:eastAsia="en-AU"/>
        </w:rPr>
        <w:t xml:space="preserve">. As shown in Appendix </w:t>
      </w:r>
      <w:r w:rsidR="00503279" w:rsidRPr="007D5F1A">
        <w:rPr>
          <w:lang w:eastAsia="en-AU"/>
        </w:rPr>
        <w:t>E</w:t>
      </w:r>
      <w:r w:rsidR="000D3333" w:rsidRPr="007D5F1A">
        <w:rPr>
          <w:lang w:eastAsia="en-AU"/>
        </w:rPr>
        <w:t xml:space="preserve">, these cases had a similar number of issues and somewhat similar categories of supports in dispute </w:t>
      </w:r>
      <w:r w:rsidR="006056AC" w:rsidRPr="007D5F1A">
        <w:rPr>
          <w:lang w:eastAsia="en-AU"/>
        </w:rPr>
        <w:t>to</w:t>
      </w:r>
      <w:r w:rsidR="000D3333" w:rsidRPr="007D5F1A">
        <w:rPr>
          <w:lang w:eastAsia="en-AU"/>
        </w:rPr>
        <w:t xml:space="preserve"> Phase 1 IERP cases.</w:t>
      </w:r>
      <w:r w:rsidR="00060251" w:rsidRPr="007D5F1A">
        <w:rPr>
          <w:lang w:eastAsia="en-AU"/>
        </w:rPr>
        <w:t xml:space="preserve"> </w:t>
      </w:r>
      <w:r w:rsidR="00B87B01" w:rsidRPr="007D5F1A">
        <w:rPr>
          <w:lang w:eastAsia="en-AU"/>
        </w:rPr>
        <w:t>Seven o</w:t>
      </w:r>
      <w:r w:rsidR="00835225" w:rsidRPr="007D5F1A">
        <w:rPr>
          <w:lang w:eastAsia="en-AU"/>
        </w:rPr>
        <w:t>f</w:t>
      </w:r>
      <w:r w:rsidR="00B87B01" w:rsidRPr="007D5F1A">
        <w:rPr>
          <w:lang w:eastAsia="en-AU"/>
        </w:rPr>
        <w:t xml:space="preserve"> these 35 AAT cases progressed to hearing.</w:t>
      </w:r>
      <w:r w:rsidR="009D1B78">
        <w:rPr>
          <w:rStyle w:val="FootnoteReference"/>
          <w:lang w:eastAsia="en-AU"/>
        </w:rPr>
        <w:footnoteReference w:id="31"/>
      </w:r>
    </w:p>
    <w:p w14:paraId="16FE80FC" w14:textId="603A78E9" w:rsidR="00C3711E" w:rsidRPr="007D5F1A" w:rsidRDefault="00FA565F" w:rsidP="00C8596B">
      <w:r w:rsidRPr="007D5F1A">
        <w:lastRenderedPageBreak/>
        <w:t xml:space="preserve">Given </w:t>
      </w:r>
      <w:r w:rsidR="00DD149F" w:rsidRPr="007D5F1A">
        <w:t xml:space="preserve">the Agency referred cases to the </w:t>
      </w:r>
      <w:r w:rsidRPr="007D5F1A">
        <w:t xml:space="preserve">IERP based on their high complexity, </w:t>
      </w:r>
      <w:r w:rsidR="004D6D72" w:rsidRPr="007D5F1A">
        <w:t>w</w:t>
      </w:r>
      <w:r w:rsidRPr="007D5F1A">
        <w:t>e assumed t</w:t>
      </w:r>
      <w:r w:rsidR="00F84CED" w:rsidRPr="007D5F1A">
        <w:t xml:space="preserve">hat </w:t>
      </w:r>
      <w:r w:rsidR="00835225" w:rsidRPr="007D5F1A">
        <w:t>seven</w:t>
      </w:r>
      <w:r w:rsidR="00B04A9B" w:rsidRPr="007D5F1A">
        <w:t xml:space="preserve"> </w:t>
      </w:r>
      <w:r w:rsidR="00F84CED" w:rsidRPr="007D5F1A">
        <w:t xml:space="preserve">of the 23 IERP cases resolved as of </w:t>
      </w:r>
      <w:r w:rsidR="00612E44" w:rsidRPr="007D5F1A">
        <w:t>31 January 202</w:t>
      </w:r>
      <w:r w:rsidR="003F7D66" w:rsidRPr="007D5F1A">
        <w:t>3</w:t>
      </w:r>
      <w:r w:rsidR="009D3A37" w:rsidRPr="007D5F1A">
        <w:t xml:space="preserve"> (30%)</w:t>
      </w:r>
      <w:r w:rsidR="004D6D72" w:rsidRPr="007D5F1A">
        <w:t xml:space="preserve"> would likely have progressed to an AAT hearing </w:t>
      </w:r>
      <w:r w:rsidR="00DD149F" w:rsidRPr="007D5F1A">
        <w:t>in the absence of the IERP</w:t>
      </w:r>
      <w:r w:rsidR="00C3711E" w:rsidRPr="007D5F1A">
        <w:rPr>
          <w:rStyle w:val="FootnoteReference"/>
        </w:rPr>
        <w:footnoteReference w:id="32"/>
      </w:r>
      <w:r w:rsidR="00DD149F" w:rsidRPr="007D5F1A">
        <w:t>.</w:t>
      </w:r>
    </w:p>
    <w:p w14:paraId="2AA9B96D" w14:textId="61D0EC5A" w:rsidR="002F4E13" w:rsidRPr="007D5F1A" w:rsidRDefault="002F4E13" w:rsidP="00C8596B">
      <w:pPr>
        <w:rPr>
          <w:b/>
          <w:bCs/>
        </w:rPr>
      </w:pPr>
      <w:r w:rsidRPr="007D5F1A">
        <w:rPr>
          <w:b/>
          <w:bCs/>
        </w:rPr>
        <w:t>Therefore, the average avoided costs of AAT hearings attributable to the IERP are $8,969 per case (</w:t>
      </w:r>
      <w:r w:rsidR="008577C2" w:rsidRPr="007D5F1A">
        <w:rPr>
          <w:b/>
          <w:bCs/>
        </w:rPr>
        <w:t>i.e.,</w:t>
      </w:r>
      <w:r w:rsidRPr="007D5F1A">
        <w:rPr>
          <w:b/>
          <w:bCs/>
        </w:rPr>
        <w:t xml:space="preserve"> 30% x $29,899).</w:t>
      </w:r>
    </w:p>
    <w:p w14:paraId="6CC98EB8" w14:textId="35325AFD" w:rsidR="00B87B01" w:rsidRPr="007D5F1A" w:rsidRDefault="002F4E13" w:rsidP="002F4E13">
      <w:pPr>
        <w:pStyle w:val="Heading4"/>
      </w:pPr>
      <w:r w:rsidRPr="007D5F1A">
        <w:t>Estimating avoided pre-AAT resolution costs</w:t>
      </w:r>
    </w:p>
    <w:p w14:paraId="1D4022E5" w14:textId="51A48DD4" w:rsidR="002F4E13" w:rsidRPr="007D5F1A" w:rsidRDefault="002F4E13" w:rsidP="00C8596B">
      <w:r w:rsidRPr="007D5F1A">
        <w:t>Due to their highly variable nature, it was not possible to estimate the costs of other</w:t>
      </w:r>
      <w:r w:rsidR="00F42AB2" w:rsidRPr="007D5F1A">
        <w:t xml:space="preserve"> </w:t>
      </w:r>
      <w:r w:rsidR="002F00BA" w:rsidRPr="007D5F1A">
        <w:t xml:space="preserve">potential </w:t>
      </w:r>
      <w:r w:rsidR="003028F9" w:rsidRPr="007D5F1A">
        <w:t xml:space="preserve">pre-AAT resolution costs </w:t>
      </w:r>
      <w:r w:rsidR="00E34840" w:rsidRPr="007D5F1A">
        <w:t>(</w:t>
      </w:r>
      <w:r w:rsidR="001F6451" w:rsidRPr="007D5F1A">
        <w:t>final case conference, directions hearing etc.)</w:t>
      </w:r>
      <w:r w:rsidR="003028F9" w:rsidRPr="007D5F1A">
        <w:t xml:space="preserve"> that </w:t>
      </w:r>
      <w:r w:rsidRPr="007D5F1A">
        <w:t>c</w:t>
      </w:r>
      <w:r w:rsidR="003028F9" w:rsidRPr="007D5F1A">
        <w:t xml:space="preserve">ould be incurred after </w:t>
      </w:r>
      <w:r w:rsidR="00835225" w:rsidRPr="007D5F1A">
        <w:t>nine</w:t>
      </w:r>
      <w:r w:rsidRPr="007D5F1A">
        <w:t>-months for long-standing cases.</w:t>
      </w:r>
    </w:p>
    <w:p w14:paraId="58A51BC8" w14:textId="41D21B76" w:rsidR="002F4E13" w:rsidRPr="007D5F1A" w:rsidRDefault="002F4E13" w:rsidP="00C8596B">
      <w:r w:rsidRPr="007D5F1A">
        <w:t xml:space="preserve">Therefore, </w:t>
      </w:r>
      <w:r w:rsidR="004F0D28" w:rsidRPr="007D5F1A">
        <w:t xml:space="preserve">we </w:t>
      </w:r>
      <w:r w:rsidR="009421D7" w:rsidRPr="007D5F1A">
        <w:t>utili</w:t>
      </w:r>
      <w:r w:rsidR="00B56ADB" w:rsidRPr="007D5F1A">
        <w:t>s</w:t>
      </w:r>
      <w:r w:rsidR="009421D7" w:rsidRPr="007D5F1A">
        <w:t>e</w:t>
      </w:r>
      <w:r w:rsidR="00B56ADB" w:rsidRPr="007D5F1A">
        <w:t>d</w:t>
      </w:r>
      <w:r w:rsidR="009421D7" w:rsidRPr="007D5F1A">
        <w:t xml:space="preserve"> </w:t>
      </w:r>
      <w:r w:rsidR="00B56ADB" w:rsidRPr="007D5F1A">
        <w:t xml:space="preserve">the </w:t>
      </w:r>
      <w:r w:rsidR="00886E94" w:rsidRPr="007D5F1A">
        <w:t xml:space="preserve">monthly costs of the 35 </w:t>
      </w:r>
      <w:r w:rsidR="002560E0" w:rsidRPr="007D5F1A">
        <w:t>similar cases</w:t>
      </w:r>
      <w:r w:rsidRPr="007D5F1A">
        <w:t xml:space="preserve"> to provide an estimate</w:t>
      </w:r>
      <w:r w:rsidR="004B0C2C" w:rsidRPr="007D5F1A">
        <w:t xml:space="preserve">. </w:t>
      </w:r>
      <w:r w:rsidR="006071B7" w:rsidRPr="007D5F1A">
        <w:t xml:space="preserve">On average, </w:t>
      </w:r>
      <w:r w:rsidR="00B54DCC" w:rsidRPr="007D5F1A">
        <w:t>the 28 of 3</w:t>
      </w:r>
      <w:r w:rsidR="004B0C2C" w:rsidRPr="007D5F1A">
        <w:t>5 cases</w:t>
      </w:r>
      <w:r w:rsidR="00616F19" w:rsidRPr="007D5F1A">
        <w:t xml:space="preserve"> </w:t>
      </w:r>
      <w:r w:rsidR="00B54DCC" w:rsidRPr="007D5F1A">
        <w:t>that did</w:t>
      </w:r>
      <w:r w:rsidR="00835225" w:rsidRPr="007D5F1A">
        <w:t xml:space="preserve"> not</w:t>
      </w:r>
      <w:r w:rsidR="00B54DCC" w:rsidRPr="007D5F1A">
        <w:t xml:space="preserve"> progress to a hearing </w:t>
      </w:r>
      <w:r w:rsidR="00616F19" w:rsidRPr="007D5F1A">
        <w:t>took 13 months to resolve</w:t>
      </w:r>
      <w:r w:rsidRPr="007D5F1A">
        <w:t xml:space="preserve"> at an average monthly cost to the NDIA of $1,533.</w:t>
      </w:r>
    </w:p>
    <w:p w14:paraId="035822D6" w14:textId="7F2135D4" w:rsidR="002F4E13" w:rsidRPr="007D5F1A" w:rsidRDefault="002F4E13" w:rsidP="00C8596B">
      <w:pPr>
        <w:rPr>
          <w:b/>
          <w:bCs/>
        </w:rPr>
      </w:pPr>
      <w:r w:rsidRPr="007D5F1A">
        <w:t xml:space="preserve">On average, cases referred to the IERP as of 31 January 2023 </w:t>
      </w:r>
      <w:r w:rsidR="00835225" w:rsidRPr="007D5F1A">
        <w:t>had</w:t>
      </w:r>
      <w:r w:rsidRPr="007D5F1A">
        <w:t xml:space="preserve"> been in progress for 11 months before referral. </w:t>
      </w:r>
      <w:r w:rsidRPr="007D5F1A">
        <w:rPr>
          <w:b/>
          <w:bCs/>
        </w:rPr>
        <w:t xml:space="preserve">Therefore, we assumed a </w:t>
      </w:r>
      <w:r w:rsidR="00835225" w:rsidRPr="007D5F1A">
        <w:rPr>
          <w:b/>
          <w:bCs/>
        </w:rPr>
        <w:t>two</w:t>
      </w:r>
      <w:r w:rsidRPr="007D5F1A">
        <w:rPr>
          <w:b/>
          <w:bCs/>
        </w:rPr>
        <w:t>-month saving on average for all IERP cases, which equates to $3,066 in avoided pre-AAT resolution costs for all IERP cases (</w:t>
      </w:r>
      <w:r w:rsidR="008577C2" w:rsidRPr="007D5F1A">
        <w:rPr>
          <w:b/>
          <w:bCs/>
        </w:rPr>
        <w:t>i.e.,</w:t>
      </w:r>
      <w:r w:rsidRPr="007D5F1A">
        <w:rPr>
          <w:b/>
          <w:bCs/>
        </w:rPr>
        <w:t xml:space="preserve"> $1,533 x 2-months).</w:t>
      </w:r>
    </w:p>
    <w:p w14:paraId="7A4B6135" w14:textId="70D648E6" w:rsidR="002F4E13" w:rsidRPr="007D5F1A" w:rsidRDefault="002F4E13" w:rsidP="002F4E13">
      <w:pPr>
        <w:pStyle w:val="Heading4"/>
      </w:pPr>
      <w:r w:rsidRPr="007D5F1A">
        <w:t>Estimating the net cost of the IERP</w:t>
      </w:r>
    </w:p>
    <w:p w14:paraId="66CE99B2" w14:textId="4BD06D58" w:rsidR="00714F57" w:rsidRPr="007D5F1A" w:rsidRDefault="002F4E13" w:rsidP="00C8596B">
      <w:r w:rsidRPr="007D5F1A">
        <w:t xml:space="preserve">The net cost of the IERP is the average cost of an independent expert review </w:t>
      </w:r>
      <w:r w:rsidR="00714F57" w:rsidRPr="007D5F1A">
        <w:t xml:space="preserve">($10,757) </w:t>
      </w:r>
      <w:r w:rsidRPr="007D5F1A">
        <w:t xml:space="preserve">less the costs of avoided AAT hearings </w:t>
      </w:r>
      <w:r w:rsidR="00714F57" w:rsidRPr="007D5F1A">
        <w:t xml:space="preserve">($8,969) </w:t>
      </w:r>
      <w:r w:rsidRPr="007D5F1A">
        <w:t>and other pre-AAT resolution costs</w:t>
      </w:r>
      <w:r w:rsidR="00714F57" w:rsidRPr="007D5F1A">
        <w:t xml:space="preserve"> ($3,066)</w:t>
      </w:r>
      <w:r w:rsidRPr="007D5F1A">
        <w:t>.</w:t>
      </w:r>
      <w:r w:rsidR="00714F57" w:rsidRPr="007D5F1A">
        <w:t xml:space="preserve"> </w:t>
      </w:r>
      <w:r w:rsidR="00714F57" w:rsidRPr="007D5F1A">
        <w:rPr>
          <w:b/>
          <w:bCs/>
        </w:rPr>
        <w:t>This equates to a net operational saving attributable to the IERP of $1,278 per case on average</w:t>
      </w:r>
      <w:r w:rsidR="00714F57" w:rsidRPr="007D5F1A">
        <w:t xml:space="preserve"> (</w:t>
      </w:r>
      <w:r w:rsidR="008577C2" w:rsidRPr="007D5F1A">
        <w:t>i.e.,</w:t>
      </w:r>
      <w:r w:rsidR="00714F57" w:rsidRPr="007D5F1A">
        <w:t xml:space="preserve"> $10,757 - $8,969 - $3,066).</w:t>
      </w:r>
    </w:p>
    <w:p w14:paraId="7632AB5F" w14:textId="626E3B3E" w:rsidR="009E780B" w:rsidRDefault="00B00235" w:rsidP="00A01FA6">
      <w:pPr>
        <w:pStyle w:val="Heading3"/>
      </w:pPr>
      <w:bookmarkStart w:id="110" w:name="_Toc133655516"/>
      <w:bookmarkStart w:id="111" w:name="_Toc142918605"/>
      <w:r>
        <w:t>Costs to the NDIS</w:t>
      </w:r>
      <w:bookmarkEnd w:id="110"/>
      <w:bookmarkEnd w:id="111"/>
    </w:p>
    <w:p w14:paraId="37A30107" w14:textId="07C819CA" w:rsidR="00B73CC0" w:rsidRPr="000F29A8" w:rsidRDefault="00B73CC0" w:rsidP="00145753">
      <w:pPr>
        <w:rPr>
          <w:sz w:val="30"/>
          <w:szCs w:val="30"/>
          <w:lang w:eastAsia="en-AU"/>
        </w:rPr>
      </w:pPr>
      <w:bookmarkStart w:id="112" w:name="_Toc111206323"/>
      <w:bookmarkStart w:id="113" w:name="_Toc111206437"/>
      <w:r w:rsidRPr="000F29A8">
        <w:rPr>
          <w:lang w:eastAsia="en-AU"/>
        </w:rPr>
        <w:t xml:space="preserve">This section reports the financial implications of </w:t>
      </w:r>
      <w:r>
        <w:rPr>
          <w:lang w:eastAsia="en-AU"/>
        </w:rPr>
        <w:t>IER</w:t>
      </w:r>
      <w:r w:rsidR="00145753">
        <w:rPr>
          <w:lang w:eastAsia="en-AU"/>
        </w:rPr>
        <w:t>P</w:t>
      </w:r>
      <w:r w:rsidDel="00145753">
        <w:rPr>
          <w:lang w:eastAsia="en-AU"/>
        </w:rPr>
        <w:t xml:space="preserve"> </w:t>
      </w:r>
      <w:r>
        <w:rPr>
          <w:lang w:eastAsia="en-AU"/>
        </w:rPr>
        <w:t>recommendations</w:t>
      </w:r>
      <w:r w:rsidRPr="000F29A8">
        <w:rPr>
          <w:lang w:eastAsia="en-AU"/>
        </w:rPr>
        <w:t xml:space="preserve"> on </w:t>
      </w:r>
      <w:r>
        <w:rPr>
          <w:lang w:eastAsia="en-AU"/>
        </w:rPr>
        <w:t xml:space="preserve">the </w:t>
      </w:r>
      <w:r w:rsidRPr="000F29A8">
        <w:rPr>
          <w:lang w:eastAsia="en-AU"/>
        </w:rPr>
        <w:t xml:space="preserve">costs to the </w:t>
      </w:r>
      <w:r>
        <w:rPr>
          <w:lang w:eastAsia="en-AU"/>
        </w:rPr>
        <w:t>NDIS</w:t>
      </w:r>
      <w:r w:rsidRPr="000F29A8">
        <w:rPr>
          <w:lang w:eastAsia="en-AU"/>
        </w:rPr>
        <w:t xml:space="preserve">. </w:t>
      </w:r>
      <w:r>
        <w:rPr>
          <w:lang w:eastAsia="en-AU"/>
        </w:rPr>
        <w:t>It</w:t>
      </w:r>
      <w:r w:rsidRPr="000F29A8">
        <w:rPr>
          <w:lang w:eastAsia="en-AU"/>
        </w:rPr>
        <w:t xml:space="preserve"> compares the </w:t>
      </w:r>
      <w:r>
        <w:rPr>
          <w:lang w:eastAsia="en-AU"/>
        </w:rPr>
        <w:t xml:space="preserve">participant </w:t>
      </w:r>
      <w:r w:rsidRPr="000F29A8">
        <w:rPr>
          <w:lang w:eastAsia="en-AU"/>
        </w:rPr>
        <w:t xml:space="preserve">plan value </w:t>
      </w:r>
      <w:r>
        <w:rPr>
          <w:lang w:eastAsia="en-AU"/>
        </w:rPr>
        <w:t xml:space="preserve">at the time of initial application </w:t>
      </w:r>
      <w:r w:rsidRPr="000F29A8">
        <w:rPr>
          <w:lang w:eastAsia="en-AU"/>
        </w:rPr>
        <w:t xml:space="preserve">to </w:t>
      </w:r>
      <w:r w:rsidRPr="000F29A8">
        <w:rPr>
          <w:lang w:eastAsia="en-AU"/>
        </w:rPr>
        <w:lastRenderedPageBreak/>
        <w:t xml:space="preserve">the AAT to the plan value </w:t>
      </w:r>
      <w:r>
        <w:rPr>
          <w:lang w:eastAsia="en-AU"/>
        </w:rPr>
        <w:t xml:space="preserve">implemented </w:t>
      </w:r>
      <w:r w:rsidRPr="000F29A8">
        <w:rPr>
          <w:lang w:eastAsia="en-AU"/>
        </w:rPr>
        <w:t xml:space="preserve">after the </w:t>
      </w:r>
      <w:r>
        <w:rPr>
          <w:lang w:eastAsia="en-AU"/>
        </w:rPr>
        <w:t>participant</w:t>
      </w:r>
      <w:r w:rsidRPr="000F29A8">
        <w:rPr>
          <w:lang w:eastAsia="en-AU"/>
        </w:rPr>
        <w:t xml:space="preserve"> exited either the AAT or the IER</w:t>
      </w:r>
      <w:r w:rsidR="00577003">
        <w:rPr>
          <w:lang w:eastAsia="en-AU"/>
        </w:rPr>
        <w:t>P</w:t>
      </w:r>
      <w:r w:rsidRPr="000F29A8">
        <w:rPr>
          <w:lang w:eastAsia="en-AU"/>
        </w:rPr>
        <w:t>.</w:t>
      </w:r>
    </w:p>
    <w:p w14:paraId="2CD0035B" w14:textId="04A5CA0A" w:rsidR="00E95302" w:rsidRDefault="008401D4" w:rsidP="001C3293">
      <w:pPr>
        <w:rPr>
          <w:lang w:eastAsia="en-AU"/>
        </w:rPr>
      </w:pPr>
      <w:r>
        <w:rPr>
          <w:lang w:eastAsia="en-AU"/>
        </w:rPr>
        <w:fldChar w:fldCharType="begin"/>
      </w:r>
      <w:r>
        <w:rPr>
          <w:lang w:eastAsia="en-AU"/>
        </w:rPr>
        <w:instrText xml:space="preserve"> REF _Ref135225682 \h </w:instrText>
      </w:r>
      <w:r>
        <w:rPr>
          <w:lang w:eastAsia="en-AU"/>
        </w:rPr>
      </w:r>
      <w:r>
        <w:rPr>
          <w:lang w:eastAsia="en-AU"/>
        </w:rPr>
        <w:fldChar w:fldCharType="separate"/>
      </w:r>
      <w:r w:rsidR="000F1876" w:rsidRPr="00325FD3">
        <w:t xml:space="preserve">Figure </w:t>
      </w:r>
      <w:r w:rsidR="000F1876">
        <w:rPr>
          <w:noProof/>
        </w:rPr>
        <w:t>9</w:t>
      </w:r>
      <w:r>
        <w:rPr>
          <w:lang w:eastAsia="en-AU"/>
        </w:rPr>
        <w:fldChar w:fldCharType="end"/>
      </w:r>
      <w:r>
        <w:rPr>
          <w:lang w:eastAsia="en-AU"/>
        </w:rPr>
        <w:t xml:space="preserve"> </w:t>
      </w:r>
      <w:r w:rsidR="00EB48AF">
        <w:rPr>
          <w:lang w:eastAsia="en-AU"/>
        </w:rPr>
        <w:t xml:space="preserve">shows </w:t>
      </w:r>
      <w:r w:rsidR="003B1454">
        <w:rPr>
          <w:lang w:eastAsia="en-AU"/>
        </w:rPr>
        <w:t xml:space="preserve">the </w:t>
      </w:r>
      <w:r w:rsidR="004A3BF5">
        <w:rPr>
          <w:lang w:eastAsia="en-AU"/>
        </w:rPr>
        <w:t>a</w:t>
      </w:r>
      <w:r w:rsidR="00B73CC0" w:rsidRPr="000F29A8">
        <w:rPr>
          <w:lang w:eastAsia="en-AU"/>
        </w:rPr>
        <w:t xml:space="preserve">verage </w:t>
      </w:r>
      <w:r w:rsidR="004A3BF5">
        <w:rPr>
          <w:lang w:eastAsia="en-AU"/>
        </w:rPr>
        <w:t xml:space="preserve">NDIS </w:t>
      </w:r>
      <w:r w:rsidR="00B73CC0" w:rsidRPr="000F29A8">
        <w:rPr>
          <w:lang w:eastAsia="en-AU"/>
        </w:rPr>
        <w:t>plan val</w:t>
      </w:r>
      <w:r w:rsidR="00B73CC0">
        <w:rPr>
          <w:lang w:eastAsia="en-AU"/>
        </w:rPr>
        <w:t>u</w:t>
      </w:r>
      <w:r w:rsidR="00B73CC0" w:rsidRPr="000F29A8">
        <w:rPr>
          <w:lang w:eastAsia="en-AU"/>
        </w:rPr>
        <w:t xml:space="preserve">es </w:t>
      </w:r>
      <w:r w:rsidR="00B73CC0">
        <w:rPr>
          <w:lang w:eastAsia="en-AU"/>
        </w:rPr>
        <w:t xml:space="preserve">prior to and following dispute resolution via the </w:t>
      </w:r>
      <w:r w:rsidR="00B73CC0" w:rsidRPr="000F29A8">
        <w:rPr>
          <w:lang w:eastAsia="en-AU"/>
        </w:rPr>
        <w:t>IER</w:t>
      </w:r>
      <w:r w:rsidR="006C68BA">
        <w:rPr>
          <w:lang w:eastAsia="en-AU"/>
        </w:rPr>
        <w:t>P</w:t>
      </w:r>
      <w:r w:rsidR="00B73CC0" w:rsidRPr="000F29A8" w:rsidDel="006C68BA">
        <w:rPr>
          <w:lang w:eastAsia="en-AU"/>
        </w:rPr>
        <w:t xml:space="preserve"> </w:t>
      </w:r>
      <w:r w:rsidR="006F2358">
        <w:rPr>
          <w:lang w:eastAsia="en-AU"/>
        </w:rPr>
        <w:t>and</w:t>
      </w:r>
      <w:r w:rsidR="006779C7">
        <w:rPr>
          <w:lang w:eastAsia="en-AU"/>
        </w:rPr>
        <w:t xml:space="preserve"> </w:t>
      </w:r>
      <w:r w:rsidR="00B73CC0" w:rsidRPr="000F29A8">
        <w:rPr>
          <w:lang w:eastAsia="en-AU"/>
        </w:rPr>
        <w:t>AAT</w:t>
      </w:r>
      <w:r w:rsidR="00554337">
        <w:rPr>
          <w:lang w:eastAsia="en-AU"/>
        </w:rPr>
        <w:t xml:space="preserve"> that closed between 1 July 2022 and 31</w:t>
      </w:r>
      <w:r w:rsidR="00554337" w:rsidRPr="00133190">
        <w:rPr>
          <w:vertAlign w:val="superscript"/>
          <w:lang w:eastAsia="en-AU"/>
        </w:rPr>
        <w:t>st</w:t>
      </w:r>
      <w:r w:rsidR="00554337">
        <w:rPr>
          <w:lang w:eastAsia="en-AU"/>
        </w:rPr>
        <w:t xml:space="preserve"> January 2023</w:t>
      </w:r>
      <w:r w:rsidR="006C68BA">
        <w:rPr>
          <w:lang w:eastAsia="en-AU"/>
        </w:rPr>
        <w:t>. The estimates rely on</w:t>
      </w:r>
      <w:r w:rsidR="00B73CC0" w:rsidRPr="000F29A8" w:rsidDel="006C68BA">
        <w:rPr>
          <w:lang w:eastAsia="en-AU"/>
        </w:rPr>
        <w:t xml:space="preserve"> </w:t>
      </w:r>
      <w:r w:rsidR="00E215AE">
        <w:rPr>
          <w:lang w:eastAsia="en-AU"/>
        </w:rPr>
        <w:t>39 completed IER</w:t>
      </w:r>
      <w:r w:rsidR="006C68BA">
        <w:rPr>
          <w:lang w:eastAsia="en-AU"/>
        </w:rPr>
        <w:t>P</w:t>
      </w:r>
      <w:r w:rsidR="00E215AE">
        <w:rPr>
          <w:lang w:eastAsia="en-AU"/>
        </w:rPr>
        <w:t xml:space="preserve"> cases </w:t>
      </w:r>
      <w:r w:rsidR="00D05D7D">
        <w:rPr>
          <w:lang w:eastAsia="en-AU"/>
        </w:rPr>
        <w:t xml:space="preserve">with </w:t>
      </w:r>
      <w:r w:rsidR="00D60CC8">
        <w:rPr>
          <w:lang w:eastAsia="en-AU"/>
        </w:rPr>
        <w:t xml:space="preserve">available plan </w:t>
      </w:r>
      <w:r w:rsidR="00D05D7D">
        <w:rPr>
          <w:lang w:eastAsia="en-AU"/>
        </w:rPr>
        <w:t>budget data</w:t>
      </w:r>
      <w:r w:rsidR="00027EE4">
        <w:rPr>
          <w:lang w:eastAsia="en-AU"/>
        </w:rPr>
        <w:t xml:space="preserve"> and</w:t>
      </w:r>
      <w:r w:rsidR="00554337">
        <w:rPr>
          <w:lang w:eastAsia="en-AU"/>
        </w:rPr>
        <w:t xml:space="preserve"> </w:t>
      </w:r>
      <w:r w:rsidR="00F0628A">
        <w:rPr>
          <w:lang w:eastAsia="en-AU"/>
        </w:rPr>
        <w:t>517</w:t>
      </w:r>
      <w:r w:rsidR="007C23A6">
        <w:rPr>
          <w:lang w:eastAsia="en-AU"/>
        </w:rPr>
        <w:t xml:space="preserve"> resolved </w:t>
      </w:r>
      <w:r w:rsidR="00027EE4">
        <w:rPr>
          <w:lang w:eastAsia="en-AU"/>
        </w:rPr>
        <w:t xml:space="preserve">support-related </w:t>
      </w:r>
      <w:r w:rsidR="00243C6C">
        <w:rPr>
          <w:lang w:eastAsia="en-AU"/>
        </w:rPr>
        <w:t>AAT cases</w:t>
      </w:r>
      <w:r w:rsidR="00D05D7D">
        <w:rPr>
          <w:lang w:eastAsia="en-AU"/>
        </w:rPr>
        <w:t xml:space="preserve"> </w:t>
      </w:r>
      <w:r w:rsidR="00F0628A">
        <w:rPr>
          <w:lang w:eastAsia="en-AU"/>
        </w:rPr>
        <w:t xml:space="preserve">that have a similar value </w:t>
      </w:r>
      <w:r w:rsidR="00027EE4">
        <w:rPr>
          <w:lang w:eastAsia="en-AU"/>
        </w:rPr>
        <w:t xml:space="preserve">plan </w:t>
      </w:r>
      <w:r w:rsidR="00F0628A">
        <w:rPr>
          <w:lang w:eastAsia="en-AU"/>
        </w:rPr>
        <w:t>in dispute</w:t>
      </w:r>
      <w:r w:rsidR="00554337">
        <w:rPr>
          <w:lang w:eastAsia="en-AU"/>
        </w:rPr>
        <w:t xml:space="preserve"> </w:t>
      </w:r>
      <w:r w:rsidR="00D7234F">
        <w:rPr>
          <w:lang w:eastAsia="en-AU"/>
        </w:rPr>
        <w:t>to</w:t>
      </w:r>
      <w:r w:rsidR="00027EE4">
        <w:rPr>
          <w:lang w:eastAsia="en-AU"/>
        </w:rPr>
        <w:t xml:space="preserve"> the IERP cases</w:t>
      </w:r>
      <w:r w:rsidR="00986E15" w:rsidRPr="00986E15">
        <w:rPr>
          <w:rStyle w:val="FootnoteReference"/>
          <w:lang w:eastAsia="en-AU"/>
        </w:rPr>
        <w:t xml:space="preserve"> </w:t>
      </w:r>
      <w:r w:rsidR="00986E15">
        <w:rPr>
          <w:rStyle w:val="FootnoteReference"/>
          <w:lang w:eastAsia="en-AU"/>
        </w:rPr>
        <w:footnoteReference w:id="33"/>
      </w:r>
      <w:r w:rsidR="00200263">
        <w:rPr>
          <w:lang w:eastAsia="en-AU"/>
        </w:rPr>
        <w:t xml:space="preserve">. The AAT cases also took longer than </w:t>
      </w:r>
      <w:r w:rsidR="00995A42">
        <w:rPr>
          <w:lang w:eastAsia="en-AU"/>
        </w:rPr>
        <w:t xml:space="preserve">nine </w:t>
      </w:r>
      <w:r w:rsidR="00200263">
        <w:rPr>
          <w:lang w:eastAsia="en-AU"/>
        </w:rPr>
        <w:t xml:space="preserve">months to resolve. </w:t>
      </w:r>
    </w:p>
    <w:p w14:paraId="08CBB55B" w14:textId="6E0D8C11" w:rsidR="00A1652B" w:rsidRDefault="009432F0" w:rsidP="001C3293">
      <w:pPr>
        <w:rPr>
          <w:lang w:eastAsia="en-AU"/>
        </w:rPr>
      </w:pPr>
      <w:r>
        <w:rPr>
          <w:lang w:eastAsia="en-AU"/>
        </w:rPr>
        <w:t>T</w:t>
      </w:r>
      <w:r w:rsidR="00200263">
        <w:rPr>
          <w:lang w:eastAsia="en-AU"/>
        </w:rPr>
        <w:t xml:space="preserve">his comparison </w:t>
      </w:r>
      <w:r w:rsidR="000E3C6C">
        <w:rPr>
          <w:lang w:eastAsia="en-AU"/>
        </w:rPr>
        <w:t>was used</w:t>
      </w:r>
      <w:r w:rsidR="00330DF0">
        <w:rPr>
          <w:lang w:eastAsia="en-AU"/>
        </w:rPr>
        <w:t xml:space="preserve"> </w:t>
      </w:r>
      <w:r w:rsidR="000348B7">
        <w:rPr>
          <w:lang w:eastAsia="en-AU"/>
        </w:rPr>
        <w:t xml:space="preserve">as </w:t>
      </w:r>
      <w:r w:rsidR="00A1652B">
        <w:rPr>
          <w:lang w:eastAsia="en-AU"/>
        </w:rPr>
        <w:t xml:space="preserve">the </w:t>
      </w:r>
      <w:r w:rsidR="00733BEA">
        <w:rPr>
          <w:lang w:eastAsia="en-AU"/>
        </w:rPr>
        <w:t>value of the resolution depends on the nature of supports in dispute</w:t>
      </w:r>
      <w:r w:rsidR="00BC6B65">
        <w:rPr>
          <w:lang w:eastAsia="en-AU"/>
        </w:rPr>
        <w:t>. In contrast</w:t>
      </w:r>
      <w:r w:rsidR="007E31DA">
        <w:rPr>
          <w:lang w:eastAsia="en-AU"/>
        </w:rPr>
        <w:t>,</w:t>
      </w:r>
      <w:r w:rsidR="00BC6B65">
        <w:rPr>
          <w:lang w:eastAsia="en-AU"/>
        </w:rPr>
        <w:t xml:space="preserve"> </w:t>
      </w:r>
      <w:r w:rsidR="00283EAE">
        <w:rPr>
          <w:lang w:eastAsia="en-AU"/>
        </w:rPr>
        <w:t xml:space="preserve">the value of </w:t>
      </w:r>
      <w:r w:rsidR="00BC6B65">
        <w:rPr>
          <w:lang w:eastAsia="en-AU"/>
        </w:rPr>
        <w:t>operational costs</w:t>
      </w:r>
      <w:r w:rsidR="00466C01">
        <w:rPr>
          <w:lang w:eastAsia="en-AU"/>
        </w:rPr>
        <w:t xml:space="preserve"> </w:t>
      </w:r>
      <w:r w:rsidR="00283EAE">
        <w:rPr>
          <w:lang w:eastAsia="en-AU"/>
        </w:rPr>
        <w:t xml:space="preserve">is </w:t>
      </w:r>
      <w:r w:rsidR="00466C01">
        <w:rPr>
          <w:lang w:eastAsia="en-AU"/>
        </w:rPr>
        <w:t xml:space="preserve">more </w:t>
      </w:r>
      <w:r w:rsidR="00283EAE">
        <w:rPr>
          <w:lang w:eastAsia="en-AU"/>
        </w:rPr>
        <w:t xml:space="preserve">dependent on </w:t>
      </w:r>
      <w:r w:rsidR="00B36F0D">
        <w:rPr>
          <w:lang w:eastAsia="en-AU"/>
        </w:rPr>
        <w:t>whether the resolution occurred by consent or at hearing.</w:t>
      </w:r>
      <w:r w:rsidR="003C7750">
        <w:rPr>
          <w:lang w:eastAsia="en-AU"/>
        </w:rPr>
        <w:t xml:space="preserve"> </w:t>
      </w:r>
      <w:r w:rsidR="00B36F0D">
        <w:rPr>
          <w:lang w:eastAsia="en-AU"/>
        </w:rPr>
        <w:t xml:space="preserve">As described in section 5.1, </w:t>
      </w:r>
      <w:r w:rsidR="003C7750">
        <w:rPr>
          <w:lang w:eastAsia="en-AU"/>
        </w:rPr>
        <w:t xml:space="preserve">the unique nature of individual cases meant it was not possible to </w:t>
      </w:r>
      <w:r w:rsidR="00E95302">
        <w:rPr>
          <w:lang w:eastAsia="en-AU"/>
        </w:rPr>
        <w:t>identify support-related AAT cases with similar supports in dispute to the IERP cases.</w:t>
      </w:r>
    </w:p>
    <w:p w14:paraId="4D6D2B45" w14:textId="61659C8A" w:rsidR="00FD5115" w:rsidRDefault="00045F77" w:rsidP="002262D7">
      <w:pPr>
        <w:rPr>
          <w:lang w:eastAsia="en-AU"/>
        </w:rPr>
      </w:pPr>
      <w:r>
        <w:rPr>
          <w:lang w:eastAsia="en-AU"/>
        </w:rPr>
        <w:t>The analysis shows that IERP p</w:t>
      </w:r>
      <w:r w:rsidR="00B411F2" w:rsidRPr="000F29A8">
        <w:rPr>
          <w:lang w:eastAsia="en-AU"/>
        </w:rPr>
        <w:t>articipants saw their average plan value increase by $</w:t>
      </w:r>
      <w:r w:rsidR="00B411F2">
        <w:rPr>
          <w:lang w:eastAsia="en-AU"/>
        </w:rPr>
        <w:t>42</w:t>
      </w:r>
      <w:r w:rsidR="00B411F2" w:rsidRPr="000F29A8">
        <w:rPr>
          <w:lang w:eastAsia="en-AU"/>
        </w:rPr>
        <w:t>,</w:t>
      </w:r>
      <w:r w:rsidR="00B411F2">
        <w:rPr>
          <w:lang w:eastAsia="en-AU"/>
        </w:rPr>
        <w:t>733</w:t>
      </w:r>
      <w:r>
        <w:rPr>
          <w:lang w:eastAsia="en-AU"/>
        </w:rPr>
        <w:t xml:space="preserve"> (</w:t>
      </w:r>
      <w:r w:rsidR="00510195">
        <w:rPr>
          <w:lang w:eastAsia="en-AU"/>
        </w:rPr>
        <w:t>+</w:t>
      </w:r>
      <w:r w:rsidR="00D94680">
        <w:rPr>
          <w:lang w:eastAsia="en-AU"/>
        </w:rPr>
        <w:t xml:space="preserve">18%) </w:t>
      </w:r>
      <w:r w:rsidR="00656724">
        <w:rPr>
          <w:lang w:eastAsia="en-AU"/>
        </w:rPr>
        <w:t xml:space="preserve">following resolution. This compares to </w:t>
      </w:r>
      <w:r w:rsidR="00EA45E6">
        <w:rPr>
          <w:lang w:eastAsia="en-AU"/>
        </w:rPr>
        <w:t>$55,42</w:t>
      </w:r>
      <w:r w:rsidR="00734A7B">
        <w:rPr>
          <w:lang w:eastAsia="en-AU"/>
        </w:rPr>
        <w:t>0 (+</w:t>
      </w:r>
      <w:r w:rsidR="00B034CA">
        <w:rPr>
          <w:lang w:eastAsia="en-AU"/>
        </w:rPr>
        <w:t xml:space="preserve">23%) for </w:t>
      </w:r>
      <w:r w:rsidR="00901EC1">
        <w:rPr>
          <w:lang w:eastAsia="en-AU"/>
        </w:rPr>
        <w:t xml:space="preserve">AAT cases </w:t>
      </w:r>
      <w:r w:rsidR="00EA45E6">
        <w:rPr>
          <w:lang w:eastAsia="en-AU"/>
        </w:rPr>
        <w:t>where the plan in dispute was of sim</w:t>
      </w:r>
      <w:r w:rsidR="00B034CA">
        <w:rPr>
          <w:lang w:eastAsia="en-AU"/>
        </w:rPr>
        <w:t>ilar value</w:t>
      </w:r>
      <w:r w:rsidR="00FD5115">
        <w:rPr>
          <w:lang w:eastAsia="en-AU"/>
        </w:rPr>
        <w:t>.</w:t>
      </w:r>
      <w:r w:rsidR="00F539B8">
        <w:rPr>
          <w:lang w:eastAsia="en-AU"/>
        </w:rPr>
        <w:t xml:space="preserve"> </w:t>
      </w:r>
    </w:p>
    <w:p w14:paraId="7A257EFF" w14:textId="15B60310" w:rsidR="0075115E" w:rsidRPr="00325FD3" w:rsidRDefault="008401D4" w:rsidP="00A86241">
      <w:pPr>
        <w:pStyle w:val="Caption-H4"/>
        <w:rPr>
          <w:lang w:eastAsia="en-AU"/>
        </w:rPr>
      </w:pPr>
      <w:bookmarkStart w:id="114" w:name="_Ref135225682"/>
      <w:bookmarkStart w:id="115" w:name="_Ref135225692"/>
      <w:bookmarkStart w:id="116" w:name="_Ref134612393"/>
      <w:r w:rsidRPr="00325FD3">
        <w:lastRenderedPageBreak/>
        <w:t xml:space="preserve">Figure </w:t>
      </w:r>
      <w:r w:rsidRPr="00325FD3">
        <w:fldChar w:fldCharType="begin"/>
      </w:r>
      <w:r w:rsidRPr="00325FD3">
        <w:instrText>SEQ Figure \* ARABIC</w:instrText>
      </w:r>
      <w:r w:rsidRPr="00325FD3">
        <w:fldChar w:fldCharType="separate"/>
      </w:r>
      <w:r w:rsidR="000F1876">
        <w:rPr>
          <w:noProof/>
        </w:rPr>
        <w:t>9</w:t>
      </w:r>
      <w:r w:rsidRPr="00325FD3">
        <w:fldChar w:fldCharType="end"/>
      </w:r>
      <w:bookmarkEnd w:id="114"/>
      <w:bookmarkEnd w:id="115"/>
      <w:bookmarkEnd w:id="116"/>
      <w:r w:rsidR="0075115E" w:rsidRPr="00325FD3">
        <w:t xml:space="preserve">: Participant plan values after </w:t>
      </w:r>
      <w:r w:rsidR="00AD70D3" w:rsidRPr="00325FD3">
        <w:t>participation in the IERP and AAT</w:t>
      </w:r>
    </w:p>
    <w:p w14:paraId="7CD47C37" w14:textId="7EAE52A5" w:rsidR="00B411F2" w:rsidRPr="00756000" w:rsidRDefault="008F0A4F" w:rsidP="00B15499">
      <w:pPr>
        <w:keepNext/>
        <w:keepLines/>
        <w:spacing w:before="240" w:after="0"/>
        <w:rPr>
          <w:lang w:eastAsia="en-AU"/>
        </w:rPr>
      </w:pPr>
      <w:r>
        <w:rPr>
          <w:noProof/>
          <w:lang w:eastAsia="en-AU"/>
        </w:rPr>
        <w:drawing>
          <wp:inline distT="0" distB="0" distL="0" distR="0" wp14:anchorId="00A59023" wp14:editId="29AF93C8">
            <wp:extent cx="5146158" cy="2508885"/>
            <wp:effectExtent l="0" t="0" r="0" b="5715"/>
            <wp:docPr id="14" name="Chart 14" descr="Figure shows the average participant plan value after participation in either the IERP and AAT. &#10;It shows that AAT cases with similar budgets to those in the IERP experience a marginally larger increase in NDIS plan value after resolution when compared to the IERP.&#10;There are 2 lines on this graph, 1 representing IERP (n-39) and 1 representing AAT comparison.&#10;The horizontal axis has Plan in dispute and After resolution, The vertical axis represents NDIS plan value and ranges from $190,000 to $310,000 in increments of $20,000.&#10;Results:&#10;IERP.&#10;Plan in dispute $233,788.&#10;After resolution $276,521.&#10;AAT.&#10;Plan in dispute $236,279.&#10;After resolution $291,68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92F8679" w14:textId="1888F23C" w:rsidR="00180455" w:rsidRPr="00325FD3" w:rsidRDefault="00180455" w:rsidP="00133190">
      <w:pPr>
        <w:keepNext/>
        <w:keepLines/>
        <w:spacing w:before="240" w:line="240" w:lineRule="auto"/>
        <w:textAlignment w:val="baseline"/>
        <w:rPr>
          <w:rFonts w:eastAsia="Times New Roman" w:cs="Arial"/>
          <w:szCs w:val="22"/>
          <w:lang w:eastAsia="en-AU"/>
        </w:rPr>
      </w:pPr>
      <w:r w:rsidRPr="00325FD3">
        <w:rPr>
          <w:rFonts w:eastAsia="Times New Roman" w:cs="Arial"/>
          <w:szCs w:val="22"/>
          <w:lang w:eastAsia="en-AU"/>
        </w:rPr>
        <w:t xml:space="preserve">Source: Research and Evaluation Branch analysis of </w:t>
      </w:r>
      <w:r w:rsidR="001D776C" w:rsidRPr="00325FD3">
        <w:rPr>
          <w:rFonts w:eastAsia="Times New Roman" w:cs="Arial"/>
          <w:szCs w:val="22"/>
          <w:lang w:eastAsia="en-AU"/>
        </w:rPr>
        <w:t xml:space="preserve">NDIS plan </w:t>
      </w:r>
      <w:r w:rsidR="00CB6462" w:rsidRPr="00325FD3">
        <w:rPr>
          <w:rFonts w:eastAsia="Times New Roman" w:cs="Arial"/>
          <w:szCs w:val="22"/>
          <w:lang w:eastAsia="en-AU"/>
        </w:rPr>
        <w:t xml:space="preserve">data </w:t>
      </w:r>
      <w:r w:rsidR="001D776C" w:rsidRPr="00325FD3">
        <w:rPr>
          <w:rFonts w:eastAsia="Times New Roman" w:cs="Arial"/>
          <w:szCs w:val="22"/>
          <w:lang w:eastAsia="en-AU"/>
        </w:rPr>
        <w:t xml:space="preserve">for </w:t>
      </w:r>
      <w:r w:rsidRPr="00325FD3">
        <w:rPr>
          <w:rFonts w:eastAsia="Times New Roman" w:cs="Arial"/>
          <w:szCs w:val="22"/>
          <w:lang w:eastAsia="en-AU"/>
        </w:rPr>
        <w:t xml:space="preserve">IER and AAT </w:t>
      </w:r>
      <w:r w:rsidR="001D776C" w:rsidRPr="00325FD3">
        <w:rPr>
          <w:rFonts w:eastAsia="Times New Roman" w:cs="Arial"/>
          <w:szCs w:val="22"/>
          <w:lang w:eastAsia="en-AU"/>
        </w:rPr>
        <w:t>part</w:t>
      </w:r>
      <w:r w:rsidR="006E10FF" w:rsidRPr="00325FD3">
        <w:rPr>
          <w:rFonts w:eastAsia="Times New Roman" w:cs="Arial"/>
          <w:szCs w:val="22"/>
          <w:lang w:eastAsia="en-AU"/>
        </w:rPr>
        <w:t>icipants</w:t>
      </w:r>
      <w:r w:rsidR="00AD70D3" w:rsidRPr="00325FD3">
        <w:rPr>
          <w:rFonts w:eastAsia="Times New Roman" w:cs="Arial"/>
          <w:szCs w:val="22"/>
          <w:lang w:eastAsia="en-AU"/>
        </w:rPr>
        <w:t>.</w:t>
      </w:r>
    </w:p>
    <w:p w14:paraId="19EEE56C" w14:textId="77777777" w:rsidR="00833535" w:rsidRDefault="00833535" w:rsidP="00833535">
      <w:pPr>
        <w:rPr>
          <w:lang w:eastAsia="en-AU"/>
        </w:rPr>
      </w:pPr>
    </w:p>
    <w:p w14:paraId="637DE132" w14:textId="658E5F41" w:rsidR="00833535" w:rsidRDefault="00833535" w:rsidP="00833535">
      <w:pPr>
        <w:rPr>
          <w:lang w:eastAsia="en-AU"/>
        </w:rPr>
      </w:pPr>
      <w:bookmarkStart w:id="117" w:name="_Toc133655518"/>
      <w:bookmarkEnd w:id="112"/>
      <w:bookmarkEnd w:id="113"/>
      <w:r>
        <w:rPr>
          <w:lang w:eastAsia="en-AU"/>
        </w:rPr>
        <w:t xml:space="preserve">Given </w:t>
      </w:r>
      <w:r w:rsidR="00A30E85">
        <w:rPr>
          <w:lang w:eastAsia="en-AU"/>
        </w:rPr>
        <w:t xml:space="preserve">the </w:t>
      </w:r>
      <w:r w:rsidR="00650633">
        <w:rPr>
          <w:lang w:eastAsia="en-AU"/>
        </w:rPr>
        <w:t xml:space="preserve">very small proportion of cases </w:t>
      </w:r>
      <w:r w:rsidR="00FE51DC">
        <w:rPr>
          <w:lang w:eastAsia="en-AU"/>
        </w:rPr>
        <w:t>that go to either the AAT or IERP</w:t>
      </w:r>
      <w:r w:rsidR="003D0B0A">
        <w:rPr>
          <w:lang w:eastAsia="en-AU"/>
        </w:rPr>
        <w:t xml:space="preserve"> and</w:t>
      </w:r>
      <w:r w:rsidR="00FE51DC">
        <w:rPr>
          <w:lang w:eastAsia="en-AU"/>
        </w:rPr>
        <w:t xml:space="preserve"> </w:t>
      </w:r>
      <w:r>
        <w:rPr>
          <w:lang w:eastAsia="en-AU"/>
        </w:rPr>
        <w:t xml:space="preserve">that it was not possible to closely match cases based on the specific supports in dispute, it </w:t>
      </w:r>
      <w:r w:rsidR="00B109F6">
        <w:rPr>
          <w:lang w:eastAsia="en-AU"/>
        </w:rPr>
        <w:t xml:space="preserve">is </w:t>
      </w:r>
      <w:r>
        <w:rPr>
          <w:lang w:eastAsia="en-AU"/>
        </w:rPr>
        <w:t>not possible to confidently conclude that the IERP has impacted the financial sustainability of the Scheme</w:t>
      </w:r>
      <w:r w:rsidR="003D0B0A">
        <w:rPr>
          <w:lang w:eastAsia="en-AU"/>
        </w:rPr>
        <w:t>,</w:t>
      </w:r>
      <w:r>
        <w:rPr>
          <w:lang w:eastAsia="en-AU"/>
        </w:rPr>
        <w:t xml:space="preserve"> despite the resolutions being $12,687 higher on average than the comparison cases. As such, it is reasonable to concluded that the IERP has been largely cost neutral to the Scheme. This aligns with the fact that the NDIA’s TAB agreed with </w:t>
      </w:r>
      <w:r w:rsidR="007810B7">
        <w:rPr>
          <w:lang w:eastAsia="en-AU"/>
        </w:rPr>
        <w:t xml:space="preserve">an average of </w:t>
      </w:r>
      <w:r>
        <w:rPr>
          <w:lang w:eastAsia="en-AU"/>
        </w:rPr>
        <w:t>89% of the recommendations from independent experts they reviewed as part of this evaluation.</w:t>
      </w:r>
    </w:p>
    <w:p w14:paraId="148A28E6" w14:textId="2DFF7650" w:rsidR="00FA2709" w:rsidRDefault="00EC3FCD" w:rsidP="00AF3298">
      <w:pPr>
        <w:pStyle w:val="Heading2"/>
        <w:spacing w:line="240" w:lineRule="auto"/>
      </w:pPr>
      <w:bookmarkStart w:id="118" w:name="_Toc142918606"/>
      <w:r>
        <w:lastRenderedPageBreak/>
        <w:t>Learnings for b</w:t>
      </w:r>
      <w:r w:rsidR="00CE7C22">
        <w:t>roader administrative decision</w:t>
      </w:r>
      <w:r w:rsidR="0060454F">
        <w:t>-</w:t>
      </w:r>
      <w:r w:rsidR="00CE7C22">
        <w:t>making</w:t>
      </w:r>
      <w:r w:rsidR="0060454F">
        <w:t xml:space="preserve"> and appeals</w:t>
      </w:r>
      <w:r w:rsidR="00220DAF">
        <w:t xml:space="preserve"> process</w:t>
      </w:r>
      <w:r w:rsidR="00C37D35">
        <w:t>e</w:t>
      </w:r>
      <w:r w:rsidR="00220DAF">
        <w:t>s</w:t>
      </w:r>
      <w:bookmarkEnd w:id="117"/>
      <w:bookmarkEnd w:id="118"/>
    </w:p>
    <w:p w14:paraId="7D66D7F7" w14:textId="5217C866" w:rsidR="00721696" w:rsidRPr="00721696" w:rsidRDefault="00721696" w:rsidP="00721696">
      <w:r>
        <w:t xml:space="preserve">This chapter presents participant and stakeholder feedback </w:t>
      </w:r>
      <w:r w:rsidR="001A5075">
        <w:t xml:space="preserve">and statistical modelling </w:t>
      </w:r>
      <w:r>
        <w:t>on broader NDIS plan-related decision making and appeals processes</w:t>
      </w:r>
      <w:r w:rsidR="00F84D86">
        <w:t>.</w:t>
      </w:r>
    </w:p>
    <w:tbl>
      <w:tblPr>
        <w:tblStyle w:val="TableGrid"/>
        <w:tblW w:w="0" w:type="auto"/>
        <w:tblLook w:val="04A0" w:firstRow="1" w:lastRow="0" w:firstColumn="1" w:lastColumn="0" w:noHBand="0" w:noVBand="1"/>
      </w:tblPr>
      <w:tblGrid>
        <w:gridCol w:w="9016"/>
      </w:tblGrid>
      <w:tr w:rsidR="0071628F" w14:paraId="312A1610" w14:textId="77777777" w:rsidTr="6E315BD6">
        <w:tc>
          <w:tcPr>
            <w:tcW w:w="9016" w:type="dxa"/>
          </w:tcPr>
          <w:p w14:paraId="0728753D" w14:textId="77777777" w:rsidR="0071628F" w:rsidRPr="00EB3D5D" w:rsidRDefault="0071628F" w:rsidP="00A86241">
            <w:pPr>
              <w:pStyle w:val="KeyfindingsH3"/>
            </w:pPr>
            <w:r w:rsidRPr="00FB61B6">
              <w:t>Key find</w:t>
            </w:r>
            <w:r w:rsidRPr="00EB3D5D">
              <w:t>ings</w:t>
            </w:r>
          </w:p>
          <w:p w14:paraId="3A2F1189" w14:textId="3D6835AE" w:rsidR="00C358BF" w:rsidRDefault="00976A0F" w:rsidP="000705FE">
            <w:pPr>
              <w:pStyle w:val="ListParagraph"/>
              <w:numPr>
                <w:ilvl w:val="0"/>
                <w:numId w:val="8"/>
              </w:numPr>
              <w:spacing w:before="120" w:after="120"/>
              <w:ind w:left="357" w:hanging="357"/>
            </w:pPr>
            <w:r>
              <w:t xml:space="preserve">The planning and internal review processes appear to be making decisions that are acceptable to most participants. </w:t>
            </w:r>
            <w:r w:rsidR="00C358BF">
              <w:t xml:space="preserve">Over the last </w:t>
            </w:r>
            <w:r w:rsidR="00572716">
              <w:t xml:space="preserve">two </w:t>
            </w:r>
            <w:r w:rsidR="00C358BF">
              <w:t xml:space="preserve">years, approximately 6% of NDIS-plans </w:t>
            </w:r>
            <w:r w:rsidR="00780096">
              <w:t>were</w:t>
            </w:r>
            <w:r w:rsidR="00C358BF">
              <w:t xml:space="preserve"> the subject of an internal review and 2% the subject of external review. Less than 20% of </w:t>
            </w:r>
            <w:r w:rsidR="007916D3">
              <w:t>support</w:t>
            </w:r>
            <w:r w:rsidR="00C358BF">
              <w:t xml:space="preserve">-related internal reviews escalate to an external review. </w:t>
            </w:r>
          </w:p>
          <w:p w14:paraId="5345D1DC" w14:textId="7C328BEE" w:rsidR="00713162" w:rsidRDefault="00DC0441" w:rsidP="000705FE">
            <w:pPr>
              <w:pStyle w:val="ListParagraph"/>
              <w:numPr>
                <w:ilvl w:val="0"/>
                <w:numId w:val="8"/>
              </w:numPr>
              <w:spacing w:before="120" w:after="120"/>
              <w:ind w:left="357" w:hanging="357"/>
            </w:pPr>
            <w:r>
              <w:t>Participants in the IERP reported high</w:t>
            </w:r>
            <w:r w:rsidR="00D47057">
              <w:t xml:space="preserve"> </w:t>
            </w:r>
            <w:r>
              <w:t>level</w:t>
            </w:r>
            <w:r w:rsidR="00E856A2">
              <w:t>s</w:t>
            </w:r>
            <w:r>
              <w:t xml:space="preserve"> of dissatisfaction with </w:t>
            </w:r>
            <w:r w:rsidR="00713162">
              <w:t>the</w:t>
            </w:r>
            <w:r w:rsidR="00EB0A82">
              <w:t xml:space="preserve">ir planning and internal reviews. </w:t>
            </w:r>
            <w:r w:rsidR="005F7C50">
              <w:t xml:space="preserve">They </w:t>
            </w:r>
            <w:r w:rsidR="00A0266E">
              <w:t>specifically reported high dissatisfaction with how</w:t>
            </w:r>
            <w:r w:rsidR="00713162">
              <w:t xml:space="preserve"> the NDIA communicates </w:t>
            </w:r>
            <w:r w:rsidR="00A0266E">
              <w:t>the reasons for</w:t>
            </w:r>
            <w:r w:rsidR="00713162">
              <w:t xml:space="preserve"> decisions</w:t>
            </w:r>
            <w:r w:rsidR="00006550">
              <w:t xml:space="preserve">, their opportunity to discuss their </w:t>
            </w:r>
            <w:r w:rsidR="00613E2B">
              <w:t>matter and explain their position</w:t>
            </w:r>
            <w:r w:rsidR="00D47057">
              <w:t>, the objectivity of decision making</w:t>
            </w:r>
            <w:r w:rsidR="00F9117F">
              <w:t xml:space="preserve"> </w:t>
            </w:r>
            <w:r w:rsidR="00EB0A82">
              <w:t>and their planning or internal review officer’s understanding of the issues</w:t>
            </w:r>
            <w:r w:rsidR="004338E5">
              <w:t>.</w:t>
            </w:r>
          </w:p>
          <w:p w14:paraId="6AA8B604" w14:textId="34C013F1" w:rsidR="00E100BC" w:rsidRDefault="008304B8" w:rsidP="000705FE">
            <w:pPr>
              <w:pStyle w:val="ListParagraph"/>
              <w:numPr>
                <w:ilvl w:val="0"/>
                <w:numId w:val="8"/>
              </w:numPr>
              <w:spacing w:before="120" w:after="120"/>
              <w:ind w:left="357" w:hanging="357"/>
            </w:pPr>
            <w:r>
              <w:t>The NDIA i</w:t>
            </w:r>
            <w:r w:rsidR="009D153A">
              <w:t>nstigated</w:t>
            </w:r>
            <w:r>
              <w:t xml:space="preserve"> a range of internal review initiatives to address </w:t>
            </w:r>
            <w:r w:rsidR="00ED4105">
              <w:t>similar</w:t>
            </w:r>
            <w:r>
              <w:t xml:space="preserve"> concerns from </w:t>
            </w:r>
            <w:r w:rsidR="006C30AD">
              <w:t>participants</w:t>
            </w:r>
            <w:r w:rsidR="00ED4105">
              <w:t xml:space="preserve"> expressed</w:t>
            </w:r>
            <w:r w:rsidR="00683330">
              <w:t xml:space="preserve"> in other forums</w:t>
            </w:r>
            <w:r w:rsidR="006C30AD">
              <w:t xml:space="preserve">. </w:t>
            </w:r>
            <w:r w:rsidR="00F270A1">
              <w:t>This includes clarifying phone calls,</w:t>
            </w:r>
            <w:r w:rsidR="00FF306A">
              <w:t xml:space="preserve"> </w:t>
            </w:r>
            <w:r w:rsidR="00650678">
              <w:t xml:space="preserve">more </w:t>
            </w:r>
            <w:r w:rsidR="0010503A">
              <w:t xml:space="preserve">consideration of new evidence and circumstances and </w:t>
            </w:r>
            <w:r w:rsidR="00F7051C">
              <w:t>enhanced decision letters.</w:t>
            </w:r>
          </w:p>
          <w:p w14:paraId="45D9FC93" w14:textId="3CCDB0AE" w:rsidR="008304B8" w:rsidRPr="00AA3740" w:rsidRDefault="007A0AB6" w:rsidP="000705FE">
            <w:pPr>
              <w:pStyle w:val="ListParagraph"/>
              <w:numPr>
                <w:ilvl w:val="0"/>
                <w:numId w:val="8"/>
              </w:numPr>
              <w:spacing w:before="120" w:after="120"/>
              <w:ind w:left="357" w:hanging="357"/>
            </w:pPr>
            <w:r>
              <w:t>S</w:t>
            </w:r>
            <w:r w:rsidR="00F7051C">
              <w:t>ince</w:t>
            </w:r>
            <w:r w:rsidR="00F7051C" w:rsidRPr="00AA3740">
              <w:t xml:space="preserve"> implementing these initiatives, the</w:t>
            </w:r>
            <w:r w:rsidR="00597AB1" w:rsidRPr="00AA3740">
              <w:t xml:space="preserve"> percentage of </w:t>
            </w:r>
            <w:r w:rsidR="007366F8" w:rsidRPr="00AA3740">
              <w:t>support-related internal reviews that escalate to the AAT</w:t>
            </w:r>
            <w:r w:rsidR="00E100BC" w:rsidRPr="00AA3740">
              <w:t xml:space="preserve"> has decreased</w:t>
            </w:r>
            <w:r w:rsidR="007916D3" w:rsidRPr="00AA3740">
              <w:t xml:space="preserve">, including where the </w:t>
            </w:r>
            <w:r w:rsidR="007916D3">
              <w:t xml:space="preserve">internal </w:t>
            </w:r>
            <w:r w:rsidR="007916D3" w:rsidRPr="00AA3740">
              <w:t xml:space="preserve">review confirmed the original </w:t>
            </w:r>
            <w:r w:rsidR="007916D3">
              <w:t xml:space="preserve">planning </w:t>
            </w:r>
            <w:r w:rsidR="007916D3" w:rsidRPr="00AA3740">
              <w:t>decision.</w:t>
            </w:r>
          </w:p>
          <w:p w14:paraId="7DCCD13B" w14:textId="438DF31F" w:rsidR="00AE651C" w:rsidRDefault="008C345F" w:rsidP="000705FE">
            <w:pPr>
              <w:pStyle w:val="ListParagraph"/>
              <w:numPr>
                <w:ilvl w:val="0"/>
                <w:numId w:val="8"/>
              </w:numPr>
              <w:spacing w:before="120" w:after="120"/>
              <w:ind w:left="357" w:hanging="357"/>
            </w:pPr>
            <w:r>
              <w:t xml:space="preserve">Participants in the IERP and </w:t>
            </w:r>
            <w:r w:rsidR="00D32A56">
              <w:t>other external stakeholders reported the AA</w:t>
            </w:r>
            <w:r w:rsidR="000A66C3">
              <w:t xml:space="preserve">T process </w:t>
            </w:r>
            <w:r w:rsidR="00E12DB8">
              <w:t>as overly legalistic</w:t>
            </w:r>
            <w:r w:rsidR="00142EBB">
              <w:t xml:space="preserve">, intimidating and </w:t>
            </w:r>
            <w:r w:rsidR="00510715">
              <w:t xml:space="preserve">lacking </w:t>
            </w:r>
            <w:r w:rsidR="0081026D">
              <w:t xml:space="preserve">in </w:t>
            </w:r>
            <w:r w:rsidR="00510715">
              <w:t xml:space="preserve">empathy for participants. </w:t>
            </w:r>
            <w:r w:rsidR="00754B82">
              <w:t>They also reported the evidence requirements a</w:t>
            </w:r>
            <w:r w:rsidR="0081026D">
              <w:t>s</w:t>
            </w:r>
            <w:r w:rsidR="00754B82">
              <w:t xml:space="preserve"> excessive</w:t>
            </w:r>
            <w:r w:rsidR="00EF4601">
              <w:t>,</w:t>
            </w:r>
            <w:r w:rsidR="00754B82">
              <w:t xml:space="preserve"> considering the evidence used during NDIS plan development and internal reviews</w:t>
            </w:r>
            <w:r w:rsidR="00661864">
              <w:t xml:space="preserve">. </w:t>
            </w:r>
          </w:p>
          <w:p w14:paraId="607EFF13" w14:textId="4381D973" w:rsidR="0071628F" w:rsidRDefault="00780096" w:rsidP="000705FE">
            <w:pPr>
              <w:pStyle w:val="ListParagraph"/>
              <w:numPr>
                <w:ilvl w:val="0"/>
                <w:numId w:val="8"/>
              </w:numPr>
              <w:spacing w:before="120" w:after="120"/>
              <w:ind w:left="357" w:hanging="357"/>
            </w:pPr>
            <w:r>
              <w:lastRenderedPageBreak/>
              <w:t>M</w:t>
            </w:r>
            <w:r w:rsidR="001D6D16">
              <w:t>odelling shows internal reviews related to SDA, SIL,</w:t>
            </w:r>
            <w:r w:rsidR="00984E6C">
              <w:t xml:space="preserve"> non-SDA capital</w:t>
            </w:r>
            <w:r w:rsidR="001203B8">
              <w:t>,</w:t>
            </w:r>
            <w:r w:rsidR="001D6D16">
              <w:t xml:space="preserve"> </w:t>
            </w:r>
            <w:r>
              <w:t>children</w:t>
            </w:r>
            <w:r w:rsidR="00093D2D">
              <w:t xml:space="preserve"> and </w:t>
            </w:r>
            <w:r w:rsidR="001203B8">
              <w:t xml:space="preserve">participants </w:t>
            </w:r>
            <w:r w:rsidR="00093D2D">
              <w:t xml:space="preserve">with complex support needs are </w:t>
            </w:r>
            <w:r w:rsidR="002A01D0">
              <w:t>significantly more likely to escalate to the AAT</w:t>
            </w:r>
            <w:r w:rsidR="0028713C">
              <w:t xml:space="preserve"> process. This </w:t>
            </w:r>
            <w:r w:rsidR="00D80317">
              <w:t xml:space="preserve">reflects the complexity of these matters but </w:t>
            </w:r>
            <w:r w:rsidR="00142C9D">
              <w:t xml:space="preserve">also </w:t>
            </w:r>
            <w:r w:rsidR="002B4F40">
              <w:t>suggest</w:t>
            </w:r>
            <w:r w:rsidR="00BD2892">
              <w:t>s</w:t>
            </w:r>
            <w:r w:rsidR="00EC5EAB">
              <w:t xml:space="preserve"> where additional effort to </w:t>
            </w:r>
            <w:r w:rsidR="00AE345F">
              <w:t>explain decisions might reduce the risk of escalation.</w:t>
            </w:r>
          </w:p>
          <w:p w14:paraId="3F6F700A" w14:textId="63F25307" w:rsidR="0048385A" w:rsidRDefault="00163EC3" w:rsidP="000705FE">
            <w:pPr>
              <w:pStyle w:val="ListParagraph"/>
              <w:numPr>
                <w:ilvl w:val="0"/>
                <w:numId w:val="8"/>
              </w:numPr>
              <w:spacing w:before="120" w:after="120"/>
              <w:ind w:left="357" w:hanging="357"/>
            </w:pPr>
            <w:r>
              <w:t xml:space="preserve">Representatives from various NDIA Branches expressed frustration that the outcomes from AAT (and IERP) cases </w:t>
            </w:r>
            <w:r w:rsidR="00780096">
              <w:t>do</w:t>
            </w:r>
            <w:r w:rsidR="00BD2892">
              <w:t xml:space="preserve"> </w:t>
            </w:r>
            <w:r w:rsidR="00D0565D">
              <w:t>not</w:t>
            </w:r>
            <w:r>
              <w:t xml:space="preserve"> </w:t>
            </w:r>
            <w:r w:rsidR="00780096">
              <w:t>feed</w:t>
            </w:r>
            <w:r>
              <w:t xml:space="preserve"> back into </w:t>
            </w:r>
            <w:r w:rsidR="00BD2892">
              <w:t xml:space="preserve">NDIS </w:t>
            </w:r>
            <w:r w:rsidR="00BB4C03">
              <w:t xml:space="preserve">operational guidelines given the subjectivity of the </w:t>
            </w:r>
            <w:r w:rsidR="004E6F32">
              <w:t>reasonable and necessary criteria in the NDIS Act.</w:t>
            </w:r>
          </w:p>
        </w:tc>
      </w:tr>
    </w:tbl>
    <w:p w14:paraId="5F6FD143" w14:textId="4CF7F9E9" w:rsidR="00F639C1" w:rsidRDefault="00B53825" w:rsidP="00A01FA6">
      <w:pPr>
        <w:pStyle w:val="Heading3"/>
      </w:pPr>
      <w:bookmarkStart w:id="119" w:name="_Toc133655519"/>
      <w:bookmarkStart w:id="120" w:name="_Toc142918607"/>
      <w:r>
        <w:lastRenderedPageBreak/>
        <w:t xml:space="preserve">The </w:t>
      </w:r>
      <w:r w:rsidR="00B00235">
        <w:t>NDIS planning process</w:t>
      </w:r>
      <w:bookmarkEnd w:id="119"/>
      <w:bookmarkEnd w:id="120"/>
    </w:p>
    <w:p w14:paraId="68EA0927" w14:textId="7B21B6CD" w:rsidR="007478C7" w:rsidRDefault="009949C5" w:rsidP="00B00235">
      <w:bookmarkStart w:id="121" w:name="_Ref134534162"/>
      <w:r>
        <w:t>T</w:t>
      </w:r>
      <w:r w:rsidR="001315D0">
        <w:t>he</w:t>
      </w:r>
      <w:r w:rsidR="0059728E">
        <w:t xml:space="preserve"> </w:t>
      </w:r>
      <w:r w:rsidR="00E11254">
        <w:t>NDIS plan</w:t>
      </w:r>
      <w:r w:rsidR="00751B7A">
        <w:t xml:space="preserve">ning process, </w:t>
      </w:r>
      <w:r w:rsidR="00632CF9">
        <w:t xml:space="preserve">including the collation of </w:t>
      </w:r>
      <w:r w:rsidR="00423809">
        <w:t>information</w:t>
      </w:r>
      <w:r w:rsidR="003D5528">
        <w:t xml:space="preserve">, </w:t>
      </w:r>
      <w:r w:rsidR="00DF54E8">
        <w:t xml:space="preserve">the </w:t>
      </w:r>
      <w:r w:rsidR="00C22E53">
        <w:t xml:space="preserve">planning meeting and </w:t>
      </w:r>
      <w:r w:rsidR="00DE44EF">
        <w:t>development and approval of the final plan</w:t>
      </w:r>
      <w:r w:rsidR="00EE1FF7">
        <w:t xml:space="preserve"> </w:t>
      </w:r>
      <w:r w:rsidR="00F25C20">
        <w:t xml:space="preserve">are </w:t>
      </w:r>
      <w:r w:rsidR="0042561C">
        <w:t xml:space="preserve">key </w:t>
      </w:r>
      <w:r>
        <w:t xml:space="preserve">to the </w:t>
      </w:r>
      <w:r w:rsidR="00274F7B">
        <w:t xml:space="preserve">overall </w:t>
      </w:r>
      <w:r>
        <w:t>participant</w:t>
      </w:r>
      <w:r w:rsidR="00C03E6B">
        <w:t xml:space="preserve"> </w:t>
      </w:r>
      <w:r w:rsidR="00F8019A">
        <w:t>NDIS</w:t>
      </w:r>
      <w:r w:rsidR="00C03E6B">
        <w:t xml:space="preserve"> </w:t>
      </w:r>
      <w:r w:rsidR="00DB4E36">
        <w:t>experience</w:t>
      </w:r>
      <w:r w:rsidR="00F8019A">
        <w:t xml:space="preserve">. </w:t>
      </w:r>
      <w:r w:rsidR="00483D2B">
        <w:t xml:space="preserve">The quality of this experience </w:t>
      </w:r>
      <w:r w:rsidR="007624DD">
        <w:t>potentially</w:t>
      </w:r>
      <w:r w:rsidR="00483D2B">
        <w:t xml:space="preserve"> </w:t>
      </w:r>
      <w:r w:rsidR="00D26078">
        <w:t>affects the likelihood that a participant will</w:t>
      </w:r>
      <w:r w:rsidR="001E154B">
        <w:t xml:space="preserve"> dispute an aspect of their plan and</w:t>
      </w:r>
      <w:r w:rsidR="00D26078">
        <w:t xml:space="preserve"> ask for an internal</w:t>
      </w:r>
      <w:r w:rsidR="001E154B">
        <w:t xml:space="preserve"> review.</w:t>
      </w:r>
      <w:r w:rsidR="00FE28C7">
        <w:t xml:space="preserve"> </w:t>
      </w:r>
      <w:r w:rsidR="00EE3051">
        <w:t xml:space="preserve">This section </w:t>
      </w:r>
      <w:r w:rsidR="008F65D8">
        <w:t xml:space="preserve">outlines </w:t>
      </w:r>
      <w:r w:rsidR="00B628D7">
        <w:t xml:space="preserve">the </w:t>
      </w:r>
      <w:r w:rsidR="00AD3743">
        <w:t xml:space="preserve">planning </w:t>
      </w:r>
      <w:r w:rsidR="00B628D7">
        <w:t>experience of participa</w:t>
      </w:r>
      <w:r w:rsidR="00AD3743">
        <w:t xml:space="preserve">nts </w:t>
      </w:r>
      <w:r w:rsidR="0015598A">
        <w:t xml:space="preserve">who </w:t>
      </w:r>
      <w:r w:rsidR="00C01DED">
        <w:t xml:space="preserve">subsequently </w:t>
      </w:r>
      <w:r w:rsidR="001E154B">
        <w:t>participated in the IERP</w:t>
      </w:r>
      <w:r w:rsidR="009669A6">
        <w:t>.</w:t>
      </w:r>
    </w:p>
    <w:p w14:paraId="6D956B5E" w14:textId="54125305" w:rsidR="007C3A66" w:rsidRDefault="00722BEB" w:rsidP="00B00235">
      <w:r>
        <w:t xml:space="preserve">When considering </w:t>
      </w:r>
      <w:r w:rsidR="00476C5C">
        <w:t xml:space="preserve">the </w:t>
      </w:r>
      <w:r>
        <w:t xml:space="preserve">participant feedback </w:t>
      </w:r>
      <w:r w:rsidR="00476C5C">
        <w:t xml:space="preserve">in this </w:t>
      </w:r>
      <w:r w:rsidR="00C7138B">
        <w:t>section</w:t>
      </w:r>
      <w:r>
        <w:t>, i</w:t>
      </w:r>
      <w:r w:rsidR="007C3A66">
        <w:t xml:space="preserve">t is </w:t>
      </w:r>
      <w:r w:rsidR="00FB3F5E">
        <w:t xml:space="preserve">important to </w:t>
      </w:r>
      <w:r w:rsidR="00030959">
        <w:t>note</w:t>
      </w:r>
      <w:r w:rsidR="00FB3F5E">
        <w:t xml:space="preserve"> </w:t>
      </w:r>
      <w:r>
        <w:t xml:space="preserve">that </w:t>
      </w:r>
      <w:r w:rsidR="00476C5C">
        <w:t xml:space="preserve">only </w:t>
      </w:r>
      <w:r w:rsidR="00D423AD">
        <w:t xml:space="preserve">around 6% of </w:t>
      </w:r>
      <w:r w:rsidR="001C3A77">
        <w:t xml:space="preserve">more than 30,000 new </w:t>
      </w:r>
      <w:r w:rsidR="00C7138B">
        <w:t xml:space="preserve">NDIS </w:t>
      </w:r>
      <w:r w:rsidR="00A55C9C">
        <w:t xml:space="preserve">plans each month </w:t>
      </w:r>
      <w:r w:rsidR="007E5D15">
        <w:t>become the subject of an internal review</w:t>
      </w:r>
      <w:r w:rsidR="00C7138B">
        <w:t xml:space="preserve"> (</w:t>
      </w:r>
      <w:r w:rsidR="0006545E">
        <w:fldChar w:fldCharType="begin"/>
      </w:r>
      <w:r w:rsidR="0006545E">
        <w:instrText xml:space="preserve"> REF _Ref137644423 \h </w:instrText>
      </w:r>
      <w:r w:rsidR="0006545E">
        <w:fldChar w:fldCharType="separate"/>
      </w:r>
      <w:r w:rsidR="000F1876" w:rsidRPr="00EB3D5D">
        <w:t xml:space="preserve">Figure </w:t>
      </w:r>
      <w:r w:rsidR="000F1876">
        <w:rPr>
          <w:noProof/>
        </w:rPr>
        <w:t>10</w:t>
      </w:r>
      <w:r w:rsidR="0006545E">
        <w:fldChar w:fldCharType="end"/>
      </w:r>
      <w:r w:rsidR="00C7138B">
        <w:t xml:space="preserve">). </w:t>
      </w:r>
      <w:r w:rsidR="00303F90">
        <w:t xml:space="preserve">This indicates that most participants accept their </w:t>
      </w:r>
      <w:r w:rsidR="003F0D91">
        <w:t xml:space="preserve">planner’s and </w:t>
      </w:r>
      <w:r w:rsidR="00303F90">
        <w:t>plann</w:t>
      </w:r>
      <w:r w:rsidR="003874FE">
        <w:t>ing del</w:t>
      </w:r>
      <w:r w:rsidR="00A10431">
        <w:t>e</w:t>
      </w:r>
      <w:r w:rsidR="003874FE">
        <w:t>gate</w:t>
      </w:r>
      <w:r w:rsidR="00A10431">
        <w:t>’</w:t>
      </w:r>
      <w:r w:rsidR="003874FE">
        <w:t>s</w:t>
      </w:r>
      <w:r w:rsidR="00303F90">
        <w:t xml:space="preserve"> decision</w:t>
      </w:r>
      <w:r w:rsidR="003F0D91">
        <w:t>s</w:t>
      </w:r>
      <w:r w:rsidR="007D14D3">
        <w:t xml:space="preserve">, </w:t>
      </w:r>
      <w:r w:rsidR="00AA1D8B">
        <w:t>with only</w:t>
      </w:r>
      <w:r w:rsidR="00351333">
        <w:t xml:space="preserve"> </w:t>
      </w:r>
      <w:r w:rsidR="00E83D9E">
        <w:t xml:space="preserve">approximately 1,800 plan-related internal reviews per month. </w:t>
      </w:r>
      <w:r w:rsidR="00DC19C9">
        <w:t xml:space="preserve">The figure below shows </w:t>
      </w:r>
      <w:r w:rsidR="00E27AF4">
        <w:t xml:space="preserve">only </w:t>
      </w:r>
      <w:r w:rsidR="00C87E04">
        <w:t>a</w:t>
      </w:r>
      <w:r w:rsidR="00E27AF4">
        <w:t>round</w:t>
      </w:r>
      <w:r w:rsidR="00C87E04">
        <w:t xml:space="preserve"> 2% of NDIS plans become the subject of </w:t>
      </w:r>
      <w:r w:rsidR="00E27AF4">
        <w:t xml:space="preserve">an </w:t>
      </w:r>
      <w:r w:rsidR="00E74A10">
        <w:t>AAT</w:t>
      </w:r>
      <w:r w:rsidR="00CD10DE">
        <w:t xml:space="preserve"> hearing</w:t>
      </w:r>
      <w:r w:rsidR="00C87E04">
        <w:t>.</w:t>
      </w:r>
      <w:r w:rsidR="00E6797C">
        <w:t xml:space="preserve"> Together, this </w:t>
      </w:r>
      <w:r w:rsidR="006263B3">
        <w:t xml:space="preserve">indicates the current planning and internal review processes are </w:t>
      </w:r>
      <w:r w:rsidR="00E417D2">
        <w:t>reaching acceptable decisions for most participants.</w:t>
      </w:r>
    </w:p>
    <w:p w14:paraId="17C864DF" w14:textId="41DCADD1" w:rsidR="00B31112" w:rsidRPr="00EB3D5D" w:rsidRDefault="0006545E" w:rsidP="008329AE">
      <w:pPr>
        <w:pStyle w:val="Caption-H4"/>
      </w:pPr>
      <w:bookmarkStart w:id="122" w:name="_Ref137644423"/>
      <w:r w:rsidRPr="00EB3D5D">
        <w:lastRenderedPageBreak/>
        <w:t xml:space="preserve">Figure </w:t>
      </w:r>
      <w:r w:rsidRPr="00EB3D5D">
        <w:fldChar w:fldCharType="begin"/>
      </w:r>
      <w:r w:rsidRPr="00EB3D5D">
        <w:instrText>SEQ Figure \* ARABIC</w:instrText>
      </w:r>
      <w:r w:rsidRPr="00EB3D5D">
        <w:fldChar w:fldCharType="separate"/>
      </w:r>
      <w:r w:rsidR="000F1876">
        <w:rPr>
          <w:noProof/>
        </w:rPr>
        <w:t>10</w:t>
      </w:r>
      <w:r w:rsidRPr="00EB3D5D">
        <w:fldChar w:fldCharType="end"/>
      </w:r>
      <w:bookmarkEnd w:id="122"/>
      <w:r w:rsidR="00D705AD" w:rsidRPr="00EB3D5D">
        <w:rPr>
          <w:rStyle w:val="FootnoteReference"/>
          <w:sz w:val="22"/>
          <w:szCs w:val="22"/>
        </w:rPr>
        <w:footnoteReference w:id="34"/>
      </w:r>
      <w:r w:rsidR="00B31112" w:rsidRPr="00EB3D5D">
        <w:t xml:space="preserve">: NDIS </w:t>
      </w:r>
      <w:r w:rsidR="00C21483" w:rsidRPr="00EB3D5D">
        <w:t>plans</w:t>
      </w:r>
      <w:r w:rsidR="00B31112" w:rsidRPr="00EB3D5D">
        <w:t xml:space="preserve"> versus % of plans subject to internal </w:t>
      </w:r>
      <w:r w:rsidR="00C21483" w:rsidRPr="00EB3D5D">
        <w:t>(s100)</w:t>
      </w:r>
      <w:r w:rsidR="00B31112" w:rsidRPr="00EB3D5D">
        <w:t xml:space="preserve"> and external review</w:t>
      </w:r>
    </w:p>
    <w:p w14:paraId="7DD27B1A" w14:textId="77777777" w:rsidR="00B31112" w:rsidRPr="00430B3E" w:rsidRDefault="00B31112" w:rsidP="008A2F03">
      <w:pPr>
        <w:spacing w:before="0"/>
        <w:rPr>
          <w:lang w:eastAsia="en-AU"/>
        </w:rPr>
      </w:pPr>
      <w:r>
        <w:rPr>
          <w:noProof/>
          <w:lang w:eastAsia="en-AU"/>
        </w:rPr>
        <w:drawing>
          <wp:inline distT="0" distB="0" distL="0" distR="0" wp14:anchorId="0EC993B7" wp14:editId="19407EA4">
            <wp:extent cx="4978400" cy="3270250"/>
            <wp:effectExtent l="0" t="0" r="0" b="6350"/>
            <wp:docPr id="15" name="Chart 15" descr="This figure represents NDIS plans versus percentage of plans subject to internal (s100) and external review.&#10;The figure shows three series between June 2022 and March 2023.&#10; The first series is the raw number of newly activated NDIS plans. The series remains relatively constant with an average of 35,000 new plans per month. &#10;The second series shows the number of closed AAT matters as a percentage of the newly activated NDIS plans. The series reveals a relatively constant trend at an average of 2%.&#10; The third series shows the number of total S100 reviews as a percentage of the newly activated NDIS plans. The series reveals a relatively constant trend at an average of 6%.&#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493BAE5" w14:textId="211E515F" w:rsidR="00B31112" w:rsidRPr="00EB3D5D" w:rsidRDefault="00311312" w:rsidP="007C3A66">
      <w:pPr>
        <w:spacing w:before="120"/>
        <w:rPr>
          <w:szCs w:val="22"/>
        </w:rPr>
      </w:pPr>
      <w:r w:rsidRPr="00EB3D5D">
        <w:rPr>
          <w:szCs w:val="22"/>
        </w:rPr>
        <w:t>Source: Research and Evaluation Branch analysis of NDIS plan and s100 data.</w:t>
      </w:r>
    </w:p>
    <w:p w14:paraId="062478A6" w14:textId="77777777" w:rsidR="00B31112" w:rsidRDefault="00B31112" w:rsidP="00B00235"/>
    <w:p w14:paraId="690A8EA6" w14:textId="5A77DF1C" w:rsidR="00BA482E" w:rsidRDefault="00817889" w:rsidP="00B00235">
      <w:r>
        <w:t xml:space="preserve">The fact that IERP participants </w:t>
      </w:r>
      <w:r w:rsidR="00C2604E">
        <w:t>escalated one or more planning and inter</w:t>
      </w:r>
      <w:r w:rsidR="002C34ED">
        <w:t>nal review</w:t>
      </w:r>
      <w:r w:rsidR="00F8404B">
        <w:t>s</w:t>
      </w:r>
      <w:r w:rsidR="002C34ED">
        <w:t xml:space="preserve"> </w:t>
      </w:r>
      <w:r w:rsidR="00DD60D3">
        <w:t>suggests they were unsatisfied with th</w:t>
      </w:r>
      <w:r w:rsidR="00876FA6">
        <w:t>e NDIS planning process. Indeed, 75%</w:t>
      </w:r>
      <w:r w:rsidR="004A1776">
        <w:t xml:space="preserve"> of IERP participants who responded to the online evaluation survey </w:t>
      </w:r>
      <w:r w:rsidR="00671359">
        <w:t xml:space="preserve">reported </w:t>
      </w:r>
      <w:r w:rsidR="0038786C">
        <w:t xml:space="preserve">being </w:t>
      </w:r>
      <w:r w:rsidR="00CE782D">
        <w:t>‘</w:t>
      </w:r>
      <w:r w:rsidR="0038786C">
        <w:t>Not at all satisfied</w:t>
      </w:r>
      <w:r w:rsidR="00CE782D">
        <w:t>’</w:t>
      </w:r>
      <w:r w:rsidR="0038786C">
        <w:t xml:space="preserve"> </w:t>
      </w:r>
      <w:r w:rsidR="00A603D9">
        <w:t xml:space="preserve">with their </w:t>
      </w:r>
      <w:r w:rsidR="007F6F62">
        <w:t xml:space="preserve">last NDIS plan meeting. </w:t>
      </w:r>
      <w:r w:rsidR="007E0DB7">
        <w:fldChar w:fldCharType="begin"/>
      </w:r>
      <w:r w:rsidR="007E0DB7">
        <w:instrText xml:space="preserve"> REF _Ref137800010 \h </w:instrText>
      </w:r>
      <w:r w:rsidR="007E0DB7">
        <w:fldChar w:fldCharType="separate"/>
      </w:r>
      <w:r w:rsidR="000F1876" w:rsidRPr="00EB3D5D">
        <w:t xml:space="preserve">Figure </w:t>
      </w:r>
      <w:r w:rsidR="000F1876">
        <w:rPr>
          <w:noProof/>
        </w:rPr>
        <w:t>11</w:t>
      </w:r>
      <w:r w:rsidR="007E0DB7">
        <w:fldChar w:fldCharType="end"/>
      </w:r>
      <w:r w:rsidR="00F81851">
        <w:t xml:space="preserve"> shows a high</w:t>
      </w:r>
      <w:r w:rsidR="00D71C50">
        <w:t xml:space="preserve"> </w:t>
      </w:r>
      <w:r w:rsidR="00F81851">
        <w:t xml:space="preserve">level of dissatisfaction across most aspects </w:t>
      </w:r>
      <w:r w:rsidR="0016069A">
        <w:t>of</w:t>
      </w:r>
      <w:r w:rsidR="00F81851">
        <w:t xml:space="preserve"> the</w:t>
      </w:r>
      <w:r w:rsidR="00876FA6">
        <w:t>ir</w:t>
      </w:r>
      <w:r w:rsidR="00F81851">
        <w:t xml:space="preserve"> last </w:t>
      </w:r>
      <w:r w:rsidR="00CA28B0">
        <w:t>planning meeting</w:t>
      </w:r>
      <w:r w:rsidR="006E025F">
        <w:t xml:space="preserve">, </w:t>
      </w:r>
      <w:r w:rsidR="00A5320D">
        <w:t xml:space="preserve">especially </w:t>
      </w:r>
      <w:r w:rsidR="005F2D94">
        <w:t xml:space="preserve">for the planners’ </w:t>
      </w:r>
      <w:r w:rsidR="00DB2C43">
        <w:t>explanation</w:t>
      </w:r>
      <w:r w:rsidR="0047428A">
        <w:t xml:space="preserve"> for the decisions they made </w:t>
      </w:r>
      <w:r w:rsidR="000C7E35">
        <w:t>(</w:t>
      </w:r>
      <w:r w:rsidR="006E025F">
        <w:t>11 out of 12</w:t>
      </w:r>
      <w:r w:rsidR="00D65022">
        <w:t xml:space="preserve">) </w:t>
      </w:r>
      <w:r w:rsidR="0047428A">
        <w:t xml:space="preserve">and </w:t>
      </w:r>
      <w:r w:rsidR="001A34E1">
        <w:t xml:space="preserve">the </w:t>
      </w:r>
      <w:r w:rsidR="00701501">
        <w:t>extent</w:t>
      </w:r>
      <w:r w:rsidR="001A34E1">
        <w:t xml:space="preserve"> the planner </w:t>
      </w:r>
      <w:r w:rsidR="00612384">
        <w:t>ha</w:t>
      </w:r>
      <w:r w:rsidR="00701501">
        <w:t>d</w:t>
      </w:r>
      <w:r w:rsidR="00612384">
        <w:t xml:space="preserve"> </w:t>
      </w:r>
      <w:r w:rsidR="0048385A">
        <w:t xml:space="preserve">considered the </w:t>
      </w:r>
      <w:r w:rsidR="00B0149C">
        <w:t xml:space="preserve">specialist reports </w:t>
      </w:r>
      <w:r w:rsidR="00A5320D">
        <w:t xml:space="preserve">the respondent </w:t>
      </w:r>
      <w:r w:rsidR="00B0149C">
        <w:t>provided</w:t>
      </w:r>
      <w:r w:rsidR="00B93F3E">
        <w:t xml:space="preserve"> (</w:t>
      </w:r>
      <w:r w:rsidR="0048385A">
        <w:t>10 out 12</w:t>
      </w:r>
      <w:r w:rsidR="00B93F3E">
        <w:t>)</w:t>
      </w:r>
      <w:r w:rsidR="00B0149C">
        <w:t>.</w:t>
      </w:r>
    </w:p>
    <w:p w14:paraId="4D637002" w14:textId="5BDF4D97" w:rsidR="0027087E" w:rsidRPr="00EB3D5D" w:rsidRDefault="00E175C4" w:rsidP="008329AE">
      <w:pPr>
        <w:pStyle w:val="Caption-H4"/>
      </w:pPr>
      <w:bookmarkStart w:id="123" w:name="_Ref137800010"/>
      <w:bookmarkEnd w:id="121"/>
      <w:r w:rsidRPr="00EB3D5D">
        <w:lastRenderedPageBreak/>
        <w:t xml:space="preserve">Figure </w:t>
      </w:r>
      <w:r w:rsidRPr="00EB3D5D">
        <w:fldChar w:fldCharType="begin"/>
      </w:r>
      <w:r w:rsidRPr="00EB3D5D">
        <w:instrText>SEQ Figure \* ARABIC</w:instrText>
      </w:r>
      <w:r w:rsidRPr="00EB3D5D">
        <w:fldChar w:fldCharType="separate"/>
      </w:r>
      <w:r w:rsidR="000F1876">
        <w:rPr>
          <w:noProof/>
        </w:rPr>
        <w:t>11</w:t>
      </w:r>
      <w:r w:rsidRPr="00EB3D5D">
        <w:fldChar w:fldCharType="end"/>
      </w:r>
      <w:bookmarkEnd w:id="123"/>
      <w:r w:rsidR="0027087E" w:rsidRPr="00EB3D5D">
        <w:t>: Participant satisfaction with aspects of their last NDIS planning meeting</w:t>
      </w:r>
    </w:p>
    <w:p w14:paraId="70935982" w14:textId="1A1AA8D9" w:rsidR="00D035EB" w:rsidRPr="00D035EB" w:rsidRDefault="007E279B" w:rsidP="003B6099">
      <w:pPr>
        <w:spacing w:before="0" w:after="0"/>
        <w:jc w:val="both"/>
      </w:pPr>
      <w:r>
        <w:rPr>
          <w:noProof/>
        </w:rPr>
        <w:drawing>
          <wp:inline distT="0" distB="0" distL="0" distR="0" wp14:anchorId="0BCC4A5A" wp14:editId="6A29DBE3">
            <wp:extent cx="5542059" cy="2727297"/>
            <wp:effectExtent l="0" t="0" r="1905" b="0"/>
            <wp:docPr id="3" name="Chart 3" descr="Figure shows participant satisfaction with aspects of their last NDIS planning meeting survey results. &#10;It is a vertical stacked bar chart. Aspects along the horizontal axis include: planner listening, information to help with preparation, planner knowledge of disability, planners anticipation of future needs, planner's understanding impact of disability, planner use if specialist reports, and planner expectation for decisions. &#10;Results record the scale of satisfaction (from completely satisfied to not at all satisfied) for 13 participants.&#10;Results reveal that a large majority (8 or more out of 13) of respondents are &quot;not at all satisfied&quot; with that aspect of their last NDIS planning meeting.&#10;Results:&#10;Planner listening:&#10;Completely satisfied, 1.&#10;Mostly satisfied, 2.&#10;Somewhat satisfied, 0.&#10;Only a little bit satisfied, 0.&#10;Not at all satisfied, 9.&#10;&#10;Information to help with preparation:&#10;Completely satisfied, 0.&#10;Mostly satisfied, 1.&#10;Somewhat satisfied, 3.&#10;Only a little bit satisfied, 0.&#10;Not at all satisfied, 8.&#10;Planner knowledge of disability:&#10;Completely satisfied, 0.&#10;Mostly satisfied, 3.&#10;Somewhat satisfied, 0.&#10;Only a little bit satisfied, 0.&#10;Not at all satisfied, 9.&#10;&#10;Planner’s anticipation future needs:&#10;Completely satisfied, 0.&#10;Mostly satisfied, 2.&#10;Somewhat satisfied, 1.&#10;Only a little bit satisfied, 0.&#10;Not at all satisfied, 9.&#10;&#10;Planner understanding impact of disability:&#10;Completely satisfied, 0.&#10;Mostly satisfied, 2.&#10;Somewhat satisfied, 1.&#10;Only a little bit satisfied, 0.&#10;Not at all satisfied, 9.&#10;&#10;Planner use of specialist reports: &#10;Completely satisfied, 0.&#10;Mostly satisfied, 2.&#10;Somewhat satisfied, 0.&#10;Only a little bit satisfied, 0.&#10;Not at all satisfied, 10.&#10;Planner explanation for decisions:&#10;Completely satisfied, 0.&#10;Mostly satisfied, 1.&#10;Somewhat satisfied, 0.&#10;Only a little bit satisfied, 0.&#10;Not at all satisfied, 1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1DE5E18" w14:textId="41B16936" w:rsidR="009669A6" w:rsidRPr="00EB3D5D" w:rsidRDefault="009669A6" w:rsidP="009669A6">
      <w:pPr>
        <w:spacing w:before="0"/>
        <w:jc w:val="both"/>
        <w:rPr>
          <w:szCs w:val="22"/>
        </w:rPr>
      </w:pPr>
      <w:r w:rsidRPr="00EB3D5D">
        <w:rPr>
          <w:szCs w:val="22"/>
        </w:rPr>
        <w:t xml:space="preserve">Source: </w:t>
      </w:r>
      <w:r w:rsidR="001C39D4" w:rsidRPr="00EB3D5D">
        <w:rPr>
          <w:szCs w:val="22"/>
        </w:rPr>
        <w:t>REB o</w:t>
      </w:r>
      <w:r w:rsidR="00AC7C2A" w:rsidRPr="00EB3D5D">
        <w:rPr>
          <w:szCs w:val="22"/>
        </w:rPr>
        <w:t xml:space="preserve">nline </w:t>
      </w:r>
      <w:r w:rsidR="003B332C" w:rsidRPr="00EB3D5D">
        <w:rPr>
          <w:szCs w:val="22"/>
        </w:rPr>
        <w:t>IER Program participant survey</w:t>
      </w:r>
      <w:r w:rsidR="00120CA7" w:rsidRPr="00EB3D5D">
        <w:rPr>
          <w:szCs w:val="22"/>
        </w:rPr>
        <w:t xml:space="preserve"> (n=1</w:t>
      </w:r>
      <w:r w:rsidR="00BC2FD1" w:rsidRPr="00EB3D5D">
        <w:rPr>
          <w:szCs w:val="22"/>
        </w:rPr>
        <w:t>3</w:t>
      </w:r>
      <w:r w:rsidR="00120CA7" w:rsidRPr="00EB3D5D">
        <w:rPr>
          <w:szCs w:val="22"/>
        </w:rPr>
        <w:t>)</w:t>
      </w:r>
      <w:r w:rsidR="00BC2FD1" w:rsidRPr="00EB3D5D">
        <w:rPr>
          <w:szCs w:val="22"/>
        </w:rPr>
        <w:t>.</w:t>
      </w:r>
    </w:p>
    <w:p w14:paraId="0984275C" w14:textId="19B0702F" w:rsidR="00FA622D" w:rsidRDefault="00D52B48" w:rsidP="00B00235">
      <w:r>
        <w:t>During interviews</w:t>
      </w:r>
      <w:r w:rsidR="00FB03CB">
        <w:t xml:space="preserve"> and </w:t>
      </w:r>
      <w:r w:rsidR="008C702E">
        <w:t xml:space="preserve">through </w:t>
      </w:r>
      <w:r w:rsidR="00FB03CB">
        <w:t>the online survey</w:t>
      </w:r>
      <w:r>
        <w:t>, s</w:t>
      </w:r>
      <w:r w:rsidR="00F32A22">
        <w:t xml:space="preserve">everal independent experts </w:t>
      </w:r>
      <w:r w:rsidR="003C587A">
        <w:t>surmised that</w:t>
      </w:r>
      <w:r w:rsidR="00F32A22">
        <w:t xml:space="preserve"> </w:t>
      </w:r>
      <w:r w:rsidR="000F5EA1">
        <w:t xml:space="preserve">participants may not </w:t>
      </w:r>
      <w:r w:rsidR="007A3543">
        <w:t>have</w:t>
      </w:r>
      <w:r w:rsidR="000F5EA1">
        <w:t xml:space="preserve"> escalated </w:t>
      </w:r>
      <w:r w:rsidR="000C6A14">
        <w:t xml:space="preserve">issues </w:t>
      </w:r>
      <w:r w:rsidR="0025343A">
        <w:t>i</w:t>
      </w:r>
      <w:r w:rsidR="002C41F7">
        <w:t>f th</w:t>
      </w:r>
      <w:r w:rsidR="00A5320D">
        <w:t xml:space="preserve">e Agency </w:t>
      </w:r>
      <w:r w:rsidR="003C587A">
        <w:t xml:space="preserve">had provided </w:t>
      </w:r>
      <w:r w:rsidR="00A5320D">
        <w:t>a</w:t>
      </w:r>
      <w:r w:rsidR="0035781A">
        <w:t xml:space="preserve"> </w:t>
      </w:r>
      <w:r w:rsidR="007D1DAB">
        <w:t xml:space="preserve">comprehensive explanation </w:t>
      </w:r>
      <w:r w:rsidR="00A5320D">
        <w:t>for not approving the supports</w:t>
      </w:r>
      <w:r w:rsidR="00721C87">
        <w:t xml:space="preserve">, </w:t>
      </w:r>
      <w:r w:rsidR="00A820F1">
        <w:t xml:space="preserve">the </w:t>
      </w:r>
      <w:r w:rsidR="007A3543">
        <w:t>type of evidence r</w:t>
      </w:r>
      <w:r w:rsidR="00721C87">
        <w:t>equired</w:t>
      </w:r>
      <w:r w:rsidR="007A3543">
        <w:t xml:space="preserve"> to justify the support</w:t>
      </w:r>
      <w:r w:rsidR="000C3398">
        <w:t xml:space="preserve"> and</w:t>
      </w:r>
      <w:r w:rsidR="006B4112">
        <w:t>,</w:t>
      </w:r>
      <w:r w:rsidR="000C3398">
        <w:t xml:space="preserve"> in some cases</w:t>
      </w:r>
      <w:r w:rsidR="006B4112">
        <w:t>,</w:t>
      </w:r>
      <w:r w:rsidR="000C3398">
        <w:t xml:space="preserve"> </w:t>
      </w:r>
      <w:r w:rsidR="00570F8F">
        <w:t>how th</w:t>
      </w:r>
      <w:r w:rsidR="00506B7F">
        <w:t>e</w:t>
      </w:r>
      <w:r w:rsidR="00A5320D">
        <w:t xml:space="preserve"> participant c</w:t>
      </w:r>
      <w:r w:rsidR="00A00D23">
        <w:t>ould</w:t>
      </w:r>
      <w:r w:rsidR="00A5320D">
        <w:t xml:space="preserve"> use their</w:t>
      </w:r>
      <w:r w:rsidR="00506B7F">
        <w:t xml:space="preserve"> plan flexibly to purchase the </w:t>
      </w:r>
      <w:r w:rsidR="00F765F0">
        <w:t>desired support</w:t>
      </w:r>
      <w:r w:rsidR="00A94D49">
        <w:t xml:space="preserve">. </w:t>
      </w:r>
      <w:r w:rsidR="00293B31">
        <w:t>Most i</w:t>
      </w:r>
      <w:r w:rsidR="00DB4DB7">
        <w:t>ndependent expert</w:t>
      </w:r>
      <w:r w:rsidR="00293B31">
        <w:t xml:space="preserve">s commented that </w:t>
      </w:r>
      <w:r w:rsidR="00C160C4">
        <w:t xml:space="preserve">based on </w:t>
      </w:r>
      <w:r w:rsidR="001510E5">
        <w:t xml:space="preserve">case files, explanations about the </w:t>
      </w:r>
      <w:r w:rsidR="00DE4A1B">
        <w:t xml:space="preserve">disputed </w:t>
      </w:r>
      <w:r w:rsidR="001510E5">
        <w:t xml:space="preserve">planning decisions </w:t>
      </w:r>
      <w:r w:rsidR="00AF5BC3">
        <w:t xml:space="preserve">lacked </w:t>
      </w:r>
      <w:r w:rsidR="00C3341D">
        <w:t xml:space="preserve">sufficient </w:t>
      </w:r>
      <w:r w:rsidR="00AF5BC3">
        <w:t>detail</w:t>
      </w:r>
      <w:r w:rsidR="000537A4">
        <w:t xml:space="preserve"> </w:t>
      </w:r>
      <w:r w:rsidR="00C3341D">
        <w:t>and</w:t>
      </w:r>
      <w:r w:rsidR="008C227B">
        <w:t xml:space="preserve"> demonstrated the planner</w:t>
      </w:r>
      <w:r w:rsidR="00BA658D">
        <w:t>’s</w:t>
      </w:r>
      <w:r w:rsidR="008C227B">
        <w:t xml:space="preserve"> </w:t>
      </w:r>
      <w:r w:rsidR="00BA658D">
        <w:t xml:space="preserve">lack of </w:t>
      </w:r>
      <w:r w:rsidR="008C227B">
        <w:t>underst</w:t>
      </w:r>
      <w:r w:rsidR="00BA658D">
        <w:t xml:space="preserve">anding of the </w:t>
      </w:r>
      <w:r w:rsidR="008C227B">
        <w:t>participant’s situation an</w:t>
      </w:r>
      <w:r w:rsidR="00A5320D">
        <w:t>d</w:t>
      </w:r>
      <w:r w:rsidR="008C227B">
        <w:t xml:space="preserve"> why they requested the support.</w:t>
      </w:r>
    </w:p>
    <w:p w14:paraId="2EEDB21B" w14:textId="4787D6E6" w:rsidR="00A23DEB" w:rsidRDefault="00A5320D" w:rsidP="00A5320D">
      <w:pPr>
        <w:ind w:left="357" w:right="720"/>
        <w:jc w:val="both"/>
        <w:rPr>
          <w:rStyle w:val="normaltextrun"/>
          <w:rFonts w:cs="Arial"/>
          <w:b/>
          <w:bCs/>
          <w:color w:val="6B2976"/>
          <w:szCs w:val="22"/>
          <w:shd w:val="clear" w:color="auto" w:fill="FFFFFF"/>
        </w:rPr>
      </w:pPr>
      <w:r>
        <w:rPr>
          <w:rStyle w:val="normaltextrun"/>
          <w:rFonts w:cs="Arial"/>
          <w:i/>
          <w:color w:val="6B2976"/>
          <w:szCs w:val="22"/>
          <w:shd w:val="clear" w:color="auto" w:fill="FFFFFF"/>
        </w:rPr>
        <w:t>“</w:t>
      </w:r>
      <w:r w:rsidR="00A23DEB" w:rsidRPr="00B52009">
        <w:rPr>
          <w:rStyle w:val="normaltextrun"/>
          <w:rFonts w:cs="Arial"/>
          <w:i/>
          <w:color w:val="6B2976"/>
          <w:szCs w:val="22"/>
          <w:shd w:val="clear" w:color="auto" w:fill="FFFFFF"/>
        </w:rPr>
        <w:t>There exists a need to stem the flow at the planning stage. Feedback, in writing, where a support hasn</w:t>
      </w:r>
      <w:r w:rsidR="00443B75" w:rsidRPr="00B52009">
        <w:rPr>
          <w:rStyle w:val="normaltextrun"/>
          <w:rFonts w:cs="Arial"/>
          <w:i/>
          <w:color w:val="6B2976"/>
          <w:szCs w:val="22"/>
          <w:shd w:val="clear" w:color="auto" w:fill="FFFFFF"/>
        </w:rPr>
        <w:t>’t</w:t>
      </w:r>
      <w:r w:rsidR="00A23DEB" w:rsidRPr="00B52009">
        <w:rPr>
          <w:rStyle w:val="normaltextrun"/>
          <w:rFonts w:cs="Arial"/>
          <w:i/>
          <w:color w:val="6B2976"/>
          <w:szCs w:val="22"/>
          <w:shd w:val="clear" w:color="auto" w:fill="FFFFFF"/>
        </w:rPr>
        <w:t xml:space="preserve"> been funded. Detailed information o</w:t>
      </w:r>
      <w:r w:rsidR="00865B85" w:rsidRPr="00B52009">
        <w:rPr>
          <w:rStyle w:val="normaltextrun"/>
          <w:rFonts w:cs="Arial"/>
          <w:i/>
          <w:color w:val="6B2976"/>
          <w:szCs w:val="22"/>
          <w:shd w:val="clear" w:color="auto" w:fill="FFFFFF"/>
        </w:rPr>
        <w:t>n</w:t>
      </w:r>
      <w:r w:rsidR="00A23DEB" w:rsidRPr="00B52009">
        <w:rPr>
          <w:rStyle w:val="normaltextrun"/>
          <w:rFonts w:cs="Arial"/>
          <w:i/>
          <w:color w:val="6B2976"/>
          <w:szCs w:val="22"/>
          <w:shd w:val="clear" w:color="auto" w:fill="FFFFFF"/>
        </w:rPr>
        <w:t xml:space="preserve"> the </w:t>
      </w:r>
      <w:r w:rsidR="00E13494">
        <w:rPr>
          <w:rStyle w:val="normaltextrun"/>
          <w:rFonts w:cs="Arial"/>
          <w:i/>
          <w:color w:val="6B2976"/>
          <w:szCs w:val="22"/>
          <w:shd w:val="clear" w:color="auto" w:fill="FFFFFF"/>
        </w:rPr>
        <w:t xml:space="preserve">evidence required </w:t>
      </w:r>
      <w:r w:rsidR="00B616FD">
        <w:rPr>
          <w:rStyle w:val="normaltextrun"/>
          <w:rFonts w:cs="Arial"/>
          <w:i/>
          <w:color w:val="6B2976"/>
          <w:szCs w:val="22"/>
          <w:shd w:val="clear" w:color="auto" w:fill="FFFFFF"/>
        </w:rPr>
        <w:t xml:space="preserve">to </w:t>
      </w:r>
      <w:r w:rsidR="00A23DEB" w:rsidRPr="00B52009">
        <w:rPr>
          <w:rStyle w:val="normaltextrun"/>
          <w:rFonts w:cs="Arial"/>
          <w:i/>
          <w:color w:val="6B2976"/>
          <w:szCs w:val="22"/>
          <w:shd w:val="clear" w:color="auto" w:fill="FFFFFF"/>
        </w:rPr>
        <w:t>resolve the matter.</w:t>
      </w:r>
      <w:r>
        <w:rPr>
          <w:rStyle w:val="normaltextrun"/>
          <w:rFonts w:cs="Arial"/>
          <w:i/>
          <w:color w:val="6B2976"/>
          <w:szCs w:val="22"/>
          <w:shd w:val="clear" w:color="auto" w:fill="FFFFFF"/>
        </w:rPr>
        <w:t>”</w:t>
      </w:r>
      <w:r w:rsidR="00A23DEB" w:rsidRPr="00B52009">
        <w:rPr>
          <w:rStyle w:val="normaltextrun"/>
          <w:rFonts w:cs="Arial"/>
          <w:i/>
          <w:color w:val="6B2976"/>
          <w:szCs w:val="22"/>
          <w:shd w:val="clear" w:color="auto" w:fill="FFFFFF"/>
        </w:rPr>
        <w:t xml:space="preserve"> </w:t>
      </w:r>
      <w:r w:rsidR="00A23DEB" w:rsidRPr="00B52009">
        <w:rPr>
          <w:rStyle w:val="normaltextrun"/>
          <w:rFonts w:cs="Arial"/>
          <w:b/>
          <w:color w:val="6B2976"/>
          <w:szCs w:val="22"/>
          <w:shd w:val="clear" w:color="auto" w:fill="FFFFFF"/>
        </w:rPr>
        <w:t xml:space="preserve">Independent </w:t>
      </w:r>
      <w:r w:rsidR="00FB03CB">
        <w:rPr>
          <w:rStyle w:val="normaltextrun"/>
          <w:rFonts w:cs="Arial"/>
          <w:b/>
          <w:color w:val="6B2976"/>
          <w:szCs w:val="22"/>
          <w:shd w:val="clear" w:color="auto" w:fill="FFFFFF"/>
        </w:rPr>
        <w:t>e</w:t>
      </w:r>
      <w:r w:rsidR="00A23DEB" w:rsidRPr="00B52009">
        <w:rPr>
          <w:rStyle w:val="normaltextrun"/>
          <w:rFonts w:cs="Arial"/>
          <w:b/>
          <w:color w:val="6B2976"/>
          <w:szCs w:val="22"/>
          <w:shd w:val="clear" w:color="auto" w:fill="FFFFFF"/>
        </w:rPr>
        <w:t>xpert</w:t>
      </w:r>
      <w:r w:rsidR="00FB03CB">
        <w:rPr>
          <w:rStyle w:val="normaltextrun"/>
          <w:rFonts w:cs="Arial"/>
          <w:b/>
          <w:bCs/>
          <w:color w:val="6B2976"/>
          <w:szCs w:val="22"/>
          <w:shd w:val="clear" w:color="auto" w:fill="FFFFFF"/>
        </w:rPr>
        <w:t>, survey.</w:t>
      </w:r>
    </w:p>
    <w:p w14:paraId="0340472C" w14:textId="2D495074" w:rsidR="00607410" w:rsidRDefault="003505E2" w:rsidP="00141826">
      <w:pPr>
        <w:rPr>
          <w:rStyle w:val="normaltextrun"/>
          <w:rFonts w:cs="Arial"/>
          <w:color w:val="000000"/>
          <w:szCs w:val="22"/>
          <w:shd w:val="clear" w:color="auto" w:fill="FFFFFF"/>
        </w:rPr>
      </w:pPr>
      <w:r>
        <w:rPr>
          <w:rStyle w:val="normaltextrun"/>
          <w:rFonts w:cs="Arial"/>
          <w:color w:val="000000"/>
          <w:szCs w:val="22"/>
          <w:shd w:val="clear" w:color="auto" w:fill="FFFFFF"/>
        </w:rPr>
        <w:t xml:space="preserve">Several independent experts also commented the participants whose cases they reviewed </w:t>
      </w:r>
      <w:r w:rsidR="00756BBB">
        <w:rPr>
          <w:rStyle w:val="normaltextrun"/>
          <w:rFonts w:cs="Arial"/>
          <w:color w:val="000000"/>
          <w:szCs w:val="22"/>
          <w:shd w:val="clear" w:color="auto" w:fill="FFFFFF"/>
        </w:rPr>
        <w:t xml:space="preserve">were upset that </w:t>
      </w:r>
      <w:r w:rsidR="00141826">
        <w:rPr>
          <w:rStyle w:val="normaltextrun"/>
          <w:rFonts w:cs="Arial"/>
          <w:color w:val="000000"/>
          <w:szCs w:val="22"/>
          <w:shd w:val="clear" w:color="auto" w:fill="FFFFFF"/>
        </w:rPr>
        <w:t>no one gave them</w:t>
      </w:r>
      <w:r w:rsidR="00962504">
        <w:rPr>
          <w:rStyle w:val="normaltextrun"/>
          <w:rFonts w:cs="Arial"/>
          <w:color w:val="000000"/>
          <w:szCs w:val="22"/>
          <w:shd w:val="clear" w:color="auto" w:fill="FFFFFF"/>
        </w:rPr>
        <w:t xml:space="preserve"> the opportunity to </w:t>
      </w:r>
      <w:r w:rsidR="00391B91">
        <w:rPr>
          <w:rStyle w:val="normaltextrun"/>
          <w:rFonts w:cs="Arial"/>
          <w:color w:val="000000"/>
          <w:szCs w:val="22"/>
          <w:shd w:val="clear" w:color="auto" w:fill="FFFFFF"/>
        </w:rPr>
        <w:t>provide further evidence, correct inaccuracies and explain their position.</w:t>
      </w:r>
      <w:r w:rsidR="009F4888">
        <w:rPr>
          <w:rStyle w:val="normaltextrun"/>
          <w:rFonts w:cs="Arial"/>
          <w:color w:val="000000"/>
          <w:szCs w:val="22"/>
          <w:shd w:val="clear" w:color="auto" w:fill="FFFFFF"/>
        </w:rPr>
        <w:t xml:space="preserve"> </w:t>
      </w:r>
      <w:r w:rsidR="00CA2843">
        <w:rPr>
          <w:rStyle w:val="normaltextrun"/>
          <w:rFonts w:cs="Arial"/>
          <w:color w:val="000000"/>
          <w:szCs w:val="22"/>
          <w:shd w:val="clear" w:color="auto" w:fill="FFFFFF"/>
        </w:rPr>
        <w:t>Some also suggested that g</w:t>
      </w:r>
      <w:r w:rsidR="00E52723">
        <w:rPr>
          <w:rStyle w:val="normaltextrun"/>
          <w:rFonts w:cs="Arial"/>
          <w:color w:val="000000"/>
          <w:szCs w:val="22"/>
          <w:shd w:val="clear" w:color="auto" w:fill="FFFFFF"/>
        </w:rPr>
        <w:t xml:space="preserve">iving participants a draft </w:t>
      </w:r>
      <w:r w:rsidR="00CA2843">
        <w:rPr>
          <w:rStyle w:val="normaltextrun"/>
          <w:rFonts w:cs="Arial"/>
          <w:color w:val="000000"/>
          <w:szCs w:val="22"/>
          <w:shd w:val="clear" w:color="auto" w:fill="FFFFFF"/>
        </w:rPr>
        <w:t xml:space="preserve">NDIS </w:t>
      </w:r>
      <w:r w:rsidR="00E52723">
        <w:rPr>
          <w:rStyle w:val="normaltextrun"/>
          <w:rFonts w:cs="Arial"/>
          <w:color w:val="000000"/>
          <w:szCs w:val="22"/>
          <w:shd w:val="clear" w:color="auto" w:fill="FFFFFF"/>
        </w:rPr>
        <w:t>plan</w:t>
      </w:r>
      <w:r w:rsidR="00CA2843">
        <w:rPr>
          <w:rStyle w:val="normaltextrun"/>
          <w:rFonts w:cs="Arial"/>
          <w:color w:val="000000"/>
          <w:szCs w:val="22"/>
          <w:shd w:val="clear" w:color="auto" w:fill="FFFFFF"/>
        </w:rPr>
        <w:t xml:space="preserve"> would</w:t>
      </w:r>
      <w:r w:rsidR="003D0020">
        <w:rPr>
          <w:rStyle w:val="normaltextrun"/>
          <w:rFonts w:cs="Arial"/>
          <w:color w:val="000000"/>
          <w:szCs w:val="22"/>
          <w:shd w:val="clear" w:color="auto" w:fill="FFFFFF"/>
        </w:rPr>
        <w:t xml:space="preserve"> </w:t>
      </w:r>
      <w:r w:rsidR="00D85118">
        <w:rPr>
          <w:rStyle w:val="normaltextrun"/>
          <w:rFonts w:cs="Arial"/>
          <w:color w:val="000000"/>
          <w:szCs w:val="22"/>
          <w:shd w:val="clear" w:color="auto" w:fill="FFFFFF"/>
        </w:rPr>
        <w:t xml:space="preserve">encourage </w:t>
      </w:r>
      <w:r w:rsidR="00141826">
        <w:rPr>
          <w:rStyle w:val="normaltextrun"/>
          <w:rFonts w:cs="Arial"/>
          <w:color w:val="000000"/>
          <w:szCs w:val="22"/>
          <w:shd w:val="clear" w:color="auto" w:fill="FFFFFF"/>
        </w:rPr>
        <w:t>early dialogue</w:t>
      </w:r>
      <w:r w:rsidR="00D829A4">
        <w:rPr>
          <w:rStyle w:val="normaltextrun"/>
          <w:rFonts w:cs="Arial"/>
          <w:color w:val="000000"/>
          <w:szCs w:val="22"/>
          <w:shd w:val="clear" w:color="auto" w:fill="FFFFFF"/>
        </w:rPr>
        <w:t xml:space="preserve"> </w:t>
      </w:r>
      <w:r w:rsidR="00E52723">
        <w:rPr>
          <w:rStyle w:val="normaltextrun"/>
          <w:rFonts w:cs="Arial"/>
          <w:color w:val="000000"/>
          <w:szCs w:val="22"/>
          <w:shd w:val="clear" w:color="auto" w:fill="FFFFFF"/>
        </w:rPr>
        <w:t xml:space="preserve">to address </w:t>
      </w:r>
      <w:r w:rsidR="00CA2843">
        <w:rPr>
          <w:rStyle w:val="normaltextrun"/>
          <w:rFonts w:cs="Arial"/>
          <w:color w:val="000000"/>
          <w:szCs w:val="22"/>
          <w:shd w:val="clear" w:color="auto" w:fill="FFFFFF"/>
        </w:rPr>
        <w:t>any</w:t>
      </w:r>
      <w:r w:rsidR="00E52723">
        <w:rPr>
          <w:rStyle w:val="normaltextrun"/>
          <w:rFonts w:cs="Arial"/>
          <w:color w:val="000000"/>
          <w:szCs w:val="22"/>
          <w:shd w:val="clear" w:color="auto" w:fill="FFFFFF"/>
        </w:rPr>
        <w:t xml:space="preserve"> errors</w:t>
      </w:r>
      <w:r w:rsidR="00CA2843">
        <w:rPr>
          <w:rStyle w:val="normaltextrun"/>
          <w:rFonts w:cs="Arial"/>
          <w:color w:val="000000"/>
          <w:szCs w:val="22"/>
          <w:shd w:val="clear" w:color="auto" w:fill="FFFFFF"/>
        </w:rPr>
        <w:t>, refine goals and discuss</w:t>
      </w:r>
      <w:r w:rsidR="00690BF5">
        <w:rPr>
          <w:rStyle w:val="normaltextrun"/>
          <w:rFonts w:cs="Arial"/>
          <w:color w:val="000000"/>
          <w:szCs w:val="22"/>
          <w:shd w:val="clear" w:color="auto" w:fill="FFFFFF"/>
        </w:rPr>
        <w:t xml:space="preserve"> support omissions with the planner</w:t>
      </w:r>
      <w:r w:rsidR="002557C7">
        <w:rPr>
          <w:rStyle w:val="normaltextrun"/>
          <w:rFonts w:cs="Arial"/>
          <w:color w:val="000000"/>
          <w:szCs w:val="22"/>
          <w:shd w:val="clear" w:color="auto" w:fill="FFFFFF"/>
        </w:rPr>
        <w:t>.</w:t>
      </w:r>
    </w:p>
    <w:p w14:paraId="1266E5B7" w14:textId="127CD0DC" w:rsidR="00607410" w:rsidRPr="005A586B" w:rsidRDefault="00607410" w:rsidP="00192226">
      <w:pPr>
        <w:ind w:left="357" w:right="720"/>
        <w:jc w:val="both"/>
        <w:rPr>
          <w:rStyle w:val="eop"/>
          <w:rFonts w:cs="Arial"/>
          <w:b/>
          <w:bCs/>
          <w:color w:val="6B2976"/>
          <w:szCs w:val="22"/>
          <w:shd w:val="clear" w:color="auto" w:fill="FFFFFF"/>
        </w:rPr>
      </w:pPr>
      <w:r>
        <w:rPr>
          <w:rStyle w:val="normaltextrun"/>
          <w:rFonts w:cs="Arial"/>
          <w:i/>
          <w:iCs/>
          <w:color w:val="6B2976"/>
          <w:szCs w:val="22"/>
          <w:shd w:val="clear" w:color="auto" w:fill="FFFFFF"/>
        </w:rPr>
        <w:lastRenderedPageBreak/>
        <w:t>“</w:t>
      </w:r>
      <w:r w:rsidRPr="005A586B">
        <w:rPr>
          <w:rStyle w:val="normaltextrun"/>
          <w:rFonts w:cs="Arial"/>
          <w:i/>
          <w:iCs/>
          <w:color w:val="6B2976"/>
          <w:szCs w:val="22"/>
          <w:shd w:val="clear" w:color="auto" w:fill="FFFFFF"/>
        </w:rPr>
        <w:t>I know the Tune Review</w:t>
      </w:r>
      <w:r>
        <w:rPr>
          <w:rStyle w:val="FootnoteReference"/>
          <w:rFonts w:cs="Arial"/>
          <w:i/>
          <w:iCs/>
          <w:color w:val="6B2976"/>
          <w:szCs w:val="22"/>
          <w:shd w:val="clear" w:color="auto" w:fill="FFFFFF"/>
        </w:rPr>
        <w:footnoteReference w:id="35"/>
      </w:r>
      <w:r w:rsidRPr="005A586B">
        <w:rPr>
          <w:rStyle w:val="normaltextrun"/>
          <w:rFonts w:cs="Arial"/>
          <w:i/>
          <w:iCs/>
          <w:color w:val="6B2976"/>
          <w:szCs w:val="22"/>
          <w:shd w:val="clear" w:color="auto" w:fill="FFFFFF"/>
        </w:rPr>
        <w:t xml:space="preserve"> recommended draft plans as a way of introducing a step </w:t>
      </w:r>
      <w:r>
        <w:rPr>
          <w:rStyle w:val="normaltextrun"/>
          <w:rFonts w:cs="Arial"/>
          <w:i/>
          <w:iCs/>
          <w:color w:val="6B2976"/>
          <w:szCs w:val="22"/>
          <w:shd w:val="clear" w:color="auto" w:fill="FFFFFF"/>
        </w:rPr>
        <w:t>where</w:t>
      </w:r>
      <w:r w:rsidRPr="005A586B">
        <w:rPr>
          <w:rStyle w:val="normaltextrun"/>
          <w:rFonts w:cs="Arial"/>
          <w:i/>
          <w:iCs/>
          <w:color w:val="6B2976"/>
          <w:szCs w:val="22"/>
          <w:shd w:val="clear" w:color="auto" w:fill="FFFFFF"/>
        </w:rPr>
        <w:t xml:space="preserve"> participants could raise with the planner an issue with the way the</w:t>
      </w:r>
      <w:r>
        <w:rPr>
          <w:rStyle w:val="normaltextrun"/>
          <w:rFonts w:cs="Arial"/>
          <w:i/>
          <w:iCs/>
          <w:color w:val="6B2976"/>
          <w:szCs w:val="22"/>
          <w:shd w:val="clear" w:color="auto" w:fill="FFFFFF"/>
        </w:rPr>
        <w:t>ir</w:t>
      </w:r>
      <w:r w:rsidRPr="005A586B">
        <w:rPr>
          <w:rStyle w:val="normaltextrun"/>
          <w:rFonts w:cs="Arial"/>
          <w:i/>
          <w:iCs/>
          <w:color w:val="6B2976"/>
          <w:szCs w:val="22"/>
          <w:shd w:val="clear" w:color="auto" w:fill="FFFFFF"/>
        </w:rPr>
        <w:t xml:space="preserve"> plan</w:t>
      </w:r>
      <w:r>
        <w:rPr>
          <w:rStyle w:val="normaltextrun"/>
          <w:rFonts w:cs="Arial"/>
          <w:i/>
          <w:iCs/>
          <w:color w:val="6B2976"/>
          <w:szCs w:val="22"/>
          <w:shd w:val="clear" w:color="auto" w:fill="FFFFFF"/>
        </w:rPr>
        <w:t xml:space="preserve"> was built</w:t>
      </w:r>
      <w:r w:rsidRPr="005A586B">
        <w:rPr>
          <w:rStyle w:val="normaltextrun"/>
          <w:rFonts w:cs="Arial"/>
          <w:i/>
          <w:iCs/>
          <w:color w:val="6B2976"/>
          <w:szCs w:val="22"/>
          <w:shd w:val="clear" w:color="auto" w:fill="FFFFFF"/>
        </w:rPr>
        <w:t xml:space="preserve">. What </w:t>
      </w:r>
      <w:r>
        <w:rPr>
          <w:rStyle w:val="normaltextrun"/>
          <w:rFonts w:cs="Arial"/>
          <w:i/>
          <w:iCs/>
          <w:color w:val="6B2976"/>
          <w:szCs w:val="22"/>
          <w:shd w:val="clear" w:color="auto" w:fill="FFFFFF"/>
        </w:rPr>
        <w:t>has been omitted</w:t>
      </w:r>
      <w:r w:rsidRPr="005A586B">
        <w:rPr>
          <w:rStyle w:val="normaltextrun"/>
          <w:rFonts w:cs="Arial"/>
          <w:i/>
          <w:iCs/>
          <w:color w:val="6B2976"/>
          <w:szCs w:val="22"/>
          <w:shd w:val="clear" w:color="auto" w:fill="FFFFFF"/>
        </w:rPr>
        <w:t xml:space="preserve"> in the eyes of the p</w:t>
      </w:r>
      <w:r>
        <w:rPr>
          <w:rStyle w:val="normaltextrun"/>
          <w:rFonts w:cs="Arial"/>
          <w:i/>
          <w:iCs/>
          <w:color w:val="6B2976"/>
          <w:szCs w:val="22"/>
          <w:shd w:val="clear" w:color="auto" w:fill="FFFFFF"/>
        </w:rPr>
        <w:t>articipant</w:t>
      </w:r>
      <w:r w:rsidRPr="005A586B">
        <w:rPr>
          <w:rStyle w:val="normaltextrun"/>
          <w:rFonts w:cs="Arial"/>
          <w:i/>
          <w:iCs/>
          <w:color w:val="6B2976"/>
          <w:szCs w:val="22"/>
          <w:shd w:val="clear" w:color="auto" w:fill="FFFFFF"/>
        </w:rPr>
        <w:t>? That would be a great opportunit</w:t>
      </w:r>
      <w:r w:rsidR="00322FF4">
        <w:rPr>
          <w:rStyle w:val="normaltextrun"/>
          <w:rFonts w:cs="Arial"/>
          <w:i/>
          <w:iCs/>
          <w:color w:val="6B2976"/>
          <w:szCs w:val="22"/>
          <w:shd w:val="clear" w:color="auto" w:fill="FFFFFF"/>
        </w:rPr>
        <w:t>y</w:t>
      </w:r>
      <w:r w:rsidRPr="005A586B">
        <w:rPr>
          <w:rStyle w:val="normaltextrun"/>
          <w:rFonts w:cs="Arial"/>
          <w:i/>
          <w:iCs/>
          <w:color w:val="6B2976"/>
          <w:szCs w:val="22"/>
          <w:shd w:val="clear" w:color="auto" w:fill="FFFFFF"/>
        </w:rPr>
        <w:t xml:space="preserve"> </w:t>
      </w:r>
      <w:r>
        <w:rPr>
          <w:rStyle w:val="normaltextrun"/>
          <w:rFonts w:cs="Arial"/>
          <w:i/>
          <w:iCs/>
          <w:color w:val="6B2976"/>
          <w:szCs w:val="22"/>
          <w:shd w:val="clear" w:color="auto" w:fill="FFFFFF"/>
        </w:rPr>
        <w:t>for</w:t>
      </w:r>
      <w:r w:rsidRPr="005A586B">
        <w:rPr>
          <w:rStyle w:val="normaltextrun"/>
          <w:rFonts w:cs="Arial"/>
          <w:i/>
          <w:iCs/>
          <w:color w:val="6B2976"/>
          <w:szCs w:val="22"/>
          <w:shd w:val="clear" w:color="auto" w:fill="FFFFFF"/>
        </w:rPr>
        <w:t xml:space="preserve"> some contestation much earlier on and some disc</w:t>
      </w:r>
      <w:r>
        <w:rPr>
          <w:rStyle w:val="normaltextrun"/>
          <w:rFonts w:cs="Arial"/>
          <w:i/>
          <w:iCs/>
          <w:color w:val="6B2976"/>
          <w:szCs w:val="22"/>
          <w:shd w:val="clear" w:color="auto" w:fill="FFFFFF"/>
        </w:rPr>
        <w:t>ussion</w:t>
      </w:r>
      <w:r w:rsidRPr="005A586B">
        <w:rPr>
          <w:rStyle w:val="normaltextrun"/>
          <w:rFonts w:cs="Arial"/>
          <w:i/>
          <w:iCs/>
          <w:color w:val="6B2976"/>
          <w:szCs w:val="22"/>
          <w:shd w:val="clear" w:color="auto" w:fill="FFFFFF"/>
        </w:rPr>
        <w:t xml:space="preserve"> a</w:t>
      </w:r>
      <w:r>
        <w:rPr>
          <w:rStyle w:val="normaltextrun"/>
          <w:rFonts w:cs="Arial"/>
          <w:i/>
          <w:iCs/>
          <w:color w:val="6B2976"/>
          <w:szCs w:val="22"/>
          <w:shd w:val="clear" w:color="auto" w:fill="FFFFFF"/>
        </w:rPr>
        <w:t>bout</w:t>
      </w:r>
      <w:r w:rsidRPr="005A586B">
        <w:rPr>
          <w:rStyle w:val="normaltextrun"/>
          <w:rFonts w:cs="Arial"/>
          <w:i/>
          <w:iCs/>
          <w:color w:val="6B2976"/>
          <w:szCs w:val="22"/>
          <w:shd w:val="clear" w:color="auto" w:fill="FFFFFF"/>
        </w:rPr>
        <w:t xml:space="preserve"> what additional information </w:t>
      </w:r>
      <w:r>
        <w:rPr>
          <w:rStyle w:val="normaltextrun"/>
          <w:rFonts w:cs="Arial"/>
          <w:i/>
          <w:iCs/>
          <w:color w:val="6B2976"/>
          <w:szCs w:val="22"/>
          <w:shd w:val="clear" w:color="auto" w:fill="FFFFFF"/>
        </w:rPr>
        <w:t>i</w:t>
      </w:r>
      <w:r w:rsidRPr="005A586B">
        <w:rPr>
          <w:rStyle w:val="normaltextrun"/>
          <w:rFonts w:cs="Arial"/>
          <w:i/>
          <w:iCs/>
          <w:color w:val="6B2976"/>
          <w:szCs w:val="22"/>
          <w:shd w:val="clear" w:color="auto" w:fill="FFFFFF"/>
        </w:rPr>
        <w:t xml:space="preserve">s needed </w:t>
      </w:r>
      <w:r>
        <w:rPr>
          <w:rStyle w:val="normaltextrun"/>
          <w:rFonts w:cs="Arial"/>
          <w:i/>
          <w:iCs/>
          <w:color w:val="6B2976"/>
          <w:szCs w:val="22"/>
          <w:shd w:val="clear" w:color="auto" w:fill="FFFFFF"/>
        </w:rPr>
        <w:t>or</w:t>
      </w:r>
      <w:r w:rsidRPr="005A586B">
        <w:rPr>
          <w:rStyle w:val="normaltextrun"/>
          <w:rFonts w:cs="Arial"/>
          <w:i/>
          <w:iCs/>
          <w:color w:val="6B2976"/>
          <w:szCs w:val="22"/>
          <w:shd w:val="clear" w:color="auto" w:fill="FFFFFF"/>
        </w:rPr>
        <w:t xml:space="preserve"> why </w:t>
      </w:r>
      <w:r>
        <w:rPr>
          <w:rStyle w:val="normaltextrun"/>
          <w:rFonts w:cs="Arial"/>
          <w:i/>
          <w:iCs/>
          <w:color w:val="6B2976"/>
          <w:szCs w:val="22"/>
          <w:shd w:val="clear" w:color="auto" w:fill="FFFFFF"/>
        </w:rPr>
        <w:t>something</w:t>
      </w:r>
      <w:r w:rsidRPr="005A586B">
        <w:rPr>
          <w:rStyle w:val="normaltextrun"/>
          <w:rFonts w:cs="Arial"/>
          <w:i/>
          <w:iCs/>
          <w:color w:val="6B2976"/>
          <w:szCs w:val="22"/>
          <w:shd w:val="clear" w:color="auto" w:fill="FFFFFF"/>
        </w:rPr>
        <w:t xml:space="preserve"> might not be reasonable and necessary.</w:t>
      </w:r>
      <w:r>
        <w:rPr>
          <w:rStyle w:val="normaltextrun"/>
          <w:rFonts w:cs="Arial"/>
          <w:i/>
          <w:iCs/>
          <w:color w:val="6B2976"/>
          <w:szCs w:val="22"/>
          <w:shd w:val="clear" w:color="auto" w:fill="FFFFFF"/>
        </w:rPr>
        <w:t xml:space="preserve">” </w:t>
      </w:r>
      <w:r w:rsidRPr="005A586B">
        <w:rPr>
          <w:rStyle w:val="normaltextrun"/>
          <w:rFonts w:cs="Arial"/>
          <w:i/>
          <w:iCs/>
          <w:color w:val="6B2976"/>
          <w:szCs w:val="22"/>
          <w:shd w:val="clear" w:color="auto" w:fill="FFFFFF"/>
        </w:rPr>
        <w:t xml:space="preserve"> </w:t>
      </w:r>
      <w:r>
        <w:rPr>
          <w:rStyle w:val="normaltextrun"/>
          <w:rFonts w:cs="Arial"/>
          <w:b/>
          <w:bCs/>
          <w:color w:val="6B2976"/>
          <w:szCs w:val="22"/>
          <w:shd w:val="clear" w:color="auto" w:fill="FFFFFF"/>
        </w:rPr>
        <w:t>Independent expert, interview.</w:t>
      </w:r>
    </w:p>
    <w:p w14:paraId="42E9FC18" w14:textId="3E77DF3E" w:rsidR="00E52723" w:rsidRDefault="00607410" w:rsidP="00141826">
      <w:pPr>
        <w:rPr>
          <w:rStyle w:val="normaltextrun"/>
          <w:rFonts w:cs="Arial"/>
          <w:color w:val="000000"/>
          <w:szCs w:val="22"/>
          <w:shd w:val="clear" w:color="auto" w:fill="FFFFFF"/>
        </w:rPr>
      </w:pPr>
      <w:r>
        <w:rPr>
          <w:rStyle w:val="normaltextrun"/>
          <w:rFonts w:cs="Arial"/>
          <w:color w:val="000000"/>
          <w:szCs w:val="22"/>
          <w:shd w:val="clear" w:color="auto" w:fill="FFFFFF"/>
        </w:rPr>
        <w:t>Draft plans</w:t>
      </w:r>
      <w:r w:rsidR="00E52723">
        <w:rPr>
          <w:rStyle w:val="normaltextrun"/>
          <w:rFonts w:cs="Arial"/>
          <w:color w:val="000000"/>
          <w:szCs w:val="22"/>
          <w:shd w:val="clear" w:color="auto" w:fill="FFFFFF"/>
        </w:rPr>
        <w:t xml:space="preserve"> would </w:t>
      </w:r>
      <w:r w:rsidR="001F084A">
        <w:rPr>
          <w:rStyle w:val="normaltextrun"/>
          <w:rFonts w:cs="Arial"/>
          <w:color w:val="000000"/>
          <w:szCs w:val="22"/>
          <w:shd w:val="clear" w:color="auto" w:fill="FFFFFF"/>
        </w:rPr>
        <w:t xml:space="preserve">also </w:t>
      </w:r>
      <w:r w:rsidR="00E52723">
        <w:rPr>
          <w:rStyle w:val="normaltextrun"/>
          <w:rFonts w:cs="Arial"/>
          <w:color w:val="000000"/>
          <w:szCs w:val="22"/>
          <w:shd w:val="clear" w:color="auto" w:fill="FFFFFF"/>
        </w:rPr>
        <w:t xml:space="preserve">enable the planner to </w:t>
      </w:r>
      <w:r w:rsidR="00B4601D">
        <w:rPr>
          <w:rStyle w:val="normaltextrun"/>
          <w:rFonts w:cs="Arial"/>
          <w:color w:val="000000"/>
          <w:szCs w:val="22"/>
          <w:shd w:val="clear" w:color="auto" w:fill="FFFFFF"/>
        </w:rPr>
        <w:t xml:space="preserve">explain </w:t>
      </w:r>
      <w:r w:rsidR="00543173">
        <w:rPr>
          <w:rStyle w:val="normaltextrun"/>
          <w:rFonts w:cs="Arial"/>
          <w:color w:val="000000"/>
          <w:szCs w:val="22"/>
          <w:shd w:val="clear" w:color="auto" w:fill="FFFFFF"/>
        </w:rPr>
        <w:t>how the participant can use their supports flexibly</w:t>
      </w:r>
      <w:r w:rsidR="008F23A4">
        <w:rPr>
          <w:rStyle w:val="normaltextrun"/>
          <w:rFonts w:cs="Arial"/>
          <w:color w:val="000000"/>
          <w:szCs w:val="22"/>
          <w:shd w:val="clear" w:color="auto" w:fill="FFFFFF"/>
        </w:rPr>
        <w:t xml:space="preserve">, </w:t>
      </w:r>
      <w:r w:rsidR="00E52723">
        <w:rPr>
          <w:rStyle w:val="normaltextrun"/>
          <w:rFonts w:cs="Arial"/>
          <w:color w:val="000000"/>
          <w:szCs w:val="22"/>
          <w:shd w:val="clear" w:color="auto" w:fill="FFFFFF"/>
        </w:rPr>
        <w:t xml:space="preserve">manage </w:t>
      </w:r>
      <w:r w:rsidR="00A5320D">
        <w:rPr>
          <w:rStyle w:val="normaltextrun"/>
          <w:rFonts w:cs="Arial"/>
          <w:color w:val="000000"/>
          <w:szCs w:val="22"/>
          <w:shd w:val="clear" w:color="auto" w:fill="FFFFFF"/>
        </w:rPr>
        <w:t xml:space="preserve">their </w:t>
      </w:r>
      <w:r w:rsidR="00E52723">
        <w:rPr>
          <w:rStyle w:val="normaltextrun"/>
          <w:rFonts w:cs="Arial"/>
          <w:color w:val="000000"/>
          <w:szCs w:val="22"/>
          <w:shd w:val="clear" w:color="auto" w:fill="FFFFFF"/>
        </w:rPr>
        <w:t xml:space="preserve">expectations </w:t>
      </w:r>
      <w:r w:rsidR="00A5320D">
        <w:rPr>
          <w:rStyle w:val="normaltextrun"/>
          <w:rFonts w:cs="Arial"/>
          <w:color w:val="000000"/>
          <w:szCs w:val="22"/>
          <w:shd w:val="clear" w:color="auto" w:fill="FFFFFF"/>
        </w:rPr>
        <w:t xml:space="preserve">and </w:t>
      </w:r>
      <w:r w:rsidR="00F02F84">
        <w:rPr>
          <w:rStyle w:val="normaltextrun"/>
          <w:rFonts w:cs="Arial"/>
          <w:color w:val="000000"/>
          <w:szCs w:val="22"/>
          <w:shd w:val="clear" w:color="auto" w:fill="FFFFFF"/>
        </w:rPr>
        <w:t xml:space="preserve">educate </w:t>
      </w:r>
      <w:r w:rsidR="00A5320D">
        <w:rPr>
          <w:rStyle w:val="normaltextrun"/>
          <w:rFonts w:cs="Arial"/>
          <w:color w:val="000000"/>
          <w:szCs w:val="22"/>
          <w:shd w:val="clear" w:color="auto" w:fill="FFFFFF"/>
        </w:rPr>
        <w:t>them about</w:t>
      </w:r>
      <w:r w:rsidR="00E52723">
        <w:rPr>
          <w:rStyle w:val="normaltextrun"/>
          <w:rFonts w:cs="Arial"/>
          <w:color w:val="000000"/>
          <w:szCs w:val="22"/>
          <w:shd w:val="clear" w:color="auto" w:fill="FFFFFF"/>
        </w:rPr>
        <w:t xml:space="preserve"> </w:t>
      </w:r>
      <w:r w:rsidR="00F02F84">
        <w:rPr>
          <w:rStyle w:val="normaltextrun"/>
          <w:rFonts w:cs="Arial"/>
          <w:color w:val="000000"/>
          <w:szCs w:val="22"/>
          <w:shd w:val="clear" w:color="auto" w:fill="FFFFFF"/>
        </w:rPr>
        <w:t xml:space="preserve">the criteria for a support being </w:t>
      </w:r>
      <w:r w:rsidR="00E52723">
        <w:rPr>
          <w:rStyle w:val="normaltextrun"/>
          <w:rFonts w:cs="Arial"/>
          <w:color w:val="000000"/>
          <w:szCs w:val="22"/>
          <w:shd w:val="clear" w:color="auto" w:fill="FFFFFF"/>
        </w:rPr>
        <w:t>reasonable and necessary</w:t>
      </w:r>
      <w:r w:rsidR="001F084A">
        <w:rPr>
          <w:rStyle w:val="normaltextrun"/>
          <w:rFonts w:cs="Arial"/>
          <w:color w:val="000000"/>
          <w:szCs w:val="22"/>
          <w:shd w:val="clear" w:color="auto" w:fill="FFFFFF"/>
        </w:rPr>
        <w:t>.</w:t>
      </w:r>
      <w:r w:rsidR="007E624C">
        <w:rPr>
          <w:rStyle w:val="normaltextrun"/>
          <w:rFonts w:cs="Arial"/>
          <w:color w:val="000000"/>
          <w:szCs w:val="22"/>
          <w:shd w:val="clear" w:color="auto" w:fill="FFFFFF"/>
        </w:rPr>
        <w:t xml:space="preserve"> </w:t>
      </w:r>
      <w:r>
        <w:rPr>
          <w:rStyle w:val="normaltextrun"/>
          <w:rFonts w:cs="Arial"/>
          <w:color w:val="000000"/>
          <w:szCs w:val="22"/>
          <w:shd w:val="clear" w:color="auto" w:fill="FFFFFF"/>
        </w:rPr>
        <w:t>Supporting</w:t>
      </w:r>
      <w:r w:rsidR="00BB45F1">
        <w:rPr>
          <w:rStyle w:val="normaltextrun"/>
          <w:rFonts w:cs="Arial"/>
          <w:color w:val="000000"/>
          <w:szCs w:val="22"/>
          <w:shd w:val="clear" w:color="auto" w:fill="FFFFFF"/>
        </w:rPr>
        <w:t xml:space="preserve"> this, </w:t>
      </w:r>
      <w:r w:rsidR="00FA3307">
        <w:rPr>
          <w:rStyle w:val="normaltextrun"/>
          <w:rFonts w:cs="Arial"/>
          <w:color w:val="000000"/>
          <w:szCs w:val="22"/>
          <w:shd w:val="clear" w:color="auto" w:fill="FFFFFF"/>
        </w:rPr>
        <w:t xml:space="preserve">NDIS internal review data indicates that </w:t>
      </w:r>
      <w:r w:rsidR="00F65F3C">
        <w:rPr>
          <w:rStyle w:val="normaltextrun"/>
          <w:rFonts w:cs="Arial"/>
          <w:color w:val="000000"/>
          <w:szCs w:val="22"/>
          <w:shd w:val="clear" w:color="auto" w:fill="FFFFFF"/>
        </w:rPr>
        <w:t xml:space="preserve">a clarifying phone call with </w:t>
      </w:r>
      <w:r w:rsidR="004B3324">
        <w:rPr>
          <w:rStyle w:val="normaltextrun"/>
          <w:rFonts w:cs="Arial"/>
          <w:color w:val="000000"/>
          <w:szCs w:val="22"/>
          <w:shd w:val="clear" w:color="auto" w:fill="FFFFFF"/>
        </w:rPr>
        <w:t xml:space="preserve">the </w:t>
      </w:r>
      <w:r w:rsidR="00F65F3C">
        <w:rPr>
          <w:rStyle w:val="normaltextrun"/>
          <w:rFonts w:cs="Arial"/>
          <w:color w:val="000000"/>
          <w:szCs w:val="22"/>
          <w:shd w:val="clear" w:color="auto" w:fill="FFFFFF"/>
        </w:rPr>
        <w:t xml:space="preserve">participant was enough to resolve </w:t>
      </w:r>
      <w:r w:rsidR="00E17B70">
        <w:rPr>
          <w:rStyle w:val="normaltextrun"/>
          <w:rFonts w:cs="Arial"/>
          <w:color w:val="000000"/>
          <w:szCs w:val="22"/>
          <w:shd w:val="clear" w:color="auto" w:fill="FFFFFF"/>
        </w:rPr>
        <w:t xml:space="preserve">13% </w:t>
      </w:r>
      <w:r w:rsidR="00990782">
        <w:rPr>
          <w:rStyle w:val="normaltextrun"/>
          <w:rFonts w:cs="Arial"/>
          <w:color w:val="000000"/>
          <w:szCs w:val="22"/>
          <w:shd w:val="clear" w:color="auto" w:fill="FFFFFF"/>
        </w:rPr>
        <w:t xml:space="preserve">of </w:t>
      </w:r>
      <w:r w:rsidR="00224C76">
        <w:rPr>
          <w:rStyle w:val="normaltextrun"/>
          <w:rFonts w:cs="Arial"/>
          <w:color w:val="000000"/>
          <w:szCs w:val="22"/>
          <w:shd w:val="clear" w:color="auto" w:fill="FFFFFF"/>
        </w:rPr>
        <w:t>plan-related disputes</w:t>
      </w:r>
      <w:r w:rsidR="00224C76">
        <w:rPr>
          <w:rStyle w:val="FootnoteReference"/>
          <w:rFonts w:cs="Arial"/>
          <w:color w:val="000000"/>
          <w:szCs w:val="22"/>
          <w:shd w:val="clear" w:color="auto" w:fill="FFFFFF"/>
        </w:rPr>
        <w:footnoteReference w:id="36"/>
      </w:r>
      <w:r w:rsidR="00A42D97">
        <w:rPr>
          <w:rStyle w:val="normaltextrun"/>
          <w:rFonts w:cs="Arial"/>
          <w:color w:val="000000"/>
          <w:szCs w:val="22"/>
          <w:shd w:val="clear" w:color="auto" w:fill="FFFFFF"/>
        </w:rPr>
        <w:t>.</w:t>
      </w:r>
    </w:p>
    <w:p w14:paraId="083EB5D9" w14:textId="604DEC01" w:rsidR="00012916" w:rsidRDefault="00607410" w:rsidP="00A5320D">
      <w:pPr>
        <w:ind w:left="357" w:right="720"/>
        <w:jc w:val="both"/>
        <w:rPr>
          <w:rStyle w:val="normaltextrun"/>
          <w:rFonts w:cs="Arial"/>
          <w:b/>
          <w:color w:val="6B2976"/>
          <w:szCs w:val="22"/>
          <w:shd w:val="clear" w:color="auto" w:fill="FFFFFF"/>
        </w:rPr>
      </w:pPr>
      <w:r>
        <w:rPr>
          <w:rStyle w:val="normaltextrun"/>
          <w:rFonts w:cs="Arial"/>
          <w:i/>
          <w:color w:val="6B2976"/>
          <w:szCs w:val="22"/>
          <w:shd w:val="clear" w:color="auto" w:fill="FFFFFF"/>
        </w:rPr>
        <w:t>“T</w:t>
      </w:r>
      <w:r w:rsidR="00012916" w:rsidRPr="000203BD">
        <w:rPr>
          <w:rStyle w:val="normaltextrun"/>
          <w:rFonts w:cs="Arial"/>
          <w:i/>
          <w:iCs/>
          <w:color w:val="6B2976"/>
          <w:szCs w:val="22"/>
          <w:shd w:val="clear" w:color="auto" w:fill="FFFFFF"/>
        </w:rPr>
        <w:t>his</w:t>
      </w:r>
      <w:r w:rsidR="00012916" w:rsidRPr="000203BD">
        <w:rPr>
          <w:rStyle w:val="normaltextrun"/>
          <w:rFonts w:cs="Arial"/>
          <w:i/>
          <w:color w:val="6B2976"/>
          <w:szCs w:val="22"/>
          <w:shd w:val="clear" w:color="auto" w:fill="FFFFFF"/>
        </w:rPr>
        <w:t xml:space="preserve"> is a specific example: The applicant asks for 10 hours a week of domestic suppor</w:t>
      </w:r>
      <w:r w:rsidR="008F4376">
        <w:rPr>
          <w:rStyle w:val="normaltextrun"/>
          <w:rFonts w:cs="Arial"/>
          <w:i/>
          <w:color w:val="6B2976"/>
          <w:szCs w:val="22"/>
          <w:shd w:val="clear" w:color="auto" w:fill="FFFFFF"/>
        </w:rPr>
        <w:t>t</w:t>
      </w:r>
      <w:r w:rsidR="006D47A2">
        <w:rPr>
          <w:rStyle w:val="normaltextrun"/>
          <w:rFonts w:cs="Arial"/>
          <w:i/>
          <w:color w:val="6B2976"/>
          <w:szCs w:val="22"/>
          <w:shd w:val="clear" w:color="auto" w:fill="FFFFFF"/>
        </w:rPr>
        <w:t>,</w:t>
      </w:r>
      <w:r w:rsidR="00012916" w:rsidRPr="000203BD">
        <w:rPr>
          <w:rStyle w:val="normaltextrun"/>
          <w:rFonts w:cs="Arial"/>
          <w:i/>
          <w:color w:val="6B2976"/>
          <w:szCs w:val="22"/>
          <w:shd w:val="clear" w:color="auto" w:fill="FFFFFF"/>
        </w:rPr>
        <w:t xml:space="preserve"> but the </w:t>
      </w:r>
      <w:r w:rsidR="008F4376">
        <w:rPr>
          <w:rStyle w:val="normaltextrun"/>
          <w:rFonts w:cs="Arial"/>
          <w:i/>
          <w:color w:val="6B2976"/>
          <w:szCs w:val="22"/>
          <w:shd w:val="clear" w:color="auto" w:fill="FFFFFF"/>
        </w:rPr>
        <w:t>plan</w:t>
      </w:r>
      <w:r w:rsidR="00012916" w:rsidRPr="000203BD">
        <w:rPr>
          <w:rStyle w:val="normaltextrun"/>
          <w:rFonts w:cs="Arial"/>
          <w:i/>
          <w:color w:val="6B2976"/>
          <w:szCs w:val="22"/>
          <w:shd w:val="clear" w:color="auto" w:fill="FFFFFF"/>
        </w:rPr>
        <w:t xml:space="preserve"> </w:t>
      </w:r>
      <w:r w:rsidR="008F4376">
        <w:rPr>
          <w:rStyle w:val="normaltextrun"/>
          <w:rFonts w:cs="Arial"/>
          <w:i/>
          <w:color w:val="6B2976"/>
          <w:szCs w:val="22"/>
          <w:shd w:val="clear" w:color="auto" w:fill="FFFFFF"/>
        </w:rPr>
        <w:t>includes</w:t>
      </w:r>
      <w:r w:rsidR="00012916" w:rsidRPr="000203BD">
        <w:rPr>
          <w:rStyle w:val="normaltextrun"/>
          <w:rFonts w:cs="Arial"/>
          <w:i/>
          <w:color w:val="6B2976"/>
          <w:szCs w:val="22"/>
          <w:shd w:val="clear" w:color="auto" w:fill="FFFFFF"/>
        </w:rPr>
        <w:t xml:space="preserve"> </w:t>
      </w:r>
      <w:r w:rsidR="006D47A2">
        <w:rPr>
          <w:rStyle w:val="normaltextrun"/>
          <w:rFonts w:cs="Arial"/>
          <w:i/>
          <w:color w:val="6B2976"/>
          <w:szCs w:val="22"/>
          <w:shd w:val="clear" w:color="auto" w:fill="FFFFFF"/>
        </w:rPr>
        <w:t>six</w:t>
      </w:r>
      <w:r w:rsidR="00012916" w:rsidRPr="000203BD">
        <w:rPr>
          <w:rStyle w:val="normaltextrun"/>
          <w:rFonts w:cs="Arial"/>
          <w:i/>
          <w:color w:val="6B2976"/>
          <w:szCs w:val="22"/>
          <w:shd w:val="clear" w:color="auto" w:fill="FFFFFF"/>
        </w:rPr>
        <w:t xml:space="preserve"> hours a week of domestic support</w:t>
      </w:r>
      <w:r w:rsidR="008F4376">
        <w:rPr>
          <w:rStyle w:val="normaltextrun"/>
          <w:rFonts w:cs="Arial"/>
          <w:i/>
          <w:color w:val="6B2976"/>
          <w:szCs w:val="22"/>
          <w:shd w:val="clear" w:color="auto" w:fill="FFFFFF"/>
        </w:rPr>
        <w:t xml:space="preserve"> and </w:t>
      </w:r>
      <w:r w:rsidR="006D47A2">
        <w:rPr>
          <w:rStyle w:val="normaltextrun"/>
          <w:rFonts w:cs="Arial"/>
          <w:i/>
          <w:color w:val="6B2976"/>
          <w:szCs w:val="22"/>
          <w:shd w:val="clear" w:color="auto" w:fill="FFFFFF"/>
        </w:rPr>
        <w:t>four</w:t>
      </w:r>
      <w:r w:rsidR="00012916" w:rsidRPr="000203BD">
        <w:rPr>
          <w:rStyle w:val="normaltextrun"/>
          <w:rFonts w:cs="Arial"/>
          <w:i/>
          <w:color w:val="6B2976"/>
          <w:szCs w:val="22"/>
          <w:shd w:val="clear" w:color="auto" w:fill="FFFFFF"/>
        </w:rPr>
        <w:t xml:space="preserve"> hours a week f</w:t>
      </w:r>
      <w:r w:rsidR="002C3565">
        <w:rPr>
          <w:rStyle w:val="normaltextrun"/>
          <w:rFonts w:cs="Arial"/>
          <w:i/>
          <w:color w:val="6B2976"/>
          <w:szCs w:val="22"/>
          <w:shd w:val="clear" w:color="auto" w:fill="FFFFFF"/>
        </w:rPr>
        <w:t>or</w:t>
      </w:r>
      <w:r w:rsidR="00012916" w:rsidRPr="000203BD">
        <w:rPr>
          <w:rStyle w:val="normaltextrun"/>
          <w:rFonts w:cs="Arial"/>
          <w:i/>
          <w:color w:val="6B2976"/>
          <w:szCs w:val="22"/>
          <w:shd w:val="clear" w:color="auto" w:fill="FFFFFF"/>
        </w:rPr>
        <w:t xml:space="preserve"> assistance with activities of daily living. The</w:t>
      </w:r>
      <w:r w:rsidR="00BD615F" w:rsidRPr="000203BD">
        <w:rPr>
          <w:rStyle w:val="normaltextrun"/>
          <w:rFonts w:cs="Arial"/>
          <w:i/>
          <w:color w:val="6B2976"/>
          <w:szCs w:val="22"/>
          <w:shd w:val="clear" w:color="auto" w:fill="FFFFFF"/>
        </w:rPr>
        <w:t xml:space="preserve"> participant</w:t>
      </w:r>
      <w:r w:rsidR="00012916" w:rsidRPr="000203BD">
        <w:rPr>
          <w:rStyle w:val="normaltextrun"/>
          <w:rFonts w:cs="Arial"/>
          <w:i/>
          <w:color w:val="6B2976"/>
          <w:szCs w:val="22"/>
          <w:shd w:val="clear" w:color="auto" w:fill="FFFFFF"/>
        </w:rPr>
        <w:t xml:space="preserve"> then </w:t>
      </w:r>
      <w:r w:rsidR="009C0C69" w:rsidRPr="000203BD">
        <w:rPr>
          <w:rStyle w:val="normaltextrun"/>
          <w:rFonts w:cs="Arial"/>
          <w:i/>
          <w:color w:val="6B2976"/>
          <w:szCs w:val="22"/>
          <w:shd w:val="clear" w:color="auto" w:fill="FFFFFF"/>
        </w:rPr>
        <w:t>appeals,</w:t>
      </w:r>
      <w:r w:rsidR="00012916" w:rsidRPr="000203BD">
        <w:rPr>
          <w:rStyle w:val="normaltextrun"/>
          <w:rFonts w:cs="Arial"/>
          <w:i/>
          <w:color w:val="6B2976"/>
          <w:szCs w:val="22"/>
          <w:shd w:val="clear" w:color="auto" w:fill="FFFFFF"/>
        </w:rPr>
        <w:t xml:space="preserve"> </w:t>
      </w:r>
      <w:r w:rsidR="00151D66" w:rsidRPr="000203BD">
        <w:rPr>
          <w:rStyle w:val="normaltextrun"/>
          <w:rFonts w:cs="Arial"/>
          <w:i/>
          <w:color w:val="6B2976"/>
          <w:szCs w:val="22"/>
          <w:shd w:val="clear" w:color="auto" w:fill="FFFFFF"/>
        </w:rPr>
        <w:t>and</w:t>
      </w:r>
      <w:r w:rsidR="00012916" w:rsidRPr="000203BD">
        <w:rPr>
          <w:rStyle w:val="normaltextrun"/>
          <w:rFonts w:cs="Arial"/>
          <w:i/>
          <w:color w:val="6B2976"/>
          <w:szCs w:val="22"/>
          <w:shd w:val="clear" w:color="auto" w:fill="FFFFFF"/>
        </w:rPr>
        <w:t xml:space="preserve"> the </w:t>
      </w:r>
      <w:r w:rsidR="009160C2" w:rsidRPr="000203BD">
        <w:rPr>
          <w:rStyle w:val="normaltextrun"/>
          <w:rFonts w:cs="Arial"/>
          <w:i/>
          <w:color w:val="6B2976"/>
          <w:szCs w:val="22"/>
          <w:shd w:val="clear" w:color="auto" w:fill="FFFFFF"/>
        </w:rPr>
        <w:t xml:space="preserve">NDIA </w:t>
      </w:r>
      <w:r w:rsidR="00012916" w:rsidRPr="000203BD">
        <w:rPr>
          <w:rStyle w:val="normaltextrun"/>
          <w:rFonts w:cs="Arial"/>
          <w:i/>
          <w:color w:val="6B2976"/>
          <w:szCs w:val="22"/>
          <w:shd w:val="clear" w:color="auto" w:fill="FFFFFF"/>
        </w:rPr>
        <w:t xml:space="preserve">says no, </w:t>
      </w:r>
      <w:r w:rsidR="006D47A2">
        <w:rPr>
          <w:rStyle w:val="normaltextrun"/>
          <w:rFonts w:cs="Arial"/>
          <w:i/>
          <w:color w:val="6B2976"/>
          <w:szCs w:val="22"/>
          <w:shd w:val="clear" w:color="auto" w:fill="FFFFFF"/>
        </w:rPr>
        <w:t>six</w:t>
      </w:r>
      <w:r w:rsidR="00012916" w:rsidRPr="000203BD">
        <w:rPr>
          <w:rStyle w:val="normaltextrun"/>
          <w:rFonts w:cs="Arial"/>
          <w:i/>
          <w:color w:val="6B2976"/>
          <w:szCs w:val="22"/>
          <w:shd w:val="clear" w:color="auto" w:fill="FFFFFF"/>
        </w:rPr>
        <w:t xml:space="preserve"> hours a week of domestic support is reasonable</w:t>
      </w:r>
      <w:r w:rsidR="006005DA" w:rsidRPr="000203BD">
        <w:rPr>
          <w:rStyle w:val="normaltextrun"/>
          <w:rFonts w:cs="Arial"/>
          <w:i/>
          <w:color w:val="6B2976"/>
          <w:szCs w:val="22"/>
          <w:shd w:val="clear" w:color="auto" w:fill="FFFFFF"/>
        </w:rPr>
        <w:t xml:space="preserve"> and</w:t>
      </w:r>
      <w:r w:rsidR="00012916" w:rsidRPr="000203BD">
        <w:rPr>
          <w:rStyle w:val="normaltextrun"/>
          <w:rFonts w:cs="Arial"/>
          <w:i/>
          <w:color w:val="6B2976"/>
          <w:szCs w:val="22"/>
          <w:shd w:val="clear" w:color="auto" w:fill="FFFFFF"/>
        </w:rPr>
        <w:t xml:space="preserve"> necessary. So they go to the AAT when </w:t>
      </w:r>
      <w:r w:rsidR="002A04B2">
        <w:rPr>
          <w:rStyle w:val="normaltextrun"/>
          <w:rFonts w:cs="Arial"/>
          <w:i/>
          <w:color w:val="6B2976"/>
          <w:szCs w:val="22"/>
          <w:shd w:val="clear" w:color="auto" w:fill="FFFFFF"/>
        </w:rPr>
        <w:t xml:space="preserve">the </w:t>
      </w:r>
      <w:r w:rsidR="00E100FF">
        <w:rPr>
          <w:rStyle w:val="normaltextrun"/>
          <w:rFonts w:cs="Arial"/>
          <w:i/>
          <w:color w:val="6B2976"/>
          <w:szCs w:val="22"/>
          <w:shd w:val="clear" w:color="auto" w:fill="FFFFFF"/>
        </w:rPr>
        <w:t xml:space="preserve">planner or </w:t>
      </w:r>
      <w:r w:rsidR="002A04B2">
        <w:rPr>
          <w:rStyle w:val="normaltextrun"/>
          <w:rFonts w:cs="Arial"/>
          <w:i/>
          <w:color w:val="6B2976"/>
          <w:szCs w:val="22"/>
          <w:shd w:val="clear" w:color="auto" w:fill="FFFFFF"/>
        </w:rPr>
        <w:t xml:space="preserve">NDIA could have </w:t>
      </w:r>
      <w:r w:rsidR="00E100FF">
        <w:rPr>
          <w:rStyle w:val="normaltextrun"/>
          <w:rFonts w:cs="Arial"/>
          <w:i/>
          <w:color w:val="6B2976"/>
          <w:szCs w:val="22"/>
          <w:shd w:val="clear" w:color="auto" w:fill="FFFFFF"/>
        </w:rPr>
        <w:t xml:space="preserve">told the </w:t>
      </w:r>
      <w:r w:rsidR="002A04B2">
        <w:rPr>
          <w:rStyle w:val="normaltextrun"/>
          <w:rFonts w:cs="Arial"/>
          <w:i/>
          <w:color w:val="6B2976"/>
          <w:szCs w:val="22"/>
          <w:shd w:val="clear" w:color="auto" w:fill="FFFFFF"/>
        </w:rPr>
        <w:t>participant that they</w:t>
      </w:r>
      <w:r w:rsidR="00E100FF">
        <w:rPr>
          <w:rStyle w:val="normaltextrun"/>
          <w:rFonts w:cs="Arial"/>
          <w:i/>
          <w:color w:val="6B2976"/>
          <w:szCs w:val="22"/>
          <w:shd w:val="clear" w:color="auto" w:fill="FFFFFF"/>
        </w:rPr>
        <w:t xml:space="preserve"> received 1</w:t>
      </w:r>
      <w:r w:rsidR="00012916" w:rsidRPr="000203BD">
        <w:rPr>
          <w:rStyle w:val="normaltextrun"/>
          <w:rFonts w:cs="Arial"/>
          <w:i/>
          <w:color w:val="6B2976"/>
          <w:szCs w:val="22"/>
          <w:shd w:val="clear" w:color="auto" w:fill="FFFFFF"/>
        </w:rPr>
        <w:t>0 hours of assistance</w:t>
      </w:r>
      <w:r w:rsidR="00E100FF">
        <w:rPr>
          <w:rStyle w:val="normaltextrun"/>
          <w:rFonts w:cs="Arial"/>
          <w:i/>
          <w:color w:val="6B2976"/>
          <w:szCs w:val="22"/>
          <w:shd w:val="clear" w:color="auto" w:fill="FFFFFF"/>
        </w:rPr>
        <w:t xml:space="preserve"> they</w:t>
      </w:r>
      <w:r w:rsidR="00012916" w:rsidRPr="000203BD">
        <w:rPr>
          <w:rStyle w:val="normaltextrun"/>
          <w:rFonts w:cs="Arial"/>
          <w:i/>
          <w:color w:val="6B2976"/>
          <w:szCs w:val="22"/>
          <w:shd w:val="clear" w:color="auto" w:fill="FFFFFF"/>
        </w:rPr>
        <w:t xml:space="preserve"> can use flexibly. That</w:t>
      </w:r>
      <w:r w:rsidR="000672C0">
        <w:rPr>
          <w:rStyle w:val="normaltextrun"/>
          <w:rFonts w:cs="Arial"/>
          <w:i/>
          <w:color w:val="6B2976"/>
          <w:szCs w:val="22"/>
          <w:shd w:val="clear" w:color="auto" w:fill="FFFFFF"/>
        </w:rPr>
        <w:t>’s</w:t>
      </w:r>
      <w:r w:rsidR="00012916" w:rsidRPr="000203BD">
        <w:rPr>
          <w:rStyle w:val="normaltextrun"/>
          <w:rFonts w:cs="Arial"/>
          <w:i/>
          <w:color w:val="6B2976"/>
          <w:szCs w:val="22"/>
          <w:shd w:val="clear" w:color="auto" w:fill="FFFFFF"/>
        </w:rPr>
        <w:t xml:space="preserve"> open reasoning, communication </w:t>
      </w:r>
      <w:r w:rsidR="00C94B48" w:rsidRPr="000203BD">
        <w:rPr>
          <w:rStyle w:val="normaltextrun"/>
          <w:rFonts w:cs="Arial"/>
          <w:i/>
          <w:color w:val="6B2976"/>
          <w:szCs w:val="22"/>
          <w:shd w:val="clear" w:color="auto" w:fill="FFFFFF"/>
        </w:rPr>
        <w:t>on</w:t>
      </w:r>
      <w:r w:rsidR="009D1FA8" w:rsidRPr="000203BD">
        <w:rPr>
          <w:rStyle w:val="normaltextrun"/>
          <w:rFonts w:cs="Arial"/>
          <w:i/>
          <w:color w:val="6B2976"/>
          <w:szCs w:val="22"/>
          <w:shd w:val="clear" w:color="auto" w:fill="FFFFFF"/>
        </w:rPr>
        <w:t xml:space="preserve"> </w:t>
      </w:r>
      <w:r w:rsidR="00012916" w:rsidRPr="000203BD">
        <w:rPr>
          <w:rStyle w:val="normaltextrun"/>
          <w:rFonts w:cs="Arial"/>
          <w:i/>
          <w:color w:val="6B2976"/>
          <w:szCs w:val="22"/>
          <w:shd w:val="clear" w:color="auto" w:fill="FFFFFF"/>
        </w:rPr>
        <w:t xml:space="preserve">what the plan is for </w:t>
      </w:r>
      <w:r w:rsidR="009D1FA8" w:rsidRPr="000203BD">
        <w:rPr>
          <w:rStyle w:val="normaltextrun"/>
          <w:rFonts w:cs="Arial"/>
          <w:i/>
          <w:color w:val="6B2976"/>
          <w:szCs w:val="22"/>
          <w:shd w:val="clear" w:color="auto" w:fill="FFFFFF"/>
        </w:rPr>
        <w:t xml:space="preserve">and </w:t>
      </w:r>
      <w:r w:rsidR="00012916" w:rsidRPr="000203BD">
        <w:rPr>
          <w:rStyle w:val="normaltextrun"/>
          <w:rFonts w:cs="Arial"/>
          <w:i/>
          <w:color w:val="6B2976"/>
          <w:szCs w:val="22"/>
          <w:shd w:val="clear" w:color="auto" w:fill="FFFFFF"/>
        </w:rPr>
        <w:t xml:space="preserve">what's been allocated. I know that's a lot of work at the front </w:t>
      </w:r>
      <w:r w:rsidR="00D9531D" w:rsidRPr="000203BD">
        <w:rPr>
          <w:rStyle w:val="normaltextrun"/>
          <w:rFonts w:cs="Arial"/>
          <w:i/>
          <w:color w:val="6B2976"/>
          <w:szCs w:val="22"/>
          <w:shd w:val="clear" w:color="auto" w:fill="FFFFFF"/>
        </w:rPr>
        <w:t>end</w:t>
      </w:r>
      <w:r w:rsidR="00542CA9" w:rsidRPr="000203BD">
        <w:rPr>
          <w:rStyle w:val="normaltextrun"/>
          <w:rFonts w:cs="Arial"/>
          <w:i/>
          <w:color w:val="6B2976"/>
          <w:szCs w:val="22"/>
          <w:shd w:val="clear" w:color="auto" w:fill="FFFFFF"/>
        </w:rPr>
        <w:t>,</w:t>
      </w:r>
      <w:r w:rsidR="00012916" w:rsidRPr="000203BD">
        <w:rPr>
          <w:rStyle w:val="normaltextrun"/>
          <w:rFonts w:cs="Arial"/>
          <w:i/>
          <w:color w:val="6B2976"/>
          <w:szCs w:val="22"/>
          <w:shd w:val="clear" w:color="auto" w:fill="FFFFFF"/>
        </w:rPr>
        <w:t xml:space="preserve"> but I think it'll save a lot of back</w:t>
      </w:r>
      <w:r w:rsidR="0097246E" w:rsidRPr="000203BD">
        <w:rPr>
          <w:rStyle w:val="normaltextrun"/>
          <w:rFonts w:cs="Arial"/>
          <w:i/>
          <w:iCs/>
          <w:color w:val="6B2976"/>
          <w:szCs w:val="22"/>
          <w:shd w:val="clear" w:color="auto" w:fill="FFFFFF"/>
        </w:rPr>
        <w:t>-</w:t>
      </w:r>
      <w:r w:rsidR="00012916" w:rsidRPr="000203BD">
        <w:rPr>
          <w:rStyle w:val="normaltextrun"/>
          <w:rFonts w:cs="Arial"/>
          <w:i/>
          <w:color w:val="6B2976"/>
          <w:szCs w:val="22"/>
          <w:shd w:val="clear" w:color="auto" w:fill="FFFFFF"/>
        </w:rPr>
        <w:t>end disputes</w:t>
      </w:r>
      <w:r w:rsidR="00012916" w:rsidRPr="000203BD">
        <w:rPr>
          <w:rStyle w:val="normaltextrun"/>
          <w:rFonts w:cs="Arial"/>
          <w:i/>
          <w:iCs/>
          <w:color w:val="6B2976"/>
          <w:szCs w:val="22"/>
          <w:shd w:val="clear" w:color="auto" w:fill="FFFFFF"/>
        </w:rPr>
        <w:t>.</w:t>
      </w:r>
      <w:r w:rsidR="0097246E">
        <w:rPr>
          <w:rStyle w:val="normaltextrun"/>
          <w:rFonts w:cs="Arial"/>
          <w:i/>
          <w:iCs/>
          <w:color w:val="6B2976"/>
          <w:szCs w:val="22"/>
          <w:shd w:val="clear" w:color="auto" w:fill="FFFFFF"/>
        </w:rPr>
        <w:t xml:space="preserve">” </w:t>
      </w:r>
      <w:r w:rsidR="0097246E">
        <w:rPr>
          <w:rStyle w:val="normaltextrun"/>
          <w:rFonts w:cs="Arial"/>
          <w:b/>
          <w:bCs/>
          <w:color w:val="6B2976"/>
          <w:szCs w:val="22"/>
          <w:shd w:val="clear" w:color="auto" w:fill="FFFFFF"/>
        </w:rPr>
        <w:t xml:space="preserve">Independent </w:t>
      </w:r>
      <w:r w:rsidR="007B527C">
        <w:rPr>
          <w:rStyle w:val="normaltextrun"/>
          <w:rFonts w:cs="Arial"/>
          <w:b/>
          <w:bCs/>
          <w:color w:val="6B2976"/>
          <w:szCs w:val="22"/>
          <w:shd w:val="clear" w:color="auto" w:fill="FFFFFF"/>
        </w:rPr>
        <w:t>e</w:t>
      </w:r>
      <w:r w:rsidR="0097246E">
        <w:rPr>
          <w:rStyle w:val="normaltextrun"/>
          <w:rFonts w:cs="Arial"/>
          <w:b/>
          <w:bCs/>
          <w:color w:val="6B2976"/>
          <w:szCs w:val="22"/>
          <w:shd w:val="clear" w:color="auto" w:fill="FFFFFF"/>
        </w:rPr>
        <w:t xml:space="preserve">xpert, </w:t>
      </w:r>
      <w:r w:rsidR="007B527C">
        <w:rPr>
          <w:rStyle w:val="normaltextrun"/>
          <w:rFonts w:cs="Arial"/>
          <w:b/>
          <w:bCs/>
          <w:color w:val="6B2976"/>
          <w:szCs w:val="22"/>
          <w:shd w:val="clear" w:color="auto" w:fill="FFFFFF"/>
        </w:rPr>
        <w:t>i</w:t>
      </w:r>
      <w:r w:rsidR="0097246E">
        <w:rPr>
          <w:rStyle w:val="normaltextrun"/>
          <w:rFonts w:cs="Arial"/>
          <w:b/>
          <w:bCs/>
          <w:color w:val="6B2976"/>
          <w:szCs w:val="22"/>
          <w:shd w:val="clear" w:color="auto" w:fill="FFFFFF"/>
        </w:rPr>
        <w:t>nterview</w:t>
      </w:r>
      <w:r w:rsidR="00A7439B">
        <w:rPr>
          <w:rStyle w:val="normaltextrun"/>
          <w:rFonts w:cs="Arial"/>
          <w:b/>
          <w:bCs/>
          <w:color w:val="6B2976"/>
          <w:szCs w:val="22"/>
          <w:shd w:val="clear" w:color="auto" w:fill="FFFFFF"/>
        </w:rPr>
        <w:t>.</w:t>
      </w:r>
    </w:p>
    <w:p w14:paraId="541F7AF8" w14:textId="71D13F6D" w:rsidR="00B00235" w:rsidRDefault="00AD248C" w:rsidP="008E2F52">
      <w:pPr>
        <w:rPr>
          <w:rStyle w:val="normaltextrun"/>
          <w:rFonts w:cs="Arial"/>
          <w:color w:val="000000"/>
          <w:szCs w:val="22"/>
          <w:shd w:val="clear" w:color="auto" w:fill="FFFFFF"/>
        </w:rPr>
      </w:pPr>
      <w:r>
        <w:rPr>
          <w:rStyle w:val="normaltextrun"/>
          <w:rFonts w:cs="Arial"/>
          <w:color w:val="000000"/>
          <w:szCs w:val="22"/>
          <w:shd w:val="clear" w:color="auto" w:fill="FFFFFF"/>
        </w:rPr>
        <w:t xml:space="preserve">While </w:t>
      </w:r>
      <w:r w:rsidR="00F13DDA">
        <w:rPr>
          <w:rStyle w:val="normaltextrun"/>
          <w:rFonts w:cs="Arial"/>
          <w:color w:val="000000"/>
          <w:szCs w:val="22"/>
          <w:shd w:val="clear" w:color="auto" w:fill="FFFFFF"/>
        </w:rPr>
        <w:t xml:space="preserve">educating participants about how they can use their plans flexibly </w:t>
      </w:r>
      <w:r w:rsidR="00457694">
        <w:rPr>
          <w:rStyle w:val="normaltextrun"/>
          <w:rFonts w:cs="Arial"/>
          <w:color w:val="000000"/>
          <w:szCs w:val="22"/>
          <w:shd w:val="clear" w:color="auto" w:fill="FFFFFF"/>
        </w:rPr>
        <w:t xml:space="preserve">within existing legislation </w:t>
      </w:r>
      <w:r w:rsidR="00AB60ED">
        <w:rPr>
          <w:rStyle w:val="normaltextrun"/>
          <w:rFonts w:cs="Arial"/>
          <w:color w:val="000000"/>
          <w:szCs w:val="22"/>
          <w:shd w:val="clear" w:color="auto" w:fill="FFFFFF"/>
        </w:rPr>
        <w:t>will not</w:t>
      </w:r>
      <w:r w:rsidR="00F13DDA">
        <w:rPr>
          <w:rStyle w:val="normaltextrun"/>
          <w:rFonts w:cs="Arial"/>
          <w:color w:val="000000"/>
          <w:szCs w:val="22"/>
          <w:shd w:val="clear" w:color="auto" w:fill="FFFFFF"/>
        </w:rPr>
        <w:t xml:space="preserve"> resolve disputes</w:t>
      </w:r>
      <w:r>
        <w:rPr>
          <w:rStyle w:val="normaltextrun"/>
          <w:rFonts w:cs="Arial"/>
          <w:color w:val="000000"/>
          <w:szCs w:val="22"/>
          <w:shd w:val="clear" w:color="auto" w:fill="FFFFFF"/>
        </w:rPr>
        <w:t xml:space="preserve"> for large budget items</w:t>
      </w:r>
      <w:r w:rsidR="00AB60ED">
        <w:rPr>
          <w:rStyle w:val="normaltextrun"/>
          <w:rFonts w:cs="Arial"/>
          <w:color w:val="000000"/>
          <w:szCs w:val="22"/>
          <w:shd w:val="clear" w:color="auto" w:fill="FFFFFF"/>
        </w:rPr>
        <w:t>,</w:t>
      </w:r>
      <w:r>
        <w:rPr>
          <w:rStyle w:val="normaltextrun"/>
          <w:rFonts w:cs="Arial"/>
          <w:color w:val="000000"/>
          <w:szCs w:val="22"/>
          <w:shd w:val="clear" w:color="auto" w:fill="FFFFFF"/>
        </w:rPr>
        <w:t xml:space="preserve"> such as SDA and high-cost assistive technology</w:t>
      </w:r>
      <w:r w:rsidR="00F13DDA">
        <w:rPr>
          <w:rStyle w:val="normaltextrun"/>
          <w:rFonts w:cs="Arial"/>
          <w:color w:val="000000"/>
          <w:szCs w:val="22"/>
          <w:shd w:val="clear" w:color="auto" w:fill="FFFFFF"/>
        </w:rPr>
        <w:t xml:space="preserve">, </w:t>
      </w:r>
      <w:r w:rsidR="00312047">
        <w:rPr>
          <w:rStyle w:val="normaltextrun"/>
          <w:rFonts w:cs="Arial"/>
          <w:color w:val="000000"/>
          <w:szCs w:val="22"/>
          <w:shd w:val="clear" w:color="auto" w:fill="FFFFFF"/>
        </w:rPr>
        <w:t xml:space="preserve">it </w:t>
      </w:r>
      <w:r w:rsidR="00A5320D">
        <w:rPr>
          <w:rStyle w:val="normaltextrun"/>
          <w:rFonts w:cs="Arial"/>
          <w:color w:val="000000"/>
          <w:szCs w:val="22"/>
          <w:shd w:val="clear" w:color="auto" w:fill="FFFFFF"/>
        </w:rPr>
        <w:t>c</w:t>
      </w:r>
      <w:r w:rsidR="005547F3">
        <w:rPr>
          <w:rStyle w:val="normaltextrun"/>
          <w:rFonts w:cs="Arial"/>
          <w:color w:val="000000"/>
          <w:szCs w:val="22"/>
          <w:shd w:val="clear" w:color="auto" w:fill="FFFFFF"/>
        </w:rPr>
        <w:t xml:space="preserve">ould </w:t>
      </w:r>
      <w:r w:rsidR="00C20DA4">
        <w:rPr>
          <w:rStyle w:val="normaltextrun"/>
          <w:rFonts w:cs="Arial"/>
          <w:color w:val="000000"/>
          <w:szCs w:val="22"/>
          <w:shd w:val="clear" w:color="auto" w:fill="FFFFFF"/>
        </w:rPr>
        <w:t>reduce</w:t>
      </w:r>
      <w:r w:rsidR="005547F3">
        <w:rPr>
          <w:rStyle w:val="normaltextrun"/>
          <w:rFonts w:cs="Arial"/>
          <w:color w:val="000000"/>
          <w:szCs w:val="22"/>
          <w:shd w:val="clear" w:color="auto" w:fill="FFFFFF"/>
        </w:rPr>
        <w:t xml:space="preserve"> the risk of participants escalating some planning decisions</w:t>
      </w:r>
      <w:r w:rsidR="00655621">
        <w:rPr>
          <w:rStyle w:val="normaltextrun"/>
          <w:rFonts w:cs="Arial"/>
          <w:color w:val="000000"/>
          <w:szCs w:val="22"/>
          <w:shd w:val="clear" w:color="auto" w:fill="FFFFFF"/>
        </w:rPr>
        <w:t>.</w:t>
      </w:r>
    </w:p>
    <w:p w14:paraId="318E5627" w14:textId="756D0615" w:rsidR="00A5320D" w:rsidRDefault="00A5320D" w:rsidP="00A5320D">
      <w:pPr>
        <w:pStyle w:val="Heading3"/>
      </w:pPr>
      <w:bookmarkStart w:id="124" w:name="_Toc142918608"/>
      <w:r>
        <w:lastRenderedPageBreak/>
        <w:t>Internal (s100 reviews)</w:t>
      </w:r>
      <w:bookmarkEnd w:id="124"/>
    </w:p>
    <w:p w14:paraId="4C402D56" w14:textId="6FED3BDF" w:rsidR="005675F2" w:rsidRDefault="005675F2" w:rsidP="00952E11">
      <w:pPr>
        <w:pStyle w:val="Heading4"/>
      </w:pPr>
      <w:r>
        <w:t xml:space="preserve">Participant satisfaction with </w:t>
      </w:r>
      <w:r w:rsidR="00491C46">
        <w:t>the</w:t>
      </w:r>
      <w:r>
        <w:t xml:space="preserve"> NDI</w:t>
      </w:r>
      <w:r w:rsidR="00124305">
        <w:t>A</w:t>
      </w:r>
      <w:r>
        <w:t xml:space="preserve"> internal review</w:t>
      </w:r>
      <w:r w:rsidR="00491C46">
        <w:t xml:space="preserve"> process</w:t>
      </w:r>
    </w:p>
    <w:p w14:paraId="06DA2385" w14:textId="13FE1FB5" w:rsidR="005163D5" w:rsidRDefault="00F83CD9" w:rsidP="00013A86">
      <w:r>
        <w:fldChar w:fldCharType="begin"/>
      </w:r>
      <w:r>
        <w:instrText xml:space="preserve"> REF _Ref137644423 \h </w:instrText>
      </w:r>
      <w:r>
        <w:fldChar w:fldCharType="separate"/>
      </w:r>
      <w:r w:rsidR="000F1876" w:rsidRPr="00EB3D5D">
        <w:t xml:space="preserve">Figure </w:t>
      </w:r>
      <w:r w:rsidR="000F1876">
        <w:rPr>
          <w:noProof/>
        </w:rPr>
        <w:t>10</w:t>
      </w:r>
      <w:r>
        <w:fldChar w:fldCharType="end"/>
      </w:r>
      <w:r w:rsidR="003409CD" w:rsidRPr="0043390B">
        <w:t xml:space="preserve"> </w:t>
      </w:r>
      <w:r w:rsidR="00EA24D4" w:rsidRPr="0043390B">
        <w:t>in</w:t>
      </w:r>
      <w:r w:rsidR="00EA24D4">
        <w:t xml:space="preserve"> </w:t>
      </w:r>
      <w:r w:rsidR="003B5743">
        <w:t xml:space="preserve">the previous section shows that </w:t>
      </w:r>
      <w:r w:rsidR="00AB7622">
        <w:t xml:space="preserve">only </w:t>
      </w:r>
      <w:r w:rsidR="001220F0">
        <w:t xml:space="preserve">around </w:t>
      </w:r>
      <w:r w:rsidR="00CC1B39">
        <w:t>6</w:t>
      </w:r>
      <w:r w:rsidR="009B0C43">
        <w:t xml:space="preserve">% of </w:t>
      </w:r>
      <w:r w:rsidR="00243291">
        <w:t>NDIS plan</w:t>
      </w:r>
      <w:r w:rsidR="00E57C34">
        <w:t>s are the subject of internal reviews</w:t>
      </w:r>
      <w:r w:rsidR="00CC1B39">
        <w:t xml:space="preserve"> and only 2% </w:t>
      </w:r>
      <w:r w:rsidR="007E0A49">
        <w:t>are the</w:t>
      </w:r>
      <w:r w:rsidR="002748E4">
        <w:t xml:space="preserve">n </w:t>
      </w:r>
      <w:r w:rsidR="007E0A49">
        <w:t>the subject of an external review.</w:t>
      </w:r>
      <w:r w:rsidR="00E7428D">
        <w:t xml:space="preserve"> </w:t>
      </w:r>
      <w:r w:rsidR="00994470">
        <w:t>Furthermore, of the decisions that bec</w:t>
      </w:r>
      <w:r w:rsidR="00FA7A25">
        <w:t>a</w:t>
      </w:r>
      <w:r w:rsidR="00994470">
        <w:t>me the subject of an internal review, around</w:t>
      </w:r>
      <w:r w:rsidR="002D1E71">
        <w:t xml:space="preserve"> 20% of </w:t>
      </w:r>
      <w:r w:rsidR="00994470">
        <w:t>support-</w:t>
      </w:r>
      <w:r w:rsidR="00980A36">
        <w:t xml:space="preserve">related </w:t>
      </w:r>
      <w:r w:rsidR="00994470">
        <w:t>decisions escalate</w:t>
      </w:r>
      <w:r w:rsidR="005B3FC6">
        <w:t xml:space="preserve"> to </w:t>
      </w:r>
      <w:r w:rsidR="005B17AD">
        <w:t>an external review</w:t>
      </w:r>
      <w:r w:rsidR="00790CE6">
        <w:t xml:space="preserve"> </w:t>
      </w:r>
      <w:r w:rsidR="008803D0">
        <w:t xml:space="preserve">(see </w:t>
      </w:r>
      <w:r w:rsidR="008803D0">
        <w:fldChar w:fldCharType="begin"/>
      </w:r>
      <w:r w:rsidR="008803D0">
        <w:instrText xml:space="preserve"> REF _Ref135218256 \h </w:instrText>
      </w:r>
      <w:r w:rsidR="008803D0">
        <w:fldChar w:fldCharType="separate"/>
      </w:r>
      <w:r w:rsidR="000F1876" w:rsidRPr="00EB3D5D">
        <w:t xml:space="preserve">Figure </w:t>
      </w:r>
      <w:r w:rsidR="000F1876">
        <w:rPr>
          <w:noProof/>
        </w:rPr>
        <w:t>13</w:t>
      </w:r>
      <w:r w:rsidR="008803D0">
        <w:fldChar w:fldCharType="end"/>
      </w:r>
      <w:r w:rsidR="008803D0">
        <w:t xml:space="preserve"> </w:t>
      </w:r>
      <w:r w:rsidR="00790CE6">
        <w:t>below)</w:t>
      </w:r>
      <w:r w:rsidR="005B17AD">
        <w:t>.</w:t>
      </w:r>
      <w:r w:rsidR="005B2065">
        <w:t xml:space="preserve"> This suggests that</w:t>
      </w:r>
      <w:r w:rsidR="00D326BE">
        <w:t xml:space="preserve"> most plan-related internal review decisions are acceptable to the participant.</w:t>
      </w:r>
    </w:p>
    <w:p w14:paraId="63866FC8" w14:textId="1339EAD4" w:rsidR="00C46612" w:rsidRDefault="00D326BE" w:rsidP="00013A86">
      <w:r>
        <w:t xml:space="preserve">Similar to sentiment around their planning meeting, the fact </w:t>
      </w:r>
      <w:r w:rsidR="00D71A85">
        <w:t xml:space="preserve">that </w:t>
      </w:r>
      <w:r>
        <w:t xml:space="preserve">IERP participants escalated their dispute to </w:t>
      </w:r>
      <w:r w:rsidR="00D71A85">
        <w:t xml:space="preserve">an </w:t>
      </w:r>
      <w:r w:rsidR="00357F6B">
        <w:t>external review indicates they were unsatisfied with the internal review of their matter(s) under dispute. Indeed, s</w:t>
      </w:r>
      <w:r w:rsidR="00245BBF">
        <w:t xml:space="preserve">urvey results indicate </w:t>
      </w:r>
      <w:r w:rsidR="00B92CFC">
        <w:t>th</w:t>
      </w:r>
      <w:r w:rsidR="0046288D">
        <w:t>at</w:t>
      </w:r>
      <w:r w:rsidR="00B92CFC">
        <w:t xml:space="preserve"> </w:t>
      </w:r>
      <w:r w:rsidR="00491C46">
        <w:t xml:space="preserve">92% </w:t>
      </w:r>
      <w:r w:rsidR="00013A86">
        <w:t xml:space="preserve">(12 of 13) </w:t>
      </w:r>
      <w:r w:rsidR="00491C46">
        <w:t xml:space="preserve">of </w:t>
      </w:r>
      <w:r w:rsidR="00B92CFC">
        <w:t>IER</w:t>
      </w:r>
      <w:r w:rsidR="00491C46">
        <w:t xml:space="preserve">P </w:t>
      </w:r>
      <w:r w:rsidR="00603D14">
        <w:t xml:space="preserve">participants were </w:t>
      </w:r>
      <w:r w:rsidR="00A15DA7">
        <w:t>“Not at all satisfied”</w:t>
      </w:r>
      <w:r w:rsidR="00491C46">
        <w:t xml:space="preserve"> with the</w:t>
      </w:r>
      <w:r w:rsidR="00CE05D0">
        <w:t xml:space="preserve"> NDIA internal review process</w:t>
      </w:r>
      <w:r w:rsidR="00013A86">
        <w:t>. The remaining respondent was “Only a little bit satisfied”.</w:t>
      </w:r>
      <w:r w:rsidR="005E2F4B">
        <w:t xml:space="preserve"> </w:t>
      </w:r>
      <w:r w:rsidR="006B54C7">
        <w:t xml:space="preserve">This is not surprising given they escalated their dispute to the AAT process. </w:t>
      </w:r>
    </w:p>
    <w:p w14:paraId="13C2B0A5" w14:textId="076811AD" w:rsidR="00A37D36" w:rsidRDefault="00065F18" w:rsidP="00013A86">
      <w:r>
        <w:fldChar w:fldCharType="begin"/>
      </w:r>
      <w:r>
        <w:instrText xml:space="preserve"> REF _Ref134733002 \h </w:instrText>
      </w:r>
      <w:r>
        <w:fldChar w:fldCharType="separate"/>
      </w:r>
      <w:r w:rsidR="000F1876" w:rsidRPr="00EB3D5D">
        <w:t xml:space="preserve">Figure </w:t>
      </w:r>
      <w:r w:rsidR="000F1876">
        <w:rPr>
          <w:noProof/>
        </w:rPr>
        <w:t>12</w:t>
      </w:r>
      <w:r>
        <w:fldChar w:fldCharType="end"/>
      </w:r>
      <w:r>
        <w:t xml:space="preserve"> </w:t>
      </w:r>
      <w:r w:rsidR="00D71C50">
        <w:t xml:space="preserve">shows </w:t>
      </w:r>
      <w:r w:rsidR="00A37D36">
        <w:t xml:space="preserve">universal dissatisfaction </w:t>
      </w:r>
      <w:r w:rsidR="00B3630B">
        <w:t xml:space="preserve">with </w:t>
      </w:r>
      <w:r w:rsidR="00F16376">
        <w:t>the extent respondents felt the internal reviewer understood the issues involved and objectively considered the</w:t>
      </w:r>
      <w:r w:rsidR="00B3630B">
        <w:t>ir</w:t>
      </w:r>
      <w:r w:rsidR="00F16376">
        <w:t xml:space="preserve"> matter.</w:t>
      </w:r>
      <w:r w:rsidR="00654A86">
        <w:t xml:space="preserve"> There were also high levels of dissatisfaction with their opportunity to be heard</w:t>
      </w:r>
      <w:r w:rsidR="00D5662A">
        <w:t xml:space="preserve">, their opportunity to speak to the right person </w:t>
      </w:r>
      <w:r w:rsidR="00F84EC1">
        <w:t>about their matter</w:t>
      </w:r>
      <w:r w:rsidR="00781B1C">
        <w:t>,</w:t>
      </w:r>
      <w:r w:rsidR="00F84EC1">
        <w:t xml:space="preserve"> </w:t>
      </w:r>
      <w:r w:rsidR="00D5662A">
        <w:t xml:space="preserve">and </w:t>
      </w:r>
      <w:r w:rsidR="000D68FF">
        <w:t>information about how the Agency would un</w:t>
      </w:r>
      <w:r w:rsidR="00F84EC1">
        <w:t>dertake</w:t>
      </w:r>
      <w:r w:rsidR="000D68FF">
        <w:t xml:space="preserve"> their internal review</w:t>
      </w:r>
      <w:r w:rsidR="00F84EC1">
        <w:t>.</w:t>
      </w:r>
    </w:p>
    <w:p w14:paraId="6582AE74" w14:textId="2EFE0878" w:rsidR="00AB0C9C" w:rsidRPr="00EB3D5D" w:rsidRDefault="005E2F4B" w:rsidP="00A86241">
      <w:pPr>
        <w:pStyle w:val="Caption"/>
      </w:pPr>
      <w:bookmarkStart w:id="125" w:name="_Ref134733002"/>
      <w:r w:rsidRPr="00EB3D5D">
        <w:lastRenderedPageBreak/>
        <w:t xml:space="preserve">Figure </w:t>
      </w:r>
      <w:r w:rsidRPr="00EB3D5D">
        <w:fldChar w:fldCharType="begin"/>
      </w:r>
      <w:r w:rsidRPr="00EB3D5D">
        <w:instrText>SEQ Figure \* ARABIC</w:instrText>
      </w:r>
      <w:r w:rsidRPr="00EB3D5D">
        <w:fldChar w:fldCharType="separate"/>
      </w:r>
      <w:r w:rsidR="000F1876">
        <w:rPr>
          <w:noProof/>
        </w:rPr>
        <w:t>12</w:t>
      </w:r>
      <w:r w:rsidRPr="00EB3D5D">
        <w:fldChar w:fldCharType="end"/>
      </w:r>
      <w:bookmarkEnd w:id="125"/>
      <w:r w:rsidR="008D76DD" w:rsidRPr="00EB3D5D">
        <w:t xml:space="preserve">: Participant satisfaction with </w:t>
      </w:r>
      <w:r w:rsidR="009C0A3A" w:rsidRPr="00EB3D5D">
        <w:t xml:space="preserve">aspects of their </w:t>
      </w:r>
      <w:r w:rsidR="00F526AB" w:rsidRPr="00EB3D5D">
        <w:t xml:space="preserve">internal review </w:t>
      </w:r>
    </w:p>
    <w:p w14:paraId="795CFAC8" w14:textId="76CE5AEA" w:rsidR="009917DB" w:rsidRDefault="009917DB" w:rsidP="00CC41F6">
      <w:pPr>
        <w:spacing w:before="0" w:after="0"/>
      </w:pPr>
      <w:r>
        <w:rPr>
          <w:noProof/>
        </w:rPr>
        <w:drawing>
          <wp:inline distT="0" distB="0" distL="0" distR="0" wp14:anchorId="3351B8BA" wp14:editId="615C69F2">
            <wp:extent cx="5760000" cy="2880000"/>
            <wp:effectExtent l="0" t="0" r="0" b="0"/>
            <wp:docPr id="29" name="Chart 29" descr="Figure shows the participant satisfaction with aspects of their internal review from the IERP survey. &#10;&#10;It is a vertical stacked bar chart. Aspects along the horizontal axis include information about internal review process, speaking to the right person, opportunity to be heard, clear explanation for the decision, objectively considering the matter, and understanding the issue involved.&#10;Results record the scale of satisfaction (from completely satisfied to not at all satisfied) for 13 participants.&#10;Results reveal that a large majority (10 or more responses out of 13) of participants were &quot;not at all satisfied&quot; with the aspects.&#10;Results:&#10;Information about internal review process:&#10;Completely satisfied, 1.&#10;Mostly satisfied, 1.&#10;Somewhat satisfied, 0.&#10;Only a little bit satisfied, 1.&#10;Not at all satisfied, 10.&#10;&#10;Speaking to the right person: &#10;Completely satisfied, 1.&#10;Mostly satisfied, 0.&#10;Somewhat satisfied, 0.&#10;Only a little bit satisfied, 2.&#10;Not at all satisfied, 10.&#10;&#10;Opportunity to be heard: &#10;Completely satisfied, 1.&#10;Mostly satisfied, 0.&#10;Somewhat satisfied, 1.&#10;Only a little bit satisfied, 0.&#10;Not at all satisfied, 11.&#10;&#10;Clear explanation for the decision: &#10;Completely satisfied, 0.&#10;Mostly satisfied, 0.&#10;Somewhat satisfied, 1.&#10;Only a little bit satisfied, 0.&#10;Not at all satisfied, 12.&#10;&#10;Objectively considering the matter:&#10;Completely satisfied, 0.&#10;Mostly satisfied, 0.&#10;Somewhat satisfied, 0.&#10;Only a little bit satisfied, 0.&#10;Not at all satisfied, 13.&#10;&#10;Understanding the issues involved:&#10;Completely satisfied, 0.&#10;Mostly satisfied, 0.&#10;Somewhat satisfied, 0.&#10;Only a little bit satisfied, 0.&#10;Not at all satisfied, 1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342EAFE" w14:textId="0C24923D" w:rsidR="008D76DD" w:rsidRPr="00EB3D5D" w:rsidRDefault="008D76DD" w:rsidP="00127279">
      <w:pPr>
        <w:keepNext/>
        <w:keepLines/>
        <w:spacing w:before="0"/>
        <w:rPr>
          <w:szCs w:val="22"/>
        </w:rPr>
      </w:pPr>
      <w:r w:rsidRPr="00EB3D5D">
        <w:rPr>
          <w:szCs w:val="22"/>
        </w:rPr>
        <w:t>Source: REB online IER Program participant survey</w:t>
      </w:r>
      <w:r w:rsidR="009C0A3A" w:rsidRPr="00EB3D5D">
        <w:rPr>
          <w:szCs w:val="22"/>
        </w:rPr>
        <w:t xml:space="preserve"> (n=1</w:t>
      </w:r>
      <w:r w:rsidR="00BC2FD1" w:rsidRPr="00EB3D5D">
        <w:rPr>
          <w:szCs w:val="22"/>
        </w:rPr>
        <w:t>3</w:t>
      </w:r>
      <w:r w:rsidR="009C0A3A" w:rsidRPr="00EB3D5D">
        <w:rPr>
          <w:szCs w:val="22"/>
        </w:rPr>
        <w:t>).</w:t>
      </w:r>
    </w:p>
    <w:p w14:paraId="29A8A5BB" w14:textId="04F560E6" w:rsidR="006660E3" w:rsidRDefault="00E84EC2" w:rsidP="006660E3">
      <w:r>
        <w:t>S</w:t>
      </w:r>
      <w:r w:rsidR="006660E3">
        <w:t xml:space="preserve">everal participants reflected </w:t>
      </w:r>
      <w:r w:rsidR="002412DA">
        <w:t xml:space="preserve">in survey responses </w:t>
      </w:r>
      <w:r w:rsidR="006660E3">
        <w:t>the need for a higher level of engagement at each stage of the internal review process, including a th</w:t>
      </w:r>
      <w:r w:rsidR="00781B1C">
        <w:t>o</w:t>
      </w:r>
      <w:r w:rsidR="006660E3">
        <w:t xml:space="preserve">rough discussion and </w:t>
      </w:r>
      <w:r w:rsidR="00EE53E1">
        <w:t>provision of</w:t>
      </w:r>
      <w:r w:rsidR="006660E3">
        <w:t xml:space="preserve"> a comprehensive explanation of the review decision.</w:t>
      </w:r>
    </w:p>
    <w:p w14:paraId="45EAB739" w14:textId="2B9FF144" w:rsidR="006660E3" w:rsidRPr="001B6E4C" w:rsidRDefault="006B6350" w:rsidP="002E43A6">
      <w:pPr>
        <w:ind w:left="357" w:right="720"/>
        <w:jc w:val="both"/>
        <w:rPr>
          <w:b/>
          <w:bCs/>
          <w:color w:val="6B2976"/>
        </w:rPr>
      </w:pPr>
      <w:r>
        <w:rPr>
          <w:i/>
          <w:iCs/>
          <w:color w:val="6B2976"/>
        </w:rPr>
        <w:t>“</w:t>
      </w:r>
      <w:r w:rsidR="006660E3" w:rsidRPr="00012A97">
        <w:rPr>
          <w:i/>
          <w:iCs/>
          <w:color w:val="6B2976"/>
        </w:rPr>
        <w:t>Actually talk to us for more than a couple of minutes on the phone. Actually read the comprehensive, detailed submissions I lodged. Actually read the expert reports and follow their expert advice. Actually provide reasons for decision</w:t>
      </w:r>
      <w:r w:rsidR="006660E3">
        <w:rPr>
          <w:i/>
          <w:iCs/>
          <w:color w:val="6B2976"/>
        </w:rPr>
        <w:t>s</w:t>
      </w:r>
      <w:r w:rsidR="006660E3" w:rsidRPr="00012A97">
        <w:rPr>
          <w:i/>
          <w:iCs/>
          <w:color w:val="6B2976"/>
        </w:rPr>
        <w:t xml:space="preserve"> - none </w:t>
      </w:r>
      <w:r w:rsidR="006660E3">
        <w:rPr>
          <w:i/>
          <w:iCs/>
          <w:color w:val="6B2976"/>
        </w:rPr>
        <w:t xml:space="preserve">were </w:t>
      </w:r>
      <w:r w:rsidR="006660E3" w:rsidRPr="00012A97">
        <w:rPr>
          <w:i/>
          <w:iCs/>
          <w:color w:val="6B2976"/>
        </w:rPr>
        <w:t>given. It was also clear from the decision</w:t>
      </w:r>
      <w:r w:rsidR="002E43A6">
        <w:rPr>
          <w:i/>
          <w:iCs/>
          <w:color w:val="6B2976"/>
        </w:rPr>
        <w:t xml:space="preserve"> that</w:t>
      </w:r>
      <w:r w:rsidR="006660E3" w:rsidRPr="00012A97">
        <w:rPr>
          <w:i/>
          <w:iCs/>
          <w:color w:val="6B2976"/>
        </w:rPr>
        <w:t xml:space="preserve"> they didn't understand my case at all and hadn't read most of the documents.</w:t>
      </w:r>
      <w:r>
        <w:rPr>
          <w:i/>
          <w:iCs/>
          <w:color w:val="6B2976"/>
        </w:rPr>
        <w:t>”</w:t>
      </w:r>
      <w:r w:rsidR="006660E3">
        <w:rPr>
          <w:i/>
          <w:iCs/>
          <w:color w:val="6B2976"/>
        </w:rPr>
        <w:t xml:space="preserve"> </w:t>
      </w:r>
      <w:r w:rsidR="006660E3">
        <w:rPr>
          <w:b/>
          <w:bCs/>
          <w:color w:val="6B2976"/>
        </w:rPr>
        <w:t>Participant, survey.</w:t>
      </w:r>
    </w:p>
    <w:p w14:paraId="6EEF7B54" w14:textId="3D92F791" w:rsidR="00807C56" w:rsidRDefault="00225AD8" w:rsidP="00B00235">
      <w:r>
        <w:t>P</w:t>
      </w:r>
      <w:r w:rsidR="00554DB5">
        <w:t xml:space="preserve">articipant </w:t>
      </w:r>
      <w:r w:rsidR="008400AD">
        <w:t>representatives</w:t>
      </w:r>
      <w:r w:rsidR="007E6A17">
        <w:t>,</w:t>
      </w:r>
      <w:r w:rsidR="00E16BC9">
        <w:t xml:space="preserve"> independent experts</w:t>
      </w:r>
      <w:r w:rsidR="00554DB5">
        <w:t xml:space="preserve"> and D</w:t>
      </w:r>
      <w:r w:rsidR="00D03B21">
        <w:t>RC</w:t>
      </w:r>
      <w:r w:rsidR="00554DB5">
        <w:t xml:space="preserve">O representatives </w:t>
      </w:r>
      <w:r>
        <w:t xml:space="preserve">echoed this sentiment </w:t>
      </w:r>
      <w:r w:rsidR="00554DB5">
        <w:t>during interviews</w:t>
      </w:r>
      <w:r>
        <w:t xml:space="preserve">. </w:t>
      </w:r>
      <w:r w:rsidR="00807C56">
        <w:t xml:space="preserve">They </w:t>
      </w:r>
      <w:r w:rsidR="00A73027">
        <w:t xml:space="preserve">raised a </w:t>
      </w:r>
      <w:r w:rsidR="009178BE">
        <w:t xml:space="preserve">lack </w:t>
      </w:r>
      <w:r w:rsidR="00041D5A">
        <w:t xml:space="preserve">of </w:t>
      </w:r>
      <w:r w:rsidR="00A73027">
        <w:t xml:space="preserve">meaningful </w:t>
      </w:r>
      <w:r w:rsidR="00041D5A">
        <w:t>engagement with participant</w:t>
      </w:r>
      <w:r w:rsidR="00A73027">
        <w:t>s</w:t>
      </w:r>
      <w:r w:rsidR="00537864">
        <w:t xml:space="preserve"> during internal reviews and </w:t>
      </w:r>
      <w:r w:rsidR="0045057E">
        <w:t xml:space="preserve">insufficient </w:t>
      </w:r>
      <w:r w:rsidR="00D17BF2">
        <w:t>reasoning</w:t>
      </w:r>
      <w:r w:rsidR="0045057E">
        <w:t xml:space="preserve"> explaining why decisions </w:t>
      </w:r>
      <w:r w:rsidR="00EE57FF">
        <w:t>d</w:t>
      </w:r>
      <w:r w:rsidR="006B0C58">
        <w:t>id</w:t>
      </w:r>
      <w:r w:rsidR="00EE57FF">
        <w:t xml:space="preserve"> not meet specific reasonable and necessary criteria.</w:t>
      </w:r>
      <w:r w:rsidR="00D03B21">
        <w:t xml:space="preserve"> </w:t>
      </w:r>
      <w:r w:rsidR="00807C56">
        <w:t xml:space="preserve">They stressed the </w:t>
      </w:r>
      <w:r w:rsidR="00807C56" w:rsidRPr="0039723A">
        <w:t>importan</w:t>
      </w:r>
      <w:r w:rsidR="00807C56">
        <w:t>ce of having a review</w:t>
      </w:r>
      <w:r w:rsidR="00807C56" w:rsidRPr="0039723A">
        <w:t xml:space="preserve"> process that consider</w:t>
      </w:r>
      <w:r w:rsidR="00807C56">
        <w:t>s</w:t>
      </w:r>
      <w:r w:rsidR="00807C56" w:rsidRPr="0039723A">
        <w:t xml:space="preserve"> all evidence, </w:t>
      </w:r>
      <w:r w:rsidR="00807C56">
        <w:t>gives</w:t>
      </w:r>
      <w:r w:rsidR="00807C56" w:rsidRPr="0039723A">
        <w:t xml:space="preserve"> the participant an opportunity to express a view</w:t>
      </w:r>
      <w:r w:rsidR="00BE5662">
        <w:t>,</w:t>
      </w:r>
      <w:r w:rsidR="00807C56" w:rsidRPr="0039723A">
        <w:t xml:space="preserve"> </w:t>
      </w:r>
      <w:r w:rsidR="003465F7">
        <w:t>provide</w:t>
      </w:r>
      <w:r w:rsidR="00807C56">
        <w:t>s</w:t>
      </w:r>
      <w:r w:rsidR="00807C56" w:rsidRPr="0039723A">
        <w:t xml:space="preserve"> clear reasoning and explanations for decisions</w:t>
      </w:r>
      <w:r w:rsidR="000A695E">
        <w:t>,</w:t>
      </w:r>
      <w:r w:rsidR="00BE5662">
        <w:t xml:space="preserve"> and is more personalised</w:t>
      </w:r>
      <w:r w:rsidR="00807C56" w:rsidRPr="0039723A">
        <w:t>.</w:t>
      </w:r>
      <w:r w:rsidR="00523750">
        <w:t xml:space="preserve"> </w:t>
      </w:r>
      <w:r w:rsidR="007A6EEE">
        <w:t>If a participant does not feel this has been the case, they will be more likely to ask for an external review.</w:t>
      </w:r>
    </w:p>
    <w:p w14:paraId="7AE1DC6B" w14:textId="4F4DD218" w:rsidR="00EF5FCD" w:rsidRDefault="00EF5FCD" w:rsidP="00192226">
      <w:pPr>
        <w:ind w:left="357" w:right="720"/>
        <w:jc w:val="both"/>
        <w:rPr>
          <w:b/>
          <w:bCs/>
          <w:color w:val="6B2976"/>
        </w:rPr>
      </w:pPr>
      <w:r w:rsidRPr="00A32142">
        <w:rPr>
          <w:i/>
          <w:iCs/>
          <w:color w:val="6B2976"/>
        </w:rPr>
        <w:lastRenderedPageBreak/>
        <w:t>“</w:t>
      </w:r>
      <w:r w:rsidRPr="00A514F5">
        <w:rPr>
          <w:i/>
          <w:iCs/>
          <w:color w:val="6B2976"/>
        </w:rPr>
        <w:t xml:space="preserve">The quality of first instance and review decisions that I have seen is poor to very poor. Most concerningly, they appear to ignore the evidence before the Agency and for that reason appear partial, </w:t>
      </w:r>
      <w:r w:rsidR="00CC7087" w:rsidRPr="00A514F5">
        <w:rPr>
          <w:i/>
          <w:iCs/>
          <w:color w:val="6B2976"/>
        </w:rPr>
        <w:t>arbitrary,</w:t>
      </w:r>
      <w:r w:rsidRPr="00A514F5">
        <w:rPr>
          <w:i/>
          <w:iCs/>
          <w:color w:val="6B2976"/>
        </w:rPr>
        <w:t xml:space="preserve"> and irrational and unreasonable in the extreme. The impression is that decision makers are pursuing an agenda of cost-cutting that defies the evidence and the legislative purpose and intent</w:t>
      </w:r>
      <w:r>
        <w:rPr>
          <w:i/>
          <w:iCs/>
          <w:color w:val="6B2976"/>
        </w:rPr>
        <w:t>…</w:t>
      </w:r>
      <w:r w:rsidRPr="00A514F5">
        <w:rPr>
          <w:i/>
          <w:iCs/>
          <w:color w:val="6B2976"/>
        </w:rPr>
        <w:t xml:space="preserve"> it is not clear whether all decisions of this nature have been appealed or just those where there is a support person who is able to pursue the matter on behalf of the Participant.</w:t>
      </w:r>
      <w:r w:rsidR="004405C0">
        <w:rPr>
          <w:i/>
          <w:iCs/>
          <w:color w:val="6B2976"/>
        </w:rPr>
        <w:t>”</w:t>
      </w:r>
      <w:r>
        <w:rPr>
          <w:i/>
          <w:iCs/>
          <w:color w:val="6B2976"/>
        </w:rPr>
        <w:t xml:space="preserve"> </w:t>
      </w:r>
      <w:r w:rsidRPr="004405C0">
        <w:rPr>
          <w:b/>
          <w:bCs/>
          <w:color w:val="6B2976"/>
        </w:rPr>
        <w:t>Independent Expert, interview.</w:t>
      </w:r>
    </w:p>
    <w:p w14:paraId="3B2EBA11" w14:textId="3B0285A4" w:rsidR="00336A08" w:rsidRPr="005804B2" w:rsidRDefault="00336A08" w:rsidP="005804B2">
      <w:r w:rsidRPr="005804B2">
        <w:t xml:space="preserve">Participant </w:t>
      </w:r>
      <w:r w:rsidR="008400AD">
        <w:t>representatives</w:t>
      </w:r>
      <w:r w:rsidRPr="005804B2">
        <w:t xml:space="preserve"> and DRCO representatives echoed this sentiment during interviews. They unanimously raised a lack of meaningful engagement with participants during internal reviews and insufficient detail explaining why decisions do not meet specific reasonable and necessary criteria. DRCO representatives commented that if a participant receives a generic letter that doesn’t explain the reason in detail, there is a risk that they will believe they have not been heard and that their matter has been misunderstood. If this is the case</w:t>
      </w:r>
      <w:r w:rsidR="00A74D42">
        <w:t>,</w:t>
      </w:r>
      <w:r w:rsidRPr="005804B2">
        <w:t xml:space="preserve"> they will be more likely to ask for an external review. </w:t>
      </w:r>
    </w:p>
    <w:p w14:paraId="57D55B8B" w14:textId="08B1E517" w:rsidR="00CF1534" w:rsidRDefault="00902B0A" w:rsidP="00192226">
      <w:pPr>
        <w:ind w:left="357" w:right="720"/>
        <w:jc w:val="both"/>
        <w:rPr>
          <w:b/>
          <w:bCs/>
          <w:color w:val="6B2976"/>
        </w:rPr>
      </w:pPr>
      <w:r>
        <w:rPr>
          <w:i/>
          <w:color w:val="6B2976"/>
        </w:rPr>
        <w:t>“</w:t>
      </w:r>
      <w:r w:rsidR="00CF1534" w:rsidRPr="001C410D">
        <w:rPr>
          <w:i/>
          <w:color w:val="6B2976"/>
        </w:rPr>
        <w:t>At the internal review stage</w:t>
      </w:r>
      <w:r w:rsidR="007124F2">
        <w:rPr>
          <w:i/>
          <w:iCs/>
          <w:color w:val="6B2976"/>
        </w:rPr>
        <w:t>…</w:t>
      </w:r>
      <w:r w:rsidR="00CF1534" w:rsidRPr="001C410D">
        <w:rPr>
          <w:i/>
          <w:color w:val="6B2976"/>
        </w:rPr>
        <w:t xml:space="preserve"> whe</w:t>
      </w:r>
      <w:r w:rsidR="00CF1534">
        <w:rPr>
          <w:i/>
          <w:color w:val="6B2976"/>
        </w:rPr>
        <w:t>re</w:t>
      </w:r>
      <w:r w:rsidR="00CF1534" w:rsidRPr="001C410D">
        <w:rPr>
          <w:i/>
          <w:color w:val="6B2976"/>
        </w:rPr>
        <w:t xml:space="preserve"> there </w:t>
      </w:r>
      <w:r w:rsidR="007124F2">
        <w:rPr>
          <w:i/>
          <w:iCs/>
          <w:color w:val="6B2976"/>
        </w:rPr>
        <w:t>are</w:t>
      </w:r>
      <w:r w:rsidR="00CF1534" w:rsidRPr="001C410D">
        <w:rPr>
          <w:i/>
          <w:color w:val="6B2976"/>
        </w:rPr>
        <w:t xml:space="preserve"> decisions that aren't in the participants </w:t>
      </w:r>
      <w:r w:rsidR="00EE57FF" w:rsidRPr="001C410D">
        <w:rPr>
          <w:i/>
          <w:color w:val="6B2976"/>
        </w:rPr>
        <w:t>favour</w:t>
      </w:r>
      <w:r w:rsidR="00CF1534" w:rsidRPr="001C410D">
        <w:rPr>
          <w:i/>
          <w:color w:val="6B2976"/>
        </w:rPr>
        <w:t xml:space="preserve"> but </w:t>
      </w:r>
      <w:r w:rsidR="00B22F9E">
        <w:rPr>
          <w:i/>
          <w:color w:val="6B2976"/>
        </w:rPr>
        <w:t xml:space="preserve">the process was </w:t>
      </w:r>
      <w:r w:rsidR="00CF1534" w:rsidRPr="001C410D">
        <w:rPr>
          <w:i/>
          <w:color w:val="6B2976"/>
        </w:rPr>
        <w:t xml:space="preserve">rigorous enough that it satisfied the participant </w:t>
      </w:r>
      <w:r w:rsidR="00B22F9E">
        <w:rPr>
          <w:i/>
          <w:color w:val="6B2976"/>
        </w:rPr>
        <w:t xml:space="preserve">that they </w:t>
      </w:r>
      <w:r w:rsidR="00CF1534" w:rsidRPr="001C410D">
        <w:rPr>
          <w:i/>
          <w:color w:val="6B2976"/>
        </w:rPr>
        <w:t>had been heard, they'd been given a fair shot and</w:t>
      </w:r>
      <w:r w:rsidR="00CF1534">
        <w:rPr>
          <w:i/>
          <w:color w:val="6B2976"/>
        </w:rPr>
        <w:t xml:space="preserve"> </w:t>
      </w:r>
      <w:r w:rsidR="00CF1534" w:rsidRPr="001C410D">
        <w:rPr>
          <w:i/>
          <w:color w:val="6B2976"/>
        </w:rPr>
        <w:t>for whatever good reason their support hadn't been funded</w:t>
      </w:r>
      <w:r w:rsidR="00276A7C">
        <w:rPr>
          <w:i/>
          <w:iCs/>
          <w:color w:val="6B2976"/>
        </w:rPr>
        <w:t>…</w:t>
      </w:r>
      <w:r w:rsidR="00CF1534" w:rsidRPr="001C410D">
        <w:rPr>
          <w:i/>
          <w:color w:val="6B2976"/>
        </w:rPr>
        <w:t xml:space="preserve">I would say, okay, that's fair enough. But </w:t>
      </w:r>
      <w:r w:rsidR="00C55AFD">
        <w:rPr>
          <w:i/>
          <w:color w:val="6B2976"/>
        </w:rPr>
        <w:t xml:space="preserve">if someone doesn’t feel heard and are </w:t>
      </w:r>
      <w:r w:rsidR="00CF1534" w:rsidRPr="001C410D">
        <w:rPr>
          <w:i/>
          <w:color w:val="6B2976"/>
        </w:rPr>
        <w:t xml:space="preserve">given a pro forma internal review decision, </w:t>
      </w:r>
      <w:r w:rsidR="00C55AFD">
        <w:rPr>
          <w:i/>
          <w:color w:val="6B2976"/>
        </w:rPr>
        <w:t xml:space="preserve">they </w:t>
      </w:r>
      <w:r w:rsidR="00CF1534" w:rsidRPr="001C410D">
        <w:rPr>
          <w:i/>
          <w:color w:val="6B2976"/>
        </w:rPr>
        <w:t xml:space="preserve">will more often than </w:t>
      </w:r>
      <w:r w:rsidR="00C55AFD">
        <w:rPr>
          <w:i/>
          <w:color w:val="6B2976"/>
        </w:rPr>
        <w:t>not</w:t>
      </w:r>
      <w:r w:rsidR="00CF1534" w:rsidRPr="001C410D">
        <w:rPr>
          <w:i/>
          <w:color w:val="6B2976"/>
        </w:rPr>
        <w:t xml:space="preserve"> go to the </w:t>
      </w:r>
      <w:r w:rsidR="00A72CBB">
        <w:rPr>
          <w:i/>
          <w:iCs/>
          <w:color w:val="6B2976"/>
        </w:rPr>
        <w:t>AAT</w:t>
      </w:r>
      <w:r w:rsidR="006B6350">
        <w:rPr>
          <w:i/>
          <w:iCs/>
          <w:color w:val="6B2976"/>
        </w:rPr>
        <w:t>.</w:t>
      </w:r>
      <w:r w:rsidR="00A72CBB">
        <w:rPr>
          <w:i/>
          <w:iCs/>
          <w:color w:val="6B2976"/>
        </w:rPr>
        <w:t>”</w:t>
      </w:r>
      <w:r w:rsidR="00B3015B">
        <w:rPr>
          <w:i/>
          <w:iCs/>
          <w:color w:val="6B2976"/>
        </w:rPr>
        <w:t xml:space="preserve"> </w:t>
      </w:r>
      <w:r w:rsidR="00A72CBB" w:rsidRPr="00A72CBB">
        <w:rPr>
          <w:b/>
          <w:bCs/>
          <w:color w:val="6B2976"/>
        </w:rPr>
        <w:t>D</w:t>
      </w:r>
      <w:r w:rsidR="00B3015B">
        <w:rPr>
          <w:b/>
          <w:bCs/>
          <w:color w:val="6B2976"/>
        </w:rPr>
        <w:t>RC</w:t>
      </w:r>
      <w:r w:rsidR="00A72CBB" w:rsidRPr="00A72CBB">
        <w:rPr>
          <w:b/>
          <w:bCs/>
          <w:color w:val="6B2976"/>
        </w:rPr>
        <w:t xml:space="preserve">O </w:t>
      </w:r>
      <w:r w:rsidR="00B3015B">
        <w:rPr>
          <w:b/>
          <w:bCs/>
          <w:color w:val="6B2976"/>
        </w:rPr>
        <w:t xml:space="preserve">representative, </w:t>
      </w:r>
      <w:r w:rsidR="00A72CBB" w:rsidRPr="00A72CBB">
        <w:rPr>
          <w:b/>
          <w:bCs/>
          <w:color w:val="6B2976"/>
        </w:rPr>
        <w:t>interview</w:t>
      </w:r>
      <w:r w:rsidR="00C55AFD">
        <w:rPr>
          <w:b/>
          <w:bCs/>
          <w:color w:val="6B2976"/>
        </w:rPr>
        <w:t>.</w:t>
      </w:r>
    </w:p>
    <w:p w14:paraId="3C49DD6D" w14:textId="0E4D6A61" w:rsidR="005C6C67" w:rsidRDefault="005C6C67" w:rsidP="00952E11">
      <w:pPr>
        <w:pStyle w:val="Heading4"/>
      </w:pPr>
      <w:r>
        <w:t>Internal Review Team initiatives</w:t>
      </w:r>
    </w:p>
    <w:p w14:paraId="52A2BD1E" w14:textId="7DBF2A52" w:rsidR="00D13EC1" w:rsidRDefault="00D279C2" w:rsidP="002155FF">
      <w:r>
        <w:t xml:space="preserve">The above criticism of the internal review process may reflect the time at which </w:t>
      </w:r>
      <w:r w:rsidR="004C6E0A">
        <w:t xml:space="preserve">Phase 1 and 2 </w:t>
      </w:r>
      <w:r w:rsidR="00201217">
        <w:t>IERP participants</w:t>
      </w:r>
      <w:r>
        <w:t xml:space="preserve"> had an internal review.</w:t>
      </w:r>
      <w:r w:rsidR="00C229F2">
        <w:t xml:space="preserve"> Participants who took part in the IERP up to 31 March 2023 had an internal NDIA review of their matter between</w:t>
      </w:r>
      <w:r w:rsidR="004C3AB0">
        <w:t xml:space="preserve"> approximately </w:t>
      </w:r>
      <w:r w:rsidR="00AE3B76">
        <w:t>October 2021 to December 2021</w:t>
      </w:r>
      <w:r w:rsidR="00C229F2">
        <w:t>.</w:t>
      </w:r>
      <w:r w:rsidR="005C6A41">
        <w:t xml:space="preserve"> This coincided with </w:t>
      </w:r>
      <w:r w:rsidR="00382225">
        <w:t>an internal review backlog clearance project (commenced in June 2021)</w:t>
      </w:r>
      <w:r w:rsidR="00A94CF2">
        <w:t xml:space="preserve"> to address an extremely high </w:t>
      </w:r>
      <w:r w:rsidR="009E5B46">
        <w:t xml:space="preserve">backlog of internal reviews. </w:t>
      </w:r>
    </w:p>
    <w:p w14:paraId="4B53F1C6" w14:textId="531A5878" w:rsidR="002155FF" w:rsidRDefault="005065D0" w:rsidP="002155FF">
      <w:r>
        <w:lastRenderedPageBreak/>
        <w:t xml:space="preserve">During the backlog clearance period, the </w:t>
      </w:r>
      <w:r w:rsidR="00D13EC1">
        <w:t xml:space="preserve">operational guidelines the </w:t>
      </w:r>
      <w:r>
        <w:t xml:space="preserve">NDIA’s Internal Review Team </w:t>
      </w:r>
      <w:r w:rsidR="00D13EC1">
        <w:t xml:space="preserve">followed </w:t>
      </w:r>
      <w:r w:rsidR="002155FF">
        <w:t xml:space="preserve">did not consider any change in participant circumstances. The participant situation at the time </w:t>
      </w:r>
      <w:r w:rsidR="00FC6219">
        <w:t xml:space="preserve">of </w:t>
      </w:r>
      <w:r w:rsidR="002155FF">
        <w:t xml:space="preserve">the initial decision </w:t>
      </w:r>
      <w:r w:rsidR="002155FF" w:rsidDel="00FC6219">
        <w:t xml:space="preserve">was </w:t>
      </w:r>
      <w:r w:rsidR="002155FF">
        <w:t xml:space="preserve">the only information considered for these cases. </w:t>
      </w:r>
      <w:r w:rsidR="006D4D3E">
        <w:t>T</w:t>
      </w:r>
      <w:r w:rsidR="002155FF">
        <w:t xml:space="preserve">he high volume of cases </w:t>
      </w:r>
      <w:r w:rsidR="006D4D3E">
        <w:t xml:space="preserve">to clear also </w:t>
      </w:r>
      <w:r w:rsidR="002155FF">
        <w:t xml:space="preserve">meant the </w:t>
      </w:r>
      <w:r w:rsidR="006D4D3E">
        <w:t xml:space="preserve">Internal Review Team </w:t>
      </w:r>
      <w:r w:rsidR="008670FD">
        <w:t>had limited capacity to contact participants during reviews</w:t>
      </w:r>
      <w:r w:rsidR="002155FF">
        <w:t xml:space="preserve">. </w:t>
      </w:r>
      <w:r w:rsidR="009A0FE1">
        <w:t xml:space="preserve">It is possible that these limitations resulted in participants concluding the internal review officer did not properly understand their matter or consider all their evidence. </w:t>
      </w:r>
    </w:p>
    <w:p w14:paraId="600A2FEF" w14:textId="4D1BC039" w:rsidR="009C58A3" w:rsidRDefault="00DB1C0B" w:rsidP="002155FF">
      <w:r>
        <w:t xml:space="preserve">The </w:t>
      </w:r>
      <w:r w:rsidR="00342FD7">
        <w:t xml:space="preserve">Internal Review Team cleared the </w:t>
      </w:r>
      <w:r>
        <w:t xml:space="preserve">backlog of internal reviews </w:t>
      </w:r>
      <w:r w:rsidR="00B36DD3">
        <w:t>by December 202</w:t>
      </w:r>
      <w:r w:rsidR="00DC4E96">
        <w:t>1, after which the</w:t>
      </w:r>
      <w:r w:rsidR="00667106">
        <w:t xml:space="preserve">y have </w:t>
      </w:r>
      <w:r w:rsidR="00F41316">
        <w:t>implemented several in</w:t>
      </w:r>
      <w:r w:rsidR="006A0277">
        <w:t xml:space="preserve">itiatives to enhance </w:t>
      </w:r>
      <w:r w:rsidR="00C81284">
        <w:t>the internal review process</w:t>
      </w:r>
      <w:r w:rsidR="00DA1A81">
        <w:t>.</w:t>
      </w:r>
      <w:r w:rsidR="00C81284">
        <w:t xml:space="preserve"> The sections below describe the initiatives relevant to the criticisms </w:t>
      </w:r>
      <w:r w:rsidR="00AC70E5">
        <w:t xml:space="preserve">given by the </w:t>
      </w:r>
      <w:r w:rsidR="00C81284">
        <w:t>IERP participants.</w:t>
      </w:r>
    </w:p>
    <w:p w14:paraId="5B6B9734" w14:textId="3112295B" w:rsidR="004E7AD3" w:rsidRPr="004E7AD3" w:rsidRDefault="004E7AD3" w:rsidP="004E7AD3">
      <w:pPr>
        <w:pStyle w:val="Heading5"/>
      </w:pPr>
      <w:r>
        <w:t>Clarification phone calls</w:t>
      </w:r>
    </w:p>
    <w:p w14:paraId="5A93B181" w14:textId="3255EF19" w:rsidR="00225DF6" w:rsidRDefault="00020315" w:rsidP="00CA712B">
      <w:r>
        <w:t xml:space="preserve">From </w:t>
      </w:r>
      <w:r w:rsidR="005F4569" w:rsidRPr="005F4569">
        <w:t>September</w:t>
      </w:r>
      <w:r w:rsidR="009F3EC3" w:rsidRPr="005F4569">
        <w:t xml:space="preserve"> 2022,</w:t>
      </w:r>
      <w:r w:rsidR="009F3EC3">
        <w:t xml:space="preserve"> </w:t>
      </w:r>
      <w:r w:rsidR="00225DF6">
        <w:t xml:space="preserve">the </w:t>
      </w:r>
      <w:r w:rsidR="003E52C7">
        <w:t xml:space="preserve">Standard Operating Procedure </w:t>
      </w:r>
      <w:r w:rsidR="00AC70E5">
        <w:t xml:space="preserve">(SOP) </w:t>
      </w:r>
      <w:r w:rsidR="003E52C7">
        <w:t>for internal reviews</w:t>
      </w:r>
      <w:r w:rsidR="00225DF6">
        <w:t xml:space="preserve"> has required </w:t>
      </w:r>
      <w:r w:rsidR="008B62F8">
        <w:t xml:space="preserve">clarification phone calls for </w:t>
      </w:r>
      <w:r w:rsidR="002378CC" w:rsidRPr="002378CC">
        <w:t xml:space="preserve">matters where plans </w:t>
      </w:r>
      <w:r w:rsidR="00814257">
        <w:t xml:space="preserve">are </w:t>
      </w:r>
      <w:r w:rsidR="002378CC" w:rsidRPr="002378CC">
        <w:t>reduced by more than 20%</w:t>
      </w:r>
      <w:r w:rsidR="000C070F">
        <w:t xml:space="preserve"> (since November 2022, all internal reviews require a clarifying phone call).</w:t>
      </w:r>
      <w:r w:rsidR="009E067C">
        <w:t xml:space="preserve"> </w:t>
      </w:r>
      <w:r w:rsidR="00BA4CA7">
        <w:t xml:space="preserve">During these calls, the internal review officer can clarify the existing evidence and invite the </w:t>
      </w:r>
      <w:r w:rsidR="009E067C">
        <w:t>participant to provide additional evidence</w:t>
      </w:r>
      <w:r w:rsidR="004A3FE6">
        <w:t>.</w:t>
      </w:r>
    </w:p>
    <w:p w14:paraId="69E226A3" w14:textId="77777777" w:rsidR="00693186" w:rsidRDefault="00693186" w:rsidP="00693186">
      <w:pPr>
        <w:pStyle w:val="Heading5"/>
      </w:pPr>
      <w:r>
        <w:t>Additional consideration to changes in participant circumstances</w:t>
      </w:r>
    </w:p>
    <w:p w14:paraId="23F11847" w14:textId="3F577C19" w:rsidR="00693186" w:rsidRDefault="00693186" w:rsidP="00693186">
      <w:r>
        <w:t xml:space="preserve">Effective from 1 July 2022, the NDIA’s </w:t>
      </w:r>
      <w:r w:rsidRPr="00D65D2A">
        <w:t>Operational Guideline</w:t>
      </w:r>
      <w:r>
        <w:t xml:space="preserve"> ‘Reviewing our decisions’ requires internal review officers to consider the participant’s circumstances at the time of undertaking the internal review instead of at the time of the original decision.</w:t>
      </w:r>
      <w:r w:rsidR="00277FC7">
        <w:t xml:space="preserve"> As a result</w:t>
      </w:r>
      <w:r w:rsidR="006E3C02">
        <w:t xml:space="preserve">, </w:t>
      </w:r>
      <w:r w:rsidR="00135833">
        <w:t xml:space="preserve">the participant’s current circumstances and </w:t>
      </w:r>
      <w:r w:rsidR="00F24A65">
        <w:t xml:space="preserve">associated evidence </w:t>
      </w:r>
      <w:r w:rsidR="00A3443B">
        <w:t xml:space="preserve">are considered relevant to the </w:t>
      </w:r>
      <w:r w:rsidR="001C436A">
        <w:t>internal review process.</w:t>
      </w:r>
    </w:p>
    <w:p w14:paraId="733D2632" w14:textId="77777777" w:rsidR="00693186" w:rsidRDefault="00693186" w:rsidP="00693186">
      <w:pPr>
        <w:pStyle w:val="Heading5"/>
      </w:pPr>
      <w:r>
        <w:t>Enhanced communication around internal review decisions</w:t>
      </w:r>
    </w:p>
    <w:p w14:paraId="53ECDC32" w14:textId="21B926E2" w:rsidR="006E3609" w:rsidRDefault="004A3FE6" w:rsidP="00CA712B">
      <w:r>
        <w:t xml:space="preserve">The Agency has </w:t>
      </w:r>
      <w:r w:rsidR="00BB1638">
        <w:t xml:space="preserve">enhanced the </w:t>
      </w:r>
      <w:r w:rsidR="00477D0F">
        <w:t xml:space="preserve">letters internal review officers send to </w:t>
      </w:r>
      <w:r w:rsidR="000515F0">
        <w:t xml:space="preserve">participants </w:t>
      </w:r>
      <w:r w:rsidR="00477D0F">
        <w:t xml:space="preserve">outlining their decision and </w:t>
      </w:r>
      <w:r w:rsidR="00061751">
        <w:t>reasons</w:t>
      </w:r>
      <w:r w:rsidR="00FC3A43">
        <w:t>.</w:t>
      </w:r>
      <w:r w:rsidR="00477D0F">
        <w:t xml:space="preserve"> These </w:t>
      </w:r>
      <w:r w:rsidR="003E0AEF">
        <w:t>letters are templated to ensure consistency</w:t>
      </w:r>
      <w:r w:rsidR="0057625E">
        <w:t>,</w:t>
      </w:r>
      <w:r w:rsidR="003E0AEF">
        <w:t xml:space="preserve"> given there are almost 4,000 internal reviews per month</w:t>
      </w:r>
      <w:r w:rsidR="003E0AEF">
        <w:rPr>
          <w:rStyle w:val="FootnoteReference"/>
        </w:rPr>
        <w:footnoteReference w:id="37"/>
      </w:r>
      <w:r w:rsidR="003E0AEF">
        <w:t>.</w:t>
      </w:r>
      <w:r w:rsidR="00FC3A43">
        <w:t xml:space="preserve"> </w:t>
      </w:r>
      <w:r w:rsidR="00E5771B">
        <w:t>The</w:t>
      </w:r>
      <w:r w:rsidR="003E0AEF">
        <w:t xml:space="preserve"> </w:t>
      </w:r>
      <w:r w:rsidR="00C01F71">
        <w:lastRenderedPageBreak/>
        <w:t>templates</w:t>
      </w:r>
      <w:r w:rsidR="00E5771B">
        <w:t xml:space="preserve"> require internal officers to state the legislative basis for their decision</w:t>
      </w:r>
      <w:r w:rsidR="005F6528">
        <w:t xml:space="preserve"> supported by up to </w:t>
      </w:r>
      <w:r w:rsidR="0057625E">
        <w:t>four</w:t>
      </w:r>
      <w:r w:rsidR="005F6528">
        <w:t xml:space="preserve"> explanatory sentences </w:t>
      </w:r>
      <w:r w:rsidR="006E3609">
        <w:t>totalling</w:t>
      </w:r>
      <w:r w:rsidR="004D3A3C">
        <w:t xml:space="preserve"> approximately 100 words</w:t>
      </w:r>
      <w:r w:rsidR="006E3609">
        <w:t xml:space="preserve"> per </w:t>
      </w:r>
      <w:r w:rsidR="00C01F71">
        <w:t xml:space="preserve">relevant </w:t>
      </w:r>
      <w:r w:rsidR="006E3609">
        <w:t>legislative criteria</w:t>
      </w:r>
      <w:r w:rsidR="004D3A3C">
        <w:t xml:space="preserve">. </w:t>
      </w:r>
      <w:r w:rsidR="00771734">
        <w:t xml:space="preserve">This length </w:t>
      </w:r>
      <w:r w:rsidR="00531C78">
        <w:t>aims</w:t>
      </w:r>
      <w:r w:rsidR="006B5081">
        <w:t xml:space="preserve"> to balance accessible communication with giving the participant enough detail</w:t>
      </w:r>
      <w:r w:rsidR="00531C78">
        <w:t xml:space="preserve"> to understand the decision</w:t>
      </w:r>
      <w:r w:rsidR="006B5081">
        <w:t>.</w:t>
      </w:r>
    </w:p>
    <w:p w14:paraId="0FA07F24" w14:textId="66B48213" w:rsidR="002536CF" w:rsidRDefault="00534BF4" w:rsidP="00CA712B">
      <w:r>
        <w:t xml:space="preserve">The NDIA’s </w:t>
      </w:r>
      <w:r w:rsidRPr="00534BF4">
        <w:t>Internal Reviews and Complaints Branch</w:t>
      </w:r>
      <w:r>
        <w:t xml:space="preserve"> provided the Evaluation Team </w:t>
      </w:r>
      <w:r w:rsidR="00AD43CB">
        <w:t xml:space="preserve">with </w:t>
      </w:r>
      <w:r>
        <w:t xml:space="preserve">a sample of </w:t>
      </w:r>
      <w:r w:rsidR="007E3153">
        <w:t>decision letters</w:t>
      </w:r>
      <w:r w:rsidR="00955FCD">
        <w:t xml:space="preserve"> where the internal review </w:t>
      </w:r>
      <w:r w:rsidR="006B6DB7">
        <w:t>confirmed</w:t>
      </w:r>
      <w:r w:rsidR="00955FCD">
        <w:t xml:space="preserve"> the planning delegate’s original decision</w:t>
      </w:r>
      <w:r w:rsidR="007E3153">
        <w:t xml:space="preserve">. The letters </w:t>
      </w:r>
      <w:r w:rsidR="00BA658D">
        <w:t xml:space="preserve">contain </w:t>
      </w:r>
      <w:r w:rsidR="007E3153">
        <w:t xml:space="preserve">a reasonable level of detail about </w:t>
      </w:r>
      <w:r w:rsidR="00955FCD">
        <w:t xml:space="preserve">why funding a particular </w:t>
      </w:r>
      <w:r w:rsidR="00A8222A">
        <w:t xml:space="preserve">support does not meet relevant </w:t>
      </w:r>
      <w:r w:rsidR="00C865BD">
        <w:t xml:space="preserve">legislative criteria for </w:t>
      </w:r>
      <w:r w:rsidR="00A8222A">
        <w:t xml:space="preserve">reasonable and necessary </w:t>
      </w:r>
      <w:r w:rsidR="00AD43CB">
        <w:t xml:space="preserve">support </w:t>
      </w:r>
      <w:r w:rsidR="00A8222A">
        <w:t xml:space="preserve">based on the evidence the participant provided. </w:t>
      </w:r>
      <w:r w:rsidR="00CC4429">
        <w:t>T</w:t>
      </w:r>
      <w:r w:rsidR="000E7604">
        <w:t xml:space="preserve">he reasons given </w:t>
      </w:r>
      <w:r w:rsidR="00C82ABC">
        <w:t>in the sample letters</w:t>
      </w:r>
      <w:r w:rsidR="00EC23FF">
        <w:t xml:space="preserve"> </w:t>
      </w:r>
      <w:r w:rsidR="00682F7B">
        <w:t xml:space="preserve">were </w:t>
      </w:r>
      <w:r w:rsidR="00752EC6">
        <w:t>well set ou</w:t>
      </w:r>
      <w:r w:rsidR="007E0F08">
        <w:t>t</w:t>
      </w:r>
      <w:r w:rsidR="00A00577">
        <w:t xml:space="preserve"> and</w:t>
      </w:r>
      <w:r w:rsidR="000177E8">
        <w:t xml:space="preserve"> </w:t>
      </w:r>
      <w:r w:rsidR="00682F7B">
        <w:t>written in plain English</w:t>
      </w:r>
      <w:r w:rsidR="003E7A28">
        <w:t>.</w:t>
      </w:r>
      <w:r w:rsidR="00760734">
        <w:t xml:space="preserve"> </w:t>
      </w:r>
      <w:r w:rsidR="00760734" w:rsidRPr="00F532B0">
        <w:t xml:space="preserve">This reflects a </w:t>
      </w:r>
      <w:r w:rsidR="00F532B0" w:rsidRPr="00F532B0">
        <w:t xml:space="preserve">recent </w:t>
      </w:r>
      <w:r w:rsidR="002536CF" w:rsidRPr="00F532B0">
        <w:t xml:space="preserve">focus </w:t>
      </w:r>
      <w:r w:rsidR="00F532B0" w:rsidRPr="00F532B0">
        <w:t xml:space="preserve">by the Internal Review Team </w:t>
      </w:r>
      <w:r w:rsidR="002536CF" w:rsidRPr="00F532B0">
        <w:t>on quality checking letters to ensure clear justifications.</w:t>
      </w:r>
    </w:p>
    <w:p w14:paraId="22619CE5" w14:textId="72E9C630" w:rsidR="00875904" w:rsidRDefault="0036585F" w:rsidP="00AE7DE0">
      <w:r>
        <w:t>T</w:t>
      </w:r>
      <w:r w:rsidR="00693186">
        <w:t>he sample of letters reviewed for the evaluation do not give guidance about the evidence the participant would need to provide to justify the NDIS funding the support</w:t>
      </w:r>
      <w:r w:rsidR="006F7B92">
        <w:t>. Further, they do not indicate</w:t>
      </w:r>
      <w:r w:rsidR="00693186">
        <w:t xml:space="preserve"> who in the Agency to contact to obtain this information. Apart from the NDIS National Contact Centre, the letters direct participant</w:t>
      </w:r>
      <w:r w:rsidR="00A95470">
        <w:t>s</w:t>
      </w:r>
      <w:r w:rsidR="00693186">
        <w:t xml:space="preserve"> to their Local Area Coordinator or Early Childhood Partner</w:t>
      </w:r>
      <w:r w:rsidR="00A95470">
        <w:t>,</w:t>
      </w:r>
      <w:r w:rsidR="00693186">
        <w:t xml:space="preserve"> who may have given inadequate guidance in the first place. </w:t>
      </w:r>
    </w:p>
    <w:p w14:paraId="757047CB" w14:textId="0239BE36" w:rsidR="0071570B" w:rsidRDefault="00693186" w:rsidP="00AE7DE0">
      <w:r>
        <w:t>The upfront clarifying phone call could identify additional evidence requirements</w:t>
      </w:r>
      <w:r w:rsidR="0036585F">
        <w:t>. However,</w:t>
      </w:r>
      <w:r w:rsidR="0017188A">
        <w:t xml:space="preserve"> </w:t>
      </w:r>
      <w:r>
        <w:t xml:space="preserve">additional guidance in the decision letters and/or giving participants the option to request an explanation could help </w:t>
      </w:r>
      <w:r w:rsidR="0019653A">
        <w:t>them better understand</w:t>
      </w:r>
      <w:r w:rsidR="008D6327">
        <w:t xml:space="preserve"> and accept</w:t>
      </w:r>
      <w:r w:rsidR="0019653A">
        <w:t xml:space="preserve"> decisions</w:t>
      </w:r>
      <w:r w:rsidR="00210A08">
        <w:t>.</w:t>
      </w:r>
      <w:r w:rsidR="00C534F3">
        <w:t xml:space="preserve"> Currently</w:t>
      </w:r>
      <w:r w:rsidR="00ED46E7">
        <w:t>,</w:t>
      </w:r>
      <w:r w:rsidR="00C534F3">
        <w:t xml:space="preserve"> </w:t>
      </w:r>
      <w:r w:rsidR="0071570B">
        <w:t xml:space="preserve">the </w:t>
      </w:r>
      <w:r w:rsidR="00AE7DE0" w:rsidRPr="00D65D2A">
        <w:t xml:space="preserve">Participant Service Guarantee </w:t>
      </w:r>
      <w:r w:rsidR="002437BD">
        <w:t>(PSG)</w:t>
      </w:r>
      <w:r w:rsidR="00AE1A66">
        <w:t xml:space="preserve"> </w:t>
      </w:r>
      <w:r w:rsidR="000305DA">
        <w:t xml:space="preserve">only </w:t>
      </w:r>
      <w:r w:rsidR="00ED46E7">
        <w:t>provides</w:t>
      </w:r>
      <w:r w:rsidR="000305DA">
        <w:t xml:space="preserve"> participants the option of requesting a follow-up </w:t>
      </w:r>
      <w:r w:rsidR="00875904">
        <w:t xml:space="preserve">explanation </w:t>
      </w:r>
      <w:r w:rsidR="00AE1A66">
        <w:t xml:space="preserve">for </w:t>
      </w:r>
      <w:r w:rsidR="00875904">
        <w:t>access</w:t>
      </w:r>
      <w:r w:rsidR="00FE2751">
        <w:t>,</w:t>
      </w:r>
      <w:r w:rsidR="00875904">
        <w:t xml:space="preserve"> </w:t>
      </w:r>
      <w:r w:rsidR="00AE1A66">
        <w:t xml:space="preserve">not planning </w:t>
      </w:r>
      <w:r w:rsidR="00875904">
        <w:t>decision</w:t>
      </w:r>
      <w:r w:rsidR="00ED46E7">
        <w:t>s</w:t>
      </w:r>
      <w:r w:rsidR="00875904">
        <w:t>.</w:t>
      </w:r>
    </w:p>
    <w:p w14:paraId="54417CFF" w14:textId="394A1085" w:rsidR="00693186" w:rsidRPr="00210A08" w:rsidRDefault="00693186" w:rsidP="00693186">
      <w:pPr>
        <w:pStyle w:val="Heading5"/>
        <w:rPr>
          <w:highlight w:val="yellow"/>
        </w:rPr>
      </w:pPr>
      <w:r w:rsidRPr="00DB77A7">
        <w:t>Impact of Internal Review Team initiatives</w:t>
      </w:r>
    </w:p>
    <w:p w14:paraId="47F3924F" w14:textId="5FA1CA7C" w:rsidR="00B521F3" w:rsidRDefault="00B65F76" w:rsidP="00693186">
      <w:r>
        <w:t>T</w:t>
      </w:r>
      <w:r w:rsidR="005E1795">
        <w:t>he above initiatives align with the criticism</w:t>
      </w:r>
      <w:r>
        <w:t xml:space="preserve"> the evaluation has </w:t>
      </w:r>
      <w:r w:rsidR="00ED46E7">
        <w:t>identified regarding</w:t>
      </w:r>
      <w:r>
        <w:t xml:space="preserve"> the internal review process. </w:t>
      </w:r>
      <w:r w:rsidR="00FD0578">
        <w:fldChar w:fldCharType="begin"/>
      </w:r>
      <w:r w:rsidR="00FD0578">
        <w:instrText xml:space="preserve"> REF _Ref135218256 \h </w:instrText>
      </w:r>
      <w:r w:rsidR="00FD0578">
        <w:fldChar w:fldCharType="separate"/>
      </w:r>
      <w:r w:rsidR="000F1876" w:rsidRPr="00EB3D5D">
        <w:t xml:space="preserve">Figure </w:t>
      </w:r>
      <w:r w:rsidR="000F1876">
        <w:rPr>
          <w:noProof/>
        </w:rPr>
        <w:t>13</w:t>
      </w:r>
      <w:r w:rsidR="00FD0578">
        <w:fldChar w:fldCharType="end"/>
      </w:r>
      <w:r w:rsidR="0073225D" w:rsidRPr="00242CB5">
        <w:t xml:space="preserve"> </w:t>
      </w:r>
      <w:r w:rsidR="0008178C" w:rsidRPr="00242CB5">
        <w:t>s</w:t>
      </w:r>
      <w:r w:rsidR="0008178C">
        <w:t xml:space="preserve">hows that since the Agency </w:t>
      </w:r>
      <w:r w:rsidR="00302BC7">
        <w:t xml:space="preserve">fully </w:t>
      </w:r>
      <w:r w:rsidR="0008178C">
        <w:t xml:space="preserve">implemented the internal review enhancement initiatives in </w:t>
      </w:r>
      <w:r w:rsidR="00302BC7">
        <w:t>quarter 4 of</w:t>
      </w:r>
      <w:r w:rsidR="0008178C">
        <w:t xml:space="preserve"> 2022, </w:t>
      </w:r>
      <w:r w:rsidR="00843249">
        <w:t>the percentage of NDIS plan</w:t>
      </w:r>
      <w:r w:rsidR="00822D33">
        <w:t>-</w:t>
      </w:r>
      <w:r w:rsidR="00843249">
        <w:t xml:space="preserve">related internal reviews that escalate to the AAT process has decreased. </w:t>
      </w:r>
      <w:r w:rsidR="00302BC7">
        <w:t xml:space="preserve">This </w:t>
      </w:r>
      <w:r w:rsidR="007A0AB6">
        <w:t>not only</w:t>
      </w:r>
      <w:r w:rsidR="00302BC7">
        <w:t xml:space="preserve"> highlights the </w:t>
      </w:r>
      <w:r w:rsidR="007A0AB6">
        <w:t xml:space="preserve">early success of these initiatives but also </w:t>
      </w:r>
      <w:r w:rsidR="00302BC7">
        <w:lastRenderedPageBreak/>
        <w:t>the importance giving participants a chance to discuss their matter and clearly explaining decisions.</w:t>
      </w:r>
    </w:p>
    <w:p w14:paraId="7F82696E" w14:textId="5610B617" w:rsidR="0099771B" w:rsidRPr="00EB3D5D" w:rsidRDefault="0099771B" w:rsidP="00A86241">
      <w:pPr>
        <w:pStyle w:val="Caption"/>
      </w:pPr>
      <w:bookmarkStart w:id="126" w:name="_Ref135218256"/>
      <w:r w:rsidRPr="00EB3D5D">
        <w:t xml:space="preserve">Figure </w:t>
      </w:r>
      <w:r w:rsidRPr="00EB3D5D">
        <w:fldChar w:fldCharType="begin"/>
      </w:r>
      <w:r w:rsidRPr="00EB3D5D">
        <w:instrText>SEQ Figure \* ARABIC</w:instrText>
      </w:r>
      <w:r w:rsidRPr="00EB3D5D">
        <w:fldChar w:fldCharType="separate"/>
      </w:r>
      <w:r w:rsidR="000F1876">
        <w:rPr>
          <w:noProof/>
        </w:rPr>
        <w:t>13</w:t>
      </w:r>
      <w:r w:rsidRPr="00EB3D5D">
        <w:fldChar w:fldCharType="end"/>
      </w:r>
      <w:bookmarkEnd w:id="126"/>
      <w:r w:rsidRPr="00EB3D5D">
        <w:t>: Percentage of NDIS plan-related internal reviews escalating to external review</w:t>
      </w:r>
    </w:p>
    <w:p w14:paraId="46AB9B17" w14:textId="12B41C2C" w:rsidR="00DD1B4E" w:rsidRDefault="006B2E05" w:rsidP="00693186">
      <w:r>
        <w:rPr>
          <w:noProof/>
        </w:rPr>
        <w:drawing>
          <wp:inline distT="0" distB="0" distL="0" distR="0" wp14:anchorId="51DC25AE" wp14:editId="45329107">
            <wp:extent cx="5448300" cy="3181350"/>
            <wp:effectExtent l="0" t="0" r="0" b="0"/>
            <wp:docPr id="31" name="Chart 31" descr="This figure shows the percentage of NDIS plan related internal reviews escalating to external reviews.&#10;Figure shows two series between August 2021 and March 2023 on the horizontal axis. &#10;Figure also has a horizontal line at September 2022 to indicate when internal review initiatives were implanted. &#10;The first series is the raw number of S100 reviews.  The series reveals a minor decrease in the number of matters over time. The vertical axis represents number of S100 reviews and ranges from 0 to 4,500 in increments of 500.&#10;The second series is the percent of all S100 matters that escalate to the AAT. The vertical axis is from 5% to 17% in increments of 2%. The series reveals a relative constant trend over time until when internal review initiatives where implemented, after which a notable downward trend emerge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F6A2B57" w14:textId="1619CC5B" w:rsidR="00DD1B4E" w:rsidRPr="00EB3D5D" w:rsidRDefault="00843249" w:rsidP="00875904">
      <w:pPr>
        <w:spacing w:before="120" w:after="240"/>
        <w:rPr>
          <w:szCs w:val="22"/>
        </w:rPr>
      </w:pPr>
      <w:r w:rsidRPr="00EB3D5D">
        <w:rPr>
          <w:szCs w:val="22"/>
        </w:rPr>
        <w:t>Source: Research and Evaluation Branch analysis of internal (s100) data.</w:t>
      </w:r>
    </w:p>
    <w:p w14:paraId="2968B9AD" w14:textId="00F9A5B0" w:rsidR="00B00235" w:rsidRDefault="007A0AB6" w:rsidP="00B00235">
      <w:pPr>
        <w:pStyle w:val="Heading3"/>
      </w:pPr>
      <w:bookmarkStart w:id="127" w:name="_Toc133655521"/>
      <w:bookmarkStart w:id="128" w:name="_Toc142918609"/>
      <w:r>
        <w:t>E</w:t>
      </w:r>
      <w:r w:rsidR="00BD5BC0" w:rsidRPr="00057739">
        <w:t>xternal review</w:t>
      </w:r>
      <w:r w:rsidR="00B00235">
        <w:t>s</w:t>
      </w:r>
      <w:bookmarkEnd w:id="127"/>
      <w:bookmarkEnd w:id="128"/>
    </w:p>
    <w:p w14:paraId="0B716F9C" w14:textId="312D9FBA" w:rsidR="00E13805" w:rsidRDefault="009E0C2B" w:rsidP="00952E11">
      <w:pPr>
        <w:pStyle w:val="Heading4"/>
      </w:pPr>
      <w:r>
        <w:t>Overall e</w:t>
      </w:r>
      <w:r w:rsidR="00E13805">
        <w:t xml:space="preserve">xperience with </w:t>
      </w:r>
      <w:r w:rsidR="00BD5BC0">
        <w:t>external reviews</w:t>
      </w:r>
    </w:p>
    <w:p w14:paraId="2691A012" w14:textId="0DD666A9" w:rsidR="00FC1D99" w:rsidRDefault="006650EA" w:rsidP="00FC1D99">
      <w:r>
        <w:t xml:space="preserve">The online survey of </w:t>
      </w:r>
      <w:r w:rsidR="007B2502">
        <w:t>IERP</w:t>
      </w:r>
      <w:r w:rsidR="006F503E">
        <w:t xml:space="preserve"> </w:t>
      </w:r>
      <w:r w:rsidR="00460607">
        <w:t xml:space="preserve">participants </w:t>
      </w:r>
      <w:r w:rsidR="007B2502">
        <w:t>a</w:t>
      </w:r>
      <w:r w:rsidR="003E0F4E">
        <w:t xml:space="preserve">sked </w:t>
      </w:r>
      <w:r>
        <w:t xml:space="preserve">them </w:t>
      </w:r>
      <w:r w:rsidR="003E0F4E">
        <w:t xml:space="preserve">to compare their experience with the AAT process. </w:t>
      </w:r>
      <w:r w:rsidR="003B0578">
        <w:t xml:space="preserve">In free text responses, </w:t>
      </w:r>
      <w:r w:rsidR="00BE4F4D">
        <w:t>respondent</w:t>
      </w:r>
      <w:r w:rsidR="003B0578">
        <w:t>s repeatedly noted the overly aggressive approach by external lawyers representing the NDIA. They described the approach as intimidating and bullying</w:t>
      </w:r>
      <w:r w:rsidR="00920521">
        <w:t>, with little</w:t>
      </w:r>
      <w:r w:rsidR="003B0578">
        <w:t xml:space="preserve"> empathy and understanding for </w:t>
      </w:r>
      <w:r w:rsidR="00920521">
        <w:t>their</w:t>
      </w:r>
      <w:r w:rsidR="003B0578">
        <w:t xml:space="preserve"> position.</w:t>
      </w:r>
      <w:r w:rsidR="00FC1D99">
        <w:t xml:space="preserve"> </w:t>
      </w:r>
    </w:p>
    <w:p w14:paraId="03259B07" w14:textId="45F12F8D" w:rsidR="003B0578" w:rsidRPr="00E97B85" w:rsidRDefault="005E0D1D" w:rsidP="000C5DE8">
      <w:pPr>
        <w:spacing w:after="200"/>
        <w:ind w:left="357" w:right="720"/>
        <w:rPr>
          <w:b/>
          <w:color w:val="6B2976"/>
        </w:rPr>
      </w:pPr>
      <w:r w:rsidRPr="00192226">
        <w:rPr>
          <w:color w:val="6B2976"/>
        </w:rPr>
        <w:t>“</w:t>
      </w:r>
      <w:r w:rsidR="003B0578" w:rsidRPr="0D4C4897">
        <w:rPr>
          <w:i/>
          <w:color w:val="6B2976" w:themeColor="background2"/>
        </w:rPr>
        <w:t xml:space="preserve">If it wasn't for this IER process, I hate to think what we would have done, [External lawyers] were the worst to deal with… They lacked any humanity and drove me and my wife both into depression and anxiety. Remove [External lawyers] from the process. They brought an attack dog law firm approach to the parents of a disabled child, it was disgusting and a huge </w:t>
      </w:r>
      <w:r w:rsidR="003B0578" w:rsidRPr="0D4C4897">
        <w:rPr>
          <w:i/>
          <w:color w:val="6B2976" w:themeColor="background2"/>
        </w:rPr>
        <w:lastRenderedPageBreak/>
        <w:t>waste of taxpayers’ dollars, two years of appeal before the IER was finally able to get a reasonable outcome for our son</w:t>
      </w:r>
      <w:r w:rsidR="003B0578" w:rsidRPr="68D0D198">
        <w:rPr>
          <w:i/>
          <w:color w:val="6B2976" w:themeColor="background2"/>
        </w:rPr>
        <w:t>.</w:t>
      </w:r>
      <w:r>
        <w:rPr>
          <w:i/>
          <w:color w:val="6B2976" w:themeColor="background2"/>
        </w:rPr>
        <w:t>”</w:t>
      </w:r>
      <w:r w:rsidR="003B0578" w:rsidRPr="0D4C4897">
        <w:rPr>
          <w:i/>
          <w:color w:val="6B2976" w:themeColor="background2"/>
        </w:rPr>
        <w:t xml:space="preserve"> </w:t>
      </w:r>
      <w:r w:rsidR="003B0578" w:rsidRPr="0D4C4897">
        <w:rPr>
          <w:b/>
          <w:color w:val="6B2976" w:themeColor="background2"/>
        </w:rPr>
        <w:t>Participant, Survey</w:t>
      </w:r>
      <w:r w:rsidR="000C5DE8">
        <w:rPr>
          <w:b/>
          <w:color w:val="6B2976" w:themeColor="background2"/>
        </w:rPr>
        <w:t>.</w:t>
      </w:r>
    </w:p>
    <w:p w14:paraId="383667FF" w14:textId="049075D3" w:rsidR="00170A03" w:rsidRDefault="00EA4FEA" w:rsidP="00EA0EA5">
      <w:r>
        <w:t>Two-thirds</w:t>
      </w:r>
      <w:r w:rsidR="00EB4536">
        <w:t xml:space="preserve"> (66%)</w:t>
      </w:r>
      <w:r w:rsidR="001F3785">
        <w:t xml:space="preserve"> </w:t>
      </w:r>
      <w:r w:rsidR="00EB4536">
        <w:t>of respondents</w:t>
      </w:r>
      <w:r w:rsidR="001F3785">
        <w:t xml:space="preserve"> indicated the IERP gave them more of an opportunity to be heard </w:t>
      </w:r>
      <w:r w:rsidR="00A95230">
        <w:t xml:space="preserve">and a better experience </w:t>
      </w:r>
      <w:r w:rsidR="001F3785">
        <w:t>compared to the AAT process</w:t>
      </w:r>
      <w:r w:rsidR="00A95230">
        <w:t>.</w:t>
      </w:r>
      <w:r>
        <w:t xml:space="preserve"> </w:t>
      </w:r>
      <w:r w:rsidR="00084711">
        <w:t>F</w:t>
      </w:r>
      <w:r w:rsidR="00EB4536">
        <w:t xml:space="preserve">or </w:t>
      </w:r>
      <w:r w:rsidR="001C1916">
        <w:t xml:space="preserve">those </w:t>
      </w:r>
      <w:r w:rsidR="00EA0EA5">
        <w:t xml:space="preserve">participants </w:t>
      </w:r>
      <w:r w:rsidR="001C1916">
        <w:t xml:space="preserve">who didn’t report a better experience </w:t>
      </w:r>
      <w:r w:rsidR="00EB4536">
        <w:t>with the IERP</w:t>
      </w:r>
      <w:r w:rsidR="00084711">
        <w:t>, the</w:t>
      </w:r>
      <w:r w:rsidR="0075208D">
        <w:t>y indicated that the</w:t>
      </w:r>
      <w:r w:rsidR="00084711">
        <w:t xml:space="preserve"> i</w:t>
      </w:r>
      <w:r w:rsidR="00084711" w:rsidRPr="00EB4536">
        <w:t xml:space="preserve">ndependent </w:t>
      </w:r>
      <w:r w:rsidR="00084711">
        <w:t>e</w:t>
      </w:r>
      <w:r w:rsidR="00084711" w:rsidRPr="00EB4536">
        <w:t>xpert</w:t>
      </w:r>
      <w:r w:rsidR="00084711">
        <w:t xml:space="preserve"> recommended </w:t>
      </w:r>
      <w:r w:rsidR="00C66FB3">
        <w:t xml:space="preserve">against </w:t>
      </w:r>
      <w:r w:rsidR="00EA0EA5">
        <w:t>their request.</w:t>
      </w:r>
      <w:r w:rsidR="005A3563">
        <w:t xml:space="preserve"> This suggests that while the </w:t>
      </w:r>
      <w:r w:rsidR="00DD6646">
        <w:t>IERP is likely</w:t>
      </w:r>
      <w:r w:rsidR="0003451C">
        <w:t xml:space="preserve"> to </w:t>
      </w:r>
      <w:r w:rsidR="00DD6646">
        <w:t>be</w:t>
      </w:r>
      <w:r w:rsidR="0003451C">
        <w:t xml:space="preserve"> a better experience</w:t>
      </w:r>
      <w:r w:rsidR="00DD6646">
        <w:t xml:space="preserve"> than the AAT for participants</w:t>
      </w:r>
      <w:r w:rsidR="0003451C">
        <w:t>,</w:t>
      </w:r>
      <w:r w:rsidR="005A3563">
        <w:t xml:space="preserve"> </w:t>
      </w:r>
      <w:r w:rsidR="00DD6646">
        <w:t xml:space="preserve">satisfaction </w:t>
      </w:r>
      <w:r w:rsidR="00C164F2">
        <w:t>is somewhat coupled to the outco</w:t>
      </w:r>
      <w:r w:rsidR="00F665FE">
        <w:t>me.</w:t>
      </w:r>
    </w:p>
    <w:p w14:paraId="5AC1D482" w14:textId="686C5D4B" w:rsidR="00F5040F" w:rsidRPr="00C7156C" w:rsidRDefault="002B3E80" w:rsidP="00952E11">
      <w:pPr>
        <w:pStyle w:val="Heading4"/>
      </w:pPr>
      <w:r>
        <w:t>AAT eviden</w:t>
      </w:r>
      <w:r w:rsidR="00D32B6E">
        <w:t>ce</w:t>
      </w:r>
      <w:r>
        <w:t xml:space="preserve"> requirements</w:t>
      </w:r>
    </w:p>
    <w:p w14:paraId="534114F9" w14:textId="7322D420" w:rsidR="003417F7" w:rsidRDefault="00AD7CBD" w:rsidP="00890FC1">
      <w:pPr>
        <w:ind w:right="-46"/>
      </w:pPr>
      <w:r>
        <w:t xml:space="preserve">Participant representatives </w:t>
      </w:r>
      <w:r w:rsidR="0058193B">
        <w:t xml:space="preserve">and </w:t>
      </w:r>
      <w:r w:rsidR="00CF322E">
        <w:t>DRCO representatives</w:t>
      </w:r>
      <w:r w:rsidR="0058193B">
        <w:t xml:space="preserve"> </w:t>
      </w:r>
      <w:r w:rsidR="00DA7C7A">
        <w:t xml:space="preserve">reported </w:t>
      </w:r>
      <w:r w:rsidR="00DC5DF2">
        <w:t xml:space="preserve">the level of evidence required for </w:t>
      </w:r>
      <w:r w:rsidR="00B52F67">
        <w:t xml:space="preserve">the AAT </w:t>
      </w:r>
      <w:r w:rsidR="00F07068">
        <w:t xml:space="preserve">is </w:t>
      </w:r>
      <w:r w:rsidR="00B52F67">
        <w:t>excessive</w:t>
      </w:r>
      <w:r w:rsidR="0022655F">
        <w:t xml:space="preserve">. </w:t>
      </w:r>
      <w:r w:rsidR="006F6ECE">
        <w:t xml:space="preserve">There </w:t>
      </w:r>
      <w:r w:rsidR="00F45F06">
        <w:t>is</w:t>
      </w:r>
      <w:r w:rsidR="00CE4E0E">
        <w:t xml:space="preserve"> a substantial difference between the </w:t>
      </w:r>
      <w:r w:rsidR="0036431D">
        <w:t xml:space="preserve">amount </w:t>
      </w:r>
      <w:r w:rsidR="00A23D75">
        <w:t>o</w:t>
      </w:r>
      <w:r w:rsidR="00375D54">
        <w:t>f</w:t>
      </w:r>
      <w:r w:rsidR="00A23D75">
        <w:t xml:space="preserve"> evidence required </w:t>
      </w:r>
      <w:r w:rsidR="00D350FB">
        <w:t>for planning and NDIA internal reviews</w:t>
      </w:r>
      <w:r w:rsidR="00322A99">
        <w:t xml:space="preserve"> </w:t>
      </w:r>
      <w:r w:rsidR="00D7509E">
        <w:t>th</w:t>
      </w:r>
      <w:r w:rsidR="00B15B10">
        <w:t>a</w:t>
      </w:r>
      <w:r w:rsidR="00D7509E">
        <w:t>n</w:t>
      </w:r>
      <w:r w:rsidR="005D5E19">
        <w:t xml:space="preserve"> for the AAT</w:t>
      </w:r>
      <w:r w:rsidR="00C35D64">
        <w:t xml:space="preserve">. </w:t>
      </w:r>
      <w:r w:rsidR="0094544E">
        <w:t>During interviews, several d</w:t>
      </w:r>
      <w:r w:rsidR="0036431D">
        <w:t xml:space="preserve">isability advocates and participant </w:t>
      </w:r>
      <w:r w:rsidR="008400AD">
        <w:t>representatives</w:t>
      </w:r>
      <w:r w:rsidR="0036431D">
        <w:t xml:space="preserve"> </w:t>
      </w:r>
      <w:r w:rsidR="0094544E">
        <w:t xml:space="preserve">commented that </w:t>
      </w:r>
      <w:r w:rsidR="008A70D2">
        <w:t>it is</w:t>
      </w:r>
      <w:r w:rsidR="009171C9">
        <w:t xml:space="preserve"> incredibly onerous </w:t>
      </w:r>
      <w:r w:rsidR="00B8135A">
        <w:t xml:space="preserve">for </w:t>
      </w:r>
      <w:r w:rsidR="008A70D2">
        <w:t xml:space="preserve">participants to gather the evidence required </w:t>
      </w:r>
      <w:r w:rsidR="00B15B10">
        <w:t>f</w:t>
      </w:r>
      <w:r w:rsidR="008A70D2">
        <w:t>or the AAT process</w:t>
      </w:r>
      <w:r w:rsidR="00890FC1">
        <w:t>.</w:t>
      </w:r>
      <w:r w:rsidR="008A70D2">
        <w:t xml:space="preserve"> </w:t>
      </w:r>
    </w:p>
    <w:p w14:paraId="4DAC8BC6" w14:textId="512B1C66" w:rsidR="007D69FC" w:rsidRDefault="00CF200C" w:rsidP="00192226">
      <w:pPr>
        <w:ind w:left="357" w:right="720"/>
        <w:jc w:val="both"/>
        <w:rPr>
          <w:b/>
          <w:bCs/>
          <w:color w:val="6B2976"/>
        </w:rPr>
      </w:pPr>
      <w:r>
        <w:rPr>
          <w:i/>
          <w:iCs/>
          <w:color w:val="6B2976"/>
        </w:rPr>
        <w:t>“</w:t>
      </w:r>
      <w:r w:rsidR="00A36813" w:rsidRPr="00F85E65">
        <w:rPr>
          <w:i/>
          <w:color w:val="6B2976"/>
        </w:rPr>
        <w:t>T</w:t>
      </w:r>
      <w:r w:rsidR="007D69FC" w:rsidRPr="00F85E65">
        <w:rPr>
          <w:i/>
          <w:color w:val="6B2976"/>
        </w:rPr>
        <w:t xml:space="preserve">here's a huge mismatch in the standard of evidence required at the initial planning stage or the internal review stage compared to the tribunal stage. I'm not sure </w:t>
      </w:r>
      <w:r w:rsidR="0009190E" w:rsidRPr="00F85E65">
        <w:rPr>
          <w:i/>
          <w:color w:val="6B2976"/>
        </w:rPr>
        <w:t xml:space="preserve">if </w:t>
      </w:r>
      <w:r w:rsidR="007D69FC" w:rsidRPr="00F85E65">
        <w:rPr>
          <w:i/>
          <w:color w:val="6B2976"/>
        </w:rPr>
        <w:t>that has to happen as you go up the hierarchy of dispute resolution</w:t>
      </w:r>
      <w:r w:rsidR="00591005" w:rsidRPr="00F85E65">
        <w:rPr>
          <w:i/>
          <w:color w:val="6B2976"/>
        </w:rPr>
        <w:t>, b</w:t>
      </w:r>
      <w:r w:rsidR="007D69FC" w:rsidRPr="00F85E65">
        <w:rPr>
          <w:i/>
          <w:color w:val="6B2976"/>
        </w:rPr>
        <w:t xml:space="preserve">ut </w:t>
      </w:r>
      <w:r w:rsidR="00591005" w:rsidRPr="00F85E65">
        <w:rPr>
          <w:i/>
          <w:color w:val="6B2976"/>
        </w:rPr>
        <w:t xml:space="preserve">it </w:t>
      </w:r>
      <w:r w:rsidR="007D69FC" w:rsidRPr="00F85E65">
        <w:rPr>
          <w:i/>
          <w:color w:val="6B2976"/>
        </w:rPr>
        <w:t xml:space="preserve">does strike me as odd that to get to the tribunal, you basically have to put together an entire legal case to comprehensively demonstrate to a team of lawyers that you satisfy </w:t>
      </w:r>
      <w:r w:rsidR="007866C1" w:rsidRPr="00F85E65">
        <w:rPr>
          <w:i/>
          <w:iCs/>
          <w:color w:val="6B2976"/>
        </w:rPr>
        <w:t>these</w:t>
      </w:r>
      <w:r w:rsidR="007D69FC" w:rsidRPr="00F85E65">
        <w:rPr>
          <w:i/>
          <w:color w:val="6B2976"/>
        </w:rPr>
        <w:t xml:space="preserve"> criteria before you'll get a support. Whereas the internal review process, I mean, things will just get funded or not funded, just on the basis of yeah, it was one paragraph here, it says support should be funded</w:t>
      </w:r>
      <w:r w:rsidR="007D69FC" w:rsidRPr="00F85E65">
        <w:rPr>
          <w:i/>
          <w:iCs/>
          <w:color w:val="6B2976"/>
        </w:rPr>
        <w:t>.</w:t>
      </w:r>
      <w:r>
        <w:rPr>
          <w:i/>
          <w:iCs/>
          <w:color w:val="6B2976"/>
        </w:rPr>
        <w:t>”</w:t>
      </w:r>
      <w:r w:rsidR="007D69FC" w:rsidRPr="00F85E65">
        <w:rPr>
          <w:i/>
          <w:color w:val="6B2976"/>
        </w:rPr>
        <w:t xml:space="preserve">  </w:t>
      </w:r>
      <w:r w:rsidR="00E34AB2" w:rsidRPr="00E34AB2">
        <w:rPr>
          <w:b/>
          <w:bCs/>
          <w:color w:val="6B2976"/>
        </w:rPr>
        <w:t>DRCO, interview</w:t>
      </w:r>
      <w:r w:rsidR="000473D7">
        <w:rPr>
          <w:b/>
          <w:bCs/>
          <w:color w:val="6B2976"/>
        </w:rPr>
        <w:t>.</w:t>
      </w:r>
    </w:p>
    <w:p w14:paraId="470D3E24" w14:textId="281E4B82" w:rsidR="00F425D9" w:rsidRPr="00F425D9" w:rsidRDefault="00F425D9" w:rsidP="00F425D9">
      <w:pPr>
        <w:ind w:right="-46"/>
      </w:pPr>
      <w:r>
        <w:t xml:space="preserve">Some also commented that the </w:t>
      </w:r>
      <w:r w:rsidRPr="000F60CA">
        <w:t xml:space="preserve">excessive evidentiary requirements </w:t>
      </w:r>
      <w:r w:rsidR="00F95863">
        <w:t>do</w:t>
      </w:r>
      <w:r>
        <w:t xml:space="preserve"> not appear to be serving the purpose of </w:t>
      </w:r>
      <w:r w:rsidRPr="000F60CA">
        <w:t>clarifying the situation and simplifying the decision-making process</w:t>
      </w:r>
      <w:r>
        <w:t>. Rather, the volume of evidence overcomplicates and extends</w:t>
      </w:r>
      <w:r w:rsidRPr="000F60CA">
        <w:t xml:space="preserve"> matters</w:t>
      </w:r>
      <w:r>
        <w:t xml:space="preserve"> to the detriment of participants</w:t>
      </w:r>
      <w:r w:rsidRPr="000F60CA">
        <w:t>.</w:t>
      </w:r>
    </w:p>
    <w:p w14:paraId="1B4DA086" w14:textId="37526A3D" w:rsidR="00B9183C" w:rsidRPr="00324C3C" w:rsidRDefault="00B9183C" w:rsidP="00192226">
      <w:pPr>
        <w:ind w:left="357" w:right="720"/>
        <w:jc w:val="both"/>
        <w:rPr>
          <w:b/>
          <w:color w:val="6B2976"/>
          <w:lang w:bidi="th-TH"/>
        </w:rPr>
      </w:pPr>
      <w:r w:rsidRPr="00AD31BC">
        <w:rPr>
          <w:i/>
          <w:color w:val="6B2976"/>
        </w:rPr>
        <w:t>When you read AAT decisions about the disability support pension, for instance, they tend not to be 70</w:t>
      </w:r>
      <w:r w:rsidR="00324C3C" w:rsidRPr="00AD31BC">
        <w:rPr>
          <w:i/>
          <w:iCs/>
          <w:color w:val="6B2976"/>
        </w:rPr>
        <w:t>-</w:t>
      </w:r>
      <w:r w:rsidRPr="00AD31BC">
        <w:rPr>
          <w:i/>
          <w:color w:val="6B2976"/>
        </w:rPr>
        <w:t xml:space="preserve">page long decisions about the absolute </w:t>
      </w:r>
      <w:r w:rsidRPr="00AD31BC">
        <w:rPr>
          <w:i/>
          <w:color w:val="6B2976"/>
        </w:rPr>
        <w:lastRenderedPageBreak/>
        <w:t xml:space="preserve">minutiae of </w:t>
      </w:r>
      <w:r w:rsidR="000D48D8" w:rsidRPr="00AD31BC">
        <w:rPr>
          <w:i/>
          <w:color w:val="6B2976"/>
        </w:rPr>
        <w:t>a</w:t>
      </w:r>
      <w:r w:rsidRPr="00AD31BC">
        <w:rPr>
          <w:i/>
          <w:color w:val="6B2976"/>
        </w:rPr>
        <w:t xml:space="preserve"> report. And that's just because the evidence isn't there. </w:t>
      </w:r>
      <w:r w:rsidR="000B0C8C" w:rsidRPr="00AD31BC">
        <w:rPr>
          <w:i/>
          <w:color w:val="6B2976"/>
        </w:rPr>
        <w:t>Y</w:t>
      </w:r>
      <w:r w:rsidRPr="00AD31BC">
        <w:rPr>
          <w:i/>
          <w:color w:val="6B2976"/>
        </w:rPr>
        <w:t xml:space="preserve">ou work off the reports that you have. There is no long extended hearing where everyone's cross-examined. Whereas </w:t>
      </w:r>
      <w:r w:rsidR="00806C42">
        <w:rPr>
          <w:i/>
          <w:color w:val="6B2976"/>
        </w:rPr>
        <w:t>for</w:t>
      </w:r>
      <w:r w:rsidRPr="00AD31BC">
        <w:rPr>
          <w:i/>
          <w:color w:val="6B2976"/>
        </w:rPr>
        <w:t xml:space="preserve"> </w:t>
      </w:r>
      <w:r w:rsidR="00E87C66" w:rsidRPr="00AD31BC">
        <w:rPr>
          <w:i/>
          <w:color w:val="6B2976"/>
        </w:rPr>
        <w:t>NDIS</w:t>
      </w:r>
      <w:r w:rsidR="00806C42">
        <w:rPr>
          <w:i/>
          <w:color w:val="6B2976"/>
        </w:rPr>
        <w:t>-related A</w:t>
      </w:r>
      <w:r w:rsidR="00EA6994" w:rsidRPr="00AD31BC">
        <w:rPr>
          <w:i/>
          <w:color w:val="6B2976"/>
        </w:rPr>
        <w:t>AT</w:t>
      </w:r>
      <w:r w:rsidR="00806C42">
        <w:rPr>
          <w:i/>
          <w:color w:val="6B2976"/>
        </w:rPr>
        <w:t xml:space="preserve"> hearings</w:t>
      </w:r>
      <w:r w:rsidR="00C53807">
        <w:rPr>
          <w:i/>
          <w:color w:val="6B2976"/>
        </w:rPr>
        <w:t>,</w:t>
      </w:r>
      <w:r w:rsidRPr="00AD31BC">
        <w:rPr>
          <w:i/>
          <w:color w:val="6B2976"/>
        </w:rPr>
        <w:t xml:space="preserve"> we've got clients that have five</w:t>
      </w:r>
      <w:r w:rsidR="00324C3C" w:rsidRPr="00AD31BC">
        <w:rPr>
          <w:i/>
          <w:iCs/>
          <w:color w:val="6B2976"/>
        </w:rPr>
        <w:t>-</w:t>
      </w:r>
      <w:r w:rsidRPr="00AD31BC">
        <w:rPr>
          <w:i/>
          <w:color w:val="6B2976"/>
        </w:rPr>
        <w:t>day hearings and there's a barrister cross-examining for two days</w:t>
      </w:r>
      <w:r w:rsidR="0009154A">
        <w:rPr>
          <w:i/>
          <w:color w:val="6B2976"/>
        </w:rPr>
        <w:t>. T</w:t>
      </w:r>
      <w:r w:rsidR="005850BF" w:rsidRPr="00874509">
        <w:rPr>
          <w:i/>
          <w:iCs/>
          <w:color w:val="6B2976"/>
        </w:rPr>
        <w:t xml:space="preserve">he learning for the </w:t>
      </w:r>
      <w:r w:rsidR="00EA18FE">
        <w:rPr>
          <w:i/>
          <w:iCs/>
          <w:color w:val="6B2976"/>
        </w:rPr>
        <w:t>A</w:t>
      </w:r>
      <w:r w:rsidR="005850BF" w:rsidRPr="00874509">
        <w:rPr>
          <w:i/>
          <w:iCs/>
          <w:color w:val="6B2976"/>
        </w:rPr>
        <w:t xml:space="preserve">gency is they should require a lower standard of evidence at the tribunal to settle matters. I think sometimes </w:t>
      </w:r>
      <w:r w:rsidR="008F6B30" w:rsidRPr="00874509">
        <w:rPr>
          <w:i/>
          <w:iCs/>
          <w:color w:val="6B2976"/>
        </w:rPr>
        <w:t>the</w:t>
      </w:r>
      <w:r w:rsidR="008F6B30">
        <w:rPr>
          <w:i/>
          <w:iCs/>
          <w:color w:val="6B2976"/>
        </w:rPr>
        <w:t xml:space="preserve"> NDIA</w:t>
      </w:r>
      <w:r w:rsidR="005850BF" w:rsidRPr="00874509">
        <w:rPr>
          <w:i/>
          <w:iCs/>
          <w:color w:val="6B2976"/>
        </w:rPr>
        <w:t xml:space="preserve"> should not be thinking in terms of what </w:t>
      </w:r>
      <w:r w:rsidR="008F6B30">
        <w:rPr>
          <w:i/>
          <w:iCs/>
          <w:color w:val="6B2976"/>
        </w:rPr>
        <w:t>it would take to convince a tribunal member who</w:t>
      </w:r>
      <w:r w:rsidR="0082785E">
        <w:rPr>
          <w:i/>
          <w:iCs/>
          <w:color w:val="6B2976"/>
        </w:rPr>
        <w:t xml:space="preserve">’s a QC </w:t>
      </w:r>
      <w:r w:rsidR="003252C4">
        <w:rPr>
          <w:i/>
          <w:iCs/>
          <w:color w:val="6B2976"/>
        </w:rPr>
        <w:t xml:space="preserve">(sic) </w:t>
      </w:r>
      <w:r w:rsidR="0082785E">
        <w:rPr>
          <w:i/>
          <w:iCs/>
          <w:color w:val="6B2976"/>
        </w:rPr>
        <w:t xml:space="preserve">but </w:t>
      </w:r>
      <w:r w:rsidR="005850BF" w:rsidRPr="00874509">
        <w:rPr>
          <w:i/>
          <w:iCs/>
          <w:color w:val="6B2976"/>
        </w:rPr>
        <w:t xml:space="preserve">what would convince </w:t>
      </w:r>
      <w:r w:rsidR="0082785E">
        <w:rPr>
          <w:i/>
          <w:iCs/>
          <w:color w:val="6B2976"/>
        </w:rPr>
        <w:t>t</w:t>
      </w:r>
      <w:r w:rsidR="005850BF" w:rsidRPr="00874509">
        <w:rPr>
          <w:i/>
          <w:iCs/>
          <w:color w:val="6B2976"/>
        </w:rPr>
        <w:t>he average reasonable planner</w:t>
      </w:r>
      <w:r w:rsidR="0082785E">
        <w:rPr>
          <w:color w:val="6B2976"/>
        </w:rPr>
        <w:t>.”</w:t>
      </w:r>
      <w:r w:rsidR="00AD31BC" w:rsidRPr="00874509">
        <w:rPr>
          <w:i/>
          <w:iCs/>
          <w:color w:val="6B2976"/>
        </w:rPr>
        <w:t xml:space="preserve"> </w:t>
      </w:r>
      <w:r w:rsidR="00AD31BC" w:rsidRPr="00324C3C">
        <w:rPr>
          <w:b/>
          <w:bCs/>
          <w:color w:val="6B2976"/>
        </w:rPr>
        <w:t>Representative</w:t>
      </w:r>
      <w:r w:rsidR="00324C3C" w:rsidRPr="00324C3C">
        <w:rPr>
          <w:b/>
          <w:bCs/>
          <w:color w:val="6B2976"/>
        </w:rPr>
        <w:t>, interview</w:t>
      </w:r>
      <w:r w:rsidR="000473D7">
        <w:rPr>
          <w:b/>
          <w:bCs/>
          <w:color w:val="6B2976"/>
        </w:rPr>
        <w:t>.</w:t>
      </w:r>
    </w:p>
    <w:p w14:paraId="75886108" w14:textId="638325F6" w:rsidR="00433ECB" w:rsidRDefault="00F64BF2" w:rsidP="00952E11">
      <w:pPr>
        <w:pStyle w:val="Heading4"/>
      </w:pPr>
      <w:r>
        <w:t>Factors associated with requests for an external review</w:t>
      </w:r>
    </w:p>
    <w:p w14:paraId="280195F0" w14:textId="138B5D49" w:rsidR="005E0D1D" w:rsidRDefault="005E0D1D" w:rsidP="006D12AE">
      <w:r>
        <w:t xml:space="preserve">The above findings </w:t>
      </w:r>
      <w:r w:rsidR="00F8666A">
        <w:t xml:space="preserve">support the common perception that the AAT process is a difficult experience for participants. </w:t>
      </w:r>
      <w:r w:rsidR="001369CE">
        <w:t>It is inevitable that there wil</w:t>
      </w:r>
      <w:r w:rsidR="00CB655C">
        <w:t>l continue to be disputes related to NDIA decisions</w:t>
      </w:r>
      <w:r w:rsidR="00340CDD">
        <w:t xml:space="preserve"> that </w:t>
      </w:r>
      <w:r w:rsidR="00D937A9">
        <w:t xml:space="preserve">escalate to the AAT process </w:t>
      </w:r>
      <w:r w:rsidR="00340CDD">
        <w:t xml:space="preserve">given the somewhat subjective nature of the NDIS legislation. </w:t>
      </w:r>
      <w:r w:rsidR="00C50075">
        <w:t xml:space="preserve">While </w:t>
      </w:r>
      <w:r w:rsidR="00C839BC">
        <w:t>the</w:t>
      </w:r>
      <w:r w:rsidR="00F64BF2">
        <w:t>re are possible enhancements to</w:t>
      </w:r>
      <w:r w:rsidR="00C50075">
        <w:t xml:space="preserve"> </w:t>
      </w:r>
      <w:r w:rsidR="00C839BC">
        <w:t xml:space="preserve">the AAT process, </w:t>
      </w:r>
      <w:r w:rsidR="00EB546A">
        <w:t xml:space="preserve">minimising </w:t>
      </w:r>
      <w:r w:rsidR="00C839BC">
        <w:t>the</w:t>
      </w:r>
      <w:r w:rsidR="00C50075">
        <w:t xml:space="preserve"> </w:t>
      </w:r>
      <w:r w:rsidR="00EB546A">
        <w:t xml:space="preserve">number of participant’s requesting </w:t>
      </w:r>
      <w:r w:rsidR="00F64BF2">
        <w:t xml:space="preserve">an external review </w:t>
      </w:r>
      <w:r w:rsidR="00D937A9">
        <w:t>would</w:t>
      </w:r>
      <w:r w:rsidR="00F64BF2">
        <w:t xml:space="preserve"> </w:t>
      </w:r>
      <w:r w:rsidR="005D0B83">
        <w:t>produce</w:t>
      </w:r>
      <w:r w:rsidR="00F64BF2">
        <w:t xml:space="preserve"> the </w:t>
      </w:r>
      <w:r w:rsidR="005D0B83">
        <w:t>greatest</w:t>
      </w:r>
      <w:r w:rsidR="00F64BF2">
        <w:t xml:space="preserve"> impact.</w:t>
      </w:r>
    </w:p>
    <w:p w14:paraId="0C73EBCC" w14:textId="6AE98889" w:rsidR="00C67A95" w:rsidRDefault="001249B9" w:rsidP="001249B9">
      <w:r>
        <w:t xml:space="preserve">Based on </w:t>
      </w:r>
      <w:r w:rsidR="004A416F" w:rsidRPr="006D12AE">
        <w:t>G</w:t>
      </w:r>
      <w:r w:rsidR="003B4D64">
        <w:t xml:space="preserve">radient </w:t>
      </w:r>
      <w:r w:rsidR="004A416F" w:rsidRPr="006D12AE">
        <w:t>B</w:t>
      </w:r>
      <w:r w:rsidR="003B4D64">
        <w:t xml:space="preserve">oosting </w:t>
      </w:r>
      <w:r w:rsidR="004A416F" w:rsidRPr="006D12AE">
        <w:t>M</w:t>
      </w:r>
      <w:r w:rsidR="003B4D64">
        <w:t>achine (GBM)</w:t>
      </w:r>
      <w:r>
        <w:t xml:space="preserve"> regression modelling</w:t>
      </w:r>
      <w:r w:rsidR="00444A0F" w:rsidRPr="006D12AE">
        <w:t xml:space="preserve"> </w:t>
      </w:r>
      <w:r>
        <w:t>of</w:t>
      </w:r>
      <w:r w:rsidR="00444A0F" w:rsidRPr="006D12AE">
        <w:t xml:space="preserve"> </w:t>
      </w:r>
      <w:r w:rsidR="00BA26CF">
        <w:t xml:space="preserve">internal (s100) review data, </w:t>
      </w:r>
      <w:r w:rsidR="004A416F" w:rsidRPr="001F52CE">
        <w:t xml:space="preserve">the most influential </w:t>
      </w:r>
      <w:r w:rsidR="00BA26CF">
        <w:t>factors</w:t>
      </w:r>
      <w:r w:rsidR="004A416F" w:rsidRPr="001F52CE">
        <w:t xml:space="preserve"> </w:t>
      </w:r>
      <w:r w:rsidR="00E82BF5" w:rsidRPr="001F52CE">
        <w:t xml:space="preserve">predicting escalation </w:t>
      </w:r>
      <w:r w:rsidR="004A416F" w:rsidRPr="001F52CE">
        <w:t xml:space="preserve">to the AAT </w:t>
      </w:r>
      <w:r w:rsidR="00BA26CF">
        <w:t>are</w:t>
      </w:r>
      <w:r w:rsidR="00C67A95">
        <w:t>:</w:t>
      </w:r>
    </w:p>
    <w:p w14:paraId="2729244B" w14:textId="6E6CE8A6" w:rsidR="00A418BA" w:rsidRDefault="00C67A95" w:rsidP="000705FE">
      <w:pPr>
        <w:pStyle w:val="ListParagraph"/>
        <w:numPr>
          <w:ilvl w:val="0"/>
          <w:numId w:val="38"/>
        </w:numPr>
      </w:pPr>
      <w:r>
        <w:t>T</w:t>
      </w:r>
      <w:r w:rsidR="004A416F" w:rsidRPr="001F52CE">
        <w:t xml:space="preserve">he </w:t>
      </w:r>
      <w:r w:rsidR="005F3047">
        <w:t>percentage</w:t>
      </w:r>
      <w:r w:rsidR="004A416F" w:rsidRPr="001F52CE">
        <w:t xml:space="preserve"> </w:t>
      </w:r>
      <w:r w:rsidR="00955D69">
        <w:t>change in the</w:t>
      </w:r>
      <w:r w:rsidR="004A416F" w:rsidRPr="001F52CE">
        <w:t xml:space="preserve"> </w:t>
      </w:r>
      <w:r w:rsidR="00BA26CF">
        <w:t xml:space="preserve">value of the </w:t>
      </w:r>
      <w:r>
        <w:t>participant’s</w:t>
      </w:r>
      <w:r w:rsidR="004A416F" w:rsidRPr="001F52CE">
        <w:t xml:space="preserve"> NDIS plan </w:t>
      </w:r>
      <w:r>
        <w:t>(</w:t>
      </w:r>
      <w:r w:rsidR="006A301E">
        <w:t>accounts for</w:t>
      </w:r>
      <w:r w:rsidR="004A416F" w:rsidRPr="001F52CE">
        <w:t xml:space="preserve"> </w:t>
      </w:r>
      <w:r w:rsidR="002C02D8">
        <w:t>3</w:t>
      </w:r>
      <w:r w:rsidR="00F2420E">
        <w:t>8</w:t>
      </w:r>
      <w:r w:rsidR="004A416F" w:rsidRPr="001F52CE">
        <w:t xml:space="preserve">% of </w:t>
      </w:r>
      <w:r w:rsidR="00E10DAE" w:rsidRPr="001F52CE">
        <w:t>variance</w:t>
      </w:r>
      <w:r w:rsidR="00A418BA">
        <w:t xml:space="preserve"> </w:t>
      </w:r>
      <w:r w:rsidR="00ED0E6E">
        <w:t>for</w:t>
      </w:r>
      <w:r w:rsidR="00A418BA">
        <w:t xml:space="preserve"> whether a participant requests an external revie</w:t>
      </w:r>
      <w:r w:rsidR="00D5422D">
        <w:t>w</w:t>
      </w:r>
      <w:r w:rsidR="00A418BA">
        <w:t>)</w:t>
      </w:r>
    </w:p>
    <w:p w14:paraId="7AE2985C" w14:textId="791D9B0A" w:rsidR="005C2796" w:rsidRDefault="00A418BA" w:rsidP="000705FE">
      <w:pPr>
        <w:pStyle w:val="ListParagraph"/>
        <w:numPr>
          <w:ilvl w:val="0"/>
          <w:numId w:val="38"/>
        </w:numPr>
      </w:pPr>
      <w:r>
        <w:t>The p</w:t>
      </w:r>
      <w:r w:rsidR="004A416F" w:rsidRPr="001F52CE">
        <w:t>articipants</w:t>
      </w:r>
      <w:r w:rsidR="00914159" w:rsidRPr="001F52CE">
        <w:t>’</w:t>
      </w:r>
      <w:r w:rsidR="004A416F" w:rsidRPr="001F52CE">
        <w:t xml:space="preserve"> age</w:t>
      </w:r>
      <w:r w:rsidR="00D93D89" w:rsidRPr="001F52CE">
        <w:t xml:space="preserve"> </w:t>
      </w:r>
      <w:r>
        <w:t>(accounts for</w:t>
      </w:r>
      <w:r w:rsidR="00D93D89" w:rsidRPr="001F52CE">
        <w:t xml:space="preserve"> </w:t>
      </w:r>
      <w:r w:rsidR="00A10C10" w:rsidRPr="00277C5F">
        <w:t>10</w:t>
      </w:r>
      <w:r w:rsidR="00D93D89" w:rsidRPr="00277C5F">
        <w:t>%</w:t>
      </w:r>
      <w:r>
        <w:t xml:space="preserve"> of variance)</w:t>
      </w:r>
    </w:p>
    <w:p w14:paraId="1545B4DF" w14:textId="714F5E40" w:rsidR="009C7700" w:rsidRDefault="005C2796" w:rsidP="000705FE">
      <w:pPr>
        <w:pStyle w:val="ListParagraph"/>
        <w:numPr>
          <w:ilvl w:val="0"/>
          <w:numId w:val="38"/>
        </w:numPr>
      </w:pPr>
      <w:r>
        <w:t xml:space="preserve">Whether the </w:t>
      </w:r>
      <w:r w:rsidR="00815553" w:rsidRPr="001F52CE">
        <w:t xml:space="preserve">dispute </w:t>
      </w:r>
      <w:r w:rsidR="004860F7" w:rsidRPr="001F52CE">
        <w:t xml:space="preserve">involved </w:t>
      </w:r>
      <w:r w:rsidR="004A416F" w:rsidRPr="001F52CE">
        <w:t>SDA</w:t>
      </w:r>
      <w:r>
        <w:t xml:space="preserve"> (</w:t>
      </w:r>
      <w:r w:rsidR="009C7700">
        <w:t>accounts for</w:t>
      </w:r>
      <w:r w:rsidR="004A416F" w:rsidRPr="001F52CE">
        <w:t xml:space="preserve"> </w:t>
      </w:r>
      <w:r w:rsidR="009C52BD">
        <w:t>5</w:t>
      </w:r>
      <w:r w:rsidR="00996499" w:rsidRPr="00277C5F">
        <w:t>%</w:t>
      </w:r>
      <w:r w:rsidR="009C7700">
        <w:t xml:space="preserve"> of variance)</w:t>
      </w:r>
    </w:p>
    <w:p w14:paraId="25170420" w14:textId="03DBF56A" w:rsidR="004A416F" w:rsidRPr="001F52CE" w:rsidRDefault="009C7700" w:rsidP="000705FE">
      <w:pPr>
        <w:pStyle w:val="ListParagraph"/>
        <w:numPr>
          <w:ilvl w:val="0"/>
          <w:numId w:val="38"/>
        </w:numPr>
      </w:pPr>
      <w:r>
        <w:t>Whether the dispute involved SI</w:t>
      </w:r>
      <w:r w:rsidR="006D1A2A">
        <w:t>L supports (</w:t>
      </w:r>
      <w:r w:rsidR="00180C4F">
        <w:t>a</w:t>
      </w:r>
      <w:r w:rsidR="006D1A2A">
        <w:t xml:space="preserve">ccounts for </w:t>
      </w:r>
      <w:r w:rsidR="00A929ED">
        <w:t>5</w:t>
      </w:r>
      <w:r w:rsidR="000666AF" w:rsidRPr="00277C5F">
        <w:t>%</w:t>
      </w:r>
      <w:r w:rsidR="006D1A2A">
        <w:t xml:space="preserve"> of variance</w:t>
      </w:r>
      <w:r w:rsidR="000666AF" w:rsidRPr="001F52CE">
        <w:t>)</w:t>
      </w:r>
      <w:r w:rsidR="006D1A2A">
        <w:t>.</w:t>
      </w:r>
    </w:p>
    <w:p w14:paraId="1C692F47" w14:textId="3F28FC58" w:rsidR="00E913EF" w:rsidRDefault="0099771B" w:rsidP="008E4BEF">
      <w:r>
        <w:t>Subsequent l</w:t>
      </w:r>
      <w:r w:rsidR="004A416F" w:rsidRPr="001F52CE">
        <w:t xml:space="preserve">ogistic regression </w:t>
      </w:r>
      <w:r w:rsidR="000C50C4" w:rsidRPr="001F52CE">
        <w:t xml:space="preserve">provided further information </w:t>
      </w:r>
      <w:r w:rsidR="0012646F" w:rsidRPr="001F52CE">
        <w:t xml:space="preserve">on </w:t>
      </w:r>
      <w:r w:rsidR="004A416F" w:rsidRPr="001F52CE">
        <w:t xml:space="preserve">the </w:t>
      </w:r>
      <w:r w:rsidR="00DF73F0">
        <w:t>influence</w:t>
      </w:r>
      <w:r w:rsidR="004109C0">
        <w:t xml:space="preserve"> of predicting factors</w:t>
      </w:r>
      <w:r w:rsidR="004A416F" w:rsidRPr="001F52CE">
        <w:t xml:space="preserve"> </w:t>
      </w:r>
      <w:r w:rsidR="004109C0" w:rsidRPr="00242CB5">
        <w:t>(</w:t>
      </w:r>
      <w:r w:rsidR="00F83C4E">
        <w:fldChar w:fldCharType="begin"/>
      </w:r>
      <w:r w:rsidR="00F83C4E">
        <w:instrText xml:space="preserve"> REF _Ref135218361 \h </w:instrText>
      </w:r>
      <w:r w:rsidR="00F83C4E">
        <w:fldChar w:fldCharType="separate"/>
      </w:r>
      <w:r w:rsidR="000F1876" w:rsidRPr="00EB3D5D">
        <w:t xml:space="preserve">Figure </w:t>
      </w:r>
      <w:r w:rsidR="000F1876">
        <w:rPr>
          <w:noProof/>
        </w:rPr>
        <w:t>14</w:t>
      </w:r>
      <w:r w:rsidR="00F83C4E">
        <w:fldChar w:fldCharType="end"/>
      </w:r>
      <w:r w:rsidR="004109C0" w:rsidRPr="00242CB5">
        <w:t>).</w:t>
      </w:r>
      <w:r w:rsidR="004109C0">
        <w:t xml:space="preserve"> </w:t>
      </w:r>
      <w:r w:rsidR="00E913EF">
        <w:t>In summary</w:t>
      </w:r>
      <w:r w:rsidR="00C248E5">
        <w:t xml:space="preserve">, </w:t>
      </w:r>
      <w:r w:rsidR="000B5639">
        <w:t>the following</w:t>
      </w:r>
      <w:r w:rsidR="00C248E5">
        <w:t xml:space="preserve"> factors appear to significantly increase the </w:t>
      </w:r>
      <w:r w:rsidR="000B5639">
        <w:t>likelihood that a participant will request an external review</w:t>
      </w:r>
      <w:r w:rsidR="00E913EF">
        <w:t>:</w:t>
      </w:r>
    </w:p>
    <w:p w14:paraId="26797A80" w14:textId="348F9E43" w:rsidR="0091749A" w:rsidRDefault="0091749A" w:rsidP="000705FE">
      <w:pPr>
        <w:pStyle w:val="ListParagraph"/>
        <w:numPr>
          <w:ilvl w:val="0"/>
          <w:numId w:val="39"/>
        </w:numPr>
      </w:pPr>
      <w:r>
        <w:t>Disputes related to SDA (+225%)</w:t>
      </w:r>
    </w:p>
    <w:p w14:paraId="7301072D" w14:textId="4498FA7C" w:rsidR="00020062" w:rsidRDefault="00020062" w:rsidP="000705FE">
      <w:pPr>
        <w:pStyle w:val="ListParagraph"/>
        <w:numPr>
          <w:ilvl w:val="0"/>
          <w:numId w:val="39"/>
        </w:numPr>
      </w:pPr>
      <w:r>
        <w:t>Disputes related to non-SDA capital supports (+94%)</w:t>
      </w:r>
    </w:p>
    <w:p w14:paraId="09339C70" w14:textId="3BCE5052" w:rsidR="001104C3" w:rsidRPr="00522343" w:rsidRDefault="001104C3" w:rsidP="000705FE">
      <w:pPr>
        <w:pStyle w:val="ListParagraph"/>
        <w:numPr>
          <w:ilvl w:val="0"/>
          <w:numId w:val="39"/>
        </w:numPr>
      </w:pPr>
      <w:r w:rsidRPr="00522343">
        <w:t>The participant being aged 15 years or younger (</w:t>
      </w:r>
      <w:r>
        <w:t>a</w:t>
      </w:r>
      <w:r w:rsidRPr="00A47B0B">
        <w:t xml:space="preserve">pproximately </w:t>
      </w:r>
      <w:r>
        <w:t>+</w:t>
      </w:r>
      <w:r w:rsidRPr="00A47B0B">
        <w:t xml:space="preserve">50% </w:t>
      </w:r>
      <w:r>
        <w:t>compared to older participants)</w:t>
      </w:r>
    </w:p>
    <w:p w14:paraId="248C171D" w14:textId="5CC7F68E" w:rsidR="00FF110C" w:rsidRPr="00522343" w:rsidRDefault="008021DA" w:rsidP="000705FE">
      <w:pPr>
        <w:pStyle w:val="ListParagraph"/>
        <w:numPr>
          <w:ilvl w:val="0"/>
          <w:numId w:val="39"/>
        </w:numPr>
      </w:pPr>
      <w:r w:rsidRPr="00522343">
        <w:lastRenderedPageBreak/>
        <w:t>A</w:t>
      </w:r>
      <w:r w:rsidR="0065585C">
        <w:t xml:space="preserve">t least a </w:t>
      </w:r>
      <w:r w:rsidR="00890073">
        <w:t>1</w:t>
      </w:r>
      <w:r w:rsidR="005730E7">
        <w:t>0</w:t>
      </w:r>
      <w:r w:rsidR="00D91283" w:rsidRPr="00522343">
        <w:t>% decrease in plan budget</w:t>
      </w:r>
      <w:r w:rsidR="00BB6177" w:rsidRPr="00522343">
        <w:t xml:space="preserve"> prior to dispute (</w:t>
      </w:r>
      <w:r w:rsidR="009B3F8C">
        <w:t>+2</w:t>
      </w:r>
      <w:r w:rsidR="00B339BF">
        <w:t>4</w:t>
      </w:r>
      <w:r w:rsidR="002054CA">
        <w:t>-5</w:t>
      </w:r>
      <w:r w:rsidR="00B339BF">
        <w:t>4</w:t>
      </w:r>
      <w:r w:rsidR="003F67B0" w:rsidRPr="00522343">
        <w:t xml:space="preserve">% more </w:t>
      </w:r>
      <w:r w:rsidR="00A82315" w:rsidRPr="00522343">
        <w:t>likely</w:t>
      </w:r>
      <w:r w:rsidR="005730E7">
        <w:t xml:space="preserve">. Note </w:t>
      </w:r>
      <w:r w:rsidR="00506D40">
        <w:t xml:space="preserve">the effect of </w:t>
      </w:r>
      <w:r w:rsidR="00B339BF">
        <w:t>decreases above 3</w:t>
      </w:r>
      <w:r w:rsidR="00506D40">
        <w:t>0</w:t>
      </w:r>
      <w:r w:rsidR="00B339BF">
        <w:t xml:space="preserve">% </w:t>
      </w:r>
      <w:r w:rsidR="00606DD4">
        <w:t xml:space="preserve">and </w:t>
      </w:r>
      <w:r w:rsidR="00B339BF">
        <w:t>are not s</w:t>
      </w:r>
      <w:r w:rsidR="00506D40">
        <w:t xml:space="preserve">ignificantly </w:t>
      </w:r>
      <w:r w:rsidR="00B339BF">
        <w:t>different</w:t>
      </w:r>
      <w:r w:rsidR="00506D40">
        <w:t xml:space="preserve"> from decreases between 21% and 30%</w:t>
      </w:r>
      <w:r w:rsidR="004109C0">
        <w:t>)</w:t>
      </w:r>
    </w:p>
    <w:p w14:paraId="3D3F36A2" w14:textId="25B34B95" w:rsidR="000B5639" w:rsidRDefault="001A2008" w:rsidP="000705FE">
      <w:pPr>
        <w:pStyle w:val="ListParagraph"/>
        <w:numPr>
          <w:ilvl w:val="0"/>
          <w:numId w:val="39"/>
        </w:numPr>
      </w:pPr>
      <w:r>
        <w:t>The participant having</w:t>
      </w:r>
      <w:r w:rsidR="006C7671" w:rsidRPr="00522343">
        <w:t xml:space="preserve"> complex support needs</w:t>
      </w:r>
      <w:r w:rsidR="0051369A" w:rsidRPr="00522343">
        <w:t xml:space="preserve"> </w:t>
      </w:r>
      <w:r w:rsidR="00BB6177" w:rsidRPr="00522343">
        <w:t>(</w:t>
      </w:r>
      <w:r>
        <w:t>+</w:t>
      </w:r>
      <w:r w:rsidR="0051369A" w:rsidRPr="00522343">
        <w:t>36%</w:t>
      </w:r>
      <w:r>
        <w:t>)</w:t>
      </w:r>
    </w:p>
    <w:p w14:paraId="27456D3C" w14:textId="77777777" w:rsidR="001104C3" w:rsidRPr="00522343" w:rsidRDefault="001104C3" w:rsidP="000705FE">
      <w:pPr>
        <w:pStyle w:val="ListParagraph"/>
        <w:numPr>
          <w:ilvl w:val="0"/>
          <w:numId w:val="39"/>
        </w:numPr>
        <w:spacing w:after="200"/>
        <w:ind w:left="714" w:hanging="357"/>
      </w:pPr>
      <w:r>
        <w:t xml:space="preserve">Disputes related to SIL funding </w:t>
      </w:r>
      <w:r w:rsidRPr="00522343">
        <w:t>(</w:t>
      </w:r>
      <w:r>
        <w:t>+</w:t>
      </w:r>
      <w:r w:rsidRPr="00522343">
        <w:t>17%).</w:t>
      </w:r>
    </w:p>
    <w:p w14:paraId="34B5D526" w14:textId="06724F9D" w:rsidR="00DF73F0" w:rsidRPr="00EB3D5D" w:rsidRDefault="00DF73F0" w:rsidP="00A86241">
      <w:pPr>
        <w:pStyle w:val="Caption"/>
        <w:rPr>
          <w:rFonts w:eastAsia="Times New Roman" w:cs="Arial"/>
          <w:lang w:eastAsia="en-AU"/>
        </w:rPr>
      </w:pPr>
      <w:bookmarkStart w:id="129" w:name="_Ref135218361"/>
      <w:r w:rsidRPr="00EB3D5D">
        <w:t xml:space="preserve">Figure </w:t>
      </w:r>
      <w:r w:rsidRPr="00EB3D5D">
        <w:fldChar w:fldCharType="begin"/>
      </w:r>
      <w:r w:rsidRPr="00EB3D5D">
        <w:instrText>SEQ Figure \* ARABIC</w:instrText>
      </w:r>
      <w:r w:rsidRPr="00EB3D5D">
        <w:fldChar w:fldCharType="separate"/>
      </w:r>
      <w:r w:rsidR="000F1876">
        <w:rPr>
          <w:noProof/>
        </w:rPr>
        <w:t>14</w:t>
      </w:r>
      <w:r w:rsidRPr="00EB3D5D">
        <w:fldChar w:fldCharType="end"/>
      </w:r>
      <w:bookmarkEnd w:id="129"/>
      <w:r w:rsidRPr="00EB3D5D">
        <w:t>: Factors predicting requests for an external review</w:t>
      </w:r>
    </w:p>
    <w:p w14:paraId="280338C6" w14:textId="3B3E8DC6" w:rsidR="00890BBB" w:rsidRPr="00BD0490" w:rsidRDefault="00890BBB" w:rsidP="00AC58BF">
      <w:pPr>
        <w:keepNext/>
        <w:keepLines/>
        <w:spacing w:before="0" w:after="0"/>
        <w:rPr>
          <w:b/>
          <w:lang w:eastAsia="en-AU"/>
        </w:rPr>
      </w:pPr>
      <w:r>
        <w:rPr>
          <w:noProof/>
          <w:lang w:eastAsia="en-AU"/>
        </w:rPr>
        <w:drawing>
          <wp:inline distT="0" distB="0" distL="0" distR="0" wp14:anchorId="69D1BCAB" wp14:editId="5894494A">
            <wp:extent cx="5486400" cy="4048125"/>
            <wp:effectExtent l="0" t="0" r="0" b="0"/>
            <wp:docPr id="6" name="Chart 6" descr="This figure represents factors predicting requests for an external review.&#10;The figure shows the results from the logistic modelling. The model attempts to estimate the effect of certain case factors have on the likelihood that an S100 case escalates to the AAT. The types of factors include: percentage decrease in prior NDIS plan value (in deciles), the participants age (in age brackets), whether the participant has complex support needs, the participants main language spoken at home is English, the participant identifies as First Nations, the support type in dispute (SIL, capital (SDA) or capital (non-SDA)). &#10;Results show that the greatest influence on whether an S100 matter transitions to AAT is whether a matter is a capital (SDA) dispute, and whether the participant is below the age of 8. Results also show that the likelihood of progressing to an AAT hearing peaks at the 50th-60th percentile of decreases in NDIS plan value.  &#10;Variable Coefficient:&#10;Supports:&#10;Capital (non SDA), 94%.&#10;Capital (SDA,) 225%.&#10;SIL, 17%.&#10;&#10;Demographics:&#10;First Nations -29%.&#10;Main language English 33%.&#10;Complex support needs 36%.&#10;Age:&#10;0 – 7 years, 49%.&#10;8 - 15 years 58%.&#10;16 - 24 years 1%.&#10;25 - 64 years 17%.&#10;&#10;Percentage Decrease in budget plan.&#10;11-20%, 24%.&#10;21-30%, 54%.&#10;31-40%, 67%.&#10;41-50%, 69%.&#10;51-60%, 73%.&#10;61-70%, 72%.&#10;71-80%, 75%.&#10;81-90%, 61%.&#10;91-100%, 51%.&#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31F1D09" w14:textId="40C52B4D" w:rsidR="004A416F" w:rsidRPr="00EB3D5D" w:rsidRDefault="004A416F" w:rsidP="00AC58BF">
      <w:pPr>
        <w:keepNext/>
        <w:keepLines/>
        <w:spacing w:before="0" w:after="200" w:line="240" w:lineRule="auto"/>
        <w:textAlignment w:val="baseline"/>
        <w:rPr>
          <w:rFonts w:eastAsia="Times New Roman" w:cs="Arial"/>
          <w:szCs w:val="22"/>
          <w:lang w:eastAsia="en-AU"/>
        </w:rPr>
      </w:pPr>
      <w:r w:rsidRPr="0082635C">
        <w:rPr>
          <w:rFonts w:eastAsia="Times New Roman" w:cs="Arial"/>
          <w:sz w:val="16"/>
          <w:szCs w:val="16"/>
          <w:lang w:eastAsia="en-AU"/>
        </w:rPr>
        <w:t xml:space="preserve"> </w:t>
      </w:r>
      <w:r w:rsidRPr="00EB3D5D">
        <w:rPr>
          <w:rFonts w:eastAsia="Times New Roman" w:cs="Arial"/>
          <w:szCs w:val="22"/>
          <w:lang w:eastAsia="en-AU"/>
        </w:rPr>
        <w:t xml:space="preserve">Source: Research and Evaluation Branch analysis of </w:t>
      </w:r>
      <w:r w:rsidR="00BE2278" w:rsidRPr="00EB3D5D">
        <w:rPr>
          <w:rFonts w:eastAsia="Times New Roman" w:cs="Arial"/>
          <w:szCs w:val="22"/>
          <w:lang w:eastAsia="en-AU"/>
        </w:rPr>
        <w:t>s</w:t>
      </w:r>
      <w:r w:rsidRPr="00EB3D5D">
        <w:rPr>
          <w:rFonts w:eastAsia="Times New Roman" w:cs="Arial"/>
          <w:szCs w:val="22"/>
          <w:lang w:eastAsia="en-AU"/>
        </w:rPr>
        <w:t>100 matter transitions to AAT</w:t>
      </w:r>
      <w:r w:rsidR="00E80020" w:rsidRPr="00EB3D5D">
        <w:rPr>
          <w:rFonts w:eastAsia="Times New Roman" w:cs="Arial"/>
          <w:szCs w:val="22"/>
          <w:lang w:eastAsia="en-AU"/>
        </w:rPr>
        <w:t>.</w:t>
      </w:r>
    </w:p>
    <w:p w14:paraId="1681D3FB" w14:textId="01CFF159" w:rsidR="00B102D4" w:rsidRDefault="00DD11C1" w:rsidP="00517BCE">
      <w:r>
        <w:t xml:space="preserve">The previous section </w:t>
      </w:r>
      <w:r w:rsidR="00606DD4">
        <w:t>regarding</w:t>
      </w:r>
      <w:r>
        <w:t xml:space="preserve"> participant experiences with internal reviews </w:t>
      </w:r>
      <w:r w:rsidR="00235012">
        <w:t>highlight</w:t>
      </w:r>
      <w:r w:rsidR="0049085E">
        <w:t xml:space="preserve">ed </w:t>
      </w:r>
      <w:r w:rsidR="00462D53">
        <w:t xml:space="preserve">that </w:t>
      </w:r>
      <w:r w:rsidR="009F64A8">
        <w:t>some participants would like a clearer</w:t>
      </w:r>
      <w:r w:rsidR="0033243A">
        <w:t xml:space="preserve"> explanation from the NDIA about </w:t>
      </w:r>
      <w:r w:rsidR="00B42E12">
        <w:t xml:space="preserve">the decision not to fund </w:t>
      </w:r>
      <w:r w:rsidR="00B102D4">
        <w:t>a requested support.</w:t>
      </w:r>
      <w:r w:rsidR="00474C60">
        <w:t xml:space="preserve"> Given the volume of internal reviews, it may not be </w:t>
      </w:r>
      <w:r w:rsidR="005E6FB5">
        <w:t>feasible</w:t>
      </w:r>
      <w:r w:rsidR="00474C60">
        <w:t xml:space="preserve"> to </w:t>
      </w:r>
      <w:r w:rsidR="005E6FB5">
        <w:t>offer all participants</w:t>
      </w:r>
      <w:r w:rsidR="00DD3EAF">
        <w:t>,</w:t>
      </w:r>
      <w:r w:rsidR="005E6FB5">
        <w:t xml:space="preserve"> </w:t>
      </w:r>
      <w:r w:rsidR="00AA4516">
        <w:t xml:space="preserve">where </w:t>
      </w:r>
      <w:r w:rsidR="00F9592E">
        <w:t>an internal review confirmed the original planning decision</w:t>
      </w:r>
      <w:r w:rsidR="00DD3EAF">
        <w:t>,</w:t>
      </w:r>
      <w:r w:rsidR="00F9592E">
        <w:t xml:space="preserve"> a </w:t>
      </w:r>
      <w:r w:rsidR="001774BA">
        <w:t>follow up discussion to explain the reason. However, offeri</w:t>
      </w:r>
      <w:r w:rsidR="00B00B7A">
        <w:t xml:space="preserve">ng this to </w:t>
      </w:r>
      <w:r w:rsidR="001774BA">
        <w:t xml:space="preserve">participants </w:t>
      </w:r>
      <w:r w:rsidR="00193F29">
        <w:t xml:space="preserve">with </w:t>
      </w:r>
      <w:r w:rsidR="00193F29" w:rsidRPr="006A301E">
        <w:t>SDA</w:t>
      </w:r>
      <w:r w:rsidR="00BA6D62">
        <w:t>, other capital</w:t>
      </w:r>
      <w:r w:rsidR="00193F29" w:rsidRPr="006A301E">
        <w:t xml:space="preserve"> </w:t>
      </w:r>
      <w:r w:rsidR="00372E2B" w:rsidRPr="006A301E">
        <w:t xml:space="preserve">or SIL disputes, </w:t>
      </w:r>
      <w:r w:rsidR="00356A4D">
        <w:t xml:space="preserve">with complex supports needs, </w:t>
      </w:r>
      <w:r w:rsidR="00951867" w:rsidRPr="006A301E">
        <w:t xml:space="preserve">where there has been at least a </w:t>
      </w:r>
      <w:r w:rsidR="00277C5F" w:rsidRPr="006A301E">
        <w:t>20</w:t>
      </w:r>
      <w:r w:rsidR="00951867" w:rsidRPr="0091127F">
        <w:t>%</w:t>
      </w:r>
      <w:r w:rsidR="00951867" w:rsidRPr="006A301E">
        <w:t xml:space="preserve"> decrease in their plan budget </w:t>
      </w:r>
      <w:r w:rsidR="00372E2B" w:rsidRPr="006A301E">
        <w:t>and</w:t>
      </w:r>
      <w:r w:rsidR="00372E2B">
        <w:t xml:space="preserve"> </w:t>
      </w:r>
      <w:r w:rsidR="001F2A34">
        <w:t xml:space="preserve">to </w:t>
      </w:r>
      <w:r w:rsidR="00372E2B">
        <w:t>the parents</w:t>
      </w:r>
      <w:r w:rsidR="00356A4D">
        <w:t>/carer</w:t>
      </w:r>
      <w:r w:rsidR="00372E2B">
        <w:t xml:space="preserve"> of younger participants</w:t>
      </w:r>
      <w:r w:rsidR="00DD3EAF">
        <w:t>,</w:t>
      </w:r>
      <w:r w:rsidR="00372E2B">
        <w:t xml:space="preserve"> </w:t>
      </w:r>
      <w:r w:rsidR="002301F7">
        <w:t>might help them</w:t>
      </w:r>
      <w:r w:rsidR="002B2911">
        <w:t xml:space="preserve"> better understand </w:t>
      </w:r>
      <w:r w:rsidR="002A36A6">
        <w:t xml:space="preserve">and accept </w:t>
      </w:r>
      <w:r w:rsidR="002B2911">
        <w:t xml:space="preserve">the </w:t>
      </w:r>
      <w:r w:rsidR="001F2A34">
        <w:t>internal review decision</w:t>
      </w:r>
      <w:r w:rsidR="003E542C">
        <w:t>.</w:t>
      </w:r>
    </w:p>
    <w:p w14:paraId="31B727BF" w14:textId="1B8E4267" w:rsidR="00E04903" w:rsidRDefault="00E04903" w:rsidP="00A47B0B">
      <w:r>
        <w:lastRenderedPageBreak/>
        <w:t xml:space="preserve">The modelling also shows that participants whose main language at home is English are more likely to request an external review, while First Nations participants are less likely. </w:t>
      </w:r>
      <w:r w:rsidR="00810292">
        <w:t>This supports comments from some DRCO representatives and independent experts during interview</w:t>
      </w:r>
      <w:r w:rsidR="00D904E7">
        <w:t>s</w:t>
      </w:r>
      <w:r w:rsidR="00810292">
        <w:t xml:space="preserve"> that </w:t>
      </w:r>
      <w:r w:rsidR="00B47BB0">
        <w:t xml:space="preserve">not all participants are able to dispute a decision. </w:t>
      </w:r>
      <w:r w:rsidR="00227A71">
        <w:t>Th</w:t>
      </w:r>
      <w:r w:rsidR="006C686F">
        <w:t>e evaluation did not explore the reasons for this</w:t>
      </w:r>
      <w:r w:rsidR="00B56F93">
        <w:t xml:space="preserve"> finding</w:t>
      </w:r>
      <w:r w:rsidR="00080C8D">
        <w:t xml:space="preserve">. However, the </w:t>
      </w:r>
      <w:r w:rsidR="00B56F93">
        <w:t>result</w:t>
      </w:r>
      <w:r w:rsidR="00080C8D">
        <w:t>s</w:t>
      </w:r>
      <w:r w:rsidR="006C686F">
        <w:t xml:space="preserve"> </w:t>
      </w:r>
      <w:r w:rsidR="001F048D">
        <w:t>support</w:t>
      </w:r>
      <w:r w:rsidR="00080C8D">
        <w:t xml:space="preserve"> proposed</w:t>
      </w:r>
      <w:r w:rsidR="001F048D">
        <w:t xml:space="preserve"> </w:t>
      </w:r>
      <w:r w:rsidR="00854783">
        <w:t xml:space="preserve">actions </w:t>
      </w:r>
      <w:r w:rsidR="00DD32E0">
        <w:t xml:space="preserve">in the NDIA’s new First Nations and Culturally and Linguistically Diverse (CALD) strategies to increase support for First Nations and non-English speaking people to </w:t>
      </w:r>
      <w:r w:rsidR="00080C8D">
        <w:t xml:space="preserve">better </w:t>
      </w:r>
      <w:r w:rsidR="00DD32E0">
        <w:t xml:space="preserve">engage </w:t>
      </w:r>
      <w:r w:rsidR="00080C8D">
        <w:t>with the NDIS and its processes.</w:t>
      </w:r>
    </w:p>
    <w:p w14:paraId="7A50151A" w14:textId="783CC7B9" w:rsidR="008F69CA" w:rsidRDefault="00E82848" w:rsidP="008F69CA">
      <w:pPr>
        <w:pStyle w:val="Heading3"/>
      </w:pPr>
      <w:bookmarkStart w:id="130" w:name="_Toc142918610"/>
      <w:r>
        <w:t>Feeding</w:t>
      </w:r>
      <w:r w:rsidR="008F69CA">
        <w:t xml:space="preserve"> resolutions </w:t>
      </w:r>
      <w:r w:rsidR="00590C51">
        <w:t xml:space="preserve">into </w:t>
      </w:r>
      <w:r w:rsidR="00874C60">
        <w:t xml:space="preserve">future </w:t>
      </w:r>
      <w:r w:rsidR="00590C51">
        <w:t>decision</w:t>
      </w:r>
      <w:r w:rsidR="00874C60">
        <w:t>-</w:t>
      </w:r>
      <w:r w:rsidR="00590C51">
        <w:t>making</w:t>
      </w:r>
      <w:bookmarkEnd w:id="130"/>
    </w:p>
    <w:p w14:paraId="667553EA" w14:textId="19F6408F" w:rsidR="00CB51B5" w:rsidRPr="00CB51B5" w:rsidRDefault="00A13A7F" w:rsidP="00952E11">
      <w:pPr>
        <w:pStyle w:val="Heading4"/>
      </w:pPr>
      <w:r>
        <w:t>Informing future participant plans</w:t>
      </w:r>
    </w:p>
    <w:p w14:paraId="067B9530" w14:textId="208498FA" w:rsidR="004B7A8B" w:rsidRPr="004B7A8B" w:rsidRDefault="004B7A8B" w:rsidP="004B7A8B">
      <w:r>
        <w:t>A complex legal obligation, known as the Harman obligation</w:t>
      </w:r>
      <w:r>
        <w:rPr>
          <w:rStyle w:val="FootnoteReference"/>
        </w:rPr>
        <w:footnoteReference w:id="38"/>
      </w:r>
      <w:r>
        <w:t>, applies in the AAT</w:t>
      </w:r>
      <w:r>
        <w:rPr>
          <w:rStyle w:val="FootnoteReference"/>
        </w:rPr>
        <w:footnoteReference w:id="39"/>
      </w:r>
      <w:r>
        <w:t xml:space="preserve">.  The obligation effectively means that where the Agency receives documents or information from a person who was compelled by the Tribunal to provide them, the Agency can only use those documents or information for the purpose for which they were provided.  This means that information such as medical reports, are frequently unable to be used for ongoing review by the Agency in planning for supports for a participant. </w:t>
      </w:r>
    </w:p>
    <w:p w14:paraId="2ECEDCBA" w14:textId="529A3FF4" w:rsidR="004B7A8B" w:rsidRDefault="004B7A8B" w:rsidP="004B7A8B">
      <w:r>
        <w:t>After an AAT matter is finalised, the Agency may not be able to use the documents provided in the AAT, and a participant potentially faces the same issue again at their next plan review:</w:t>
      </w:r>
    </w:p>
    <w:p w14:paraId="4574A261" w14:textId="05C225CA" w:rsidR="008F69CA" w:rsidRPr="00F55CC0" w:rsidRDefault="008F69CA" w:rsidP="00F010A7">
      <w:pPr>
        <w:keepLines/>
        <w:ind w:left="357" w:right="720"/>
        <w:jc w:val="both"/>
        <w:rPr>
          <w:b/>
          <w:bCs/>
          <w:color w:val="6B2976"/>
        </w:rPr>
      </w:pPr>
      <w:r>
        <w:rPr>
          <w:i/>
          <w:iCs/>
          <w:color w:val="6B2976"/>
        </w:rPr>
        <w:lastRenderedPageBreak/>
        <w:t>“</w:t>
      </w:r>
      <w:r w:rsidRPr="00197A04">
        <w:rPr>
          <w:i/>
          <w:iCs/>
          <w:color w:val="6B2976"/>
        </w:rPr>
        <w:t>After my plan automatically</w:t>
      </w:r>
      <w:r>
        <w:rPr>
          <w:i/>
          <w:iCs/>
          <w:color w:val="6B2976"/>
        </w:rPr>
        <w:t xml:space="preserve"> renewed</w:t>
      </w:r>
      <w:r w:rsidRPr="00197A04">
        <w:rPr>
          <w:i/>
          <w:iCs/>
          <w:color w:val="6B2976"/>
        </w:rPr>
        <w:t>, I lost half of my funding but with absolutely no justification. To add insult to injury, I had fought the NDIA through the AAT process and after almost two years</w:t>
      </w:r>
      <w:r w:rsidR="00D44A5C">
        <w:rPr>
          <w:i/>
          <w:iCs/>
          <w:color w:val="6B2976"/>
        </w:rPr>
        <w:t xml:space="preserve"> f</w:t>
      </w:r>
      <w:r w:rsidRPr="00197A04">
        <w:rPr>
          <w:i/>
          <w:iCs/>
          <w:color w:val="6B2976"/>
        </w:rPr>
        <w:t xml:space="preserve">ighting </w:t>
      </w:r>
      <w:r>
        <w:rPr>
          <w:i/>
          <w:iCs/>
          <w:color w:val="6B2976"/>
        </w:rPr>
        <w:t xml:space="preserve">the </w:t>
      </w:r>
      <w:r w:rsidRPr="00197A04">
        <w:rPr>
          <w:i/>
          <w:iCs/>
          <w:color w:val="6B2976"/>
        </w:rPr>
        <w:t xml:space="preserve">NDIA </w:t>
      </w:r>
      <w:r>
        <w:rPr>
          <w:i/>
          <w:iCs/>
          <w:color w:val="6B2976"/>
        </w:rPr>
        <w:t>and</w:t>
      </w:r>
      <w:r w:rsidRPr="00197A04">
        <w:rPr>
          <w:i/>
          <w:iCs/>
          <w:color w:val="6B2976"/>
        </w:rPr>
        <w:t xml:space="preserve"> their lawyers, I was finally able to prove that I needed all the funding supports I asked for in 2019. The plan was set for 2 years and then renewed automatically in 2021, which led to me fighting once again that I needed the supports I applied for in 20</w:t>
      </w:r>
      <w:r w:rsidR="000C2DD2">
        <w:rPr>
          <w:i/>
          <w:iCs/>
          <w:color w:val="6B2976"/>
        </w:rPr>
        <w:t>19</w:t>
      </w:r>
      <w:r w:rsidRPr="00197A04">
        <w:rPr>
          <w:i/>
          <w:iCs/>
          <w:color w:val="6B2976"/>
        </w:rPr>
        <w:t xml:space="preserve">. What a waste of money, time, resources and how much stress this put me through, </w:t>
      </w:r>
      <w:r>
        <w:rPr>
          <w:i/>
          <w:iCs/>
          <w:color w:val="6B2976"/>
        </w:rPr>
        <w:t xml:space="preserve">it </w:t>
      </w:r>
      <w:r w:rsidRPr="00197A04">
        <w:rPr>
          <w:i/>
          <w:iCs/>
          <w:color w:val="6B2976"/>
        </w:rPr>
        <w:t>took a great toll on my health</w:t>
      </w:r>
      <w:r>
        <w:rPr>
          <w:i/>
          <w:iCs/>
          <w:color w:val="6B2976"/>
        </w:rPr>
        <w:t>…</w:t>
      </w:r>
      <w:r w:rsidRPr="00197A04">
        <w:rPr>
          <w:i/>
          <w:iCs/>
          <w:color w:val="6B2976"/>
        </w:rPr>
        <w:t xml:space="preserve"> What </w:t>
      </w:r>
      <w:r>
        <w:rPr>
          <w:i/>
          <w:iCs/>
          <w:color w:val="6B2976"/>
        </w:rPr>
        <w:t xml:space="preserve">the </w:t>
      </w:r>
      <w:r w:rsidRPr="00197A04">
        <w:rPr>
          <w:i/>
          <w:iCs/>
          <w:color w:val="6B2976"/>
        </w:rPr>
        <w:t xml:space="preserve">NDIA wasted on lawyers would have more than paid for </w:t>
      </w:r>
      <w:r>
        <w:rPr>
          <w:i/>
          <w:iCs/>
          <w:color w:val="6B2976"/>
        </w:rPr>
        <w:t xml:space="preserve">reinstating </w:t>
      </w:r>
      <w:r w:rsidRPr="00197A04">
        <w:rPr>
          <w:i/>
          <w:iCs/>
          <w:color w:val="6B2976"/>
        </w:rPr>
        <w:t>all my supports. Instead of fighting clients with lawyers, how about paying the clients what they've already proved was reasonable and necessary?</w:t>
      </w:r>
      <w:r>
        <w:rPr>
          <w:i/>
          <w:iCs/>
          <w:color w:val="6B2976"/>
        </w:rPr>
        <w:t xml:space="preserve">” </w:t>
      </w:r>
      <w:r>
        <w:rPr>
          <w:b/>
          <w:bCs/>
          <w:color w:val="6B2976"/>
        </w:rPr>
        <w:t>Participant, survey.</w:t>
      </w:r>
    </w:p>
    <w:p w14:paraId="2F0BB4CF" w14:textId="75B53783" w:rsidR="00525656" w:rsidRDefault="00A13A7F" w:rsidP="00952E11">
      <w:pPr>
        <w:pStyle w:val="Heading4"/>
      </w:pPr>
      <w:r>
        <w:t>Feeding into operational guidelines</w:t>
      </w:r>
    </w:p>
    <w:p w14:paraId="6077FB60" w14:textId="5BCA5EF8" w:rsidR="00B60FA0" w:rsidRDefault="00B60FA0" w:rsidP="00B60FA0">
      <w:r>
        <w:t xml:space="preserve">During interviews, representatives from various NDIA Branches </w:t>
      </w:r>
      <w:r w:rsidR="006C36BE">
        <w:t xml:space="preserve">and participant </w:t>
      </w:r>
      <w:r w:rsidR="008400AD">
        <w:t>representatives</w:t>
      </w:r>
      <w:r w:rsidR="006C36BE">
        <w:t xml:space="preserve"> </w:t>
      </w:r>
      <w:r w:rsidR="000F6EB4">
        <w:t>recommended that</w:t>
      </w:r>
      <w:r w:rsidR="00A13A7F">
        <w:t xml:space="preserve"> </w:t>
      </w:r>
      <w:r w:rsidR="003F2226">
        <w:t>the Agency use</w:t>
      </w:r>
      <w:r w:rsidR="000F6EB4">
        <w:t>s</w:t>
      </w:r>
      <w:r w:rsidR="003F2226">
        <w:t xml:space="preserve"> </w:t>
      </w:r>
      <w:r w:rsidR="00A13A7F">
        <w:t xml:space="preserve">AAT </w:t>
      </w:r>
      <w:r w:rsidR="00CC1B96">
        <w:t>(</w:t>
      </w:r>
      <w:r w:rsidR="00A13A7F">
        <w:t>and internal review</w:t>
      </w:r>
      <w:r w:rsidR="000A5FCB">
        <w:t>)</w:t>
      </w:r>
      <w:r w:rsidR="00A13A7F">
        <w:t xml:space="preserve"> outcomes to </w:t>
      </w:r>
      <w:r w:rsidR="006C36BE">
        <w:t>update</w:t>
      </w:r>
      <w:r w:rsidR="00A13A7F">
        <w:t xml:space="preserve"> the Agency’s </w:t>
      </w:r>
      <w:r w:rsidR="00AA32D6">
        <w:t>OGs</w:t>
      </w:r>
      <w:r w:rsidR="00A13A7F">
        <w:t xml:space="preserve">. </w:t>
      </w:r>
      <w:r w:rsidR="00545668">
        <w:t>Given</w:t>
      </w:r>
      <w:r>
        <w:t xml:space="preserve"> the subjectivity of the reasonable and necessary criteria in the NDIS Ac</w:t>
      </w:r>
      <w:r w:rsidR="009E600C">
        <w:t>t</w:t>
      </w:r>
      <w:r w:rsidR="00A257F3">
        <w:t xml:space="preserve">, </w:t>
      </w:r>
      <w:r w:rsidR="00AA32D6">
        <w:t>OGs</w:t>
      </w:r>
      <w:r w:rsidR="00A257F3">
        <w:t xml:space="preserve"> intend</w:t>
      </w:r>
      <w:r>
        <w:t xml:space="preserve"> to help planners make consistent decisions based on the NDIS </w:t>
      </w:r>
      <w:r w:rsidR="00A257F3">
        <w:t>legislation</w:t>
      </w:r>
      <w:r>
        <w:t>.</w:t>
      </w:r>
      <w:r w:rsidR="00CC1B96">
        <w:t xml:space="preserve"> The sentiment was that if the AAT </w:t>
      </w:r>
      <w:r w:rsidR="002E75EB">
        <w:t>interprets</w:t>
      </w:r>
      <w:r w:rsidR="0078202F">
        <w:t xml:space="preserve"> the legislation </w:t>
      </w:r>
      <w:r w:rsidR="00785BE8">
        <w:t xml:space="preserve">a certain way, or if the Agency </w:t>
      </w:r>
      <w:r w:rsidR="00893F4E">
        <w:t>approve</w:t>
      </w:r>
      <w:r w:rsidR="002E75EB">
        <w:t>s</w:t>
      </w:r>
      <w:r w:rsidR="00893F4E">
        <w:t xml:space="preserve"> a support </w:t>
      </w:r>
      <w:r w:rsidR="002E75EB">
        <w:t xml:space="preserve">request </w:t>
      </w:r>
      <w:r w:rsidR="00893F4E">
        <w:t>by consent</w:t>
      </w:r>
      <w:r w:rsidR="005E4B83">
        <w:t xml:space="preserve">, </w:t>
      </w:r>
      <w:r w:rsidR="00DA45AB">
        <w:t xml:space="preserve">then this should </w:t>
      </w:r>
      <w:r w:rsidR="00666949">
        <w:t>be reflected in future decisions</w:t>
      </w:r>
      <w:r w:rsidR="002E75EB">
        <w:t>.</w:t>
      </w:r>
    </w:p>
    <w:p w14:paraId="7CDB4F75" w14:textId="34EAAB90" w:rsidR="008F69CA" w:rsidRPr="007D69FC" w:rsidDel="00FB17DA" w:rsidRDefault="00410E9D" w:rsidP="00F010A7">
      <w:pPr>
        <w:ind w:left="357" w:right="720"/>
        <w:jc w:val="both"/>
      </w:pPr>
      <w:r w:rsidRPr="00410E9D">
        <w:rPr>
          <w:i/>
          <w:iCs/>
          <w:color w:val="6B2976"/>
        </w:rPr>
        <w:t>“</w:t>
      </w:r>
      <w:r w:rsidR="00B16B13" w:rsidRPr="00410E9D">
        <w:rPr>
          <w:i/>
          <w:color w:val="6B2976"/>
        </w:rPr>
        <w:t xml:space="preserve">The other thing is just making sure that guidance is </w:t>
      </w:r>
      <w:r w:rsidR="003637D2">
        <w:rPr>
          <w:i/>
          <w:iCs/>
          <w:color w:val="6B2976"/>
        </w:rPr>
        <w:t xml:space="preserve">as </w:t>
      </w:r>
      <w:r w:rsidR="00B16B13" w:rsidRPr="00410E9D">
        <w:rPr>
          <w:i/>
          <w:color w:val="6B2976"/>
        </w:rPr>
        <w:t xml:space="preserve">up to date </w:t>
      </w:r>
      <w:r w:rsidR="003637D2">
        <w:rPr>
          <w:i/>
          <w:iCs/>
          <w:color w:val="6B2976"/>
        </w:rPr>
        <w:t>a</w:t>
      </w:r>
      <w:r w:rsidR="00B16B13" w:rsidRPr="00410E9D">
        <w:rPr>
          <w:i/>
          <w:iCs/>
          <w:color w:val="6B2976"/>
        </w:rPr>
        <w:t>s</w:t>
      </w:r>
      <w:r w:rsidR="00B16B13" w:rsidRPr="00410E9D">
        <w:rPr>
          <w:i/>
          <w:color w:val="6B2976"/>
        </w:rPr>
        <w:t xml:space="preserve"> possible for decision makers about what the law is on certain things. So</w:t>
      </w:r>
      <w:r w:rsidR="004810AF" w:rsidRPr="00410E9D">
        <w:rPr>
          <w:i/>
          <w:iCs/>
          <w:color w:val="6B2976"/>
        </w:rPr>
        <w:t>,</w:t>
      </w:r>
      <w:r w:rsidR="00B16B13" w:rsidRPr="00410E9D">
        <w:rPr>
          <w:i/>
          <w:color w:val="6B2976"/>
        </w:rPr>
        <w:t xml:space="preserve"> we do a lot of work through the tribunal, where the tribunal says how things should be interpreted and </w:t>
      </w:r>
      <w:r w:rsidR="0010773D">
        <w:rPr>
          <w:i/>
          <w:iCs/>
          <w:color w:val="6B2976"/>
        </w:rPr>
        <w:t>what you</w:t>
      </w:r>
      <w:r w:rsidR="00B16B13" w:rsidRPr="00410E9D">
        <w:rPr>
          <w:i/>
          <w:color w:val="6B2976"/>
        </w:rPr>
        <w:t xml:space="preserve"> can relate to specific supports and whether they would be funded, but also the way that decision makers should think about the decisions that they're making</w:t>
      </w:r>
      <w:r w:rsidR="00C30DC1">
        <w:rPr>
          <w:i/>
          <w:iCs/>
          <w:color w:val="6B2976"/>
        </w:rPr>
        <w:t>. T</w:t>
      </w:r>
      <w:r w:rsidR="00B16B13" w:rsidRPr="00410E9D">
        <w:rPr>
          <w:i/>
          <w:iCs/>
          <w:color w:val="6B2976"/>
        </w:rPr>
        <w:t>hose</w:t>
      </w:r>
      <w:r w:rsidR="00B16B13" w:rsidRPr="00410E9D">
        <w:rPr>
          <w:i/>
          <w:color w:val="6B2976"/>
        </w:rPr>
        <w:t xml:space="preserve"> things don't always then get reflected in the guidance, like the operational guidelines and internal guidance that reviewers are using to make decisions</w:t>
      </w:r>
      <w:r w:rsidR="00577159">
        <w:rPr>
          <w:i/>
          <w:iCs/>
          <w:color w:val="6B2976"/>
        </w:rPr>
        <w:t>. A</w:t>
      </w:r>
      <w:r w:rsidR="00B16B13" w:rsidRPr="00410E9D">
        <w:rPr>
          <w:i/>
          <w:iCs/>
          <w:color w:val="6B2976"/>
        </w:rPr>
        <w:t>n</w:t>
      </w:r>
      <w:r w:rsidR="00B16B13" w:rsidRPr="00410E9D">
        <w:rPr>
          <w:i/>
          <w:color w:val="6B2976"/>
        </w:rPr>
        <w:t xml:space="preserve"> example of that would be tribunals </w:t>
      </w:r>
      <w:r w:rsidR="00B16B13" w:rsidRPr="00410E9D">
        <w:rPr>
          <w:i/>
          <w:iCs/>
          <w:color w:val="6B2976"/>
        </w:rPr>
        <w:t>ha</w:t>
      </w:r>
      <w:r w:rsidR="00577159">
        <w:rPr>
          <w:i/>
          <w:iCs/>
          <w:color w:val="6B2976"/>
        </w:rPr>
        <w:t>ve</w:t>
      </w:r>
      <w:r w:rsidR="002A70D3">
        <w:rPr>
          <w:i/>
          <w:iCs/>
          <w:color w:val="6B2976"/>
        </w:rPr>
        <w:t xml:space="preserve"> made</w:t>
      </w:r>
      <w:r w:rsidR="00B16B13" w:rsidRPr="00410E9D">
        <w:rPr>
          <w:i/>
          <w:color w:val="6B2976"/>
        </w:rPr>
        <w:t xml:space="preserve"> quite a few decisions about transport and how you make decisions about the level of transport that somebody gets. But that information isn't reflected in the way the </w:t>
      </w:r>
      <w:r w:rsidR="00FF22C1">
        <w:rPr>
          <w:i/>
          <w:iCs/>
          <w:color w:val="6B2976"/>
        </w:rPr>
        <w:t>A</w:t>
      </w:r>
      <w:r w:rsidR="00B16B13" w:rsidRPr="00410E9D">
        <w:rPr>
          <w:i/>
          <w:iCs/>
          <w:color w:val="6B2976"/>
        </w:rPr>
        <w:t>gency</w:t>
      </w:r>
      <w:r w:rsidR="00B16B13" w:rsidRPr="00410E9D">
        <w:rPr>
          <w:i/>
          <w:color w:val="6B2976"/>
        </w:rPr>
        <w:t xml:space="preserve"> makes their </w:t>
      </w:r>
      <w:r w:rsidR="00B16B13" w:rsidRPr="00410E9D">
        <w:rPr>
          <w:i/>
          <w:color w:val="6B2976"/>
        </w:rPr>
        <w:lastRenderedPageBreak/>
        <w:t xml:space="preserve">internal review decisions. So people are going to the tribunal to have the same issues heard again </w:t>
      </w:r>
      <w:r w:rsidR="00FF22C1">
        <w:rPr>
          <w:i/>
          <w:iCs/>
          <w:color w:val="6B2976"/>
        </w:rPr>
        <w:t>and again</w:t>
      </w:r>
      <w:r w:rsidR="003D3B05">
        <w:rPr>
          <w:i/>
          <w:iCs/>
          <w:color w:val="6B2976"/>
        </w:rPr>
        <w:t xml:space="preserve">. </w:t>
      </w:r>
      <w:r w:rsidR="003D3B05" w:rsidRPr="003D3B05">
        <w:rPr>
          <w:b/>
          <w:bCs/>
          <w:color w:val="6B2976"/>
        </w:rPr>
        <w:t xml:space="preserve">Representative, </w:t>
      </w:r>
      <w:r w:rsidR="00A54DA4">
        <w:rPr>
          <w:b/>
          <w:bCs/>
          <w:color w:val="6B2976"/>
        </w:rPr>
        <w:t>i</w:t>
      </w:r>
      <w:r w:rsidR="003D3B05" w:rsidRPr="003D3B05">
        <w:rPr>
          <w:b/>
          <w:bCs/>
          <w:color w:val="6B2976"/>
        </w:rPr>
        <w:t>nterview</w:t>
      </w:r>
      <w:r w:rsidR="00192226">
        <w:rPr>
          <w:b/>
          <w:bCs/>
          <w:color w:val="6B2976"/>
        </w:rPr>
        <w:t>.</w:t>
      </w:r>
    </w:p>
    <w:p w14:paraId="6E68430E" w14:textId="77777777" w:rsidR="000F60FA" w:rsidRPr="001C6CE2" w:rsidRDefault="000F60FA" w:rsidP="0009499C">
      <w:pPr>
        <w:pStyle w:val="Heading2"/>
      </w:pPr>
      <w:bookmarkStart w:id="131" w:name="_Toc135242036"/>
      <w:bookmarkStart w:id="132" w:name="_Toc135394727"/>
      <w:bookmarkStart w:id="133" w:name="_Toc142918611"/>
      <w:bookmarkStart w:id="134" w:name="_Toc111206335"/>
      <w:bookmarkStart w:id="135" w:name="_Toc111206449"/>
      <w:bookmarkStart w:id="136" w:name="_Toc133655523"/>
      <w:bookmarkEnd w:id="131"/>
      <w:r w:rsidRPr="001C6CE2">
        <w:lastRenderedPageBreak/>
        <w:t>Conclusions</w:t>
      </w:r>
      <w:bookmarkEnd w:id="132"/>
      <w:bookmarkEnd w:id="133"/>
    </w:p>
    <w:p w14:paraId="536F9AB3" w14:textId="305B108F" w:rsidR="0076764E" w:rsidRDefault="003A366E" w:rsidP="0076764E">
      <w:pPr>
        <w:pStyle w:val="Heading3"/>
      </w:pPr>
      <w:bookmarkStart w:id="137" w:name="_Toc135394728"/>
      <w:bookmarkStart w:id="138" w:name="_Toc142918612"/>
      <w:bookmarkStart w:id="139" w:name="_Toc135394736"/>
      <w:r>
        <w:t>Participant</w:t>
      </w:r>
      <w:r w:rsidR="0076764E">
        <w:t xml:space="preserve"> acceptance, satisfaction and experience of the IERP</w:t>
      </w:r>
      <w:bookmarkEnd w:id="137"/>
      <w:bookmarkEnd w:id="138"/>
    </w:p>
    <w:p w14:paraId="7B8E9A98" w14:textId="2CD7E671" w:rsidR="0076764E" w:rsidRDefault="0076764E" w:rsidP="0076764E">
      <w:r>
        <w:t xml:space="preserve">Based on the responses from this evaluation, it is clear most participants who took part in the IERP had a positive experience. </w:t>
      </w:r>
      <w:r w:rsidR="00D51F36" w:rsidRPr="008D2B3C">
        <w:t xml:space="preserve">They noted it was a less legalistic </w:t>
      </w:r>
      <w:r w:rsidR="00C3439A" w:rsidRPr="008D2B3C">
        <w:t xml:space="preserve">and adversarial </w:t>
      </w:r>
      <w:r w:rsidR="00A27E66" w:rsidRPr="008D2B3C">
        <w:t>approach</w:t>
      </w:r>
      <w:r w:rsidR="00517C6D" w:rsidRPr="008D2B3C">
        <w:t xml:space="preserve"> </w:t>
      </w:r>
      <w:r w:rsidR="004D7576" w:rsidRPr="008D2B3C">
        <w:t>and</w:t>
      </w:r>
      <w:r w:rsidR="00F63F91" w:rsidRPr="008D2B3C">
        <w:t xml:space="preserve"> </w:t>
      </w:r>
      <w:r w:rsidR="003E3B93" w:rsidRPr="008D2B3C">
        <w:t>reflect</w:t>
      </w:r>
      <w:r w:rsidR="00F63F91" w:rsidRPr="008D2B3C">
        <w:t>s</w:t>
      </w:r>
      <w:r w:rsidR="003E3B93" w:rsidRPr="008D2B3C">
        <w:t xml:space="preserve"> a </w:t>
      </w:r>
      <w:r w:rsidR="00525DAC" w:rsidRPr="008D2B3C">
        <w:t>trauma informed approach to dispute resolution</w:t>
      </w:r>
      <w:r w:rsidR="00F63F91" w:rsidRPr="008D2B3C">
        <w:t xml:space="preserve"> </w:t>
      </w:r>
      <w:r w:rsidR="00FC15D5" w:rsidRPr="008D2B3C">
        <w:t>that was effective in</w:t>
      </w:r>
      <w:r w:rsidR="00FF7500" w:rsidRPr="008D2B3C">
        <w:t xml:space="preserve"> harm minimisation</w:t>
      </w:r>
      <w:r w:rsidR="00AC4709" w:rsidRPr="008D2B3C">
        <w:t>.</w:t>
      </w:r>
      <w:r w:rsidR="00DC3335">
        <w:t xml:space="preserve"> </w:t>
      </w:r>
      <w:r>
        <w:t xml:space="preserve">They felt </w:t>
      </w:r>
      <w:r w:rsidR="00A17DEF">
        <w:t xml:space="preserve">independent experts heard </w:t>
      </w:r>
      <w:r>
        <w:t xml:space="preserve">their position </w:t>
      </w:r>
      <w:r w:rsidR="00A17DEF">
        <w:t>and considered their evidence</w:t>
      </w:r>
      <w:r>
        <w:t xml:space="preserve"> and that they received a reasonable decision with a clear explanation in a timely fashion. The collaborative and empathetic </w:t>
      </w:r>
      <w:r w:rsidRPr="002115C3">
        <w:t>environment</w:t>
      </w:r>
      <w:r>
        <w:t xml:space="preserve"> stood in contrast to the approach participants reported experiencing during the AAT process</w:t>
      </w:r>
      <w:r w:rsidRPr="002115C3">
        <w:t xml:space="preserve">. </w:t>
      </w:r>
      <w:r w:rsidRPr="00614088">
        <w:t>The fact that participants have accepted 86% of the independent expert recommendations, despite only 36% of their requests being fully upheld, highlights their acceptance of this alternative approach.</w:t>
      </w:r>
    </w:p>
    <w:p w14:paraId="28CDA3B2" w14:textId="089DF362" w:rsidR="0076764E" w:rsidRDefault="0076764E" w:rsidP="0076764E">
      <w:r>
        <w:t xml:space="preserve">Participant </w:t>
      </w:r>
      <w:r w:rsidR="008400AD">
        <w:t>representatives</w:t>
      </w:r>
      <w:r>
        <w:t xml:space="preserve"> and DRCO advocates are also supportive of the IERP, noting the process is far less legalistic and adversarial than the AAT. They welcomed the opportunity for the participant’s voice to be heard and the comprehensive review of submitted evidence. Independent experts echoed this, reporting that speaking to the participant has been particularly effective, not only to their understanding of the matter in dispute, but also to build </w:t>
      </w:r>
      <w:r w:rsidR="003252C4">
        <w:t xml:space="preserve">the </w:t>
      </w:r>
      <w:r>
        <w:t>participant’s confidence and trust in the process.</w:t>
      </w:r>
    </w:p>
    <w:p w14:paraId="0E9839A7" w14:textId="77777777" w:rsidR="0076764E" w:rsidRDefault="0076764E" w:rsidP="0076764E">
      <w:pPr>
        <w:pStyle w:val="Heading3"/>
      </w:pPr>
      <w:bookmarkStart w:id="140" w:name="_Toc135394729"/>
      <w:bookmarkStart w:id="141" w:name="_Toc142918613"/>
      <w:r>
        <w:t>The effectiveness and efficiency of the IERP</w:t>
      </w:r>
      <w:bookmarkEnd w:id="140"/>
      <w:bookmarkEnd w:id="141"/>
    </w:p>
    <w:p w14:paraId="00E86781" w14:textId="002ED1E3" w:rsidR="0076764E" w:rsidRDefault="0076764E" w:rsidP="0076764E">
      <w:r>
        <w:t xml:space="preserve">The IERP has been an efficient way to resolve long-standing AAT cases. </w:t>
      </w:r>
      <w:r w:rsidR="00404E25">
        <w:t xml:space="preserve">Despite the </w:t>
      </w:r>
      <w:r w:rsidR="00423C5E">
        <w:t>high level of case complexity, t</w:t>
      </w:r>
      <w:r>
        <w:t xml:space="preserve">he median time for a participant to receive a recommendation from an independent expert </w:t>
      </w:r>
      <w:r w:rsidR="00374DDE">
        <w:t xml:space="preserve">in Phase 2 </w:t>
      </w:r>
      <w:r>
        <w:t>has been 2</w:t>
      </w:r>
      <w:r w:rsidR="00374DDE">
        <w:t>3</w:t>
      </w:r>
      <w:r>
        <w:t xml:space="preserve"> days from accepting the invitation. This compares to a median of 257 days for AAT matters, although the IERP benefited from the AAT preparation</w:t>
      </w:r>
      <w:r w:rsidR="00D67BC7">
        <w:t xml:space="preserve"> to </w:t>
      </w:r>
      <w:r w:rsidR="008F3A56">
        <w:t xml:space="preserve">ensure the </w:t>
      </w:r>
      <w:r w:rsidR="00DF7B86">
        <w:t xml:space="preserve">completeness and stability of the </w:t>
      </w:r>
      <w:r w:rsidR="008F3A56">
        <w:t>participant’s evidence</w:t>
      </w:r>
      <w:r>
        <w:t>.</w:t>
      </w:r>
      <w:r w:rsidR="00B41D2D">
        <w:t xml:space="preserve"> </w:t>
      </w:r>
      <w:r w:rsidR="00872FDC">
        <w:t>The main efficiencies, therefore</w:t>
      </w:r>
      <w:r w:rsidR="00146714">
        <w:t>,</w:t>
      </w:r>
      <w:r w:rsidR="00F30D8B">
        <w:t xml:space="preserve"> have </w:t>
      </w:r>
      <w:r w:rsidR="0019116D">
        <w:t xml:space="preserve">come from </w:t>
      </w:r>
      <w:r w:rsidR="00AB6CDF">
        <w:t xml:space="preserve">avoiding further case conferences and </w:t>
      </w:r>
      <w:r w:rsidR="0052488C">
        <w:t xml:space="preserve">potential </w:t>
      </w:r>
      <w:r w:rsidR="00C37BBD">
        <w:t>AAT hearings.</w:t>
      </w:r>
    </w:p>
    <w:p w14:paraId="69CC880A" w14:textId="727FE565" w:rsidR="00F738DB" w:rsidRDefault="00AE0E90" w:rsidP="0076764E">
      <w:r>
        <w:lastRenderedPageBreak/>
        <w:t xml:space="preserve">It is clear matters </w:t>
      </w:r>
      <w:r w:rsidR="007C421C">
        <w:t xml:space="preserve">must meet several criteria to be </w:t>
      </w:r>
      <w:r w:rsidR="001B40A3">
        <w:t xml:space="preserve">appropriate </w:t>
      </w:r>
      <w:r w:rsidR="003F16EE">
        <w:t xml:space="preserve">for the IERP. </w:t>
      </w:r>
      <w:r w:rsidR="00E406F6">
        <w:t xml:space="preserve">Matters were not appropriate </w:t>
      </w:r>
      <w:r w:rsidR="002238D7">
        <w:t xml:space="preserve">if evidence required forensic testing </w:t>
      </w:r>
      <w:r w:rsidR="00AE1EAE">
        <w:t>by cross-examination of witnesses</w:t>
      </w:r>
      <w:r w:rsidR="00C602D8">
        <w:t xml:space="preserve"> in the AAT</w:t>
      </w:r>
      <w:r w:rsidR="00A75D49">
        <w:t>, such as when witnesses have a commercial conflict of interest</w:t>
      </w:r>
      <w:r w:rsidR="009E166A">
        <w:t xml:space="preserve">, or there is a significant </w:t>
      </w:r>
      <w:r w:rsidR="0015353F">
        <w:t xml:space="preserve">disparity </w:t>
      </w:r>
      <w:r w:rsidR="00925E1D">
        <w:t>in evidence</w:t>
      </w:r>
      <w:r w:rsidR="00DA1940">
        <w:t xml:space="preserve">, </w:t>
      </w:r>
      <w:r w:rsidR="007045CF">
        <w:t xml:space="preserve">for example, </w:t>
      </w:r>
      <w:r w:rsidR="003A395C">
        <w:t xml:space="preserve">different views from </w:t>
      </w:r>
      <w:r w:rsidR="006870D3">
        <w:t xml:space="preserve">therapeutic </w:t>
      </w:r>
      <w:r w:rsidR="003A395C">
        <w:t>speciali</w:t>
      </w:r>
      <w:r w:rsidR="006870D3">
        <w:t>sts.</w:t>
      </w:r>
      <w:r w:rsidR="001B40A3">
        <w:t xml:space="preserve"> </w:t>
      </w:r>
      <w:r w:rsidR="00B63719">
        <w:t xml:space="preserve">This was recognised by both the independent experts and </w:t>
      </w:r>
      <w:r w:rsidR="008B6BBD">
        <w:t xml:space="preserve">the </w:t>
      </w:r>
      <w:r w:rsidR="00096467">
        <w:t>H</w:t>
      </w:r>
      <w:r w:rsidR="008B6BBD">
        <w:t>OC.</w:t>
      </w:r>
    </w:p>
    <w:p w14:paraId="6ED77D4D" w14:textId="4741B5C7" w:rsidR="0076764E" w:rsidRDefault="004311B7" w:rsidP="0076764E">
      <w:r>
        <w:t>A</w:t>
      </w:r>
      <w:r w:rsidR="0076764E" w:rsidRPr="00324680">
        <w:t xml:space="preserve">lthough </w:t>
      </w:r>
      <w:r w:rsidR="00EE6AED">
        <w:t xml:space="preserve">the review process </w:t>
      </w:r>
      <w:r>
        <w:t xml:space="preserve">itself </w:t>
      </w:r>
      <w:r w:rsidR="00EE6AED">
        <w:t xml:space="preserve">has been </w:t>
      </w:r>
      <w:r w:rsidR="0076764E" w:rsidRPr="00324680">
        <w:t xml:space="preserve">efficient, the IERP has </w:t>
      </w:r>
      <w:r w:rsidR="001616A4">
        <w:t xml:space="preserve">had limited </w:t>
      </w:r>
      <w:r w:rsidR="00211104">
        <w:t>impact</w:t>
      </w:r>
      <w:r w:rsidR="0076764E" w:rsidRPr="00324680">
        <w:t xml:space="preserve"> in helping clear the backlog of AAT cases, processing considerably fewer matters than first e</w:t>
      </w:r>
      <w:r w:rsidR="009E6B16">
        <w:t>stimated</w:t>
      </w:r>
      <w:r w:rsidR="0076764E" w:rsidRPr="00324680">
        <w:t>. The main reason</w:t>
      </w:r>
      <w:r w:rsidR="002B411B">
        <w:t>s</w:t>
      </w:r>
      <w:r w:rsidR="0076764E" w:rsidRPr="00324680">
        <w:t xml:space="preserve"> </w:t>
      </w:r>
      <w:r w:rsidR="002B411B">
        <w:t>are</w:t>
      </w:r>
      <w:r w:rsidR="0076764E" w:rsidRPr="00324680">
        <w:t xml:space="preserve"> the success of </w:t>
      </w:r>
      <w:r w:rsidR="003E7525">
        <w:t xml:space="preserve">other initiatives particularly </w:t>
      </w:r>
      <w:r w:rsidR="0076764E" w:rsidRPr="00324680">
        <w:t xml:space="preserve">the </w:t>
      </w:r>
      <w:r w:rsidR="00984F82">
        <w:t>e</w:t>
      </w:r>
      <w:r w:rsidR="0076764E" w:rsidRPr="00324680">
        <w:t xml:space="preserve">arly </w:t>
      </w:r>
      <w:r w:rsidR="00984F82">
        <w:t>a</w:t>
      </w:r>
      <w:r w:rsidR="0076764E" w:rsidRPr="00324680">
        <w:t xml:space="preserve">ssessment </w:t>
      </w:r>
      <w:r w:rsidR="00F5749E">
        <w:t xml:space="preserve">of new matters </w:t>
      </w:r>
      <w:r w:rsidR="00741623">
        <w:t xml:space="preserve">and </w:t>
      </w:r>
      <w:r w:rsidR="00984F82">
        <w:t>a</w:t>
      </w:r>
      <w:r w:rsidR="00741623">
        <w:t xml:space="preserve">ccelerated </w:t>
      </w:r>
      <w:r w:rsidR="00CA790F">
        <w:t>c</w:t>
      </w:r>
      <w:r w:rsidR="00741623">
        <w:t>ase</w:t>
      </w:r>
      <w:r w:rsidR="00485A9C">
        <w:t>load</w:t>
      </w:r>
      <w:r w:rsidR="00741623">
        <w:t xml:space="preserve"> </w:t>
      </w:r>
      <w:r w:rsidR="00CA790F">
        <w:t>r</w:t>
      </w:r>
      <w:r w:rsidR="00741623">
        <w:t xml:space="preserve">eview </w:t>
      </w:r>
      <w:r w:rsidR="00F5749E">
        <w:t>of aged matter</w:t>
      </w:r>
      <w:r w:rsidR="003E7525">
        <w:t>s</w:t>
      </w:r>
      <w:r w:rsidR="0076764E" w:rsidRPr="00324680">
        <w:t xml:space="preserve"> which cleared much of the AAT backlog. This positioned the IERP for more complex matters which are fewer </w:t>
      </w:r>
      <w:r w:rsidR="003252C4">
        <w:t xml:space="preserve">in number, </w:t>
      </w:r>
      <w:r w:rsidR="0076764E" w:rsidRPr="00324680">
        <w:t>but more time</w:t>
      </w:r>
      <w:r w:rsidR="0076764E">
        <w:t xml:space="preserve"> consuming to prepare and review. In addition, fewer than expected participants accepted the invitation to participate due to the late stage of their AAT process. It is important to note that as the IERP has progressed</w:t>
      </w:r>
      <w:r w:rsidR="00895AC4">
        <w:t xml:space="preserve"> and </w:t>
      </w:r>
      <w:r w:rsidR="00324680">
        <w:t xml:space="preserve">referral criteria around </w:t>
      </w:r>
      <w:r w:rsidR="003252C4">
        <w:t xml:space="preserve">the length of </w:t>
      </w:r>
      <w:r w:rsidR="00324680">
        <w:t xml:space="preserve">time the </w:t>
      </w:r>
      <w:r w:rsidR="003252C4">
        <w:t xml:space="preserve">matter was required to be </w:t>
      </w:r>
      <w:r w:rsidR="00324680">
        <w:t xml:space="preserve">in the AAT process </w:t>
      </w:r>
      <w:r w:rsidR="003252C4">
        <w:t xml:space="preserve">was </w:t>
      </w:r>
      <w:r w:rsidR="00324680">
        <w:t>relaxed</w:t>
      </w:r>
      <w:r w:rsidR="0076764E">
        <w:t>, the number and rate of referrals increas</w:t>
      </w:r>
      <w:r w:rsidR="0084532B">
        <w:t>ed</w:t>
      </w:r>
      <w:r w:rsidR="0076764E">
        <w:t>.</w:t>
      </w:r>
    </w:p>
    <w:p w14:paraId="5BEEF114" w14:textId="3370C765" w:rsidR="0076764E" w:rsidRDefault="0076764E" w:rsidP="0076764E">
      <w:r>
        <w:t xml:space="preserve">Notwithstanding the limited impact the IERP </w:t>
      </w:r>
      <w:r w:rsidR="003252C4">
        <w:t>had</w:t>
      </w:r>
      <w:r>
        <w:t xml:space="preserve"> on clearing the backlog of AAT cases, the </w:t>
      </w:r>
      <w:r w:rsidR="00CC43B2">
        <w:t xml:space="preserve">evaluation </w:t>
      </w:r>
      <w:r>
        <w:t xml:space="preserve">findings indicate that </w:t>
      </w:r>
      <w:r w:rsidR="005C188C">
        <w:t>seeking recommendations from</w:t>
      </w:r>
      <w:r>
        <w:t xml:space="preserve"> independent experts </w:t>
      </w:r>
      <w:r w:rsidR="005C188C">
        <w:t xml:space="preserve">on complex matters </w:t>
      </w:r>
      <w:r w:rsidR="008C04F8">
        <w:t xml:space="preserve">can be an effective </w:t>
      </w:r>
      <w:r w:rsidR="000A4A40">
        <w:t>part</w:t>
      </w:r>
      <w:r w:rsidR="00F61039">
        <w:t xml:space="preserve"> of the Agency’s dispute resolution toolkit.</w:t>
      </w:r>
      <w:r w:rsidR="000A4A40">
        <w:t xml:space="preserve"> </w:t>
      </w:r>
      <w:r w:rsidR="000A4A40" w:rsidRPr="00D75107">
        <w:t>A</w:t>
      </w:r>
      <w:r w:rsidRPr="00D75107">
        <w:t xml:space="preserve">n independent review of the recommendations by the Agency’s TAB agreed that most of the recommendations from independent experts align with the NDIS legislation and </w:t>
      </w:r>
      <w:r w:rsidR="00BE6380">
        <w:t>OGs</w:t>
      </w:r>
      <w:r w:rsidRPr="00D75107">
        <w:t>. This indicates independent experts with the skills and expertise of the first</w:t>
      </w:r>
      <w:r>
        <w:t xml:space="preserve"> 17 appointed are suitably qualified to make sound </w:t>
      </w:r>
      <w:r w:rsidR="00E301C5">
        <w:t>recommendations</w:t>
      </w:r>
      <w:r>
        <w:t xml:space="preserve"> within the NDIS legislation.</w:t>
      </w:r>
      <w:r w:rsidR="00BC2647">
        <w:t xml:space="preserve"> </w:t>
      </w:r>
      <w:r w:rsidR="00D33B20">
        <w:t>Howe</w:t>
      </w:r>
      <w:r w:rsidR="00E301C5">
        <w:t>ver, t</w:t>
      </w:r>
      <w:r w:rsidR="00BC2647">
        <w:t xml:space="preserve">he </w:t>
      </w:r>
      <w:r w:rsidR="00D33B20">
        <w:t>availability of</w:t>
      </w:r>
      <w:r w:rsidR="001D4768">
        <w:t xml:space="preserve"> a larger pool of independent reviewers with comparable skills and expertise </w:t>
      </w:r>
      <w:r w:rsidR="00E301C5">
        <w:t>is</w:t>
      </w:r>
      <w:r w:rsidR="00D33B20">
        <w:t xml:space="preserve"> likely to be a limiting factor for scaling up the program</w:t>
      </w:r>
      <w:r w:rsidR="0044084A">
        <w:t xml:space="preserve"> while maintaining the quality of recommendations</w:t>
      </w:r>
      <w:r w:rsidR="00D33B20">
        <w:t>.</w:t>
      </w:r>
    </w:p>
    <w:p w14:paraId="78A36640" w14:textId="3381E124" w:rsidR="0076764E" w:rsidRDefault="0076764E" w:rsidP="0076764E">
      <w:r>
        <w:t xml:space="preserve">There has been a difference in the propensity of the independent experts with a legal or non-legal background to recommend </w:t>
      </w:r>
      <w:r w:rsidR="00504065">
        <w:t xml:space="preserve">accepting </w:t>
      </w:r>
      <w:r>
        <w:t xml:space="preserve">a participant’s request. Independent experts with a non-legal background have tended to recommend all or </w:t>
      </w:r>
      <w:r>
        <w:lastRenderedPageBreak/>
        <w:t>none of the requested supports. Those from a legal background have been mo</w:t>
      </w:r>
      <w:r w:rsidR="00631A33">
        <w:t xml:space="preserve">re </w:t>
      </w:r>
      <w:r>
        <w:t>likely to partially agree with the participant’s request.</w:t>
      </w:r>
      <w:r w:rsidRPr="00CD223D">
        <w:t xml:space="preserve"> </w:t>
      </w:r>
      <w:r>
        <w:t xml:space="preserve">Although TAB agreed with most of the recommendations irrespective of the independent expert’s background, this suggests </w:t>
      </w:r>
      <w:r w:rsidRPr="00CD223D">
        <w:t>that independent experts from different backgrounds are reviewing the case evidence against the NDIS legislation differently</w:t>
      </w:r>
      <w:r>
        <w:t>. This warrants monitoring</w:t>
      </w:r>
      <w:r w:rsidR="007C3330">
        <w:t xml:space="preserve"> if an independent review mechanism continues</w:t>
      </w:r>
      <w:r w:rsidR="005114BD">
        <w:t>, especially if scaled up</w:t>
      </w:r>
      <w:r>
        <w:t>.</w:t>
      </w:r>
    </w:p>
    <w:p w14:paraId="42337ADB" w14:textId="63D3848D" w:rsidR="0076764E" w:rsidRDefault="0076764E" w:rsidP="0076764E">
      <w:pPr>
        <w:pStyle w:val="Heading3"/>
      </w:pPr>
      <w:bookmarkStart w:id="142" w:name="_Toc135394730"/>
      <w:bookmarkStart w:id="143" w:name="_Toc142918614"/>
      <w:r>
        <w:t xml:space="preserve">The sustainability </w:t>
      </w:r>
      <w:r w:rsidR="0039278F">
        <w:t xml:space="preserve">impacts </w:t>
      </w:r>
      <w:r>
        <w:t>of the IERP</w:t>
      </w:r>
      <w:bookmarkEnd w:id="142"/>
      <w:bookmarkEnd w:id="143"/>
    </w:p>
    <w:p w14:paraId="3D9D9970" w14:textId="5AC133D2" w:rsidR="00481C75" w:rsidRPr="007D5F1A" w:rsidRDefault="0076764E" w:rsidP="0045152F">
      <w:r w:rsidRPr="007D5F1A">
        <w:t xml:space="preserve">The evaluation findings </w:t>
      </w:r>
      <w:r w:rsidR="001D1021" w:rsidRPr="007D5F1A">
        <w:t xml:space="preserve">suggest the IERP </w:t>
      </w:r>
      <w:r w:rsidR="00FF2779" w:rsidRPr="007D5F1A">
        <w:t xml:space="preserve">has </w:t>
      </w:r>
      <w:r w:rsidR="0062286B" w:rsidRPr="007D5F1A">
        <w:t xml:space="preserve">been able to </w:t>
      </w:r>
      <w:r w:rsidR="001D1021" w:rsidRPr="007D5F1A">
        <w:t>resolv</w:t>
      </w:r>
      <w:r w:rsidR="00FF2779" w:rsidRPr="007D5F1A">
        <w:t>e long-standing and complex</w:t>
      </w:r>
      <w:r w:rsidR="001D1021" w:rsidRPr="007D5F1A">
        <w:t xml:space="preserve"> </w:t>
      </w:r>
      <w:r w:rsidR="00932478" w:rsidRPr="007D5F1A">
        <w:t>AAT matters</w:t>
      </w:r>
      <w:r w:rsidR="00481C75" w:rsidRPr="007D5F1A">
        <w:t xml:space="preserve"> at an average net saving of $1,278 per case. At the rate of cases in the last 4 months of the IERP</w:t>
      </w:r>
      <w:r w:rsidR="00481C75" w:rsidRPr="007D5F1A">
        <w:rPr>
          <w:rStyle w:val="FootnoteReference"/>
        </w:rPr>
        <w:footnoteReference w:id="40"/>
      </w:r>
      <w:r w:rsidR="00481C75" w:rsidRPr="007D5F1A">
        <w:t>, the IERP could process 204 cases per year. This would equate to a total net operational saving of $26</w:t>
      </w:r>
      <w:r w:rsidR="00865FF0" w:rsidRPr="007D5F1A">
        <w:t>0</w:t>
      </w:r>
      <w:r w:rsidR="00481C75" w:rsidRPr="007D5F1A">
        <w:t>,712. This is an estimate only given the high variability of cases and the fact that an accurate counterfactual is not available but suggest</w:t>
      </w:r>
      <w:r w:rsidR="00835225" w:rsidRPr="007D5F1A">
        <w:t>s</w:t>
      </w:r>
      <w:r w:rsidR="00481C75" w:rsidRPr="007D5F1A">
        <w:t xml:space="preserve"> the IERP has been largely </w:t>
      </w:r>
      <w:r w:rsidR="00865FF0" w:rsidRPr="007D5F1A">
        <w:t xml:space="preserve">operationally </w:t>
      </w:r>
      <w:r w:rsidR="00481C75" w:rsidRPr="007D5F1A">
        <w:t>cost neutral.</w:t>
      </w:r>
    </w:p>
    <w:p w14:paraId="310996B0" w14:textId="77777777" w:rsidR="0071693D" w:rsidRPr="007D5F1A" w:rsidRDefault="00124300" w:rsidP="0045152F">
      <w:r w:rsidRPr="007D5F1A">
        <w:t xml:space="preserve">In line with the NDIA TAB’s high </w:t>
      </w:r>
      <w:r w:rsidR="006E540B" w:rsidRPr="007D5F1A">
        <w:t>level of agreement with the recommendations from independent experts</w:t>
      </w:r>
      <w:r w:rsidR="009F1612" w:rsidRPr="007D5F1A">
        <w:t xml:space="preserve">, there is no conclusive evidence that the IERP has impacted the financial sustainability of the NDIS. </w:t>
      </w:r>
      <w:r w:rsidR="00546DBF" w:rsidRPr="007D5F1A">
        <w:t>Although t</w:t>
      </w:r>
      <w:r w:rsidR="009F1612" w:rsidRPr="007D5F1A">
        <w:t xml:space="preserve">he average value of resolutions </w:t>
      </w:r>
      <w:r w:rsidR="0024527D" w:rsidRPr="007D5F1A">
        <w:t xml:space="preserve">has been </w:t>
      </w:r>
      <w:r w:rsidR="007510FA" w:rsidRPr="007D5F1A">
        <w:t>slightly lower</w:t>
      </w:r>
      <w:r w:rsidR="0024527D" w:rsidRPr="007D5F1A">
        <w:t xml:space="preserve"> </w:t>
      </w:r>
      <w:r w:rsidR="007510FA" w:rsidRPr="007D5F1A">
        <w:t>than</w:t>
      </w:r>
      <w:r w:rsidR="0024527D" w:rsidRPr="007D5F1A">
        <w:t xml:space="preserve"> </w:t>
      </w:r>
      <w:r w:rsidR="00822FD2" w:rsidRPr="007D5F1A">
        <w:t>other long-standing support-related AAT disputes with similar underlying plan values</w:t>
      </w:r>
      <w:r w:rsidR="00546DBF" w:rsidRPr="007D5F1A">
        <w:t xml:space="preserve">, the difference reflects variation in the nature of supports in dispute. </w:t>
      </w:r>
      <w:r w:rsidR="004D31D3" w:rsidRPr="007D5F1A">
        <w:t>T</w:t>
      </w:r>
      <w:r w:rsidR="00DA199D" w:rsidRPr="007D5F1A">
        <w:t>he uniqueness of individual cases meant it was not possible to compare cases based on the nature of the supports in dispute.</w:t>
      </w:r>
      <w:r w:rsidR="003B375C" w:rsidRPr="007D5F1A">
        <w:t xml:space="preserve"> </w:t>
      </w:r>
    </w:p>
    <w:p w14:paraId="191D4B32" w14:textId="18C86DD5" w:rsidR="00481C75" w:rsidRPr="007D5F1A" w:rsidRDefault="009A53A5" w:rsidP="00FE62D7">
      <w:r w:rsidRPr="007D5F1A">
        <w:t xml:space="preserve">In summary, there is no evidence the IERP has affected the financial sustainability of the Scheme </w:t>
      </w:r>
      <w:r w:rsidR="00A44EF5" w:rsidRPr="007D5F1A">
        <w:t>and</w:t>
      </w:r>
      <w:r w:rsidR="00481C75" w:rsidRPr="007D5F1A">
        <w:t xml:space="preserve"> operationally has been largely cost neutral at its recent case rate. Together with the positive experience reported by participants and their legal representatives, this suggests that an ADR mechanism </w:t>
      </w:r>
      <w:r w:rsidR="006864A5" w:rsidRPr="007D5F1A">
        <w:t>with some of the IERP’s features could be a sustainable part of the NDIS dispute resolution toolkit.</w:t>
      </w:r>
    </w:p>
    <w:p w14:paraId="78A8AE8F" w14:textId="0E70B608" w:rsidR="005B13DC" w:rsidRPr="007D5F1A" w:rsidRDefault="005B13DC" w:rsidP="005B13DC">
      <w:pPr>
        <w:pStyle w:val="Heading3"/>
      </w:pPr>
      <w:bookmarkStart w:id="144" w:name="_Toc142918615"/>
      <w:r w:rsidRPr="007D5F1A">
        <w:lastRenderedPageBreak/>
        <w:t xml:space="preserve">Enhancing administrative decision-making and </w:t>
      </w:r>
      <w:r w:rsidR="00553603" w:rsidRPr="007D5F1A">
        <w:t>dispute resolution</w:t>
      </w:r>
      <w:r w:rsidRPr="007D5F1A">
        <w:t xml:space="preserve"> processes</w:t>
      </w:r>
      <w:bookmarkEnd w:id="144"/>
    </w:p>
    <w:p w14:paraId="546EEC6E" w14:textId="75CDA054" w:rsidR="00D70D30" w:rsidRPr="007D5F1A" w:rsidRDefault="00CB2B17" w:rsidP="005B13DC">
      <w:r w:rsidRPr="007D5F1A">
        <w:t>F</w:t>
      </w:r>
      <w:r w:rsidR="007356DC" w:rsidRPr="007D5F1A">
        <w:t>eedback from IERP participants and their high acceptance of the recommendations from independent ex</w:t>
      </w:r>
      <w:r w:rsidR="00D973A3" w:rsidRPr="007D5F1A">
        <w:t xml:space="preserve">perts </w:t>
      </w:r>
      <w:r w:rsidR="004154DF" w:rsidRPr="007D5F1A">
        <w:t xml:space="preserve">provide insights for </w:t>
      </w:r>
      <w:r w:rsidR="006D3CEA" w:rsidRPr="007D5F1A">
        <w:t xml:space="preserve">making </w:t>
      </w:r>
      <w:r w:rsidR="004154DF" w:rsidRPr="007D5F1A">
        <w:t>broader Agency administrative decision-making and appeals processes</w:t>
      </w:r>
      <w:r w:rsidR="006D3CEA" w:rsidRPr="007D5F1A">
        <w:t xml:space="preserve"> </w:t>
      </w:r>
      <w:r w:rsidR="004F555E" w:rsidRPr="007D5F1A">
        <w:t>m</w:t>
      </w:r>
      <w:r w:rsidR="006D3CEA" w:rsidRPr="007D5F1A">
        <w:t>ore participant</w:t>
      </w:r>
      <w:r w:rsidR="004F555E" w:rsidRPr="007D5F1A">
        <w:t xml:space="preserve"> </w:t>
      </w:r>
      <w:r w:rsidR="006D3CEA" w:rsidRPr="007D5F1A">
        <w:t>centric</w:t>
      </w:r>
      <w:r w:rsidR="004154DF" w:rsidRPr="007D5F1A">
        <w:t>.</w:t>
      </w:r>
    </w:p>
    <w:p w14:paraId="27991199" w14:textId="71C0C03A" w:rsidR="00D750DB" w:rsidRPr="007D5F1A" w:rsidRDefault="00D750DB" w:rsidP="00D750DB">
      <w:pPr>
        <w:pStyle w:val="Heading4"/>
      </w:pPr>
      <w:r w:rsidRPr="007D5F1A">
        <w:t>Planning and internal reviews</w:t>
      </w:r>
    </w:p>
    <w:p w14:paraId="032C27B1" w14:textId="27594340" w:rsidR="007D742D" w:rsidRPr="007D5F1A" w:rsidRDefault="007D742D" w:rsidP="005042F6">
      <w:r w:rsidRPr="007D5F1A">
        <w:t xml:space="preserve">Trends show that over the last </w:t>
      </w:r>
      <w:r w:rsidR="00BB7050" w:rsidRPr="007D5F1A">
        <w:t xml:space="preserve">two </w:t>
      </w:r>
      <w:r w:rsidRPr="007D5F1A">
        <w:t xml:space="preserve">years, approximately 6% of NDIS plans become the subject of an internal review and less than 20% of these escalated to an external review (approximately 2% of active plans). This </w:t>
      </w:r>
      <w:r w:rsidR="00C356FC" w:rsidRPr="007D5F1A">
        <w:t>suggests</w:t>
      </w:r>
      <w:r w:rsidRPr="007D5F1A">
        <w:t xml:space="preserve"> the current processes and </w:t>
      </w:r>
      <w:r w:rsidR="00A0272B" w:rsidRPr="007D5F1A">
        <w:t xml:space="preserve">decisions are acceptable to </w:t>
      </w:r>
      <w:r w:rsidR="00C356FC" w:rsidRPr="007D5F1A">
        <w:t>many</w:t>
      </w:r>
      <w:r w:rsidR="00A0272B" w:rsidRPr="007D5F1A">
        <w:t xml:space="preserve"> participants</w:t>
      </w:r>
      <w:r w:rsidR="00C356FC" w:rsidRPr="007D5F1A">
        <w:t xml:space="preserve">, although it is acknowledged that </w:t>
      </w:r>
      <w:r w:rsidR="00CB54C0" w:rsidRPr="007D5F1A">
        <w:t xml:space="preserve">reasons for not disputing a decision are varied and may also be attributable to factors such as time, </w:t>
      </w:r>
      <w:r w:rsidR="00F10517" w:rsidRPr="007D5F1A">
        <w:t>stress, level of support and understanding of the processes</w:t>
      </w:r>
      <w:r w:rsidRPr="007D5F1A">
        <w:t>.</w:t>
      </w:r>
    </w:p>
    <w:p w14:paraId="60A48E72" w14:textId="6635F146" w:rsidR="009738DC" w:rsidRPr="007D5F1A" w:rsidRDefault="00BE3127" w:rsidP="00327147">
      <w:r w:rsidRPr="007D5F1A">
        <w:t>Notwithstanding th</w:t>
      </w:r>
      <w:r w:rsidR="005E1A10" w:rsidRPr="007D5F1A">
        <w:t xml:space="preserve">e apparently high </w:t>
      </w:r>
      <w:r w:rsidR="004A0CC8" w:rsidRPr="007D5F1A">
        <w:t>acceptance</w:t>
      </w:r>
      <w:r w:rsidR="005E1A10" w:rsidRPr="007D5F1A">
        <w:t xml:space="preserve"> of planning and internal review decisions</w:t>
      </w:r>
      <w:r w:rsidRPr="007D5F1A">
        <w:t xml:space="preserve">, </w:t>
      </w:r>
      <w:r w:rsidR="005B13DC" w:rsidRPr="007D5F1A">
        <w:t>IERP participants and other external stakeholders</w:t>
      </w:r>
      <w:r w:rsidR="00553603" w:rsidRPr="007D5F1A">
        <w:t xml:space="preserve"> </w:t>
      </w:r>
      <w:r w:rsidR="005B13DC" w:rsidRPr="007D5F1A">
        <w:t xml:space="preserve">commented on </w:t>
      </w:r>
      <w:r w:rsidR="00600C14" w:rsidRPr="007D5F1A">
        <w:t>a lack of</w:t>
      </w:r>
      <w:r w:rsidR="005B13DC" w:rsidRPr="007D5F1A">
        <w:t xml:space="preserve"> clarity of planning and internal review decisions</w:t>
      </w:r>
      <w:r w:rsidR="00AE6E6B" w:rsidRPr="007D5F1A">
        <w:t xml:space="preserve">. They </w:t>
      </w:r>
      <w:r w:rsidR="005B13DC" w:rsidRPr="007D5F1A">
        <w:t>questioned whether planners and review officers adequately consider all the evidence participants provide and whether participants have adequate opportunity to discuss their request and needs.</w:t>
      </w:r>
      <w:r w:rsidR="0023580E" w:rsidRPr="007D5F1A">
        <w:t xml:space="preserve"> </w:t>
      </w:r>
      <w:r w:rsidR="005E1A10" w:rsidRPr="007D5F1A">
        <w:t xml:space="preserve">It </w:t>
      </w:r>
      <w:r w:rsidR="00760C6C" w:rsidRPr="007D5F1A">
        <w:t>is important to note</w:t>
      </w:r>
      <w:r w:rsidR="005E1A10" w:rsidRPr="007D5F1A">
        <w:t xml:space="preserve"> that </w:t>
      </w:r>
      <w:r w:rsidR="00760C6C" w:rsidRPr="007D5F1A">
        <w:t>most</w:t>
      </w:r>
      <w:r w:rsidR="005E1A10" w:rsidRPr="007D5F1A">
        <w:t xml:space="preserve"> </w:t>
      </w:r>
      <w:r w:rsidR="00760C6C" w:rsidRPr="007D5F1A">
        <w:t>IERP</w:t>
      </w:r>
      <w:r w:rsidR="005E1A10" w:rsidRPr="007D5F1A">
        <w:t xml:space="preserve"> </w:t>
      </w:r>
      <w:r w:rsidR="0018254E" w:rsidRPr="007D5F1A">
        <w:t>participants</w:t>
      </w:r>
      <w:r w:rsidR="005E1A10" w:rsidRPr="007D5F1A">
        <w:t xml:space="preserve"> </w:t>
      </w:r>
      <w:r w:rsidR="00C17AEC" w:rsidRPr="007D5F1A">
        <w:t xml:space="preserve">who gave feedback </w:t>
      </w:r>
      <w:r w:rsidR="0018254E" w:rsidRPr="007D5F1A">
        <w:t xml:space="preserve">had their internal review (and planning meeting) related to the supports in dispute in </w:t>
      </w:r>
      <w:r w:rsidR="00C17AEC" w:rsidRPr="007D5F1A">
        <w:t xml:space="preserve">late </w:t>
      </w:r>
      <w:r w:rsidR="0018254E" w:rsidRPr="007D5F1A">
        <w:t>2021</w:t>
      </w:r>
      <w:r w:rsidR="00760C6C" w:rsidRPr="007D5F1A">
        <w:t>. This was</w:t>
      </w:r>
      <w:r w:rsidR="0018254E" w:rsidRPr="007D5F1A">
        <w:t xml:space="preserve"> </w:t>
      </w:r>
      <w:r w:rsidR="00A11C90" w:rsidRPr="007D5F1A">
        <w:t>during</w:t>
      </w:r>
      <w:r w:rsidR="0018254E" w:rsidRPr="007D5F1A">
        <w:t xml:space="preserve"> </w:t>
      </w:r>
      <w:r w:rsidR="00A0771D" w:rsidRPr="007D5F1A">
        <w:t>a period where the Agency</w:t>
      </w:r>
      <w:r w:rsidR="00A5100A" w:rsidRPr="007D5F1A">
        <w:t xml:space="preserve"> </w:t>
      </w:r>
      <w:r w:rsidR="00745F86" w:rsidRPr="007D5F1A">
        <w:t>focused on clearing</w:t>
      </w:r>
      <w:r w:rsidR="00A5100A" w:rsidRPr="007D5F1A">
        <w:t xml:space="preserve"> a backlog of internal reviews. </w:t>
      </w:r>
    </w:p>
    <w:p w14:paraId="2E57DC74" w14:textId="78C844FE" w:rsidR="006D27F5" w:rsidRPr="007D5F1A" w:rsidRDefault="00684BCD" w:rsidP="00327147">
      <w:r w:rsidRPr="007D5F1A">
        <w:t xml:space="preserve">Trends </w:t>
      </w:r>
      <w:r w:rsidR="00625C5E" w:rsidRPr="007D5F1A">
        <w:t>show</w:t>
      </w:r>
      <w:r w:rsidRPr="007D5F1A">
        <w:t xml:space="preserve"> that </w:t>
      </w:r>
      <w:r w:rsidR="001F2520" w:rsidRPr="007D5F1A">
        <w:t xml:space="preserve">over the last </w:t>
      </w:r>
      <w:r w:rsidR="00D23CB0" w:rsidRPr="007D5F1A">
        <w:t xml:space="preserve">two </w:t>
      </w:r>
      <w:r w:rsidR="001F2520" w:rsidRPr="007D5F1A">
        <w:t xml:space="preserve">years, </w:t>
      </w:r>
      <w:r w:rsidRPr="007D5F1A">
        <w:t>less than 20% of participants escalate</w:t>
      </w:r>
      <w:r w:rsidR="001F2520" w:rsidRPr="007D5F1A">
        <w:t>d</w:t>
      </w:r>
      <w:r w:rsidRPr="007D5F1A">
        <w:t xml:space="preserve"> a plan-related internal review decision that was not in their favour. This </w:t>
      </w:r>
      <w:r w:rsidR="00595EE0" w:rsidRPr="007D5F1A">
        <w:t xml:space="preserve">indicates that most participants </w:t>
      </w:r>
      <w:r w:rsidR="000F4261" w:rsidRPr="007D5F1A">
        <w:t>accept</w:t>
      </w:r>
      <w:r w:rsidR="00595EE0" w:rsidRPr="007D5F1A">
        <w:t xml:space="preserve"> the explanation given</w:t>
      </w:r>
      <w:r w:rsidR="0018254E" w:rsidRPr="007D5F1A">
        <w:t xml:space="preserve">. The findings in this report </w:t>
      </w:r>
      <w:r w:rsidR="00894C18" w:rsidRPr="007D5F1A">
        <w:t xml:space="preserve">related to </w:t>
      </w:r>
      <w:r w:rsidR="0018254E" w:rsidRPr="007D5F1A">
        <w:t>the reasons for disputes are high-level and come from a small and select group of participants. Many of these had their internal review (and planning meeting) related to the supports in dispute in 2021</w:t>
      </w:r>
      <w:r w:rsidR="00D23CB0" w:rsidRPr="007D5F1A">
        <w:t>,</w:t>
      </w:r>
      <w:r w:rsidR="0018254E" w:rsidRPr="007D5F1A">
        <w:t xml:space="preserve"> during </w:t>
      </w:r>
      <w:r w:rsidR="00A0771D" w:rsidRPr="007D5F1A">
        <w:t>a period where the Agency</w:t>
      </w:r>
      <w:r w:rsidR="00A5100A" w:rsidRPr="007D5F1A">
        <w:t xml:space="preserve"> </w:t>
      </w:r>
      <w:r w:rsidR="00745F86" w:rsidRPr="007D5F1A">
        <w:t>focused on clearing</w:t>
      </w:r>
      <w:r w:rsidR="00A5100A" w:rsidRPr="007D5F1A">
        <w:t xml:space="preserve"> a backlog of internal reviews. </w:t>
      </w:r>
    </w:p>
    <w:p w14:paraId="5BC3520C" w14:textId="0F194BC5" w:rsidR="00C405D5" w:rsidRPr="007D5F1A" w:rsidRDefault="00BA745E" w:rsidP="00327147">
      <w:r w:rsidRPr="007D5F1A">
        <w:lastRenderedPageBreak/>
        <w:t xml:space="preserve">Since clearing the backlog, the Agency made several enhancements to internal reviews with most implemented in the second half of 2022. </w:t>
      </w:r>
      <w:r w:rsidR="006D4E63" w:rsidRPr="007D5F1A">
        <w:t>These</w:t>
      </w:r>
      <w:r w:rsidR="00FE1389" w:rsidRPr="007D5F1A">
        <w:t xml:space="preserve"> includ</w:t>
      </w:r>
      <w:r w:rsidR="00C405D5" w:rsidRPr="007D5F1A">
        <w:t>e</w:t>
      </w:r>
      <w:r w:rsidR="00FE1389" w:rsidRPr="007D5F1A">
        <w:t xml:space="preserve"> introducing upfront clarifying phone calls with participants to consider their current situation and the strength of their evidence and improving the quality </w:t>
      </w:r>
      <w:r w:rsidR="00661821" w:rsidRPr="007D5F1A">
        <w:t xml:space="preserve">and consistency </w:t>
      </w:r>
      <w:r w:rsidR="00FE1389" w:rsidRPr="007D5F1A">
        <w:t>of the explanations in decision letters.</w:t>
      </w:r>
      <w:r w:rsidR="006D27F5" w:rsidRPr="007D5F1A">
        <w:t xml:space="preserve"> </w:t>
      </w:r>
      <w:r w:rsidR="00C405D5" w:rsidRPr="007D5F1A">
        <w:t xml:space="preserve">These all align with the feedback captured from participants and their </w:t>
      </w:r>
      <w:r w:rsidR="008400AD" w:rsidRPr="007D5F1A">
        <w:t>representatives</w:t>
      </w:r>
      <w:r w:rsidR="00C405D5" w:rsidRPr="007D5F1A">
        <w:t xml:space="preserve"> in this evaluation.</w:t>
      </w:r>
      <w:r w:rsidR="00661821" w:rsidRPr="007D5F1A">
        <w:t xml:space="preserve"> Importantly, </w:t>
      </w:r>
      <w:r w:rsidR="00801F9D" w:rsidRPr="007D5F1A">
        <w:t>since the enhancements were full</w:t>
      </w:r>
      <w:r w:rsidR="00576533">
        <w:t>y</w:t>
      </w:r>
      <w:r w:rsidR="00801F9D" w:rsidRPr="007D5F1A">
        <w:t xml:space="preserve"> implemented, there has been a decreasing trend in the percentage of plan-related disputes </w:t>
      </w:r>
      <w:r w:rsidR="001C4B7D" w:rsidRPr="007D5F1A">
        <w:t>escalating to external review. This includes disputes where the internal review con</w:t>
      </w:r>
      <w:r w:rsidR="00CF0649" w:rsidRPr="007D5F1A">
        <w:t>firmed the original decision.</w:t>
      </w:r>
    </w:p>
    <w:p w14:paraId="10A1D247" w14:textId="016135F4" w:rsidR="00D4626F" w:rsidRDefault="00B42066" w:rsidP="001E5034">
      <w:r w:rsidRPr="007D5F1A">
        <w:t>Based on</w:t>
      </w:r>
      <w:r w:rsidR="00587E5F" w:rsidRPr="007D5F1A">
        <w:t xml:space="preserve"> the evaluation</w:t>
      </w:r>
      <w:r w:rsidR="002D21C7" w:rsidRPr="007D5F1A">
        <w:t xml:space="preserve"> findings</w:t>
      </w:r>
      <w:r w:rsidR="00587E5F" w:rsidRPr="007D5F1A">
        <w:t xml:space="preserve">, there </w:t>
      </w:r>
      <w:r w:rsidRPr="007D5F1A">
        <w:t>appears to be further opportunity</w:t>
      </w:r>
      <w:r w:rsidR="00587E5F" w:rsidRPr="007D5F1A">
        <w:t xml:space="preserve"> to build on the</w:t>
      </w:r>
      <w:r w:rsidR="00C32E99" w:rsidRPr="007D5F1A">
        <w:t xml:space="preserve"> internal review </w:t>
      </w:r>
      <w:r w:rsidR="00136B14" w:rsidRPr="007D5F1A">
        <w:t xml:space="preserve">enhancement initiatives. Most obvious </w:t>
      </w:r>
      <w:r w:rsidRPr="007D5F1A">
        <w:t>is to offer participants the chance to speak with the internal review officer about their decision</w:t>
      </w:r>
      <w:r w:rsidR="00424CC4" w:rsidRPr="007D5F1A">
        <w:t>. Although th</w:t>
      </w:r>
      <w:r w:rsidR="001E5034" w:rsidRPr="007D5F1A">
        <w:t>is is part of the</w:t>
      </w:r>
      <w:r w:rsidR="001E5034">
        <w:t xml:space="preserve"> Participant Service Guarantee, </w:t>
      </w:r>
      <w:r w:rsidR="00306EFA">
        <w:t>current</w:t>
      </w:r>
      <w:r w:rsidR="005B13DC">
        <w:t xml:space="preserve"> internal review decision letters do not flag </w:t>
      </w:r>
      <w:r w:rsidR="001E5034">
        <w:t>this option</w:t>
      </w:r>
      <w:r w:rsidR="00A1347E">
        <w:t>.</w:t>
      </w:r>
      <w:r w:rsidR="00CC28AC">
        <w:t xml:space="preserve"> </w:t>
      </w:r>
      <w:r w:rsidR="003D2E0C">
        <w:t>I</w:t>
      </w:r>
      <w:r w:rsidR="001E5034">
        <w:t xml:space="preserve">t </w:t>
      </w:r>
      <w:r w:rsidR="00985C87">
        <w:t xml:space="preserve">may not be feasible </w:t>
      </w:r>
      <w:r w:rsidR="003D2E0C">
        <w:t xml:space="preserve">to encourage verbal feedback </w:t>
      </w:r>
      <w:r w:rsidR="00D4626F">
        <w:t xml:space="preserve">in all cases </w:t>
      </w:r>
      <w:r w:rsidR="005B13DC">
        <w:t xml:space="preserve">given the </w:t>
      </w:r>
      <w:r w:rsidR="00D4626F">
        <w:t xml:space="preserve">large </w:t>
      </w:r>
      <w:r w:rsidR="005B13DC">
        <w:t>volume of internal reviews</w:t>
      </w:r>
      <w:r w:rsidR="007F6FFD">
        <w:t xml:space="preserve">. However, </w:t>
      </w:r>
      <w:r w:rsidR="003B2F2E">
        <w:t xml:space="preserve">it may be especially valuable </w:t>
      </w:r>
      <w:r w:rsidR="00187096">
        <w:t>aro</w:t>
      </w:r>
      <w:r w:rsidR="00206D03">
        <w:t>und</w:t>
      </w:r>
      <w:r w:rsidR="003B2F2E" w:rsidRPr="003B2F2E">
        <w:t xml:space="preserve"> matters most likely to escalate to external review, such as those related to SDA and other major capital, SIL, children and participants with complex support needs</w:t>
      </w:r>
      <w:r w:rsidR="00206D03">
        <w:t>.</w:t>
      </w:r>
    </w:p>
    <w:p w14:paraId="17E97423" w14:textId="20BDA411" w:rsidR="004878EA" w:rsidRDefault="00641280" w:rsidP="00041737">
      <w:pPr>
        <w:rPr>
          <w:rStyle w:val="normaltextrun"/>
          <w:rFonts w:cs="Arial"/>
          <w:color w:val="000000"/>
          <w:szCs w:val="22"/>
          <w:shd w:val="clear" w:color="auto" w:fill="FFFFFF"/>
        </w:rPr>
      </w:pPr>
      <w:r>
        <w:t xml:space="preserve">Other </w:t>
      </w:r>
      <w:r w:rsidR="00C5391B">
        <w:t>considerations</w:t>
      </w:r>
      <w:r w:rsidR="008579F8">
        <w:t xml:space="preserve"> could include</w:t>
      </w:r>
      <w:r w:rsidR="00041737">
        <w:t xml:space="preserve"> o</w:t>
      </w:r>
      <w:r w:rsidR="004878EA">
        <w:t xml:space="preserve">ffering participants the opportunity to review </w:t>
      </w:r>
      <w:r w:rsidR="008579F8">
        <w:t>and discuss a draft plan</w:t>
      </w:r>
      <w:r w:rsidR="004878EA">
        <w:t xml:space="preserve"> with their planne</w:t>
      </w:r>
      <w:r w:rsidR="008579F8">
        <w:t>r</w:t>
      </w:r>
      <w:r w:rsidR="009F7B8F">
        <w:t>. Th</w:t>
      </w:r>
      <w:r w:rsidR="00DD0624">
        <w:t>e</w:t>
      </w:r>
      <w:r w:rsidR="00CC27F8">
        <w:t xml:space="preserve"> </w:t>
      </w:r>
      <w:r w:rsidR="00E86E00">
        <w:t>NDIS Revie</w:t>
      </w:r>
      <w:r w:rsidR="00CC27F8">
        <w:t>w</w:t>
      </w:r>
      <w:r w:rsidR="00BD32CF">
        <w:t xml:space="preserve"> is considering draft plans</w:t>
      </w:r>
      <w:r w:rsidR="00CC27F8">
        <w:t xml:space="preserve">, with the Tune Review into the NDIS first </w:t>
      </w:r>
      <w:r w:rsidR="00BD32CF">
        <w:t>making this recommendation</w:t>
      </w:r>
      <w:r w:rsidR="00386A95">
        <w:t>.</w:t>
      </w:r>
      <w:r w:rsidR="00BD32CF">
        <w:t xml:space="preserve"> </w:t>
      </w:r>
      <w:r w:rsidR="00041737">
        <w:t>At a broader level, f</w:t>
      </w:r>
      <w:r w:rsidR="004878EA" w:rsidRPr="00A45FC3">
        <w:rPr>
          <w:rStyle w:val="normaltextrun"/>
          <w:rFonts w:cs="Arial"/>
          <w:color w:val="000000"/>
          <w:szCs w:val="22"/>
          <w:shd w:val="clear" w:color="auto" w:fill="FFFFFF"/>
        </w:rPr>
        <w:t xml:space="preserve">urther increasing NDIS plan flexibility </w:t>
      </w:r>
      <w:r w:rsidR="00C7301E">
        <w:rPr>
          <w:rStyle w:val="normaltextrun"/>
          <w:rFonts w:cs="Arial"/>
          <w:color w:val="000000"/>
          <w:szCs w:val="22"/>
          <w:shd w:val="clear" w:color="auto" w:fill="FFFFFF"/>
        </w:rPr>
        <w:t>c</w:t>
      </w:r>
      <w:r w:rsidR="004878EA" w:rsidRPr="00A45FC3">
        <w:rPr>
          <w:rStyle w:val="normaltextrun"/>
          <w:rFonts w:cs="Arial"/>
          <w:color w:val="000000"/>
          <w:szCs w:val="22"/>
          <w:shd w:val="clear" w:color="auto" w:fill="FFFFFF"/>
        </w:rPr>
        <w:t>ould reduce the number of potentially disputable decisions</w:t>
      </w:r>
      <w:r w:rsidR="00C7301E">
        <w:rPr>
          <w:rStyle w:val="normaltextrun"/>
          <w:rFonts w:cs="Arial"/>
          <w:color w:val="000000"/>
          <w:szCs w:val="22"/>
          <w:shd w:val="clear" w:color="auto" w:fill="FFFFFF"/>
        </w:rPr>
        <w:t xml:space="preserve"> in addition to giving</w:t>
      </w:r>
      <w:r w:rsidR="004878EA" w:rsidRPr="00A45FC3">
        <w:rPr>
          <w:rStyle w:val="normaltextrun"/>
          <w:rFonts w:cs="Arial"/>
          <w:color w:val="000000"/>
          <w:szCs w:val="22"/>
          <w:shd w:val="clear" w:color="auto" w:fill="FFFFFF"/>
        </w:rPr>
        <w:t xml:space="preserve"> participants more choice and control.</w:t>
      </w:r>
    </w:p>
    <w:p w14:paraId="53E6721C" w14:textId="77777777" w:rsidR="0035400B" w:rsidRDefault="0035400B" w:rsidP="0035400B">
      <w:pPr>
        <w:pStyle w:val="Heading4"/>
      </w:pPr>
      <w:r>
        <w:t>External reviews</w:t>
      </w:r>
    </w:p>
    <w:p w14:paraId="4AB478EF" w14:textId="5C69D9ED" w:rsidR="0035400B" w:rsidRDefault="0035400B" w:rsidP="0035400B">
      <w:r>
        <w:t xml:space="preserve">IERP participants, </w:t>
      </w:r>
      <w:r w:rsidR="008400AD">
        <w:t>representatives</w:t>
      </w:r>
      <w:r>
        <w:t xml:space="preserve"> and DRCO representatives criticised the current AAT process as drawn out, overly legalistic and having excessive evidence requirements. Participants and </w:t>
      </w:r>
      <w:r w:rsidR="008400AD">
        <w:t>representatives</w:t>
      </w:r>
      <w:r>
        <w:t xml:space="preserve"> also noted the overly aggressive approach by external lawyers representing the NDIA. They described the approach as intimidating and bullying, with little empathy and understanding for their position.</w:t>
      </w:r>
    </w:p>
    <w:p w14:paraId="08903DB9" w14:textId="1A131BC4" w:rsidR="0035400B" w:rsidRPr="006D7C17" w:rsidRDefault="0035400B" w:rsidP="0035400B">
      <w:r>
        <w:lastRenderedPageBreak/>
        <w:t xml:space="preserve">Based on participant feedback, the IERP appears to have addressed these concerns by resolving </w:t>
      </w:r>
      <w:r w:rsidR="0006012A">
        <w:t>most</w:t>
      </w:r>
      <w:r>
        <w:t xml:space="preserve"> matters quickly and giving participants the opportunity to discuss their matter with an independent expert in a non-legal environment. Participants highly regarded the timeliness of the process and the opportunity to discuss their matter. This presumably explains why most participants reported that </w:t>
      </w:r>
      <w:r w:rsidRPr="006D7C17">
        <w:t xml:space="preserve">their </w:t>
      </w:r>
      <w:r>
        <w:t>independent expert understood their matter and clearly explained their recommendation. This</w:t>
      </w:r>
      <w:r w:rsidRPr="006D7C17">
        <w:t xml:space="preserve"> highlight</w:t>
      </w:r>
      <w:r>
        <w:t>s</w:t>
      </w:r>
      <w:r w:rsidRPr="006D7C17">
        <w:t xml:space="preserve"> the </w:t>
      </w:r>
      <w:r>
        <w:t>value participants place on being able to discuss their matter in an empathetic environment.</w:t>
      </w:r>
    </w:p>
    <w:p w14:paraId="209C8DF8" w14:textId="54D012D0" w:rsidR="0035400B" w:rsidRDefault="0035400B" w:rsidP="0035400B">
      <w:r>
        <w:t xml:space="preserve">Although, the IERP has only cleared a small percentage of the backlog of AAT cases, it </w:t>
      </w:r>
      <w:r w:rsidRPr="00A760B2">
        <w:t xml:space="preserve">has successfully provided a proof of concept for </w:t>
      </w:r>
      <w:r>
        <w:t xml:space="preserve">a </w:t>
      </w:r>
      <w:r w:rsidRPr="00A760B2">
        <w:t xml:space="preserve">participant-focussed </w:t>
      </w:r>
      <w:r>
        <w:t>ADR process that can resolve</w:t>
      </w:r>
      <w:r w:rsidRPr="00A760B2">
        <w:t xml:space="preserve"> </w:t>
      </w:r>
      <w:r>
        <w:t xml:space="preserve">complex </w:t>
      </w:r>
      <w:r w:rsidRPr="00866779">
        <w:t>disputes</w:t>
      </w:r>
      <w:r>
        <w:t xml:space="preserve">. However, </w:t>
      </w:r>
      <w:r w:rsidRPr="00B665EF">
        <w:t xml:space="preserve">the need for considerable prior work to ensure complete and </w:t>
      </w:r>
      <w:r w:rsidR="001E2C74">
        <w:t>settled</w:t>
      </w:r>
      <w:r w:rsidRPr="00B665EF">
        <w:t xml:space="preserve"> evidence such that matters are ready for review by an independent expert and the likely available pool of experts</w:t>
      </w:r>
      <w:r>
        <w:t xml:space="preserve"> could limit the scalability of such a process.</w:t>
      </w:r>
    </w:p>
    <w:p w14:paraId="32E74B45" w14:textId="77777777" w:rsidR="009F4DBF" w:rsidRDefault="0035400B" w:rsidP="009F4DBF">
      <w:r>
        <w:t xml:space="preserve">Notwithstanding limits on scalability, </w:t>
      </w:r>
      <w:r w:rsidRPr="00946D2F">
        <w:t>it may be</w:t>
      </w:r>
      <w:r>
        <w:t xml:space="preserve"> </w:t>
      </w:r>
      <w:r w:rsidRPr="00946D2F">
        <w:t xml:space="preserve">worth considering </w:t>
      </w:r>
      <w:r w:rsidRPr="00004259">
        <w:t>a voluntary independent dispute resolution process</w:t>
      </w:r>
      <w:r>
        <w:t xml:space="preserve"> </w:t>
      </w:r>
      <w:r w:rsidRPr="00946D2F">
        <w:t>as part of the ongoing dispute resolution toolkit for complex matters</w:t>
      </w:r>
      <w:r>
        <w:t xml:space="preserve">. The principles underpinning the IERP would also enhance broader dispute resolution processes. The Agency has embedded these principles in the </w:t>
      </w:r>
      <w:r w:rsidRPr="00727121">
        <w:t>accelerated case</w:t>
      </w:r>
      <w:r w:rsidR="00A83A28">
        <w:t>load</w:t>
      </w:r>
      <w:r w:rsidRPr="00727121">
        <w:t xml:space="preserve"> review and </w:t>
      </w:r>
      <w:r>
        <w:t>e</w:t>
      </w:r>
      <w:r w:rsidRPr="00727121">
        <w:t xml:space="preserve">arly </w:t>
      </w:r>
      <w:r>
        <w:t>a</w:t>
      </w:r>
      <w:r w:rsidRPr="00727121">
        <w:t xml:space="preserve">ssessment </w:t>
      </w:r>
      <w:r w:rsidR="009F1AE9">
        <w:t>review</w:t>
      </w:r>
      <w:r>
        <w:t xml:space="preserve"> initiatives.</w:t>
      </w:r>
      <w:r w:rsidRPr="00727121">
        <w:t xml:space="preserve"> Through the </w:t>
      </w:r>
      <w:r>
        <w:t>later</w:t>
      </w:r>
      <w:r w:rsidRPr="00727121">
        <w:t xml:space="preserve">, the Agency </w:t>
      </w:r>
      <w:r w:rsidRPr="000C5E05">
        <w:t>contacts participants when they lodge a matter with the AAT to better understand their circumstances and the disputed issues and talk about options to resolve the case quickly.</w:t>
      </w:r>
      <w:r w:rsidR="009F4DBF" w:rsidRPr="000C5E05">
        <w:t xml:space="preserve"> If this fails to resolve the dispute, the Agency could offer participants an independent review of their case before progressing to a hearing in situations where the evidence is settled with no conflict that would require determination at the AAT.</w:t>
      </w:r>
    </w:p>
    <w:p w14:paraId="30FF1991" w14:textId="6E3F54B4" w:rsidR="0035400B" w:rsidRDefault="0035400B" w:rsidP="0035400B"/>
    <w:p w14:paraId="1CED91DF" w14:textId="43B2ED65" w:rsidR="00807EAE" w:rsidRPr="00D87D86" w:rsidRDefault="000638AB" w:rsidP="00041737">
      <w:r w:rsidRPr="00D87D86">
        <w:t xml:space="preserve">While </w:t>
      </w:r>
      <w:r w:rsidR="00CD6CFF" w:rsidRPr="00D87D86">
        <w:t xml:space="preserve">participants are engaged </w:t>
      </w:r>
      <w:r w:rsidR="00D005EE" w:rsidRPr="00D87D86">
        <w:t>in the formal AAT process</w:t>
      </w:r>
      <w:r w:rsidR="00CD6CFF" w:rsidRPr="00D87D86">
        <w:t>,</w:t>
      </w:r>
      <w:r w:rsidR="00D005EE" w:rsidRPr="00D87D86">
        <w:t xml:space="preserve"> the Agency uses </w:t>
      </w:r>
      <w:r w:rsidR="00CD6CFF" w:rsidRPr="00D87D86">
        <w:t xml:space="preserve">multiple </w:t>
      </w:r>
      <w:r w:rsidR="00D005EE" w:rsidRPr="00D87D86">
        <w:t xml:space="preserve">ADR mechanisms </w:t>
      </w:r>
      <w:r w:rsidR="00035889" w:rsidRPr="00D87D86">
        <w:t xml:space="preserve">such as </w:t>
      </w:r>
      <w:r w:rsidR="00BF3DA7" w:rsidRPr="00D87D86">
        <w:t>accelerated</w:t>
      </w:r>
      <w:r w:rsidR="00B40FE4" w:rsidRPr="00D87D86">
        <w:t xml:space="preserve"> case</w:t>
      </w:r>
      <w:r w:rsidR="00A83A28" w:rsidRPr="00D87D86">
        <w:t>load</w:t>
      </w:r>
      <w:r w:rsidR="00B40FE4" w:rsidRPr="00D87D86">
        <w:t xml:space="preserve"> </w:t>
      </w:r>
      <w:r w:rsidR="0035400B" w:rsidRPr="00D87D86">
        <w:t xml:space="preserve">and </w:t>
      </w:r>
      <w:r w:rsidR="00B40FE4" w:rsidRPr="00D87D86">
        <w:t xml:space="preserve">early assessment </w:t>
      </w:r>
      <w:r w:rsidR="00F83EE2">
        <w:t>reviews</w:t>
      </w:r>
      <w:r w:rsidR="00035889" w:rsidRPr="00D87D86">
        <w:t xml:space="preserve">. </w:t>
      </w:r>
      <w:r w:rsidR="00807EAE" w:rsidRPr="00D87D86">
        <w:t xml:space="preserve">Since June 2022, accelerated caseload and early assessment </w:t>
      </w:r>
      <w:r w:rsidR="000C5C71">
        <w:t>reviews</w:t>
      </w:r>
      <w:r w:rsidR="00743031">
        <w:t xml:space="preserve"> conducted within </w:t>
      </w:r>
      <w:r w:rsidR="00EC144D">
        <w:t xml:space="preserve">the Case </w:t>
      </w:r>
      <w:r w:rsidR="00EC144D" w:rsidRPr="000C5E05">
        <w:t>Management Branch and supported by</w:t>
      </w:r>
      <w:r w:rsidR="00053D1E" w:rsidRPr="000C5E05">
        <w:t xml:space="preserve"> the Dispute Resolution and Litigation Branch</w:t>
      </w:r>
      <w:r w:rsidR="00807EAE" w:rsidRPr="000C5E05">
        <w:t xml:space="preserve"> have resolved </w:t>
      </w:r>
      <w:r w:rsidR="00993A70" w:rsidRPr="000C5E05">
        <w:t>6</w:t>
      </w:r>
      <w:r w:rsidR="00E640AE" w:rsidRPr="000C5E05">
        <w:t>,</w:t>
      </w:r>
      <w:r w:rsidR="00993A70" w:rsidRPr="000C5E05">
        <w:t>5</w:t>
      </w:r>
      <w:r w:rsidR="00E640AE" w:rsidRPr="000C5E05">
        <w:t>15</w:t>
      </w:r>
      <w:r w:rsidR="00807EAE" w:rsidRPr="000C5E05">
        <w:t xml:space="preserve"> cases. This demonstrates the efficiency and </w:t>
      </w:r>
      <w:r w:rsidR="00807EAE" w:rsidRPr="000C5E05">
        <w:lastRenderedPageBreak/>
        <w:t>scalability of these initiatives but also the importance of</w:t>
      </w:r>
      <w:r w:rsidR="00807EAE" w:rsidRPr="00D87D86">
        <w:t xml:space="preserve"> giving participants the chance to discuss their matter in a non-legal environment.</w:t>
      </w:r>
    </w:p>
    <w:p w14:paraId="6A29C78E" w14:textId="510AFF51" w:rsidR="0035400B" w:rsidRDefault="00035889" w:rsidP="00041737">
      <w:r w:rsidRPr="00A16A36">
        <w:t>Despite these attemp</w:t>
      </w:r>
      <w:r w:rsidR="00CD6CFF" w:rsidRPr="00A16A36">
        <w:t xml:space="preserve">ts </w:t>
      </w:r>
      <w:r w:rsidR="004439C9" w:rsidRPr="00A16A36">
        <w:t>at resolution,</w:t>
      </w:r>
      <w:r w:rsidR="00BF3DA7" w:rsidRPr="00A16A36">
        <w:t xml:space="preserve"> </w:t>
      </w:r>
      <w:r w:rsidR="0035400B" w:rsidRPr="00A16A36">
        <w:t xml:space="preserve">some </w:t>
      </w:r>
      <w:r w:rsidR="00BF3DA7" w:rsidRPr="00A16A36">
        <w:t xml:space="preserve">cases </w:t>
      </w:r>
      <w:r w:rsidR="0035400B" w:rsidRPr="00A16A36">
        <w:t xml:space="preserve">will </w:t>
      </w:r>
      <w:r w:rsidR="001A7638" w:rsidRPr="00A16A36">
        <w:t>need</w:t>
      </w:r>
      <w:r w:rsidR="0035400B" w:rsidRPr="00A16A36">
        <w:t xml:space="preserve"> to </w:t>
      </w:r>
      <w:r w:rsidR="00B21731" w:rsidRPr="00A16A36">
        <w:t>continue in the</w:t>
      </w:r>
      <w:r w:rsidR="0035400B" w:rsidRPr="00A16A36">
        <w:t xml:space="preserve"> formal AAT process.</w:t>
      </w:r>
      <w:r w:rsidR="0035400B">
        <w:t xml:space="preserve"> Based on the evaluation findings</w:t>
      </w:r>
      <w:r w:rsidR="00BB7CF9">
        <w:t>,</w:t>
      </w:r>
      <w:r w:rsidR="0035400B">
        <w:t xml:space="preserve"> </w:t>
      </w:r>
      <w:r w:rsidR="002E1130">
        <w:t>minimising</w:t>
      </w:r>
      <w:r w:rsidR="0035400B">
        <w:t xml:space="preserve"> the use of external lawyers and </w:t>
      </w:r>
      <w:r w:rsidR="003C0980">
        <w:t>ensuring the</w:t>
      </w:r>
      <w:r w:rsidR="0077788F">
        <w:t xml:space="preserve">ir adherence to model litigant </w:t>
      </w:r>
      <w:r w:rsidR="0079056A">
        <w:t>obligations</w:t>
      </w:r>
      <w:r w:rsidR="0035400B">
        <w:t xml:space="preserve"> would improve participants’ experience of this more formal process. The findings also support giving participants the chance to discuss their matter with someone from the Agency with expertise in their disability early in the formal process. </w:t>
      </w:r>
    </w:p>
    <w:p w14:paraId="1729066A" w14:textId="77777777" w:rsidR="00CC105E" w:rsidRDefault="00CC105E" w:rsidP="00CC105E">
      <w:r w:rsidRPr="000C5E05">
        <w:t>For cases that require a formal administrative review process, findings indicate that minimising the use of external lawyers and ensuring their adherence to model litigant obligations would improve participants’ experience. The findings also support giving participants the chance to discuss their matter with someone with expertise in their disability early in the process. Government should incorporate these considerations in the design of the new administrative review process that will replace the AAT.</w:t>
      </w:r>
    </w:p>
    <w:p w14:paraId="1E329FCC" w14:textId="77777777" w:rsidR="00CC105E" w:rsidRDefault="00CC105E" w:rsidP="00041737">
      <w:pPr>
        <w:rPr>
          <w:rStyle w:val="normaltextrun"/>
          <w:rFonts w:cs="Arial"/>
          <w:color w:val="000000"/>
          <w:szCs w:val="22"/>
          <w:shd w:val="clear" w:color="auto" w:fill="FFFFFF"/>
        </w:rPr>
      </w:pPr>
    </w:p>
    <w:p w14:paraId="2CEC3732" w14:textId="61D8EF95" w:rsidR="00BE035D" w:rsidRDefault="00F25F0B" w:rsidP="00F84AEE">
      <w:pPr>
        <w:pStyle w:val="Heading2"/>
        <w:numPr>
          <w:ilvl w:val="0"/>
          <w:numId w:val="0"/>
        </w:numPr>
        <w:spacing w:line="240" w:lineRule="auto"/>
      </w:pPr>
      <w:bookmarkStart w:id="145" w:name="_Toc142918616"/>
      <w:r>
        <w:lastRenderedPageBreak/>
        <w:t>Appendix A</w:t>
      </w:r>
      <w:r w:rsidR="00E9184C">
        <w:t>:</w:t>
      </w:r>
      <w:r>
        <w:t xml:space="preserve"> </w:t>
      </w:r>
      <w:r w:rsidR="00464D94">
        <w:t>Oversight Committee me</w:t>
      </w:r>
      <w:r w:rsidR="008F3E4D">
        <w:t>mbers</w:t>
      </w:r>
      <w:bookmarkEnd w:id="145"/>
    </w:p>
    <w:p w14:paraId="35297716" w14:textId="0A1EF383" w:rsidR="004A3F95" w:rsidRDefault="00D84438" w:rsidP="005450DC">
      <w:r w:rsidRPr="00D84438">
        <w:t>The Oversight Committee is chaired by Mr Graeme Innes AM</w:t>
      </w:r>
      <w:r w:rsidR="000B56B0">
        <w:t xml:space="preserve"> and includes both independent and government agency members.</w:t>
      </w:r>
      <w:r w:rsidR="00880F62">
        <w:t xml:space="preserve"> </w:t>
      </w:r>
      <w:r w:rsidR="002051E0">
        <w:t xml:space="preserve">A list of each committee member and their affiliation </w:t>
      </w:r>
      <w:r w:rsidR="00F730F2">
        <w:t>is provided below.</w:t>
      </w:r>
    </w:p>
    <w:p w14:paraId="7A80F555" w14:textId="4C4A7E92" w:rsidR="00D84438" w:rsidRPr="00D84438" w:rsidRDefault="004A3F95" w:rsidP="008329AE">
      <w:pPr>
        <w:pStyle w:val="H3Appendix"/>
      </w:pPr>
      <w:r w:rsidRPr="004A3F95">
        <w:t>I</w:t>
      </w:r>
      <w:r w:rsidR="00D84438" w:rsidRPr="00D84438">
        <w:t>ndependent members:</w:t>
      </w:r>
    </w:p>
    <w:p w14:paraId="4050A5A8" w14:textId="77777777" w:rsidR="00D84438" w:rsidRPr="00D84438" w:rsidRDefault="00D84438" w:rsidP="004C2891">
      <w:pPr>
        <w:spacing w:before="0" w:after="0"/>
      </w:pPr>
      <w:r w:rsidRPr="00D84438">
        <w:t>Alan Blackwood, Young People in Nursing Homes National Alliance</w:t>
      </w:r>
    </w:p>
    <w:p w14:paraId="70EFE789" w14:textId="77777777" w:rsidR="00D84438" w:rsidRPr="00D84438" w:rsidRDefault="00D84438" w:rsidP="004C2891">
      <w:pPr>
        <w:spacing w:before="0" w:after="0"/>
      </w:pPr>
      <w:r w:rsidRPr="00D84438">
        <w:t>Jeff Smith, Disability Advocacy Network Australia</w:t>
      </w:r>
    </w:p>
    <w:p w14:paraId="3E9253E1" w14:textId="77777777" w:rsidR="00D84438" w:rsidRPr="00D84438" w:rsidRDefault="00D84438" w:rsidP="004C2891">
      <w:pPr>
        <w:spacing w:before="0" w:after="0"/>
      </w:pPr>
      <w:r w:rsidRPr="00D84438">
        <w:t>Miles Browne, Victoria Legal Aid </w:t>
      </w:r>
    </w:p>
    <w:p w14:paraId="0EA8A1CD" w14:textId="77777777" w:rsidR="00D84438" w:rsidRPr="00D84438" w:rsidRDefault="00D84438" w:rsidP="004C2891">
      <w:pPr>
        <w:spacing w:before="0" w:after="0"/>
      </w:pPr>
      <w:r w:rsidRPr="00D84438">
        <w:t>Sam De Lyall, Disability Advocacy NSW</w:t>
      </w:r>
    </w:p>
    <w:p w14:paraId="7653FEC0" w14:textId="77777777" w:rsidR="00D84438" w:rsidRPr="00D84438" w:rsidRDefault="00D84438" w:rsidP="004C2891">
      <w:pPr>
        <w:spacing w:before="0" w:after="0"/>
      </w:pPr>
      <w:r w:rsidRPr="00D84438">
        <w:t>Katharine Annear, Member with lived experience with disability and in the AAT process </w:t>
      </w:r>
    </w:p>
    <w:p w14:paraId="0F60FE52" w14:textId="77777777" w:rsidR="00D84438" w:rsidRPr="00D84438" w:rsidRDefault="00D84438" w:rsidP="004C2891">
      <w:pPr>
        <w:spacing w:before="0" w:after="0"/>
      </w:pPr>
      <w:r w:rsidRPr="00D84438">
        <w:t>Dariane McLean, Member with lived experience as a parent of a person with a disability and in the AAT process</w:t>
      </w:r>
    </w:p>
    <w:p w14:paraId="170938ED" w14:textId="77777777" w:rsidR="00D84438" w:rsidRPr="00D84438" w:rsidRDefault="00D84438" w:rsidP="004C2891">
      <w:pPr>
        <w:spacing w:before="0" w:after="0"/>
      </w:pPr>
      <w:r w:rsidRPr="00D84438">
        <w:t>Dr George Taleporos, Member of the Independent Advisory Council</w:t>
      </w:r>
    </w:p>
    <w:p w14:paraId="57D9AB39" w14:textId="77777777" w:rsidR="00D84438" w:rsidRPr="00D84438" w:rsidRDefault="00D84438" w:rsidP="004C2891">
      <w:pPr>
        <w:spacing w:before="0" w:after="0"/>
      </w:pPr>
      <w:r w:rsidRPr="00D84438">
        <w:t>Tricia Malowney, Independent Advocate</w:t>
      </w:r>
    </w:p>
    <w:p w14:paraId="548A7C5A" w14:textId="364319F6" w:rsidR="00D84438" w:rsidRPr="00D84438" w:rsidRDefault="00547642" w:rsidP="008329AE">
      <w:pPr>
        <w:pStyle w:val="H3Appendix"/>
      </w:pPr>
      <w:r w:rsidRPr="00547642">
        <w:t>G</w:t>
      </w:r>
      <w:r w:rsidR="00D84438" w:rsidRPr="00D84438">
        <w:t>overnment agenc</w:t>
      </w:r>
      <w:r w:rsidRPr="00547642">
        <w:t>y members</w:t>
      </w:r>
      <w:r w:rsidR="00D84438" w:rsidRPr="00D84438">
        <w:t>: </w:t>
      </w:r>
    </w:p>
    <w:p w14:paraId="5FD16FF2" w14:textId="77777777" w:rsidR="00D84438" w:rsidRPr="00D84438" w:rsidRDefault="00D84438" w:rsidP="004C2891">
      <w:pPr>
        <w:spacing w:before="0" w:after="0"/>
      </w:pPr>
      <w:r w:rsidRPr="00D84438">
        <w:t>Matthew Swainson (NDIA)</w:t>
      </w:r>
    </w:p>
    <w:p w14:paraId="00C07C4C" w14:textId="77777777" w:rsidR="00D84438" w:rsidRPr="00D84438" w:rsidRDefault="00D84438" w:rsidP="004C2891">
      <w:pPr>
        <w:spacing w:before="0" w:after="0"/>
      </w:pPr>
      <w:r w:rsidRPr="00D84438">
        <w:t>Andrew Ford (NDIA)</w:t>
      </w:r>
    </w:p>
    <w:p w14:paraId="736D19DE" w14:textId="77777777" w:rsidR="00D84438" w:rsidRPr="00D84438" w:rsidRDefault="00D84438" w:rsidP="004C2891">
      <w:pPr>
        <w:spacing w:before="0" w:after="0"/>
      </w:pPr>
      <w:r w:rsidRPr="00D84438">
        <w:t>Peter Broadhead (DSS).</w:t>
      </w:r>
    </w:p>
    <w:p w14:paraId="32BDDD08" w14:textId="77777777" w:rsidR="00D84438" w:rsidRPr="00D84438" w:rsidRDefault="00D84438" w:rsidP="00D84438"/>
    <w:p w14:paraId="4928606C" w14:textId="5B877BCA" w:rsidR="000F60FA" w:rsidRDefault="00A131AF" w:rsidP="00F25F0B">
      <w:pPr>
        <w:pStyle w:val="Heading2"/>
        <w:numPr>
          <w:ilvl w:val="0"/>
          <w:numId w:val="0"/>
        </w:numPr>
        <w:ind w:left="1134" w:hanging="1134"/>
      </w:pPr>
      <w:bookmarkStart w:id="146" w:name="_Toc142918617"/>
      <w:r>
        <w:lastRenderedPageBreak/>
        <w:t>Appen</w:t>
      </w:r>
      <w:r w:rsidR="00AC2EAD">
        <w:t xml:space="preserve">dix B: </w:t>
      </w:r>
      <w:r w:rsidR="000F60FA">
        <w:t>Stakeholders interviewed</w:t>
      </w:r>
      <w:bookmarkEnd w:id="139"/>
      <w:bookmarkEnd w:id="146"/>
    </w:p>
    <w:p w14:paraId="1740FEEE" w14:textId="38A73E6A" w:rsidR="00F671A8" w:rsidRPr="00F671A8" w:rsidRDefault="00F671A8" w:rsidP="00F671A8">
      <w:r>
        <w:t xml:space="preserve">The list below outlines the organisations </w:t>
      </w:r>
      <w:r w:rsidR="00145660">
        <w:t>represented by stakeholders interviewed as part of the evaluation.</w:t>
      </w:r>
      <w:r w:rsidR="00336811">
        <w:t xml:space="preserve"> </w:t>
      </w:r>
      <w:r w:rsidR="002434D6">
        <w:t>Thirteen</w:t>
      </w:r>
      <w:r w:rsidR="00336811">
        <w:t xml:space="preserve"> independent experts were also interviewed. Their names are not listed to preserve their confidentiality.</w:t>
      </w:r>
    </w:p>
    <w:p w14:paraId="56ECFF71" w14:textId="18B6DEE8" w:rsidR="007F450F" w:rsidRPr="00347D6C" w:rsidRDefault="00774837" w:rsidP="008329AE">
      <w:pPr>
        <w:pStyle w:val="H3Appendix"/>
      </w:pPr>
      <w:r w:rsidRPr="00347D6C">
        <w:t>NDIA internal stakeholders</w:t>
      </w:r>
      <w:r w:rsidR="00404984">
        <w:t>:</w:t>
      </w:r>
    </w:p>
    <w:p w14:paraId="058486E6" w14:textId="16A88F17" w:rsidR="00774837" w:rsidRDefault="00016604" w:rsidP="00A73F32">
      <w:pPr>
        <w:spacing w:before="0" w:after="0"/>
      </w:pPr>
      <w:r>
        <w:t>I</w:t>
      </w:r>
      <w:r w:rsidR="00B1522E">
        <w:t>ERP</w:t>
      </w:r>
      <w:r>
        <w:t xml:space="preserve"> team, </w:t>
      </w:r>
      <w:r w:rsidR="00815200">
        <w:t xml:space="preserve">Alternative </w:t>
      </w:r>
      <w:r w:rsidR="0068749E">
        <w:t>Chief Counsel Division</w:t>
      </w:r>
    </w:p>
    <w:p w14:paraId="713992BA" w14:textId="36C9EB9B" w:rsidR="00B94C9B" w:rsidRDefault="00726E06" w:rsidP="00A73F32">
      <w:pPr>
        <w:spacing w:before="0" w:after="0"/>
      </w:pPr>
      <w:r>
        <w:t xml:space="preserve">Internal Review team, </w:t>
      </w:r>
      <w:r w:rsidR="00A001AD">
        <w:t xml:space="preserve">Internal </w:t>
      </w:r>
      <w:r w:rsidR="00F50D28">
        <w:t>Reviews/Complaints Branch</w:t>
      </w:r>
    </w:p>
    <w:p w14:paraId="581023EE" w14:textId="251D2056" w:rsidR="006D2680" w:rsidRDefault="00ED2B33" w:rsidP="00A73F32">
      <w:pPr>
        <w:spacing w:before="0" w:after="0"/>
      </w:pPr>
      <w:r>
        <w:t>H</w:t>
      </w:r>
      <w:r w:rsidR="0018156E">
        <w:t xml:space="preserve">igher Delegation Approvals </w:t>
      </w:r>
      <w:r w:rsidR="00B1522E">
        <w:t>&amp;</w:t>
      </w:r>
      <w:r w:rsidR="0018156E">
        <w:t xml:space="preserve"> Mainstream Interface</w:t>
      </w:r>
      <w:r>
        <w:t xml:space="preserve">, </w:t>
      </w:r>
      <w:r w:rsidR="006D2680">
        <w:t xml:space="preserve">Operations </w:t>
      </w:r>
      <w:r w:rsidR="00B1522E">
        <w:t>&amp;</w:t>
      </w:r>
      <w:r w:rsidR="006D2680">
        <w:t xml:space="preserve"> Housing Support Branch</w:t>
      </w:r>
    </w:p>
    <w:p w14:paraId="11254106" w14:textId="1AD483A3" w:rsidR="00131223" w:rsidRDefault="00131223" w:rsidP="00A73F32">
      <w:pPr>
        <w:spacing w:before="0" w:after="0"/>
      </w:pPr>
      <w:r>
        <w:t>Technical Advisory Team Services, Technical Advisory Branch</w:t>
      </w:r>
    </w:p>
    <w:p w14:paraId="0EE07B0E" w14:textId="03FFC19F" w:rsidR="009043BE" w:rsidRPr="00804041" w:rsidRDefault="00F671A8" w:rsidP="008329AE">
      <w:pPr>
        <w:pStyle w:val="H3Appendix"/>
      </w:pPr>
      <w:r>
        <w:t xml:space="preserve">Participant AAT </w:t>
      </w:r>
      <w:r w:rsidR="008400AD">
        <w:t>Representatives</w:t>
      </w:r>
      <w:r w:rsidR="00404984">
        <w:t>:</w:t>
      </w:r>
    </w:p>
    <w:p w14:paraId="7E0D4054" w14:textId="1863977F" w:rsidR="00493402" w:rsidRDefault="00493402" w:rsidP="00601EBC">
      <w:pPr>
        <w:spacing w:before="0" w:after="0"/>
      </w:pPr>
      <w:r>
        <w:t>A</w:t>
      </w:r>
      <w:r w:rsidR="0067100E">
        <w:t>ction for More Independence &amp; Dignity in Accommodation (A</w:t>
      </w:r>
      <w:r>
        <w:t>MIDA</w:t>
      </w:r>
      <w:r w:rsidR="0067100E">
        <w:t>)</w:t>
      </w:r>
    </w:p>
    <w:p w14:paraId="040CE1BA" w14:textId="77777777" w:rsidR="00EB265D" w:rsidRDefault="00EB265D" w:rsidP="00601EBC">
      <w:pPr>
        <w:spacing w:before="0" w:after="0"/>
      </w:pPr>
      <w:r>
        <w:t>Disability Advocacy</w:t>
      </w:r>
    </w:p>
    <w:p w14:paraId="7E0F7616" w14:textId="77777777" w:rsidR="00601EBC" w:rsidRDefault="00601EBC" w:rsidP="00601EBC">
      <w:pPr>
        <w:spacing w:before="0" w:after="0"/>
      </w:pPr>
      <w:r>
        <w:t>Gilbert &amp; Tobin Lawyers</w:t>
      </w:r>
    </w:p>
    <w:p w14:paraId="21CC00DC" w14:textId="7D6A9CD4" w:rsidR="00EB265D" w:rsidRDefault="00493402" w:rsidP="00601EBC">
      <w:pPr>
        <w:spacing w:before="0" w:after="0"/>
      </w:pPr>
      <w:r>
        <w:t>Kin Advocacy</w:t>
      </w:r>
    </w:p>
    <w:p w14:paraId="1784231D" w14:textId="721EC72D" w:rsidR="00804041" w:rsidRDefault="00653B46" w:rsidP="00601EBC">
      <w:pPr>
        <w:spacing w:before="0" w:after="0"/>
      </w:pPr>
      <w:r>
        <w:t xml:space="preserve">Legal </w:t>
      </w:r>
      <w:r w:rsidR="00C522B8">
        <w:t>Aid NSW</w:t>
      </w:r>
    </w:p>
    <w:p w14:paraId="632843B8" w14:textId="1A738879" w:rsidR="00072B3A" w:rsidRDefault="00072B3A" w:rsidP="00601EBC">
      <w:pPr>
        <w:spacing w:before="0" w:after="0"/>
      </w:pPr>
      <w:r>
        <w:t>Legal Aid Victoria</w:t>
      </w:r>
    </w:p>
    <w:p w14:paraId="06028320" w14:textId="77777777" w:rsidR="00601EBC" w:rsidRDefault="00601EBC" w:rsidP="00601EBC">
      <w:pPr>
        <w:spacing w:before="0" w:after="0"/>
      </w:pPr>
      <w:r>
        <w:t>NSW Disability Advocacy</w:t>
      </w:r>
    </w:p>
    <w:p w14:paraId="6AE8DCAA" w14:textId="282E5FC6" w:rsidR="001268AD" w:rsidRDefault="00935C13" w:rsidP="00601EBC">
      <w:pPr>
        <w:spacing w:before="0" w:after="0"/>
      </w:pPr>
      <w:r>
        <w:t>Public Interest Advocacy Centre (</w:t>
      </w:r>
      <w:r w:rsidR="001268AD">
        <w:t>PIAC</w:t>
      </w:r>
      <w:r>
        <w:t>)</w:t>
      </w:r>
    </w:p>
    <w:p w14:paraId="75B34A62" w14:textId="6192B1F9" w:rsidR="000368B6" w:rsidRDefault="000368B6" w:rsidP="00601EBC">
      <w:pPr>
        <w:spacing w:before="0" w:after="0"/>
      </w:pPr>
      <w:r>
        <w:t>R</w:t>
      </w:r>
      <w:r w:rsidR="00E535BE">
        <w:t>ights Information and Advocacy Centre (R</w:t>
      </w:r>
      <w:r>
        <w:t>IAC</w:t>
      </w:r>
      <w:r w:rsidR="009B585B">
        <w:t>)</w:t>
      </w:r>
    </w:p>
    <w:p w14:paraId="60086D41" w14:textId="77777777" w:rsidR="00EB265D" w:rsidRDefault="00EB265D" w:rsidP="00601EBC">
      <w:pPr>
        <w:spacing w:before="0" w:after="0"/>
      </w:pPr>
      <w:r>
        <w:t>Side by Side Advocacy</w:t>
      </w:r>
    </w:p>
    <w:p w14:paraId="09B0D245" w14:textId="4EC9B51A" w:rsidR="00493402" w:rsidRPr="00774837" w:rsidRDefault="00493402" w:rsidP="00601EBC">
      <w:pPr>
        <w:spacing w:before="0" w:after="0"/>
      </w:pPr>
      <w:r>
        <w:t>Villamanta</w:t>
      </w:r>
      <w:r w:rsidR="009B585B">
        <w:t xml:space="preserve"> Disability Rights Legal Service</w:t>
      </w:r>
    </w:p>
    <w:p w14:paraId="6BC24911" w14:textId="41EF611F" w:rsidR="00F671A8" w:rsidRPr="00046B93" w:rsidRDefault="00F671A8" w:rsidP="008329AE">
      <w:pPr>
        <w:pStyle w:val="H3Appendix"/>
      </w:pPr>
      <w:r w:rsidRPr="00046B93">
        <w:t>D</w:t>
      </w:r>
      <w:r w:rsidR="00046B93">
        <w:t xml:space="preserve">isability </w:t>
      </w:r>
      <w:r w:rsidR="00347D6C">
        <w:t>Representative and Carer Organisations</w:t>
      </w:r>
      <w:r w:rsidR="00404984">
        <w:t>:</w:t>
      </w:r>
    </w:p>
    <w:p w14:paraId="177A0159" w14:textId="77777777" w:rsidR="00F671A8" w:rsidRPr="00D315B1" w:rsidRDefault="00F671A8" w:rsidP="00F671A8">
      <w:pPr>
        <w:spacing w:before="0" w:after="0"/>
      </w:pPr>
      <w:r w:rsidRPr="00D315B1">
        <w:t>Australian Autism Alliance</w:t>
      </w:r>
    </w:p>
    <w:p w14:paraId="3E9263A9" w14:textId="48E869BF" w:rsidR="00F671A8" w:rsidRPr="00D315B1" w:rsidRDefault="00F671A8" w:rsidP="00F671A8">
      <w:pPr>
        <w:spacing w:before="0" w:after="0"/>
      </w:pPr>
      <w:r w:rsidRPr="00D315B1">
        <w:t>Autism Aspergers Advocacy Australia</w:t>
      </w:r>
    </w:p>
    <w:p w14:paraId="11062A4E" w14:textId="77777777" w:rsidR="00F671A8" w:rsidRPr="00D315B1" w:rsidRDefault="00F671A8" w:rsidP="00F671A8">
      <w:pPr>
        <w:spacing w:before="0" w:after="0"/>
      </w:pPr>
      <w:r w:rsidRPr="00D315B1">
        <w:t>Blind Citizens Australia</w:t>
      </w:r>
    </w:p>
    <w:p w14:paraId="3491B8FF" w14:textId="77777777" w:rsidR="00F671A8" w:rsidRPr="00D315B1" w:rsidRDefault="00F671A8" w:rsidP="00F671A8">
      <w:pPr>
        <w:spacing w:before="0" w:after="0"/>
      </w:pPr>
      <w:r w:rsidRPr="00D315B1">
        <w:t>Brain Injury Australia</w:t>
      </w:r>
    </w:p>
    <w:p w14:paraId="5572CD20" w14:textId="77777777" w:rsidR="00F671A8" w:rsidRPr="00D315B1" w:rsidRDefault="00F671A8" w:rsidP="00F671A8">
      <w:pPr>
        <w:spacing w:before="0" w:after="0"/>
      </w:pPr>
      <w:r w:rsidRPr="00D315B1">
        <w:t>Carers Australia</w:t>
      </w:r>
    </w:p>
    <w:p w14:paraId="30343133" w14:textId="77777777" w:rsidR="00F671A8" w:rsidRPr="00D315B1" w:rsidRDefault="00F671A8" w:rsidP="00F671A8">
      <w:pPr>
        <w:spacing w:before="0" w:after="0"/>
      </w:pPr>
      <w:r w:rsidRPr="00D315B1">
        <w:t>Deaf Australia</w:t>
      </w:r>
    </w:p>
    <w:p w14:paraId="67CABBF9" w14:textId="77777777" w:rsidR="00F671A8" w:rsidRPr="00D315B1" w:rsidRDefault="00F671A8" w:rsidP="00F671A8">
      <w:pPr>
        <w:spacing w:before="0" w:after="0"/>
      </w:pPr>
      <w:r w:rsidRPr="00D315B1">
        <w:lastRenderedPageBreak/>
        <w:t>National Ethnic Disability Alliance</w:t>
      </w:r>
    </w:p>
    <w:p w14:paraId="679A1E9D" w14:textId="77777777" w:rsidR="00F671A8" w:rsidRDefault="00F671A8" w:rsidP="00F671A8">
      <w:pPr>
        <w:spacing w:before="0" w:after="0"/>
      </w:pPr>
      <w:r w:rsidRPr="00D315B1">
        <w:t>Physical Disability Australia</w:t>
      </w:r>
    </w:p>
    <w:p w14:paraId="7C2C047D" w14:textId="477E7022" w:rsidR="006D60B7" w:rsidRPr="00046B93" w:rsidRDefault="006D60B7" w:rsidP="008329AE">
      <w:pPr>
        <w:pStyle w:val="H3Appendix"/>
      </w:pPr>
      <w:r w:rsidRPr="00046B93">
        <w:t>Independent Expert Review Advisory Service (IERAS) National Legal Aid</w:t>
      </w:r>
    </w:p>
    <w:p w14:paraId="51EB3226" w14:textId="77777777" w:rsidR="00046B93" w:rsidRPr="00046B93" w:rsidRDefault="00046B93" w:rsidP="00046B93"/>
    <w:p w14:paraId="3E208B99" w14:textId="010A62A4" w:rsidR="000F60FA" w:rsidRDefault="00E9184C" w:rsidP="00E9184C">
      <w:pPr>
        <w:pStyle w:val="Heading2"/>
        <w:numPr>
          <w:ilvl w:val="0"/>
          <w:numId w:val="0"/>
        </w:numPr>
        <w:ind w:left="1134" w:hanging="1134"/>
      </w:pPr>
      <w:bookmarkStart w:id="147" w:name="_Toc135394737"/>
      <w:bookmarkStart w:id="148" w:name="_Toc142918618"/>
      <w:r>
        <w:lastRenderedPageBreak/>
        <w:t xml:space="preserve">Appendix </w:t>
      </w:r>
      <w:r w:rsidR="00715BCC">
        <w:t>C</w:t>
      </w:r>
      <w:r>
        <w:t xml:space="preserve">: </w:t>
      </w:r>
      <w:r w:rsidR="000F60FA">
        <w:t>Online survey respondents</w:t>
      </w:r>
      <w:bookmarkEnd w:id="147"/>
      <w:bookmarkEnd w:id="148"/>
    </w:p>
    <w:p w14:paraId="01983A23" w14:textId="433C1C4F" w:rsidR="000F60FA" w:rsidRPr="00B94965" w:rsidRDefault="000F60FA" w:rsidP="008329AE">
      <w:pPr>
        <w:pStyle w:val="H3Appendix"/>
        <w:rPr>
          <w:rStyle w:val="normaltextrun"/>
          <w:rFonts w:asciiTheme="minorHAnsi" w:eastAsiaTheme="majorEastAsia" w:hAnsiTheme="minorHAnsi" w:cstheme="minorHAnsi"/>
          <w:sz w:val="22"/>
          <w:szCs w:val="22"/>
        </w:rPr>
      </w:pPr>
      <w:bookmarkStart w:id="149" w:name="_Toc140146259"/>
      <w:bookmarkStart w:id="150" w:name="_Toc140148928"/>
      <w:bookmarkStart w:id="151" w:name="_Toc140157512"/>
      <w:bookmarkStart w:id="152" w:name="_Toc142483290"/>
      <w:bookmarkStart w:id="153" w:name="_Toc142918619"/>
      <w:r w:rsidRPr="00B94965">
        <w:rPr>
          <w:rStyle w:val="normaltextrun"/>
          <w:rFonts w:asciiTheme="minorHAnsi" w:eastAsiaTheme="majorEastAsia" w:hAnsiTheme="minorHAnsi" w:cstheme="minorHAnsi"/>
          <w:sz w:val="22"/>
          <w:szCs w:val="22"/>
        </w:rPr>
        <w:t>Survey data summary</w:t>
      </w:r>
      <w:bookmarkEnd w:id="149"/>
      <w:bookmarkEnd w:id="150"/>
      <w:bookmarkEnd w:id="151"/>
      <w:bookmarkEnd w:id="152"/>
      <w:bookmarkEnd w:id="153"/>
    </w:p>
    <w:p w14:paraId="47FB041E" w14:textId="5B3A07AB" w:rsidR="000F60FA" w:rsidRDefault="00055860" w:rsidP="00CE7438">
      <w:pPr>
        <w:rPr>
          <w:rStyle w:val="normaltextrun"/>
          <w:rFonts w:asciiTheme="minorHAnsi" w:eastAsiaTheme="majorEastAsia" w:hAnsiTheme="minorHAnsi" w:cstheme="minorHAnsi"/>
        </w:rPr>
      </w:pPr>
      <w:r>
        <w:rPr>
          <w:rStyle w:val="normaltextrun"/>
          <w:rFonts w:asciiTheme="minorHAnsi" w:eastAsiaTheme="majorEastAsia" w:hAnsiTheme="minorHAnsi" w:cstheme="minorHAnsi"/>
        </w:rPr>
        <w:fldChar w:fldCharType="begin"/>
      </w:r>
      <w:r>
        <w:rPr>
          <w:rStyle w:val="normaltextrun"/>
          <w:rFonts w:asciiTheme="minorHAnsi" w:eastAsiaTheme="majorEastAsia" w:hAnsiTheme="minorHAnsi" w:cstheme="minorHAnsi"/>
        </w:rPr>
        <w:instrText xml:space="preserve"> REF _Ref136208620 \h </w:instrText>
      </w:r>
      <w:r>
        <w:rPr>
          <w:rStyle w:val="normaltextrun"/>
          <w:rFonts w:asciiTheme="minorHAnsi" w:eastAsiaTheme="majorEastAsia" w:hAnsiTheme="minorHAnsi" w:cstheme="minorHAnsi"/>
        </w:rPr>
      </w:r>
      <w:r>
        <w:rPr>
          <w:rStyle w:val="normaltextrun"/>
          <w:rFonts w:asciiTheme="minorHAnsi" w:eastAsiaTheme="majorEastAsia" w:hAnsiTheme="minorHAnsi" w:cstheme="minorHAnsi"/>
        </w:rPr>
        <w:fldChar w:fldCharType="separate"/>
      </w:r>
      <w:r w:rsidR="000F1876" w:rsidRPr="00EB3D5D">
        <w:t xml:space="preserve">Table </w:t>
      </w:r>
      <w:r w:rsidR="000F1876">
        <w:rPr>
          <w:noProof/>
        </w:rPr>
        <w:t>10</w:t>
      </w:r>
      <w:r>
        <w:rPr>
          <w:rStyle w:val="normaltextrun"/>
          <w:rFonts w:asciiTheme="minorHAnsi" w:eastAsiaTheme="majorEastAsia" w:hAnsiTheme="minorHAnsi" w:cstheme="minorHAnsi"/>
        </w:rPr>
        <w:fldChar w:fldCharType="end"/>
      </w:r>
      <w:r>
        <w:rPr>
          <w:rStyle w:val="normaltextrun"/>
          <w:rFonts w:asciiTheme="minorHAnsi" w:eastAsiaTheme="majorEastAsia" w:hAnsiTheme="minorHAnsi" w:cstheme="minorHAnsi"/>
        </w:rPr>
        <w:t xml:space="preserve"> </w:t>
      </w:r>
      <w:r w:rsidR="000F60FA">
        <w:rPr>
          <w:rStyle w:val="normaltextrun"/>
          <w:rFonts w:asciiTheme="minorHAnsi" w:eastAsiaTheme="majorEastAsia" w:hAnsiTheme="minorHAnsi" w:cstheme="minorHAnsi"/>
        </w:rPr>
        <w:t>below</w:t>
      </w:r>
      <w:r w:rsidR="000F60FA" w:rsidRPr="00165716">
        <w:rPr>
          <w:rStyle w:val="normaltextrun"/>
          <w:rFonts w:asciiTheme="minorHAnsi" w:eastAsiaTheme="majorEastAsia" w:hAnsiTheme="minorHAnsi" w:cstheme="minorHAnsi"/>
        </w:rPr>
        <w:t xml:space="preserve"> shows the distribution of disabilities recorded by participants who responded to the IER</w:t>
      </w:r>
      <w:r w:rsidR="00577FB9">
        <w:rPr>
          <w:rStyle w:val="normaltextrun"/>
          <w:rFonts w:asciiTheme="minorHAnsi" w:eastAsiaTheme="majorEastAsia" w:hAnsiTheme="minorHAnsi" w:cstheme="minorHAnsi"/>
        </w:rPr>
        <w:t>P</w:t>
      </w:r>
      <w:r w:rsidR="000F60FA" w:rsidRPr="00165716">
        <w:rPr>
          <w:rStyle w:val="normaltextrun"/>
          <w:rFonts w:asciiTheme="minorHAnsi" w:eastAsiaTheme="majorEastAsia" w:hAnsiTheme="minorHAnsi" w:cstheme="minorHAnsi"/>
        </w:rPr>
        <w:t xml:space="preserve"> survey. The most common disability recorded by participants was </w:t>
      </w:r>
      <w:r w:rsidR="00650F86">
        <w:rPr>
          <w:rStyle w:val="normaltextrun"/>
          <w:rFonts w:asciiTheme="minorHAnsi" w:eastAsiaTheme="majorEastAsia" w:hAnsiTheme="minorHAnsi" w:cstheme="minorHAnsi"/>
        </w:rPr>
        <w:t>a</w:t>
      </w:r>
      <w:r w:rsidR="000F60FA" w:rsidRPr="00165716">
        <w:rPr>
          <w:rStyle w:val="normaltextrun"/>
          <w:rFonts w:asciiTheme="minorHAnsi" w:eastAsiaTheme="majorEastAsia" w:hAnsiTheme="minorHAnsi" w:cstheme="minorHAnsi"/>
        </w:rPr>
        <w:t>utism (17%) followed by intellectual disability, psychosocial disability</w:t>
      </w:r>
      <w:r w:rsidR="009C30B3">
        <w:rPr>
          <w:rStyle w:val="normaltextrun"/>
          <w:rFonts w:asciiTheme="minorHAnsi" w:eastAsiaTheme="majorEastAsia" w:hAnsiTheme="minorHAnsi" w:cstheme="minorHAnsi"/>
        </w:rPr>
        <w:t>,</w:t>
      </w:r>
      <w:r w:rsidR="000F60FA" w:rsidRPr="00165716">
        <w:rPr>
          <w:rStyle w:val="normaltextrun"/>
          <w:rFonts w:asciiTheme="minorHAnsi" w:eastAsiaTheme="majorEastAsia" w:hAnsiTheme="minorHAnsi" w:cstheme="minorHAnsi"/>
        </w:rPr>
        <w:t xml:space="preserve"> </w:t>
      </w:r>
      <w:r w:rsidR="009C30B3">
        <w:rPr>
          <w:rStyle w:val="normaltextrun"/>
          <w:rFonts w:asciiTheme="minorHAnsi" w:eastAsiaTheme="majorEastAsia" w:hAnsiTheme="minorHAnsi" w:cstheme="minorHAnsi"/>
        </w:rPr>
        <w:t>o</w:t>
      </w:r>
      <w:r w:rsidR="000F60FA" w:rsidRPr="00165716">
        <w:rPr>
          <w:rStyle w:val="normaltextrun"/>
          <w:rFonts w:asciiTheme="minorHAnsi" w:eastAsiaTheme="majorEastAsia" w:hAnsiTheme="minorHAnsi" w:cstheme="minorHAnsi"/>
        </w:rPr>
        <w:t xml:space="preserve">ther neurological, and other sensory/speech (11%). Other demographic </w:t>
      </w:r>
      <w:r w:rsidR="00D7339B">
        <w:rPr>
          <w:rStyle w:val="normaltextrun"/>
          <w:rFonts w:asciiTheme="minorHAnsi" w:eastAsiaTheme="majorEastAsia" w:hAnsiTheme="minorHAnsi" w:cstheme="minorHAnsi"/>
        </w:rPr>
        <w:t>information</w:t>
      </w:r>
      <w:r w:rsidR="000F60FA" w:rsidRPr="00165716">
        <w:rPr>
          <w:rStyle w:val="normaltextrun"/>
          <w:rFonts w:asciiTheme="minorHAnsi" w:eastAsiaTheme="majorEastAsia" w:hAnsiTheme="minorHAnsi" w:cstheme="minorHAnsi"/>
        </w:rPr>
        <w:t xml:space="preserve"> include</w:t>
      </w:r>
      <w:r w:rsidR="000F60FA">
        <w:rPr>
          <w:rStyle w:val="normaltextrun"/>
          <w:rFonts w:asciiTheme="minorHAnsi" w:eastAsiaTheme="majorEastAsia" w:hAnsiTheme="minorHAnsi" w:cstheme="minorHAnsi"/>
        </w:rPr>
        <w:t>:</w:t>
      </w:r>
    </w:p>
    <w:p w14:paraId="03D9BD9B" w14:textId="768A555B" w:rsidR="000F60FA" w:rsidRPr="00CE198C" w:rsidRDefault="000F60FA" w:rsidP="000705FE">
      <w:pPr>
        <w:pStyle w:val="paragraph"/>
        <w:numPr>
          <w:ilvl w:val="0"/>
          <w:numId w:val="44"/>
        </w:numPr>
        <w:spacing w:before="40" w:beforeAutospacing="0" w:after="40" w:afterAutospacing="0"/>
        <w:ind w:left="714" w:hanging="357"/>
        <w:contextualSpacing/>
        <w:textAlignment w:val="baseline"/>
        <w:rPr>
          <w:rStyle w:val="normaltextrun"/>
          <w:rFonts w:asciiTheme="minorHAnsi" w:eastAsiaTheme="majorEastAsia" w:hAnsiTheme="minorHAnsi" w:cstheme="minorHAnsi"/>
          <w:sz w:val="22"/>
          <w:szCs w:val="22"/>
        </w:rPr>
      </w:pPr>
      <w:r w:rsidRPr="00CE198C">
        <w:rPr>
          <w:rStyle w:val="normaltextrun"/>
          <w:rFonts w:asciiTheme="minorHAnsi" w:eastAsiaTheme="majorEastAsia" w:hAnsiTheme="minorHAnsi" w:cstheme="minorHAnsi"/>
          <w:sz w:val="22"/>
          <w:szCs w:val="22"/>
        </w:rPr>
        <w:t>None of the respondents identified as First Nations</w:t>
      </w:r>
      <w:r w:rsidR="00F22108">
        <w:rPr>
          <w:rStyle w:val="normaltextrun"/>
          <w:rFonts w:asciiTheme="minorHAnsi" w:eastAsiaTheme="majorEastAsia" w:hAnsiTheme="minorHAnsi" w:cstheme="minorHAnsi"/>
          <w:sz w:val="22"/>
          <w:szCs w:val="22"/>
        </w:rPr>
        <w:t xml:space="preserve"> People</w:t>
      </w:r>
      <w:r w:rsidRPr="00CE198C">
        <w:rPr>
          <w:rStyle w:val="normaltextrun"/>
          <w:rFonts w:asciiTheme="minorHAnsi" w:eastAsiaTheme="majorEastAsia" w:hAnsiTheme="minorHAnsi" w:cstheme="minorHAnsi"/>
          <w:sz w:val="22"/>
          <w:szCs w:val="22"/>
        </w:rPr>
        <w:t>.</w:t>
      </w:r>
    </w:p>
    <w:p w14:paraId="534BA5EB" w14:textId="3B93C63C" w:rsidR="000F60FA" w:rsidRPr="00CE198C" w:rsidRDefault="000F60FA" w:rsidP="000705FE">
      <w:pPr>
        <w:pStyle w:val="paragraph"/>
        <w:numPr>
          <w:ilvl w:val="0"/>
          <w:numId w:val="44"/>
        </w:numPr>
        <w:spacing w:before="40" w:beforeAutospacing="0" w:after="40" w:afterAutospacing="0"/>
        <w:ind w:left="714" w:hanging="357"/>
        <w:contextualSpacing/>
        <w:textAlignment w:val="baseline"/>
        <w:rPr>
          <w:rStyle w:val="normaltextrun"/>
          <w:rFonts w:asciiTheme="minorHAnsi" w:eastAsiaTheme="majorEastAsia" w:hAnsiTheme="minorHAnsi" w:cstheme="minorHAnsi"/>
          <w:sz w:val="22"/>
          <w:szCs w:val="22"/>
        </w:rPr>
      </w:pPr>
      <w:r w:rsidRPr="00CE198C">
        <w:rPr>
          <w:rStyle w:val="normaltextrun"/>
          <w:rFonts w:asciiTheme="minorHAnsi" w:eastAsiaTheme="majorEastAsia" w:hAnsiTheme="minorHAnsi" w:cstheme="minorHAnsi"/>
          <w:sz w:val="22"/>
          <w:szCs w:val="22"/>
        </w:rPr>
        <w:t xml:space="preserve">53% </w:t>
      </w:r>
      <w:r w:rsidR="007C2636">
        <w:rPr>
          <w:rStyle w:val="normaltextrun"/>
          <w:rFonts w:asciiTheme="minorHAnsi" w:eastAsiaTheme="majorEastAsia" w:hAnsiTheme="minorHAnsi" w:cstheme="minorHAnsi"/>
          <w:sz w:val="22"/>
          <w:szCs w:val="22"/>
        </w:rPr>
        <w:t>(7/13)</w:t>
      </w:r>
      <w:r w:rsidRPr="00CE198C">
        <w:rPr>
          <w:rStyle w:val="normaltextrun"/>
          <w:rFonts w:asciiTheme="minorHAnsi" w:eastAsiaTheme="majorEastAsia" w:hAnsiTheme="minorHAnsi" w:cstheme="minorHAnsi"/>
          <w:sz w:val="22"/>
          <w:szCs w:val="22"/>
        </w:rPr>
        <w:t xml:space="preserve"> of respondents were male. </w:t>
      </w:r>
    </w:p>
    <w:p w14:paraId="18291492" w14:textId="77777777" w:rsidR="000F60FA" w:rsidRPr="00CE198C" w:rsidRDefault="000F60FA" w:rsidP="000705FE">
      <w:pPr>
        <w:pStyle w:val="paragraph"/>
        <w:numPr>
          <w:ilvl w:val="0"/>
          <w:numId w:val="44"/>
        </w:numPr>
        <w:spacing w:before="40" w:beforeAutospacing="0" w:after="40" w:afterAutospacing="0"/>
        <w:ind w:left="714" w:hanging="357"/>
        <w:contextualSpacing/>
        <w:textAlignment w:val="baseline"/>
        <w:rPr>
          <w:rStyle w:val="normaltextrun"/>
          <w:rFonts w:asciiTheme="minorHAnsi" w:eastAsiaTheme="majorEastAsia" w:hAnsiTheme="minorHAnsi" w:cstheme="minorHAnsi"/>
          <w:sz w:val="22"/>
          <w:szCs w:val="22"/>
        </w:rPr>
      </w:pPr>
      <w:r w:rsidRPr="00CE198C">
        <w:rPr>
          <w:rStyle w:val="normaltextrun"/>
          <w:rFonts w:asciiTheme="minorHAnsi" w:eastAsiaTheme="majorEastAsia" w:hAnsiTheme="minorHAnsi" w:cstheme="minorHAnsi"/>
          <w:sz w:val="22"/>
          <w:szCs w:val="22"/>
        </w:rPr>
        <w:t>2 respondents identified as LGBTQI.</w:t>
      </w:r>
    </w:p>
    <w:p w14:paraId="0C104657" w14:textId="068AE89A" w:rsidR="009441DE" w:rsidRDefault="009441DE" w:rsidP="000705FE">
      <w:pPr>
        <w:pStyle w:val="paragraph"/>
        <w:numPr>
          <w:ilvl w:val="0"/>
          <w:numId w:val="44"/>
        </w:numPr>
        <w:spacing w:before="40" w:beforeAutospacing="0" w:after="40" w:afterAutospacing="0"/>
        <w:ind w:left="714" w:hanging="357"/>
        <w:contextualSpacing/>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38%</w:t>
      </w:r>
      <w:r w:rsidR="000F60FA" w:rsidRPr="00CE198C">
        <w:rPr>
          <w:rStyle w:val="normaltextrun"/>
          <w:rFonts w:asciiTheme="minorHAnsi" w:eastAsiaTheme="majorEastAsia" w:hAnsiTheme="minorHAnsi" w:cstheme="minorHAnsi"/>
          <w:sz w:val="22"/>
          <w:szCs w:val="22"/>
        </w:rPr>
        <w:t xml:space="preserve"> </w:t>
      </w:r>
      <w:r w:rsidR="00D67133">
        <w:rPr>
          <w:rStyle w:val="normaltextrun"/>
          <w:rFonts w:asciiTheme="minorHAnsi" w:eastAsiaTheme="majorEastAsia" w:hAnsiTheme="minorHAnsi" w:cstheme="minorHAnsi"/>
          <w:sz w:val="22"/>
          <w:szCs w:val="22"/>
        </w:rPr>
        <w:t>(</w:t>
      </w:r>
      <w:r w:rsidR="00D313EE">
        <w:rPr>
          <w:rStyle w:val="normaltextrun"/>
          <w:rFonts w:asciiTheme="minorHAnsi" w:eastAsiaTheme="majorEastAsia" w:hAnsiTheme="minorHAnsi" w:cstheme="minorHAnsi"/>
          <w:sz w:val="22"/>
          <w:szCs w:val="22"/>
        </w:rPr>
        <w:t>5/13)</w:t>
      </w:r>
      <w:r>
        <w:rPr>
          <w:rStyle w:val="normaltextrun"/>
          <w:rFonts w:asciiTheme="minorHAnsi" w:eastAsiaTheme="majorEastAsia" w:hAnsiTheme="minorHAnsi" w:cstheme="minorHAnsi"/>
          <w:sz w:val="22"/>
          <w:szCs w:val="22"/>
        </w:rPr>
        <w:t xml:space="preserve"> </w:t>
      </w:r>
      <w:r w:rsidR="000F60FA" w:rsidRPr="00CE198C">
        <w:rPr>
          <w:rStyle w:val="normaltextrun"/>
          <w:rFonts w:asciiTheme="minorHAnsi" w:eastAsiaTheme="majorEastAsia" w:hAnsiTheme="minorHAnsi" w:cstheme="minorHAnsi"/>
          <w:sz w:val="22"/>
          <w:szCs w:val="22"/>
        </w:rPr>
        <w:t>of respondents were in Victoria.</w:t>
      </w:r>
    </w:p>
    <w:p w14:paraId="7B06E39A" w14:textId="70F800AC" w:rsidR="000F60FA" w:rsidRPr="00CE198C" w:rsidRDefault="009441DE" w:rsidP="000705FE">
      <w:pPr>
        <w:pStyle w:val="paragraph"/>
        <w:numPr>
          <w:ilvl w:val="0"/>
          <w:numId w:val="44"/>
        </w:numPr>
        <w:spacing w:before="40" w:beforeAutospacing="0" w:after="40" w:afterAutospacing="0"/>
        <w:ind w:left="714" w:hanging="357"/>
        <w:contextualSpacing/>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23</w:t>
      </w:r>
      <w:r w:rsidR="00F61BAD">
        <w:rPr>
          <w:rStyle w:val="normaltextrun"/>
          <w:rFonts w:asciiTheme="minorHAnsi" w:eastAsiaTheme="majorEastAsia" w:hAnsiTheme="minorHAnsi" w:cstheme="minorHAnsi"/>
          <w:sz w:val="22"/>
          <w:szCs w:val="22"/>
        </w:rPr>
        <w:t xml:space="preserve">% </w:t>
      </w:r>
      <w:r w:rsidR="005757B2">
        <w:rPr>
          <w:rStyle w:val="normaltextrun"/>
          <w:rFonts w:asciiTheme="minorHAnsi" w:eastAsiaTheme="majorEastAsia" w:hAnsiTheme="minorHAnsi" w:cstheme="minorHAnsi"/>
          <w:sz w:val="22"/>
          <w:szCs w:val="22"/>
        </w:rPr>
        <w:t>(</w:t>
      </w:r>
      <w:r w:rsidR="001F3716">
        <w:rPr>
          <w:rStyle w:val="normaltextrun"/>
          <w:rFonts w:asciiTheme="minorHAnsi" w:eastAsiaTheme="majorEastAsia" w:hAnsiTheme="minorHAnsi" w:cstheme="minorHAnsi"/>
          <w:sz w:val="22"/>
          <w:szCs w:val="22"/>
        </w:rPr>
        <w:t xml:space="preserve">3/13) </w:t>
      </w:r>
      <w:r w:rsidR="00F61BAD">
        <w:rPr>
          <w:rStyle w:val="normaltextrun"/>
          <w:rFonts w:asciiTheme="minorHAnsi" w:eastAsiaTheme="majorEastAsia" w:hAnsiTheme="minorHAnsi" w:cstheme="minorHAnsi"/>
          <w:sz w:val="22"/>
          <w:szCs w:val="22"/>
        </w:rPr>
        <w:t>of respondents were in New South Wales.</w:t>
      </w:r>
    </w:p>
    <w:p w14:paraId="0EF00AFB" w14:textId="4CCE3200" w:rsidR="00F61BAD" w:rsidRPr="00CE198C" w:rsidRDefault="005D1FE3" w:rsidP="000705FE">
      <w:pPr>
        <w:pStyle w:val="paragraph"/>
        <w:numPr>
          <w:ilvl w:val="0"/>
          <w:numId w:val="44"/>
        </w:numPr>
        <w:spacing w:before="40" w:beforeAutospacing="0" w:after="40" w:afterAutospacing="0"/>
        <w:ind w:left="714" w:hanging="357"/>
        <w:contextualSpacing/>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 xml:space="preserve">15% </w:t>
      </w:r>
      <w:r w:rsidR="008614A1">
        <w:rPr>
          <w:rStyle w:val="normaltextrun"/>
          <w:rFonts w:asciiTheme="minorHAnsi" w:eastAsiaTheme="majorEastAsia" w:hAnsiTheme="minorHAnsi" w:cstheme="minorHAnsi"/>
          <w:sz w:val="22"/>
          <w:szCs w:val="22"/>
        </w:rPr>
        <w:t>(2/13)</w:t>
      </w:r>
      <w:r>
        <w:rPr>
          <w:rStyle w:val="normaltextrun"/>
          <w:rFonts w:asciiTheme="minorHAnsi" w:eastAsiaTheme="majorEastAsia" w:hAnsiTheme="minorHAnsi" w:cstheme="minorHAnsi"/>
          <w:sz w:val="22"/>
          <w:szCs w:val="22"/>
        </w:rPr>
        <w:t xml:space="preserve"> of respondents were in Queensland.</w:t>
      </w:r>
    </w:p>
    <w:p w14:paraId="449160EA" w14:textId="6A7FFE4A" w:rsidR="005D1FE3" w:rsidRDefault="005D1FE3" w:rsidP="000705FE">
      <w:pPr>
        <w:pStyle w:val="paragraph"/>
        <w:numPr>
          <w:ilvl w:val="0"/>
          <w:numId w:val="44"/>
        </w:numPr>
        <w:spacing w:before="40" w:beforeAutospacing="0" w:after="40" w:afterAutospacing="0"/>
        <w:ind w:left="714" w:hanging="357"/>
        <w:contextualSpacing/>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 xml:space="preserve">15% </w:t>
      </w:r>
      <w:r w:rsidR="00A36D2E">
        <w:rPr>
          <w:rStyle w:val="normaltextrun"/>
          <w:rFonts w:asciiTheme="minorHAnsi" w:eastAsiaTheme="majorEastAsia" w:hAnsiTheme="minorHAnsi" w:cstheme="minorHAnsi"/>
          <w:sz w:val="22"/>
          <w:szCs w:val="22"/>
        </w:rPr>
        <w:t>(2/13)</w:t>
      </w:r>
      <w:r>
        <w:rPr>
          <w:rStyle w:val="normaltextrun"/>
          <w:rFonts w:asciiTheme="minorHAnsi" w:eastAsiaTheme="majorEastAsia" w:hAnsiTheme="minorHAnsi" w:cstheme="minorHAnsi"/>
          <w:sz w:val="22"/>
          <w:szCs w:val="22"/>
        </w:rPr>
        <w:t xml:space="preserve"> of respondents were in Western Australia.</w:t>
      </w:r>
    </w:p>
    <w:p w14:paraId="075C2732" w14:textId="47A95103" w:rsidR="005D1FE3" w:rsidRPr="00CE198C" w:rsidRDefault="005D1FE3" w:rsidP="000705FE">
      <w:pPr>
        <w:pStyle w:val="paragraph"/>
        <w:numPr>
          <w:ilvl w:val="0"/>
          <w:numId w:val="44"/>
        </w:numPr>
        <w:spacing w:before="40" w:beforeAutospacing="0" w:after="40" w:afterAutospacing="0"/>
        <w:ind w:left="714" w:hanging="357"/>
        <w:contextualSpacing/>
        <w:textAlignment w:val="baseline"/>
        <w:rPr>
          <w:rStyle w:val="normaltextrun"/>
          <w:rFonts w:asciiTheme="minorHAnsi" w:eastAsiaTheme="majorEastAsia" w:hAnsiTheme="minorHAnsi" w:cstheme="minorHAnsi"/>
          <w:sz w:val="22"/>
          <w:szCs w:val="22"/>
        </w:rPr>
      </w:pPr>
      <w:r>
        <w:rPr>
          <w:rStyle w:val="normaltextrun"/>
          <w:rFonts w:asciiTheme="minorHAnsi" w:eastAsiaTheme="majorEastAsia" w:hAnsiTheme="minorHAnsi" w:cstheme="minorHAnsi"/>
          <w:sz w:val="22"/>
          <w:szCs w:val="22"/>
        </w:rPr>
        <w:t xml:space="preserve">8% </w:t>
      </w:r>
      <w:r w:rsidR="00A36D2E">
        <w:rPr>
          <w:rStyle w:val="normaltextrun"/>
          <w:rFonts w:asciiTheme="minorHAnsi" w:eastAsiaTheme="majorEastAsia" w:hAnsiTheme="minorHAnsi" w:cstheme="minorHAnsi"/>
          <w:sz w:val="22"/>
          <w:szCs w:val="22"/>
        </w:rPr>
        <w:t>(1/15)</w:t>
      </w:r>
      <w:r>
        <w:rPr>
          <w:rStyle w:val="normaltextrun"/>
          <w:rFonts w:asciiTheme="minorHAnsi" w:eastAsiaTheme="majorEastAsia" w:hAnsiTheme="minorHAnsi" w:cstheme="minorHAnsi"/>
          <w:sz w:val="22"/>
          <w:szCs w:val="22"/>
        </w:rPr>
        <w:t xml:space="preserve"> of respondents were in South Australia.</w:t>
      </w:r>
    </w:p>
    <w:p w14:paraId="52567E7C" w14:textId="51794C5E" w:rsidR="000F60FA" w:rsidRPr="00CE198C" w:rsidRDefault="000F60FA" w:rsidP="000705FE">
      <w:pPr>
        <w:pStyle w:val="paragraph"/>
        <w:numPr>
          <w:ilvl w:val="0"/>
          <w:numId w:val="44"/>
        </w:numPr>
        <w:spacing w:before="40" w:beforeAutospacing="0" w:after="200" w:afterAutospacing="0"/>
        <w:ind w:left="714" w:hanging="357"/>
        <w:textAlignment w:val="baseline"/>
        <w:rPr>
          <w:rStyle w:val="normaltextrun"/>
          <w:rFonts w:asciiTheme="minorHAnsi" w:eastAsiaTheme="majorEastAsia" w:hAnsiTheme="minorHAnsi" w:cstheme="minorHAnsi"/>
          <w:sz w:val="22"/>
          <w:szCs w:val="22"/>
        </w:rPr>
      </w:pPr>
      <w:r w:rsidRPr="00CE198C">
        <w:rPr>
          <w:rStyle w:val="normaltextrun"/>
          <w:rFonts w:asciiTheme="minorHAnsi" w:eastAsiaTheme="majorEastAsia" w:hAnsiTheme="minorHAnsi" w:cstheme="minorHAnsi"/>
          <w:sz w:val="22"/>
          <w:szCs w:val="22"/>
        </w:rPr>
        <w:t xml:space="preserve">The average age of respondents was 29 with three </w:t>
      </w:r>
      <w:r w:rsidR="00B64789">
        <w:rPr>
          <w:rStyle w:val="normaltextrun"/>
          <w:rFonts w:asciiTheme="minorHAnsi" w:eastAsiaTheme="majorEastAsia" w:hAnsiTheme="minorHAnsi" w:cstheme="minorHAnsi"/>
          <w:sz w:val="22"/>
          <w:szCs w:val="22"/>
        </w:rPr>
        <w:t>respondents</w:t>
      </w:r>
      <w:r w:rsidRPr="00CE198C">
        <w:rPr>
          <w:rStyle w:val="normaltextrun"/>
          <w:rFonts w:asciiTheme="minorHAnsi" w:eastAsiaTheme="majorEastAsia" w:hAnsiTheme="minorHAnsi" w:cstheme="minorHAnsi"/>
          <w:sz w:val="22"/>
          <w:szCs w:val="22"/>
        </w:rPr>
        <w:t xml:space="preserve"> being under the age of 10</w:t>
      </w:r>
      <w:r w:rsidR="00C062B4">
        <w:rPr>
          <w:rStyle w:val="normaltextrun"/>
          <w:rFonts w:asciiTheme="minorHAnsi" w:eastAsiaTheme="majorEastAsia" w:hAnsiTheme="minorHAnsi" w:cstheme="minorHAnsi"/>
          <w:sz w:val="22"/>
          <w:szCs w:val="22"/>
        </w:rPr>
        <w:t xml:space="preserve"> years</w:t>
      </w:r>
      <w:r w:rsidRPr="00CE198C">
        <w:rPr>
          <w:rStyle w:val="normaltextrun"/>
          <w:rFonts w:asciiTheme="minorHAnsi" w:eastAsiaTheme="majorEastAsia" w:hAnsiTheme="minorHAnsi" w:cstheme="minorHAnsi"/>
          <w:sz w:val="22"/>
          <w:szCs w:val="22"/>
        </w:rPr>
        <w:t>.</w:t>
      </w:r>
    </w:p>
    <w:p w14:paraId="5B3F387B" w14:textId="01654C84" w:rsidR="000F60FA" w:rsidRPr="00CE198C" w:rsidRDefault="000F60FA" w:rsidP="000F60FA">
      <w:pPr>
        <w:pStyle w:val="paragraph"/>
        <w:spacing w:before="160" w:beforeAutospacing="0" w:after="160" w:afterAutospacing="0"/>
        <w:textAlignment w:val="baseline"/>
        <w:rPr>
          <w:rStyle w:val="normaltextrun"/>
          <w:rFonts w:asciiTheme="minorHAnsi" w:eastAsiaTheme="majorEastAsia" w:hAnsiTheme="minorHAnsi" w:cstheme="minorHAnsi"/>
          <w:sz w:val="22"/>
          <w:szCs w:val="22"/>
        </w:rPr>
      </w:pPr>
      <w:r w:rsidRPr="00CE198C">
        <w:rPr>
          <w:rStyle w:val="normaltextrun"/>
          <w:rFonts w:asciiTheme="minorHAnsi" w:eastAsiaTheme="majorEastAsia" w:hAnsiTheme="minorHAnsi" w:cstheme="minorHAnsi"/>
          <w:sz w:val="22"/>
          <w:szCs w:val="22"/>
        </w:rPr>
        <w:t xml:space="preserve">The </w:t>
      </w:r>
      <w:r w:rsidR="00AF6642">
        <w:rPr>
          <w:rStyle w:val="normaltextrun"/>
          <w:rFonts w:asciiTheme="minorHAnsi" w:eastAsiaTheme="majorEastAsia" w:hAnsiTheme="minorHAnsi" w:cstheme="minorHAnsi"/>
          <w:sz w:val="22"/>
          <w:szCs w:val="22"/>
        </w:rPr>
        <w:t xml:space="preserve">legal </w:t>
      </w:r>
      <w:r w:rsidRPr="00CE198C">
        <w:rPr>
          <w:rStyle w:val="normaltextrun"/>
          <w:rFonts w:asciiTheme="minorHAnsi" w:eastAsiaTheme="majorEastAsia" w:hAnsiTheme="minorHAnsi" w:cstheme="minorHAnsi"/>
          <w:sz w:val="22"/>
          <w:szCs w:val="22"/>
        </w:rPr>
        <w:t xml:space="preserve">representative survey received </w:t>
      </w:r>
      <w:r w:rsidR="00AF6642">
        <w:rPr>
          <w:rStyle w:val="normaltextrun"/>
          <w:rFonts w:asciiTheme="minorHAnsi" w:eastAsiaTheme="majorEastAsia" w:hAnsiTheme="minorHAnsi" w:cstheme="minorHAnsi"/>
          <w:sz w:val="22"/>
          <w:szCs w:val="22"/>
        </w:rPr>
        <w:t>six</w:t>
      </w:r>
      <w:r w:rsidRPr="00CE198C">
        <w:rPr>
          <w:rStyle w:val="normaltextrun"/>
          <w:rFonts w:asciiTheme="minorHAnsi" w:eastAsiaTheme="majorEastAsia" w:hAnsiTheme="minorHAnsi" w:cstheme="minorHAnsi"/>
          <w:sz w:val="22"/>
          <w:szCs w:val="22"/>
        </w:rPr>
        <w:t xml:space="preserve"> responses with most responses coming from participant </w:t>
      </w:r>
      <w:r w:rsidR="00335FF3">
        <w:rPr>
          <w:rStyle w:val="normaltextrun"/>
          <w:rFonts w:asciiTheme="minorHAnsi" w:eastAsiaTheme="majorEastAsia" w:hAnsiTheme="minorHAnsi" w:cstheme="minorHAnsi"/>
          <w:sz w:val="22"/>
          <w:szCs w:val="22"/>
        </w:rPr>
        <w:t xml:space="preserve">legal </w:t>
      </w:r>
      <w:r w:rsidRPr="00CE198C">
        <w:rPr>
          <w:rStyle w:val="normaltextrun"/>
          <w:rFonts w:asciiTheme="minorHAnsi" w:eastAsiaTheme="majorEastAsia" w:hAnsiTheme="minorHAnsi" w:cstheme="minorHAnsi"/>
          <w:sz w:val="22"/>
          <w:szCs w:val="22"/>
        </w:rPr>
        <w:t>advocates</w:t>
      </w:r>
      <w:r w:rsidR="00A26B70">
        <w:rPr>
          <w:rStyle w:val="normaltextrun"/>
          <w:rFonts w:asciiTheme="minorHAnsi" w:eastAsiaTheme="majorEastAsia" w:hAnsiTheme="minorHAnsi" w:cstheme="minorHAnsi"/>
          <w:sz w:val="22"/>
          <w:szCs w:val="22"/>
        </w:rPr>
        <w:t>,</w:t>
      </w:r>
      <w:r w:rsidRPr="00CE198C">
        <w:rPr>
          <w:rStyle w:val="normaltextrun"/>
          <w:rFonts w:asciiTheme="minorHAnsi" w:eastAsiaTheme="majorEastAsia" w:hAnsiTheme="minorHAnsi" w:cstheme="minorHAnsi"/>
          <w:sz w:val="22"/>
          <w:szCs w:val="22"/>
        </w:rPr>
        <w:t xml:space="preserve"> followed by lawyers and one support person.</w:t>
      </w:r>
    </w:p>
    <w:p w14:paraId="2366B3EE" w14:textId="1D70BCB5" w:rsidR="000F60FA" w:rsidRPr="00EB3D5D" w:rsidRDefault="000F60FA" w:rsidP="008329AE">
      <w:pPr>
        <w:pStyle w:val="Caption-H4"/>
      </w:pPr>
      <w:bookmarkStart w:id="154" w:name="_Ref136208620"/>
      <w:r w:rsidRPr="00EB3D5D">
        <w:lastRenderedPageBreak/>
        <w:t xml:space="preserve">Table </w:t>
      </w:r>
      <w:r w:rsidRPr="00EB3D5D">
        <w:fldChar w:fldCharType="begin"/>
      </w:r>
      <w:r w:rsidRPr="00EB3D5D">
        <w:instrText>SEQ Table \* ARABIC</w:instrText>
      </w:r>
      <w:r w:rsidRPr="00EB3D5D">
        <w:fldChar w:fldCharType="separate"/>
      </w:r>
      <w:r w:rsidR="000F1876">
        <w:rPr>
          <w:noProof/>
        </w:rPr>
        <w:t>10</w:t>
      </w:r>
      <w:r w:rsidRPr="00EB3D5D">
        <w:fldChar w:fldCharType="end"/>
      </w:r>
      <w:bookmarkEnd w:id="154"/>
      <w:r w:rsidRPr="00EB3D5D">
        <w:t>: Participant survey recorded distribution of NDIS disability.</w:t>
      </w:r>
    </w:p>
    <w:tbl>
      <w:tblPr>
        <w:tblW w:w="8674" w:type="dxa"/>
        <w:tblInd w:w="-15" w:type="dxa"/>
        <w:tblBorders>
          <w:top w:val="outset" w:sz="6" w:space="0" w:color="auto"/>
          <w:left w:val="outset" w:sz="6" w:space="0" w:color="auto"/>
          <w:bottom w:val="outset" w:sz="6" w:space="0" w:color="auto"/>
          <w:right w:val="outset" w:sz="6" w:space="0" w:color="auto"/>
        </w:tblBorders>
        <w:tblCellMar>
          <w:top w:w="28" w:type="dxa"/>
          <w:bottom w:w="28" w:type="dxa"/>
        </w:tblCellMar>
        <w:tblLook w:val="04A0" w:firstRow="1" w:lastRow="0" w:firstColumn="1" w:lastColumn="0" w:noHBand="0" w:noVBand="1"/>
        <w:tblCaption w:val="Participant survey recorded distribution of NDIS disability"/>
        <w:tblDescription w:val="Table shows the distribution of disability types from survey respondents. Columns show the disability type, the number of survey responses, and the percent of sample that listed that disability type."/>
      </w:tblPr>
      <w:tblGrid>
        <w:gridCol w:w="3403"/>
        <w:gridCol w:w="2635"/>
        <w:gridCol w:w="2636"/>
      </w:tblGrid>
      <w:tr w:rsidR="00D64AF7" w:rsidRPr="00B9597D" w14:paraId="6A2D2AAA"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6B2976"/>
            <w:hideMark/>
          </w:tcPr>
          <w:p w14:paraId="361184DB" w14:textId="77777777" w:rsidR="000F60FA" w:rsidRPr="00EB3D5D" w:rsidRDefault="000F60FA">
            <w:pPr>
              <w:keepNext/>
              <w:keepLines/>
              <w:spacing w:before="0" w:after="0" w:line="240" w:lineRule="auto"/>
              <w:contextualSpacing/>
              <w:textAlignment w:val="baseline"/>
              <w:rPr>
                <w:rFonts w:ascii="Times New Roman" w:eastAsia="Times New Roman" w:hAnsi="Times New Roman" w:cs="Times New Roman"/>
                <w:b/>
                <w:color w:val="FEFFFF" w:themeColor="background1"/>
                <w:szCs w:val="22"/>
                <w:lang w:eastAsia="en-AU"/>
              </w:rPr>
            </w:pPr>
            <w:r w:rsidRPr="00EB3D5D">
              <w:rPr>
                <w:b/>
                <w:color w:val="FEFFFF" w:themeColor="background1"/>
                <w:szCs w:val="22"/>
              </w:rPr>
              <w:t>Disability</w:t>
            </w:r>
          </w:p>
        </w:tc>
        <w:tc>
          <w:tcPr>
            <w:tcW w:w="2635" w:type="dxa"/>
            <w:tcBorders>
              <w:top w:val="single" w:sz="6" w:space="0" w:color="595959"/>
              <w:left w:val="single" w:sz="6" w:space="0" w:color="595959"/>
              <w:bottom w:val="single" w:sz="6" w:space="0" w:color="595959"/>
              <w:right w:val="single" w:sz="6" w:space="0" w:color="595959"/>
            </w:tcBorders>
            <w:shd w:val="clear" w:color="auto" w:fill="6B2976"/>
            <w:hideMark/>
          </w:tcPr>
          <w:p w14:paraId="5922A5C4"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b/>
                <w:color w:val="FEFFFF" w:themeColor="background1"/>
                <w:szCs w:val="22"/>
                <w:lang w:eastAsia="en-AU"/>
              </w:rPr>
            </w:pPr>
            <w:r w:rsidRPr="00EB3D5D">
              <w:rPr>
                <w:b/>
                <w:color w:val="FEFFFF" w:themeColor="background1"/>
                <w:szCs w:val="22"/>
              </w:rPr>
              <w:t>Number of responses</w:t>
            </w:r>
          </w:p>
        </w:tc>
        <w:tc>
          <w:tcPr>
            <w:tcW w:w="2636" w:type="dxa"/>
            <w:tcBorders>
              <w:top w:val="single" w:sz="6" w:space="0" w:color="595959"/>
              <w:left w:val="single" w:sz="6" w:space="0" w:color="595959"/>
              <w:bottom w:val="single" w:sz="6" w:space="0" w:color="595959"/>
              <w:right w:val="single" w:sz="6" w:space="0" w:color="595959"/>
            </w:tcBorders>
            <w:shd w:val="clear" w:color="auto" w:fill="6B2976"/>
            <w:hideMark/>
          </w:tcPr>
          <w:p w14:paraId="213E32BC" w14:textId="4DBB6430" w:rsidR="000F60FA" w:rsidRPr="00EB3D5D" w:rsidRDefault="004F28D5">
            <w:pPr>
              <w:keepNext/>
              <w:keepLines/>
              <w:spacing w:before="0" w:after="0" w:line="240" w:lineRule="auto"/>
              <w:contextualSpacing/>
              <w:jc w:val="center"/>
              <w:textAlignment w:val="baseline"/>
              <w:rPr>
                <w:rFonts w:ascii="Times New Roman" w:eastAsia="Times New Roman" w:hAnsi="Times New Roman" w:cs="Times New Roman"/>
                <w:b/>
                <w:color w:val="FEFFFF" w:themeColor="background1"/>
                <w:szCs w:val="22"/>
                <w:lang w:eastAsia="en-AU"/>
              </w:rPr>
            </w:pPr>
            <w:r w:rsidRPr="00EB3D5D">
              <w:rPr>
                <w:b/>
                <w:color w:val="FEFFFF" w:themeColor="background1"/>
                <w:szCs w:val="22"/>
              </w:rPr>
              <w:t>%</w:t>
            </w:r>
            <w:r w:rsidR="000F60FA" w:rsidRPr="00EB3D5D">
              <w:rPr>
                <w:b/>
                <w:color w:val="FEFFFF" w:themeColor="background1"/>
                <w:szCs w:val="22"/>
              </w:rPr>
              <w:t xml:space="preserve"> of sample</w:t>
            </w:r>
          </w:p>
        </w:tc>
      </w:tr>
      <w:tr w:rsidR="00D64AF7" w:rsidRPr="00B9597D" w14:paraId="77994655"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F7EEF7"/>
            <w:hideMark/>
          </w:tcPr>
          <w:p w14:paraId="61CAA9D3" w14:textId="77777777" w:rsidR="000F60FA" w:rsidRPr="00EB3D5D" w:rsidRDefault="000F60FA">
            <w:pPr>
              <w:keepNext/>
              <w:keepLines/>
              <w:spacing w:before="0" w:after="0" w:line="240" w:lineRule="auto"/>
              <w:contextualSpacing/>
              <w:textAlignment w:val="baseline"/>
              <w:rPr>
                <w:rFonts w:ascii="Times New Roman" w:eastAsia="Times New Roman" w:hAnsi="Times New Roman" w:cs="Times New Roman"/>
                <w:szCs w:val="22"/>
                <w:lang w:eastAsia="en-AU"/>
              </w:rPr>
            </w:pPr>
            <w:r w:rsidRPr="00EB3D5D">
              <w:rPr>
                <w:szCs w:val="22"/>
              </w:rPr>
              <w:t>Autism</w:t>
            </w:r>
          </w:p>
        </w:tc>
        <w:tc>
          <w:tcPr>
            <w:tcW w:w="2635" w:type="dxa"/>
            <w:tcBorders>
              <w:top w:val="single" w:sz="6" w:space="0" w:color="595959"/>
              <w:left w:val="single" w:sz="6" w:space="0" w:color="595959"/>
              <w:bottom w:val="single" w:sz="6" w:space="0" w:color="595959"/>
              <w:right w:val="single" w:sz="6" w:space="0" w:color="595959"/>
            </w:tcBorders>
            <w:shd w:val="clear" w:color="auto" w:fill="F7EEF7"/>
            <w:hideMark/>
          </w:tcPr>
          <w:p w14:paraId="36E1FD56"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6</w:t>
            </w:r>
          </w:p>
        </w:tc>
        <w:tc>
          <w:tcPr>
            <w:tcW w:w="2636" w:type="dxa"/>
            <w:tcBorders>
              <w:top w:val="single" w:sz="6" w:space="0" w:color="595959"/>
              <w:left w:val="single" w:sz="6" w:space="0" w:color="595959"/>
              <w:bottom w:val="single" w:sz="6" w:space="0" w:color="595959"/>
              <w:right w:val="single" w:sz="6" w:space="0" w:color="595959"/>
            </w:tcBorders>
            <w:shd w:val="clear" w:color="auto" w:fill="F7EEF7"/>
            <w:hideMark/>
          </w:tcPr>
          <w:p w14:paraId="16C0A57C"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17%</w:t>
            </w:r>
          </w:p>
        </w:tc>
      </w:tr>
      <w:tr w:rsidR="00327147" w:rsidRPr="00B9597D" w14:paraId="4A077516"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auto"/>
          </w:tcPr>
          <w:p w14:paraId="4E2C253C"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Intellectual disability</w:t>
            </w:r>
          </w:p>
        </w:tc>
        <w:tc>
          <w:tcPr>
            <w:tcW w:w="2635" w:type="dxa"/>
            <w:tcBorders>
              <w:top w:val="single" w:sz="6" w:space="0" w:color="595959"/>
              <w:left w:val="single" w:sz="6" w:space="0" w:color="595959"/>
              <w:bottom w:val="single" w:sz="6" w:space="0" w:color="595959"/>
              <w:right w:val="single" w:sz="6" w:space="0" w:color="595959"/>
            </w:tcBorders>
            <w:shd w:val="clear" w:color="auto" w:fill="auto"/>
          </w:tcPr>
          <w:p w14:paraId="0E9D6077"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4</w:t>
            </w:r>
          </w:p>
        </w:tc>
        <w:tc>
          <w:tcPr>
            <w:tcW w:w="2636" w:type="dxa"/>
            <w:tcBorders>
              <w:top w:val="single" w:sz="6" w:space="0" w:color="595959"/>
              <w:left w:val="single" w:sz="6" w:space="0" w:color="595959"/>
              <w:bottom w:val="single" w:sz="6" w:space="0" w:color="595959"/>
              <w:right w:val="single" w:sz="6" w:space="0" w:color="595959"/>
            </w:tcBorders>
            <w:shd w:val="clear" w:color="auto" w:fill="auto"/>
          </w:tcPr>
          <w:p w14:paraId="468A7DC3"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11%</w:t>
            </w:r>
          </w:p>
        </w:tc>
      </w:tr>
      <w:tr w:rsidR="00D64AF7" w:rsidRPr="00B9597D" w14:paraId="68A94147"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F7EEF7"/>
          </w:tcPr>
          <w:p w14:paraId="1B239F44"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Psychosocial disability</w:t>
            </w:r>
          </w:p>
        </w:tc>
        <w:tc>
          <w:tcPr>
            <w:tcW w:w="2635" w:type="dxa"/>
            <w:tcBorders>
              <w:top w:val="single" w:sz="6" w:space="0" w:color="595959"/>
              <w:left w:val="single" w:sz="6" w:space="0" w:color="595959"/>
              <w:bottom w:val="single" w:sz="6" w:space="0" w:color="595959"/>
              <w:right w:val="single" w:sz="6" w:space="0" w:color="595959"/>
            </w:tcBorders>
            <w:shd w:val="clear" w:color="auto" w:fill="F7EEF7"/>
          </w:tcPr>
          <w:p w14:paraId="40A1B81D"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4</w:t>
            </w:r>
          </w:p>
        </w:tc>
        <w:tc>
          <w:tcPr>
            <w:tcW w:w="2636" w:type="dxa"/>
            <w:tcBorders>
              <w:top w:val="single" w:sz="6" w:space="0" w:color="595959"/>
              <w:left w:val="single" w:sz="6" w:space="0" w:color="595959"/>
              <w:bottom w:val="single" w:sz="6" w:space="0" w:color="595959"/>
              <w:right w:val="single" w:sz="6" w:space="0" w:color="595959"/>
            </w:tcBorders>
            <w:shd w:val="clear" w:color="auto" w:fill="F7EEF7"/>
          </w:tcPr>
          <w:p w14:paraId="17210428"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11%</w:t>
            </w:r>
          </w:p>
        </w:tc>
      </w:tr>
      <w:tr w:rsidR="00327147" w:rsidRPr="00B9597D" w14:paraId="7EA95EA4"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auto"/>
          </w:tcPr>
          <w:p w14:paraId="403A3D53"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Other neurological</w:t>
            </w:r>
          </w:p>
        </w:tc>
        <w:tc>
          <w:tcPr>
            <w:tcW w:w="2635" w:type="dxa"/>
            <w:tcBorders>
              <w:top w:val="single" w:sz="6" w:space="0" w:color="595959"/>
              <w:left w:val="single" w:sz="6" w:space="0" w:color="595959"/>
              <w:bottom w:val="single" w:sz="6" w:space="0" w:color="595959"/>
              <w:right w:val="single" w:sz="6" w:space="0" w:color="595959"/>
            </w:tcBorders>
            <w:shd w:val="clear" w:color="auto" w:fill="auto"/>
          </w:tcPr>
          <w:p w14:paraId="154F6EA6"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4</w:t>
            </w:r>
          </w:p>
        </w:tc>
        <w:tc>
          <w:tcPr>
            <w:tcW w:w="2636" w:type="dxa"/>
            <w:tcBorders>
              <w:top w:val="single" w:sz="6" w:space="0" w:color="595959"/>
              <w:left w:val="single" w:sz="6" w:space="0" w:color="595959"/>
              <w:bottom w:val="single" w:sz="6" w:space="0" w:color="595959"/>
              <w:right w:val="single" w:sz="6" w:space="0" w:color="595959"/>
            </w:tcBorders>
            <w:shd w:val="clear" w:color="auto" w:fill="auto"/>
          </w:tcPr>
          <w:p w14:paraId="23549373"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11%</w:t>
            </w:r>
          </w:p>
        </w:tc>
      </w:tr>
      <w:tr w:rsidR="00D64AF7" w:rsidRPr="00B9597D" w14:paraId="6DD2EDDF"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F7EEF7"/>
          </w:tcPr>
          <w:p w14:paraId="42A0BECD"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Other sensory/speech</w:t>
            </w:r>
          </w:p>
        </w:tc>
        <w:tc>
          <w:tcPr>
            <w:tcW w:w="2635" w:type="dxa"/>
            <w:tcBorders>
              <w:top w:val="single" w:sz="6" w:space="0" w:color="595959"/>
              <w:left w:val="single" w:sz="6" w:space="0" w:color="595959"/>
              <w:bottom w:val="single" w:sz="6" w:space="0" w:color="595959"/>
              <w:right w:val="single" w:sz="6" w:space="0" w:color="595959"/>
            </w:tcBorders>
            <w:shd w:val="clear" w:color="auto" w:fill="F7EEF7"/>
          </w:tcPr>
          <w:p w14:paraId="2BC496D1"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4</w:t>
            </w:r>
          </w:p>
        </w:tc>
        <w:tc>
          <w:tcPr>
            <w:tcW w:w="2636" w:type="dxa"/>
            <w:tcBorders>
              <w:top w:val="single" w:sz="6" w:space="0" w:color="595959"/>
              <w:left w:val="single" w:sz="6" w:space="0" w:color="595959"/>
              <w:bottom w:val="single" w:sz="6" w:space="0" w:color="595959"/>
              <w:right w:val="single" w:sz="6" w:space="0" w:color="595959"/>
            </w:tcBorders>
            <w:shd w:val="clear" w:color="auto" w:fill="F7EEF7"/>
          </w:tcPr>
          <w:p w14:paraId="2FDA8952"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11%</w:t>
            </w:r>
          </w:p>
        </w:tc>
      </w:tr>
      <w:tr w:rsidR="00327147" w:rsidRPr="00B9597D" w14:paraId="71B7E4F7"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auto"/>
          </w:tcPr>
          <w:p w14:paraId="4FFC711B"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Developmental delay</w:t>
            </w:r>
          </w:p>
        </w:tc>
        <w:tc>
          <w:tcPr>
            <w:tcW w:w="2635" w:type="dxa"/>
            <w:tcBorders>
              <w:top w:val="single" w:sz="6" w:space="0" w:color="595959"/>
              <w:left w:val="single" w:sz="6" w:space="0" w:color="595959"/>
              <w:bottom w:val="single" w:sz="6" w:space="0" w:color="595959"/>
              <w:right w:val="single" w:sz="6" w:space="0" w:color="595959"/>
            </w:tcBorders>
            <w:shd w:val="clear" w:color="auto" w:fill="auto"/>
          </w:tcPr>
          <w:p w14:paraId="228C04A2"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3</w:t>
            </w:r>
          </w:p>
        </w:tc>
        <w:tc>
          <w:tcPr>
            <w:tcW w:w="2636" w:type="dxa"/>
            <w:tcBorders>
              <w:top w:val="single" w:sz="6" w:space="0" w:color="595959"/>
              <w:left w:val="single" w:sz="6" w:space="0" w:color="595959"/>
              <w:bottom w:val="single" w:sz="6" w:space="0" w:color="595959"/>
              <w:right w:val="single" w:sz="6" w:space="0" w:color="595959"/>
            </w:tcBorders>
            <w:shd w:val="clear" w:color="auto" w:fill="auto"/>
          </w:tcPr>
          <w:p w14:paraId="709A7CF0"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8%</w:t>
            </w:r>
          </w:p>
        </w:tc>
      </w:tr>
      <w:tr w:rsidR="00D64AF7" w:rsidRPr="00B9597D" w14:paraId="6DE9799E"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F7EEF7"/>
          </w:tcPr>
          <w:p w14:paraId="36D7D995"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Global developmental delay</w:t>
            </w:r>
          </w:p>
        </w:tc>
        <w:tc>
          <w:tcPr>
            <w:tcW w:w="2635" w:type="dxa"/>
            <w:tcBorders>
              <w:top w:val="single" w:sz="6" w:space="0" w:color="595959"/>
              <w:left w:val="single" w:sz="6" w:space="0" w:color="595959"/>
              <w:bottom w:val="single" w:sz="6" w:space="0" w:color="595959"/>
              <w:right w:val="single" w:sz="6" w:space="0" w:color="595959"/>
            </w:tcBorders>
            <w:shd w:val="clear" w:color="auto" w:fill="F7EEF7"/>
          </w:tcPr>
          <w:p w14:paraId="11C2FABB"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3</w:t>
            </w:r>
          </w:p>
        </w:tc>
        <w:tc>
          <w:tcPr>
            <w:tcW w:w="2636" w:type="dxa"/>
            <w:tcBorders>
              <w:top w:val="single" w:sz="6" w:space="0" w:color="595959"/>
              <w:left w:val="single" w:sz="6" w:space="0" w:color="595959"/>
              <w:bottom w:val="single" w:sz="6" w:space="0" w:color="595959"/>
              <w:right w:val="single" w:sz="6" w:space="0" w:color="595959"/>
            </w:tcBorders>
            <w:shd w:val="clear" w:color="auto" w:fill="F7EEF7"/>
          </w:tcPr>
          <w:p w14:paraId="001983FF"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8%</w:t>
            </w:r>
          </w:p>
        </w:tc>
      </w:tr>
      <w:tr w:rsidR="00327147" w:rsidRPr="00B9597D" w14:paraId="64D15D5B"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auto"/>
          </w:tcPr>
          <w:p w14:paraId="30EB9424"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Other physical</w:t>
            </w:r>
          </w:p>
        </w:tc>
        <w:tc>
          <w:tcPr>
            <w:tcW w:w="2635" w:type="dxa"/>
            <w:tcBorders>
              <w:top w:val="single" w:sz="6" w:space="0" w:color="595959"/>
              <w:left w:val="single" w:sz="6" w:space="0" w:color="595959"/>
              <w:bottom w:val="single" w:sz="6" w:space="0" w:color="595959"/>
              <w:right w:val="single" w:sz="6" w:space="0" w:color="595959"/>
            </w:tcBorders>
            <w:shd w:val="clear" w:color="auto" w:fill="auto"/>
          </w:tcPr>
          <w:p w14:paraId="589F065D"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2</w:t>
            </w:r>
          </w:p>
        </w:tc>
        <w:tc>
          <w:tcPr>
            <w:tcW w:w="2636" w:type="dxa"/>
            <w:tcBorders>
              <w:top w:val="single" w:sz="6" w:space="0" w:color="595959"/>
              <w:left w:val="single" w:sz="6" w:space="0" w:color="595959"/>
              <w:bottom w:val="single" w:sz="6" w:space="0" w:color="595959"/>
              <w:right w:val="single" w:sz="6" w:space="0" w:color="595959"/>
            </w:tcBorders>
            <w:shd w:val="clear" w:color="auto" w:fill="auto"/>
          </w:tcPr>
          <w:p w14:paraId="67C3FD18"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6%</w:t>
            </w:r>
          </w:p>
        </w:tc>
      </w:tr>
      <w:tr w:rsidR="00D64AF7" w:rsidRPr="00B9597D" w14:paraId="6B8AC84D"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F7EEF7"/>
          </w:tcPr>
          <w:p w14:paraId="4EF74B84"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Acquired brain injury</w:t>
            </w:r>
          </w:p>
        </w:tc>
        <w:tc>
          <w:tcPr>
            <w:tcW w:w="2635" w:type="dxa"/>
            <w:tcBorders>
              <w:top w:val="single" w:sz="6" w:space="0" w:color="595959"/>
              <w:left w:val="single" w:sz="6" w:space="0" w:color="595959"/>
              <w:bottom w:val="single" w:sz="6" w:space="0" w:color="595959"/>
              <w:right w:val="single" w:sz="6" w:space="0" w:color="595959"/>
            </w:tcBorders>
            <w:shd w:val="clear" w:color="auto" w:fill="F7EEF7"/>
          </w:tcPr>
          <w:p w14:paraId="0018F088"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w:t>
            </w:r>
          </w:p>
        </w:tc>
        <w:tc>
          <w:tcPr>
            <w:tcW w:w="2636" w:type="dxa"/>
            <w:tcBorders>
              <w:top w:val="single" w:sz="6" w:space="0" w:color="595959"/>
              <w:left w:val="single" w:sz="6" w:space="0" w:color="595959"/>
              <w:bottom w:val="single" w:sz="6" w:space="0" w:color="595959"/>
              <w:right w:val="single" w:sz="6" w:space="0" w:color="595959"/>
            </w:tcBorders>
            <w:shd w:val="clear" w:color="auto" w:fill="F7EEF7"/>
          </w:tcPr>
          <w:p w14:paraId="57D04242"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3%</w:t>
            </w:r>
          </w:p>
        </w:tc>
      </w:tr>
      <w:tr w:rsidR="00327147" w:rsidRPr="00B9597D" w14:paraId="41A39169"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auto"/>
          </w:tcPr>
          <w:p w14:paraId="46330FC8"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Cerebral palsy</w:t>
            </w:r>
          </w:p>
        </w:tc>
        <w:tc>
          <w:tcPr>
            <w:tcW w:w="2635" w:type="dxa"/>
            <w:tcBorders>
              <w:top w:val="single" w:sz="6" w:space="0" w:color="595959"/>
              <w:left w:val="single" w:sz="6" w:space="0" w:color="595959"/>
              <w:bottom w:val="single" w:sz="6" w:space="0" w:color="595959"/>
              <w:right w:val="single" w:sz="6" w:space="0" w:color="595959"/>
            </w:tcBorders>
            <w:shd w:val="clear" w:color="auto" w:fill="auto"/>
          </w:tcPr>
          <w:p w14:paraId="2FF15562"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w:t>
            </w:r>
          </w:p>
        </w:tc>
        <w:tc>
          <w:tcPr>
            <w:tcW w:w="2636" w:type="dxa"/>
            <w:tcBorders>
              <w:top w:val="single" w:sz="6" w:space="0" w:color="595959"/>
              <w:left w:val="single" w:sz="6" w:space="0" w:color="595959"/>
              <w:bottom w:val="single" w:sz="6" w:space="0" w:color="595959"/>
              <w:right w:val="single" w:sz="6" w:space="0" w:color="595959"/>
            </w:tcBorders>
            <w:shd w:val="clear" w:color="auto" w:fill="auto"/>
          </w:tcPr>
          <w:p w14:paraId="58654F64"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3%</w:t>
            </w:r>
          </w:p>
        </w:tc>
      </w:tr>
      <w:tr w:rsidR="00D64AF7" w:rsidRPr="00B9597D" w14:paraId="1F042265"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F7EEF7"/>
          </w:tcPr>
          <w:p w14:paraId="3B0E3A11"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Down syndrome</w:t>
            </w:r>
          </w:p>
        </w:tc>
        <w:tc>
          <w:tcPr>
            <w:tcW w:w="2635" w:type="dxa"/>
            <w:tcBorders>
              <w:top w:val="single" w:sz="6" w:space="0" w:color="595959"/>
              <w:left w:val="single" w:sz="6" w:space="0" w:color="595959"/>
              <w:bottom w:val="single" w:sz="6" w:space="0" w:color="595959"/>
              <w:right w:val="single" w:sz="6" w:space="0" w:color="595959"/>
            </w:tcBorders>
            <w:shd w:val="clear" w:color="auto" w:fill="F7EEF7"/>
          </w:tcPr>
          <w:p w14:paraId="2BD67E9C"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w:t>
            </w:r>
          </w:p>
        </w:tc>
        <w:tc>
          <w:tcPr>
            <w:tcW w:w="2636" w:type="dxa"/>
            <w:tcBorders>
              <w:top w:val="single" w:sz="6" w:space="0" w:color="595959"/>
              <w:left w:val="single" w:sz="6" w:space="0" w:color="595959"/>
              <w:bottom w:val="single" w:sz="6" w:space="0" w:color="595959"/>
              <w:right w:val="single" w:sz="6" w:space="0" w:color="595959"/>
            </w:tcBorders>
            <w:shd w:val="clear" w:color="auto" w:fill="F7EEF7"/>
          </w:tcPr>
          <w:p w14:paraId="5EC3F7BE"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3%</w:t>
            </w:r>
          </w:p>
        </w:tc>
      </w:tr>
      <w:tr w:rsidR="00327147" w:rsidRPr="00B9597D" w14:paraId="0E80EE1A"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auto"/>
          </w:tcPr>
          <w:p w14:paraId="7CA84585"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Hearing impairment or deaf</w:t>
            </w:r>
          </w:p>
        </w:tc>
        <w:tc>
          <w:tcPr>
            <w:tcW w:w="2635" w:type="dxa"/>
            <w:tcBorders>
              <w:top w:val="single" w:sz="6" w:space="0" w:color="595959"/>
              <w:left w:val="single" w:sz="6" w:space="0" w:color="595959"/>
              <w:bottom w:val="single" w:sz="6" w:space="0" w:color="595959"/>
              <w:right w:val="single" w:sz="6" w:space="0" w:color="595959"/>
            </w:tcBorders>
            <w:shd w:val="clear" w:color="auto" w:fill="auto"/>
          </w:tcPr>
          <w:p w14:paraId="5E7FEE6F"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w:t>
            </w:r>
          </w:p>
        </w:tc>
        <w:tc>
          <w:tcPr>
            <w:tcW w:w="2636" w:type="dxa"/>
            <w:tcBorders>
              <w:top w:val="single" w:sz="6" w:space="0" w:color="595959"/>
              <w:left w:val="single" w:sz="6" w:space="0" w:color="595959"/>
              <w:bottom w:val="single" w:sz="6" w:space="0" w:color="595959"/>
              <w:right w:val="single" w:sz="6" w:space="0" w:color="595959"/>
            </w:tcBorders>
            <w:shd w:val="clear" w:color="auto" w:fill="auto"/>
          </w:tcPr>
          <w:p w14:paraId="6CEB008C"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3%</w:t>
            </w:r>
          </w:p>
        </w:tc>
      </w:tr>
      <w:tr w:rsidR="00D64AF7" w:rsidRPr="00B9597D" w14:paraId="528BE355"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F7EEF7"/>
          </w:tcPr>
          <w:p w14:paraId="033B1D03"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Stroke</w:t>
            </w:r>
          </w:p>
        </w:tc>
        <w:tc>
          <w:tcPr>
            <w:tcW w:w="2635" w:type="dxa"/>
            <w:tcBorders>
              <w:top w:val="single" w:sz="6" w:space="0" w:color="595959"/>
              <w:left w:val="single" w:sz="6" w:space="0" w:color="595959"/>
              <w:bottom w:val="single" w:sz="6" w:space="0" w:color="595959"/>
              <w:right w:val="single" w:sz="6" w:space="0" w:color="595959"/>
            </w:tcBorders>
            <w:shd w:val="clear" w:color="auto" w:fill="F7EEF7"/>
          </w:tcPr>
          <w:p w14:paraId="0DD4AD19"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w:t>
            </w:r>
          </w:p>
        </w:tc>
        <w:tc>
          <w:tcPr>
            <w:tcW w:w="2636" w:type="dxa"/>
            <w:tcBorders>
              <w:top w:val="single" w:sz="6" w:space="0" w:color="595959"/>
              <w:left w:val="single" w:sz="6" w:space="0" w:color="595959"/>
              <w:bottom w:val="single" w:sz="6" w:space="0" w:color="595959"/>
              <w:right w:val="single" w:sz="6" w:space="0" w:color="595959"/>
            </w:tcBorders>
            <w:shd w:val="clear" w:color="auto" w:fill="F7EEF7"/>
          </w:tcPr>
          <w:p w14:paraId="3301439E"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3%</w:t>
            </w:r>
          </w:p>
        </w:tc>
      </w:tr>
      <w:tr w:rsidR="00327147" w:rsidRPr="00B9597D" w14:paraId="2BC87E98" w14:textId="77777777">
        <w:trPr>
          <w:trHeight w:val="206"/>
        </w:trPr>
        <w:tc>
          <w:tcPr>
            <w:tcW w:w="3403" w:type="dxa"/>
            <w:tcBorders>
              <w:top w:val="single" w:sz="6" w:space="0" w:color="595959"/>
              <w:left w:val="single" w:sz="6" w:space="0" w:color="595959"/>
              <w:bottom w:val="single" w:sz="6" w:space="0" w:color="595959"/>
              <w:right w:val="single" w:sz="6" w:space="0" w:color="595959"/>
            </w:tcBorders>
            <w:shd w:val="clear" w:color="auto" w:fill="auto"/>
          </w:tcPr>
          <w:p w14:paraId="5B9D1309" w14:textId="77777777" w:rsidR="000F60FA" w:rsidRPr="00EB3D5D" w:rsidRDefault="000F60FA">
            <w:pPr>
              <w:keepNext/>
              <w:keepLines/>
              <w:spacing w:before="0" w:after="0" w:line="240" w:lineRule="auto"/>
              <w:contextualSpacing/>
              <w:textAlignment w:val="baseline"/>
              <w:rPr>
                <w:rFonts w:eastAsia="Times New Roman" w:cs="Arial"/>
                <w:b/>
                <w:szCs w:val="22"/>
                <w:lang w:eastAsia="en-AU"/>
              </w:rPr>
            </w:pPr>
            <w:r w:rsidRPr="00EB3D5D">
              <w:rPr>
                <w:szCs w:val="22"/>
              </w:rPr>
              <w:t>Visual impairment</w:t>
            </w:r>
          </w:p>
        </w:tc>
        <w:tc>
          <w:tcPr>
            <w:tcW w:w="2635" w:type="dxa"/>
            <w:tcBorders>
              <w:top w:val="single" w:sz="6" w:space="0" w:color="595959"/>
              <w:left w:val="single" w:sz="6" w:space="0" w:color="595959"/>
              <w:bottom w:val="single" w:sz="6" w:space="0" w:color="595959"/>
              <w:right w:val="single" w:sz="6" w:space="0" w:color="595959"/>
            </w:tcBorders>
            <w:shd w:val="clear" w:color="auto" w:fill="auto"/>
          </w:tcPr>
          <w:p w14:paraId="33F03456"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1</w:t>
            </w:r>
          </w:p>
        </w:tc>
        <w:tc>
          <w:tcPr>
            <w:tcW w:w="2636" w:type="dxa"/>
            <w:tcBorders>
              <w:top w:val="single" w:sz="6" w:space="0" w:color="595959"/>
              <w:left w:val="single" w:sz="6" w:space="0" w:color="595959"/>
              <w:bottom w:val="single" w:sz="6" w:space="0" w:color="595959"/>
              <w:right w:val="single" w:sz="6" w:space="0" w:color="595959"/>
            </w:tcBorders>
            <w:shd w:val="clear" w:color="auto" w:fill="auto"/>
          </w:tcPr>
          <w:p w14:paraId="21148895" w14:textId="77777777" w:rsidR="000F60FA" w:rsidRPr="00EB3D5D" w:rsidRDefault="000F60FA">
            <w:pPr>
              <w:keepNext/>
              <w:keepLines/>
              <w:spacing w:before="0" w:after="0" w:line="240" w:lineRule="auto"/>
              <w:contextualSpacing/>
              <w:jc w:val="center"/>
              <w:textAlignment w:val="baseline"/>
              <w:rPr>
                <w:rFonts w:ascii="Times New Roman" w:eastAsia="Times New Roman" w:hAnsi="Times New Roman" w:cs="Times New Roman"/>
                <w:szCs w:val="22"/>
                <w:lang w:eastAsia="en-AU"/>
              </w:rPr>
            </w:pPr>
            <w:r w:rsidRPr="00EB3D5D">
              <w:rPr>
                <w:szCs w:val="22"/>
              </w:rPr>
              <w:t>3%</w:t>
            </w:r>
          </w:p>
        </w:tc>
      </w:tr>
    </w:tbl>
    <w:p w14:paraId="45AD451E" w14:textId="086AF7B3" w:rsidR="000F60FA" w:rsidRPr="00EB3D5D" w:rsidRDefault="000F60FA" w:rsidP="000F60FA">
      <w:pPr>
        <w:rPr>
          <w:rFonts w:eastAsiaTheme="majorEastAsia" w:cs="Arial"/>
          <w:b/>
          <w:szCs w:val="22"/>
        </w:rPr>
      </w:pPr>
      <w:r w:rsidRPr="00EB3D5D">
        <w:rPr>
          <w:szCs w:val="22"/>
        </w:rPr>
        <w:t>Source: Research and Evaluation Branch analysis of IER participant survey data</w:t>
      </w:r>
      <w:r w:rsidR="001941DF" w:rsidRPr="00EB3D5D">
        <w:rPr>
          <w:szCs w:val="22"/>
        </w:rPr>
        <w:t>.</w:t>
      </w:r>
      <w:r w:rsidR="00BE4741" w:rsidRPr="00EB3D5D">
        <w:rPr>
          <w:szCs w:val="22"/>
        </w:rPr>
        <w:br/>
        <w:t xml:space="preserve">Notes: </w:t>
      </w:r>
      <w:r w:rsidR="001E7376" w:rsidRPr="00EB3D5D">
        <w:rPr>
          <w:szCs w:val="22"/>
        </w:rPr>
        <w:t xml:space="preserve">NDIS disability category </w:t>
      </w:r>
      <w:r w:rsidR="004733E7" w:rsidRPr="00EB3D5D">
        <w:rPr>
          <w:szCs w:val="22"/>
        </w:rPr>
        <w:t xml:space="preserve">permitted </w:t>
      </w:r>
      <w:r w:rsidR="002009E2" w:rsidRPr="00EB3D5D">
        <w:rPr>
          <w:szCs w:val="22"/>
        </w:rPr>
        <w:t>multiple responses</w:t>
      </w:r>
      <w:r w:rsidR="00BE1001" w:rsidRPr="00EB3D5D">
        <w:rPr>
          <w:szCs w:val="22"/>
        </w:rPr>
        <w:t xml:space="preserve"> from participants</w:t>
      </w:r>
      <w:r w:rsidR="00CD0A73" w:rsidRPr="00EB3D5D">
        <w:rPr>
          <w:szCs w:val="22"/>
        </w:rPr>
        <w:t xml:space="preserve"> N =36, </w:t>
      </w:r>
      <w:r w:rsidR="00E96E08" w:rsidRPr="00EB3D5D">
        <w:rPr>
          <w:szCs w:val="22"/>
        </w:rPr>
        <w:t xml:space="preserve">on average </w:t>
      </w:r>
      <w:r w:rsidR="00D20FB7" w:rsidRPr="00EB3D5D">
        <w:rPr>
          <w:szCs w:val="22"/>
        </w:rPr>
        <w:t>respondents</w:t>
      </w:r>
      <w:r w:rsidR="00D43AF0" w:rsidRPr="00EB3D5D">
        <w:rPr>
          <w:szCs w:val="22"/>
        </w:rPr>
        <w:t xml:space="preserve"> nominated 2.8 disability </w:t>
      </w:r>
      <w:r w:rsidR="00D20FB7" w:rsidRPr="00EB3D5D">
        <w:rPr>
          <w:szCs w:val="22"/>
        </w:rPr>
        <w:t xml:space="preserve">types </w:t>
      </w:r>
      <w:r w:rsidR="00D43AF0" w:rsidRPr="00EB3D5D">
        <w:rPr>
          <w:szCs w:val="22"/>
        </w:rPr>
        <w:t>each.</w:t>
      </w:r>
    </w:p>
    <w:p w14:paraId="234156B5" w14:textId="0C734326" w:rsidR="000F60FA" w:rsidRDefault="00B94965" w:rsidP="00B94965">
      <w:pPr>
        <w:pStyle w:val="Heading2"/>
        <w:numPr>
          <w:ilvl w:val="0"/>
          <w:numId w:val="0"/>
        </w:numPr>
        <w:ind w:left="1134" w:hanging="1134"/>
      </w:pPr>
      <w:bookmarkStart w:id="155" w:name="_Toc135394738"/>
      <w:bookmarkStart w:id="156" w:name="_Toc142918620"/>
      <w:r>
        <w:lastRenderedPageBreak/>
        <w:t xml:space="preserve">Appendix </w:t>
      </w:r>
      <w:r w:rsidR="00C2307E">
        <w:t>D</w:t>
      </w:r>
      <w:r>
        <w:t xml:space="preserve">: </w:t>
      </w:r>
      <w:r w:rsidR="000F60FA" w:rsidRPr="00F0175C">
        <w:t>Online surveys</w:t>
      </w:r>
      <w:bookmarkEnd w:id="155"/>
      <w:bookmarkEnd w:id="156"/>
    </w:p>
    <w:p w14:paraId="1CA82A2F" w14:textId="77777777" w:rsidR="000F60FA" w:rsidRDefault="000F60FA" w:rsidP="00841C2F">
      <w:pPr>
        <w:pStyle w:val="Heading3"/>
        <w:numPr>
          <w:ilvl w:val="0"/>
          <w:numId w:val="0"/>
        </w:numPr>
        <w:ind w:left="1134" w:hanging="1134"/>
      </w:pPr>
      <w:bookmarkStart w:id="157" w:name="_Toc140146261"/>
      <w:bookmarkStart w:id="158" w:name="_Toc140148930"/>
      <w:bookmarkStart w:id="159" w:name="_Toc140157514"/>
      <w:bookmarkStart w:id="160" w:name="_Toc142483292"/>
      <w:bookmarkStart w:id="161" w:name="_Toc142918621"/>
      <w:r>
        <w:t>Participants</w:t>
      </w:r>
      <w:bookmarkEnd w:id="157"/>
      <w:bookmarkEnd w:id="158"/>
      <w:bookmarkEnd w:id="159"/>
      <w:bookmarkEnd w:id="160"/>
      <w:bookmarkEnd w:id="161"/>
    </w:p>
    <w:p w14:paraId="7A670B09" w14:textId="7416D5B8" w:rsidR="000F60FA" w:rsidRPr="0097718E" w:rsidRDefault="000F60FA" w:rsidP="008329AE">
      <w:pPr>
        <w:pStyle w:val="AppendixH4"/>
      </w:pPr>
      <w:r w:rsidRPr="0097718E">
        <w:t>Welcome to the Independent Expert Review (IER) Program survey</w:t>
      </w:r>
    </w:p>
    <w:p w14:paraId="5E1F60CA" w14:textId="77777777" w:rsidR="000F60FA" w:rsidRPr="0097718E" w:rsidRDefault="000F60FA" w:rsidP="000F60FA">
      <w:pPr>
        <w:spacing w:before="120"/>
        <w:rPr>
          <w:rFonts w:ascii="Calibri" w:eastAsia="DengXian" w:hAnsi="Calibri" w:cs="Cordia New"/>
          <w:szCs w:val="22"/>
          <w:lang w:eastAsia="zh-CN" w:bidi="th-TH"/>
        </w:rPr>
      </w:pPr>
      <w:r w:rsidRPr="0097718E">
        <w:rPr>
          <w:rFonts w:eastAsia="Calibri" w:cs="Cordia New"/>
          <w:szCs w:val="22"/>
          <w:lang w:eastAsia="en-US"/>
        </w:rPr>
        <w:t xml:space="preserve">The Agency commenced the IER program in October 2022. </w:t>
      </w:r>
    </w:p>
    <w:p w14:paraId="74D0FD6C" w14:textId="77777777" w:rsidR="000F60FA" w:rsidRPr="0097718E" w:rsidRDefault="000F60FA" w:rsidP="000F60FA">
      <w:pPr>
        <w:spacing w:before="120"/>
        <w:rPr>
          <w:rFonts w:eastAsia="Calibri" w:cs="Cordia New"/>
          <w:szCs w:val="22"/>
          <w:lang w:eastAsia="en-US"/>
        </w:rPr>
      </w:pPr>
      <w:r w:rsidRPr="0097718E">
        <w:rPr>
          <w:rFonts w:eastAsia="Calibri" w:cs="Cordia New"/>
          <w:szCs w:val="22"/>
          <w:lang w:eastAsia="en-US"/>
        </w:rPr>
        <w:t>We are now seeking feedback from you about your experience with the IER program to better inform how it could be improved as it expands in 2023. The survey is about your IER program experience in particular, rather than your more general experience with the Administrative Appeals Tribunal (AAT) The survey will take you about 15 minutes to complete.</w:t>
      </w:r>
    </w:p>
    <w:p w14:paraId="1097027C" w14:textId="77777777" w:rsidR="000F60FA" w:rsidRPr="0097718E" w:rsidRDefault="000F60FA" w:rsidP="000F60FA">
      <w:pPr>
        <w:spacing w:before="120"/>
        <w:rPr>
          <w:rFonts w:eastAsia="Calibri" w:cs="Cordia New"/>
          <w:szCs w:val="22"/>
          <w:lang w:eastAsia="en-US"/>
        </w:rPr>
      </w:pPr>
      <w:r w:rsidRPr="0097718E">
        <w:rPr>
          <w:rFonts w:eastAsia="Calibri" w:cs="Cordia New"/>
          <w:szCs w:val="22"/>
          <w:lang w:eastAsia="en-US"/>
        </w:rPr>
        <w:t>Please remember:</w:t>
      </w:r>
    </w:p>
    <w:p w14:paraId="0C471868" w14:textId="77777777" w:rsidR="000F60FA" w:rsidRPr="0097718E" w:rsidRDefault="000F60FA" w:rsidP="000705FE">
      <w:pPr>
        <w:numPr>
          <w:ilvl w:val="0"/>
          <w:numId w:val="25"/>
        </w:numPr>
        <w:spacing w:before="120"/>
        <w:rPr>
          <w:rFonts w:eastAsia="Calibri" w:cs="Cordia New"/>
          <w:szCs w:val="22"/>
          <w:lang w:eastAsia="en-US"/>
        </w:rPr>
      </w:pPr>
      <w:r w:rsidRPr="0097718E">
        <w:rPr>
          <w:rFonts w:eastAsia="Calibri" w:cs="Cordia New"/>
          <w:szCs w:val="22"/>
          <w:lang w:eastAsia="en-US"/>
        </w:rPr>
        <w:t xml:space="preserve">You don't have to do the survey if you don’t want to. </w:t>
      </w:r>
    </w:p>
    <w:p w14:paraId="1E7FFA97" w14:textId="77777777" w:rsidR="000F60FA" w:rsidRPr="0097718E" w:rsidRDefault="000F60FA" w:rsidP="000705FE">
      <w:pPr>
        <w:numPr>
          <w:ilvl w:val="0"/>
          <w:numId w:val="25"/>
        </w:numPr>
        <w:spacing w:before="120"/>
        <w:rPr>
          <w:rFonts w:eastAsia="Calibri" w:cs="Cordia New"/>
          <w:szCs w:val="22"/>
          <w:lang w:eastAsia="en-US"/>
        </w:rPr>
      </w:pPr>
      <w:r w:rsidRPr="0097718E">
        <w:rPr>
          <w:rFonts w:eastAsia="Calibri" w:cs="Cordia New"/>
          <w:szCs w:val="22"/>
          <w:lang w:eastAsia="en-US"/>
        </w:rPr>
        <w:t>Your answers will be collated and remain anonymous.</w:t>
      </w:r>
    </w:p>
    <w:p w14:paraId="2EBD3E29" w14:textId="77777777" w:rsidR="000F60FA" w:rsidRPr="0097718E" w:rsidRDefault="000F60FA" w:rsidP="000705FE">
      <w:pPr>
        <w:numPr>
          <w:ilvl w:val="0"/>
          <w:numId w:val="25"/>
        </w:numPr>
        <w:spacing w:before="120"/>
        <w:rPr>
          <w:rFonts w:eastAsia="Calibri" w:cs="Cordia New"/>
          <w:szCs w:val="22"/>
          <w:lang w:eastAsia="en-US"/>
        </w:rPr>
      </w:pPr>
      <w:r w:rsidRPr="0097718E">
        <w:rPr>
          <w:rFonts w:eastAsia="Calibri" w:cs="Cordia New"/>
          <w:szCs w:val="22"/>
          <w:lang w:eastAsia="en-US"/>
        </w:rPr>
        <w:t>Your support or funding will not be affected.</w:t>
      </w:r>
    </w:p>
    <w:p w14:paraId="2D06736D" w14:textId="77777777" w:rsidR="000F60FA" w:rsidRPr="0097718E" w:rsidRDefault="000F60FA" w:rsidP="000F60FA">
      <w:pPr>
        <w:shd w:val="clear" w:color="auto" w:fill="FFFFFF"/>
        <w:spacing w:before="120" w:after="100" w:afterAutospacing="1"/>
        <w:rPr>
          <w:rFonts w:ascii="Segoe UI" w:eastAsia="Calibri" w:hAnsi="Segoe UI" w:cs="Segoe UI"/>
          <w:color w:val="212529"/>
          <w:szCs w:val="22"/>
          <w:lang w:eastAsia="en-US"/>
        </w:rPr>
      </w:pPr>
      <w:r w:rsidRPr="0097718E">
        <w:rPr>
          <w:rFonts w:eastAsia="Calibri" w:cs="Cordia New"/>
          <w:szCs w:val="22"/>
          <w:lang w:eastAsia="en-US"/>
        </w:rPr>
        <w:t xml:space="preserve">Information about how we handle your responses can be found in the </w:t>
      </w:r>
      <w:hyperlink r:id="rId32" w:history="1">
        <w:r w:rsidRPr="00D31DED">
          <w:rPr>
            <w:rFonts w:ascii="Segoe UI" w:eastAsia="Calibri" w:hAnsi="Segoe UI" w:cs="Segoe UI"/>
            <w:b/>
            <w:bCs/>
            <w:color w:val="6B2976"/>
            <w:szCs w:val="22"/>
            <w:u w:val="single"/>
            <w:lang w:eastAsia="en-US"/>
          </w:rPr>
          <w:t>NDIS Privacy Policy</w:t>
        </w:r>
      </w:hyperlink>
      <w:r w:rsidRPr="004323B7">
        <w:rPr>
          <w:rFonts w:ascii="Segoe UI" w:eastAsia="Calibri" w:hAnsi="Segoe UI" w:cs="Segoe UI"/>
          <w:color w:val="212529"/>
          <w:szCs w:val="22"/>
          <w:lang w:eastAsia="en-US"/>
        </w:rPr>
        <w:t xml:space="preserve"> </w:t>
      </w:r>
      <w:r w:rsidRPr="0097718E">
        <w:rPr>
          <w:rFonts w:eastAsia="Calibri" w:cs="Cordia New"/>
          <w:szCs w:val="22"/>
          <w:lang w:eastAsia="en-US"/>
        </w:rPr>
        <w:t>and the survey information statement. You can read this statement before you decide to start the survey.</w:t>
      </w:r>
    </w:p>
    <w:p w14:paraId="6B86EFD7" w14:textId="2251BA1E" w:rsidR="000F60FA" w:rsidRPr="0097718E" w:rsidRDefault="000F60FA" w:rsidP="000F60FA">
      <w:pPr>
        <w:spacing w:before="120"/>
        <w:rPr>
          <w:rFonts w:eastAsia="Calibri" w:cs="Cordia New"/>
          <w:szCs w:val="22"/>
          <w:lang w:eastAsia="en-US"/>
        </w:rPr>
      </w:pPr>
      <w:r w:rsidRPr="0097718E">
        <w:rPr>
          <w:rFonts w:eastAsia="Calibri" w:cs="Cordia New"/>
          <w:szCs w:val="22"/>
          <w:lang w:eastAsia="en-US"/>
        </w:rPr>
        <w:t>Your feedback and ideas are important to us. By answering the question below, you agree that you</w:t>
      </w:r>
      <w:r w:rsidR="00EB7F1D">
        <w:rPr>
          <w:rFonts w:eastAsia="Calibri" w:cs="Cordia New"/>
          <w:szCs w:val="22"/>
          <w:lang w:eastAsia="en-US"/>
        </w:rPr>
        <w:t>:</w:t>
      </w:r>
      <w:r w:rsidRPr="0097718E">
        <w:rPr>
          <w:rFonts w:eastAsia="Calibri" w:cs="Cordia New"/>
          <w:szCs w:val="22"/>
          <w:lang w:eastAsia="en-US"/>
        </w:rPr>
        <w:t xml:space="preserve"> </w:t>
      </w:r>
    </w:p>
    <w:p w14:paraId="32AC03BE" w14:textId="77777777" w:rsidR="000F60FA" w:rsidRPr="0097718E" w:rsidRDefault="000F60FA" w:rsidP="000705FE">
      <w:pPr>
        <w:numPr>
          <w:ilvl w:val="0"/>
          <w:numId w:val="34"/>
        </w:numPr>
        <w:spacing w:before="120"/>
        <w:rPr>
          <w:rFonts w:eastAsia="Calibri" w:cs="Cordia New"/>
          <w:szCs w:val="22"/>
          <w:lang w:eastAsia="en-AU"/>
        </w:rPr>
      </w:pPr>
      <w:r w:rsidRPr="0097718E">
        <w:rPr>
          <w:rFonts w:eastAsia="Calibri" w:cs="Cordia New"/>
          <w:szCs w:val="22"/>
          <w:lang w:eastAsia="en-US"/>
        </w:rPr>
        <w:t xml:space="preserve">understand this information, </w:t>
      </w:r>
    </w:p>
    <w:p w14:paraId="0C185496" w14:textId="77777777" w:rsidR="000F60FA" w:rsidRPr="0097718E" w:rsidRDefault="000F60FA" w:rsidP="000705FE">
      <w:pPr>
        <w:numPr>
          <w:ilvl w:val="0"/>
          <w:numId w:val="34"/>
        </w:numPr>
        <w:spacing w:before="120"/>
        <w:rPr>
          <w:rFonts w:eastAsia="Calibri" w:cs="Cordia New"/>
          <w:szCs w:val="22"/>
          <w:lang w:eastAsia="en-AU"/>
        </w:rPr>
      </w:pPr>
      <w:r w:rsidRPr="0097718E">
        <w:rPr>
          <w:rFonts w:eastAsia="Calibri" w:cs="Cordia New"/>
          <w:szCs w:val="22"/>
          <w:lang w:eastAsia="en-US"/>
        </w:rPr>
        <w:t xml:space="preserve">are over 18 years old, and </w:t>
      </w:r>
    </w:p>
    <w:p w14:paraId="1C71B9B0" w14:textId="77777777" w:rsidR="000F60FA" w:rsidRPr="0097718E" w:rsidRDefault="000F60FA" w:rsidP="000705FE">
      <w:pPr>
        <w:numPr>
          <w:ilvl w:val="0"/>
          <w:numId w:val="34"/>
        </w:numPr>
        <w:spacing w:before="120" w:after="200"/>
        <w:rPr>
          <w:rFonts w:eastAsia="Calibri" w:cs="Cordia New"/>
          <w:szCs w:val="22"/>
          <w:lang w:eastAsia="en-AU"/>
        </w:rPr>
      </w:pPr>
      <w:r w:rsidRPr="0097718E">
        <w:rPr>
          <w:rFonts w:eastAsia="Calibri" w:cs="Cordia New"/>
          <w:szCs w:val="22"/>
          <w:lang w:eastAsia="en-US"/>
        </w:rPr>
        <w:t xml:space="preserve">are willing to contribute to the survey. </w:t>
      </w:r>
    </w:p>
    <w:p w14:paraId="51ED5B72" w14:textId="77777777" w:rsidR="000F60FA" w:rsidRPr="0097718E" w:rsidRDefault="000F60FA" w:rsidP="000F60FA">
      <w:pPr>
        <w:spacing w:before="120"/>
        <w:rPr>
          <w:rFonts w:eastAsia="Calibri" w:cs="Cordia New"/>
          <w:szCs w:val="22"/>
          <w:lang w:eastAsia="en-US"/>
        </w:rPr>
      </w:pPr>
      <w:r w:rsidRPr="0097718E">
        <w:rPr>
          <w:rFonts w:eastAsia="Calibri" w:cs="Cordia New"/>
          <w:szCs w:val="22"/>
          <w:lang w:eastAsia="en-US"/>
        </w:rPr>
        <w:t>Do you want to do this survey now?*</w:t>
      </w:r>
    </w:p>
    <w:p w14:paraId="19D9FB55" w14:textId="77777777" w:rsidR="000F60FA" w:rsidRPr="0097718E" w:rsidRDefault="000F60FA" w:rsidP="000705FE">
      <w:pPr>
        <w:numPr>
          <w:ilvl w:val="0"/>
          <w:numId w:val="24"/>
        </w:numPr>
        <w:spacing w:before="120"/>
        <w:rPr>
          <w:rFonts w:eastAsia="Calibri" w:cs="Cordia New"/>
          <w:szCs w:val="22"/>
          <w:lang w:eastAsia="en-US"/>
        </w:rPr>
      </w:pPr>
      <w:r w:rsidRPr="0097718E">
        <w:rPr>
          <w:rFonts w:eastAsia="DengXian" w:cs="Cordia New"/>
          <w:szCs w:val="22"/>
          <w:lang w:eastAsia="en-US"/>
        </w:rPr>
        <w:t>Yes</w:t>
      </w:r>
    </w:p>
    <w:p w14:paraId="5A8BBA54" w14:textId="77777777" w:rsidR="000F60FA" w:rsidRPr="0097718E" w:rsidRDefault="000F60FA" w:rsidP="000705FE">
      <w:pPr>
        <w:numPr>
          <w:ilvl w:val="0"/>
          <w:numId w:val="24"/>
        </w:numPr>
        <w:spacing w:before="120"/>
        <w:rPr>
          <w:rFonts w:eastAsia="Calibri" w:cs="Cordia New"/>
          <w:szCs w:val="22"/>
          <w:lang w:eastAsia="en-US"/>
        </w:rPr>
      </w:pPr>
      <w:r w:rsidRPr="0097718E">
        <w:rPr>
          <w:rFonts w:eastAsia="Calibri" w:cs="Cordia New"/>
          <w:szCs w:val="22"/>
          <w:lang w:eastAsia="en-US"/>
        </w:rPr>
        <w:t>No, I need more information - GO TO SURVEY INFO STATEMENT (see end of this doc)</w:t>
      </w:r>
    </w:p>
    <w:p w14:paraId="3D78092C" w14:textId="77777777" w:rsidR="000F60FA" w:rsidRPr="0097718E" w:rsidRDefault="000F60FA" w:rsidP="000705FE">
      <w:pPr>
        <w:numPr>
          <w:ilvl w:val="0"/>
          <w:numId w:val="24"/>
        </w:numPr>
        <w:spacing w:before="120"/>
        <w:rPr>
          <w:rFonts w:eastAsia="Calibri" w:cs="Cordia New"/>
          <w:szCs w:val="22"/>
          <w:lang w:eastAsia="en-US"/>
        </w:rPr>
      </w:pPr>
      <w:r w:rsidRPr="0097718E">
        <w:rPr>
          <w:rFonts w:eastAsia="Calibri" w:cs="Cordia New"/>
          <w:szCs w:val="22"/>
          <w:lang w:eastAsia="en-US"/>
        </w:rPr>
        <w:lastRenderedPageBreak/>
        <w:t>Maybe later – Display message &lt;YOU CAN LEAVE THIS PAGE NOW BY CLOSING YOUR BROWSER WINDOW&gt;</w:t>
      </w:r>
    </w:p>
    <w:p w14:paraId="4104C2F6" w14:textId="77777777" w:rsidR="000F60FA" w:rsidRPr="0097718E" w:rsidRDefault="000F60FA" w:rsidP="000F60FA">
      <w:pPr>
        <w:spacing w:before="120"/>
        <w:rPr>
          <w:rFonts w:eastAsia="Calibri" w:cs="Arial"/>
          <w:szCs w:val="22"/>
          <w:lang w:val="en-CA" w:eastAsia="en-AU"/>
        </w:rPr>
      </w:pPr>
      <w:r w:rsidRPr="0097718E">
        <w:rPr>
          <w:rFonts w:eastAsia="Calibri" w:cs="Arial"/>
          <w:szCs w:val="22"/>
          <w:lang w:val="en-CA" w:eastAsia="en-AU"/>
        </w:rPr>
        <w:br w:type="page"/>
      </w:r>
    </w:p>
    <w:p w14:paraId="6EB8395F" w14:textId="77777777" w:rsidR="000F60FA" w:rsidRPr="0097718E" w:rsidRDefault="000F60FA" w:rsidP="005B5444">
      <w:pPr>
        <w:pStyle w:val="H4Numbers"/>
        <w:ind w:left="567" w:hanging="567"/>
      </w:pPr>
      <w:r w:rsidRPr="0097718E">
        <w:lastRenderedPageBreak/>
        <w:t>What was the outcome of the Independent Expert’s recommendation for your matter?</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58679F9B" w14:textId="77777777">
        <w:tc>
          <w:tcPr>
            <w:tcW w:w="5392" w:type="dxa"/>
            <w:tcBorders>
              <w:top w:val="single" w:sz="4" w:space="0" w:color="BFBFBF"/>
              <w:left w:val="nil"/>
              <w:bottom w:val="single" w:sz="4" w:space="0" w:color="D9D9D9"/>
              <w:right w:val="nil"/>
            </w:tcBorders>
            <w:hideMark/>
          </w:tcPr>
          <w:p w14:paraId="2C7DE1D5"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All supports recommended</w:t>
            </w:r>
          </w:p>
        </w:tc>
        <w:tc>
          <w:tcPr>
            <w:tcW w:w="1990" w:type="dxa"/>
            <w:tcBorders>
              <w:top w:val="single" w:sz="4" w:space="0" w:color="BFBFBF"/>
              <w:left w:val="nil"/>
              <w:bottom w:val="single" w:sz="4" w:space="0" w:color="D9D9D9"/>
              <w:right w:val="nil"/>
            </w:tcBorders>
            <w:hideMark/>
          </w:tcPr>
          <w:p w14:paraId="744D66A4"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3B576268" w14:textId="77777777">
        <w:tc>
          <w:tcPr>
            <w:tcW w:w="5392" w:type="dxa"/>
            <w:tcBorders>
              <w:top w:val="single" w:sz="4" w:space="0" w:color="D9D9D9"/>
              <w:left w:val="nil"/>
              <w:bottom w:val="single" w:sz="4" w:space="0" w:color="D9D9D9"/>
              <w:right w:val="nil"/>
            </w:tcBorders>
            <w:hideMark/>
          </w:tcPr>
          <w:p w14:paraId="1A62EB3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 supports recommended</w:t>
            </w:r>
          </w:p>
        </w:tc>
        <w:tc>
          <w:tcPr>
            <w:tcW w:w="1990" w:type="dxa"/>
            <w:tcBorders>
              <w:top w:val="single" w:sz="4" w:space="0" w:color="D9D9D9"/>
              <w:left w:val="nil"/>
              <w:bottom w:val="single" w:sz="4" w:space="0" w:color="D9D9D9"/>
              <w:right w:val="nil"/>
            </w:tcBorders>
            <w:hideMark/>
          </w:tcPr>
          <w:p w14:paraId="5FE6FBD1"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0DBF161D" w14:textId="77777777">
        <w:tc>
          <w:tcPr>
            <w:tcW w:w="5392" w:type="dxa"/>
            <w:tcBorders>
              <w:top w:val="single" w:sz="4" w:space="0" w:color="D9D9D9"/>
              <w:left w:val="nil"/>
              <w:bottom w:val="single" w:sz="4" w:space="0" w:color="D9D9D9"/>
              <w:right w:val="nil"/>
            </w:tcBorders>
            <w:hideMark/>
          </w:tcPr>
          <w:p w14:paraId="226715B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 supports recommended</w:t>
            </w:r>
          </w:p>
        </w:tc>
        <w:tc>
          <w:tcPr>
            <w:tcW w:w="1990" w:type="dxa"/>
            <w:tcBorders>
              <w:top w:val="single" w:sz="4" w:space="0" w:color="D9D9D9"/>
              <w:left w:val="nil"/>
              <w:bottom w:val="single" w:sz="4" w:space="0" w:color="D9D9D9"/>
              <w:right w:val="nil"/>
            </w:tcBorders>
            <w:hideMark/>
          </w:tcPr>
          <w:p w14:paraId="67B7B59C"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76C01459" w14:textId="77777777" w:rsidR="000F60FA" w:rsidRPr="0097718E" w:rsidRDefault="000F60FA" w:rsidP="000F60FA">
      <w:pPr>
        <w:spacing w:before="120"/>
        <w:rPr>
          <w:rFonts w:eastAsia="Calibri" w:cs="Arial"/>
          <w:b/>
          <w:szCs w:val="22"/>
          <w:lang w:eastAsia="en-US"/>
        </w:rPr>
      </w:pPr>
    </w:p>
    <w:p w14:paraId="41D994EA" w14:textId="77777777" w:rsidR="000F60FA" w:rsidRPr="0097718E" w:rsidRDefault="000F60FA" w:rsidP="005B5444">
      <w:pPr>
        <w:pStyle w:val="H4Numbers"/>
        <w:ind w:left="567" w:hanging="567"/>
      </w:pPr>
      <w:r w:rsidRPr="0097718E">
        <w:t>How clear was the Independent Expert’s recommendation to you?</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73B7C911" w14:textId="77777777">
        <w:tc>
          <w:tcPr>
            <w:tcW w:w="5392" w:type="dxa"/>
            <w:tcBorders>
              <w:top w:val="single" w:sz="4" w:space="0" w:color="BFBFBF"/>
              <w:left w:val="nil"/>
              <w:bottom w:val="single" w:sz="4" w:space="0" w:color="D9D9D9"/>
              <w:right w:val="nil"/>
            </w:tcBorders>
            <w:hideMark/>
          </w:tcPr>
          <w:p w14:paraId="5332B524"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Very unclear</w:t>
            </w:r>
          </w:p>
        </w:tc>
        <w:tc>
          <w:tcPr>
            <w:tcW w:w="1990" w:type="dxa"/>
            <w:tcBorders>
              <w:top w:val="single" w:sz="4" w:space="0" w:color="BFBFBF"/>
              <w:left w:val="nil"/>
              <w:bottom w:val="single" w:sz="4" w:space="0" w:color="D9D9D9"/>
              <w:right w:val="nil"/>
            </w:tcBorders>
            <w:hideMark/>
          </w:tcPr>
          <w:p w14:paraId="5B5C01A4"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4DBB241D" w14:textId="77777777">
        <w:tc>
          <w:tcPr>
            <w:tcW w:w="5392" w:type="dxa"/>
            <w:tcBorders>
              <w:top w:val="single" w:sz="4" w:space="0" w:color="D9D9D9"/>
              <w:left w:val="nil"/>
              <w:bottom w:val="single" w:sz="4" w:space="0" w:color="D9D9D9"/>
              <w:right w:val="nil"/>
            </w:tcBorders>
            <w:hideMark/>
          </w:tcPr>
          <w:p w14:paraId="6CA97EDE"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unclear</w:t>
            </w:r>
          </w:p>
        </w:tc>
        <w:tc>
          <w:tcPr>
            <w:tcW w:w="1990" w:type="dxa"/>
            <w:tcBorders>
              <w:top w:val="single" w:sz="4" w:space="0" w:color="D9D9D9"/>
              <w:left w:val="nil"/>
              <w:bottom w:val="single" w:sz="4" w:space="0" w:color="D9D9D9"/>
              <w:right w:val="nil"/>
            </w:tcBorders>
            <w:hideMark/>
          </w:tcPr>
          <w:p w14:paraId="3D7507DB"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16AA8A1F" w14:textId="77777777">
        <w:tc>
          <w:tcPr>
            <w:tcW w:w="5392" w:type="dxa"/>
            <w:tcBorders>
              <w:top w:val="single" w:sz="4" w:space="0" w:color="D9D9D9"/>
              <w:left w:val="nil"/>
              <w:bottom w:val="single" w:sz="4" w:space="0" w:color="D9D9D9"/>
              <w:right w:val="nil"/>
            </w:tcBorders>
          </w:tcPr>
          <w:p w14:paraId="1F655849"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Reasonably clear</w:t>
            </w:r>
          </w:p>
        </w:tc>
        <w:tc>
          <w:tcPr>
            <w:tcW w:w="1990" w:type="dxa"/>
            <w:tcBorders>
              <w:top w:val="single" w:sz="4" w:space="0" w:color="D9D9D9"/>
              <w:left w:val="nil"/>
              <w:bottom w:val="single" w:sz="4" w:space="0" w:color="D9D9D9"/>
              <w:right w:val="nil"/>
            </w:tcBorders>
          </w:tcPr>
          <w:p w14:paraId="0DF8A3A4"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r w:rsidR="00327147" w:rsidRPr="0097718E" w14:paraId="1A851286" w14:textId="77777777">
        <w:tc>
          <w:tcPr>
            <w:tcW w:w="5392" w:type="dxa"/>
            <w:tcBorders>
              <w:top w:val="single" w:sz="4" w:space="0" w:color="D9D9D9"/>
              <w:left w:val="nil"/>
              <w:bottom w:val="single" w:sz="4" w:space="0" w:color="D9D9D9"/>
              <w:right w:val="nil"/>
            </w:tcBorders>
          </w:tcPr>
          <w:p w14:paraId="27817BF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Very clear</w:t>
            </w:r>
          </w:p>
        </w:tc>
        <w:tc>
          <w:tcPr>
            <w:tcW w:w="1990" w:type="dxa"/>
            <w:tcBorders>
              <w:top w:val="single" w:sz="4" w:space="0" w:color="D9D9D9"/>
              <w:left w:val="nil"/>
              <w:bottom w:val="single" w:sz="4" w:space="0" w:color="D9D9D9"/>
              <w:right w:val="nil"/>
            </w:tcBorders>
          </w:tcPr>
          <w:p w14:paraId="2D7C7444"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bl>
    <w:p w14:paraId="7E244C88" w14:textId="77777777" w:rsidR="000F60FA" w:rsidRPr="0097718E" w:rsidRDefault="000F60FA" w:rsidP="000F60FA">
      <w:pPr>
        <w:spacing w:before="120"/>
        <w:rPr>
          <w:rFonts w:eastAsia="Calibri" w:cs="Arial"/>
          <w:b/>
          <w:szCs w:val="22"/>
          <w:lang w:eastAsia="en-US"/>
        </w:rPr>
      </w:pPr>
    </w:p>
    <w:p w14:paraId="519903E7" w14:textId="77777777" w:rsidR="000F60FA" w:rsidRPr="0097718E" w:rsidRDefault="000F60FA" w:rsidP="005B5444">
      <w:pPr>
        <w:pStyle w:val="H4Numbers"/>
        <w:ind w:left="567" w:hanging="567"/>
      </w:pPr>
      <w:r w:rsidRPr="0097718E">
        <w:t>How satisfied were you with the outcome of your matter in the IER program?</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4F30CAB8" w14:textId="77777777">
        <w:tc>
          <w:tcPr>
            <w:tcW w:w="5392" w:type="dxa"/>
            <w:tcBorders>
              <w:top w:val="single" w:sz="4" w:space="0" w:color="BFBFBF"/>
              <w:left w:val="nil"/>
              <w:bottom w:val="single" w:sz="4" w:space="0" w:color="D9D9D9"/>
              <w:right w:val="nil"/>
            </w:tcBorders>
            <w:hideMark/>
          </w:tcPr>
          <w:p w14:paraId="7637908D"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 satisfied</w:t>
            </w:r>
          </w:p>
        </w:tc>
        <w:tc>
          <w:tcPr>
            <w:tcW w:w="1990" w:type="dxa"/>
            <w:tcBorders>
              <w:top w:val="single" w:sz="4" w:space="0" w:color="BFBFBF"/>
              <w:left w:val="nil"/>
              <w:bottom w:val="single" w:sz="4" w:space="0" w:color="D9D9D9"/>
              <w:right w:val="nil"/>
            </w:tcBorders>
            <w:hideMark/>
          </w:tcPr>
          <w:p w14:paraId="4CB1770B"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35AC7CC4" w14:textId="77777777">
        <w:tc>
          <w:tcPr>
            <w:tcW w:w="5392" w:type="dxa"/>
            <w:tcBorders>
              <w:top w:val="single" w:sz="4" w:space="0" w:color="D9D9D9"/>
              <w:left w:val="nil"/>
              <w:bottom w:val="single" w:sz="4" w:space="0" w:color="D9D9D9"/>
              <w:right w:val="nil"/>
            </w:tcBorders>
            <w:hideMark/>
          </w:tcPr>
          <w:p w14:paraId="1DDDDA0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Only a little bit satisfied</w:t>
            </w:r>
          </w:p>
        </w:tc>
        <w:tc>
          <w:tcPr>
            <w:tcW w:w="1990" w:type="dxa"/>
            <w:tcBorders>
              <w:top w:val="single" w:sz="4" w:space="0" w:color="D9D9D9"/>
              <w:left w:val="nil"/>
              <w:bottom w:val="single" w:sz="4" w:space="0" w:color="D9D9D9"/>
              <w:right w:val="nil"/>
            </w:tcBorders>
            <w:hideMark/>
          </w:tcPr>
          <w:p w14:paraId="6300EDB7"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05C047E5" w14:textId="77777777">
        <w:tc>
          <w:tcPr>
            <w:tcW w:w="5392" w:type="dxa"/>
            <w:tcBorders>
              <w:top w:val="single" w:sz="4" w:space="0" w:color="D9D9D9"/>
              <w:left w:val="nil"/>
              <w:bottom w:val="single" w:sz="4" w:space="0" w:color="D9D9D9"/>
              <w:right w:val="nil"/>
            </w:tcBorders>
            <w:hideMark/>
          </w:tcPr>
          <w:p w14:paraId="353B4BA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satisfied</w:t>
            </w:r>
          </w:p>
        </w:tc>
        <w:tc>
          <w:tcPr>
            <w:tcW w:w="1990" w:type="dxa"/>
            <w:tcBorders>
              <w:top w:val="single" w:sz="4" w:space="0" w:color="D9D9D9"/>
              <w:left w:val="nil"/>
              <w:bottom w:val="single" w:sz="4" w:space="0" w:color="D9D9D9"/>
              <w:right w:val="nil"/>
            </w:tcBorders>
            <w:hideMark/>
          </w:tcPr>
          <w:p w14:paraId="3ED17D4A" w14:textId="77777777" w:rsidR="000F60FA" w:rsidRPr="0097718E" w:rsidRDefault="000F60FA">
            <w:pPr>
              <w:spacing w:before="60" w:after="60"/>
              <w:jc w:val="center"/>
              <w:rPr>
                <w:rFonts w:eastAsia="Calibri"/>
                <w:strike/>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478FF3F4" w14:textId="77777777">
        <w:tc>
          <w:tcPr>
            <w:tcW w:w="5392" w:type="dxa"/>
            <w:tcBorders>
              <w:top w:val="single" w:sz="4" w:space="0" w:color="D9D9D9"/>
              <w:left w:val="nil"/>
              <w:bottom w:val="single" w:sz="4" w:space="0" w:color="D9D9D9"/>
              <w:right w:val="nil"/>
            </w:tcBorders>
          </w:tcPr>
          <w:p w14:paraId="3C92BEA9"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Mostly satisfied</w:t>
            </w:r>
          </w:p>
        </w:tc>
        <w:tc>
          <w:tcPr>
            <w:tcW w:w="1990" w:type="dxa"/>
            <w:tcBorders>
              <w:top w:val="single" w:sz="4" w:space="0" w:color="D9D9D9"/>
              <w:left w:val="nil"/>
              <w:bottom w:val="single" w:sz="4" w:space="0" w:color="D9D9D9"/>
              <w:right w:val="nil"/>
            </w:tcBorders>
          </w:tcPr>
          <w:p w14:paraId="64A92226"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r w:rsidR="00327147" w:rsidRPr="0097718E" w14:paraId="2054768E" w14:textId="77777777">
        <w:tc>
          <w:tcPr>
            <w:tcW w:w="5392" w:type="dxa"/>
            <w:tcBorders>
              <w:top w:val="single" w:sz="4" w:space="0" w:color="D9D9D9"/>
              <w:left w:val="nil"/>
              <w:bottom w:val="single" w:sz="4" w:space="0" w:color="D9D9D9"/>
              <w:right w:val="nil"/>
            </w:tcBorders>
          </w:tcPr>
          <w:p w14:paraId="788EC3E9"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Completely satisfied</w:t>
            </w:r>
          </w:p>
        </w:tc>
        <w:tc>
          <w:tcPr>
            <w:tcW w:w="1990" w:type="dxa"/>
            <w:tcBorders>
              <w:top w:val="single" w:sz="4" w:space="0" w:color="D9D9D9"/>
              <w:left w:val="nil"/>
              <w:bottom w:val="single" w:sz="4" w:space="0" w:color="D9D9D9"/>
              <w:right w:val="nil"/>
            </w:tcBorders>
          </w:tcPr>
          <w:p w14:paraId="17FEAD8B"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bl>
    <w:p w14:paraId="6354DCE2" w14:textId="77777777" w:rsidR="000F60FA" w:rsidRPr="0097718E" w:rsidRDefault="000F60FA" w:rsidP="000F60FA">
      <w:pPr>
        <w:spacing w:before="120"/>
        <w:rPr>
          <w:rFonts w:eastAsia="Calibri" w:cs="Arial"/>
          <w:bCs/>
          <w:szCs w:val="22"/>
          <w:lang w:eastAsia="en-US"/>
        </w:rPr>
      </w:pPr>
    </w:p>
    <w:p w14:paraId="49AAA5E3" w14:textId="39FB38CC" w:rsidR="000F60FA" w:rsidRPr="005B5444" w:rsidRDefault="000F60FA" w:rsidP="00750F32">
      <w:pPr>
        <w:pStyle w:val="H4Numbers"/>
        <w:ind w:left="567" w:hanging="567"/>
      </w:pPr>
      <w:r w:rsidRPr="005B5444">
        <w:t>Overall, how was your experience with the way your matter was dealt with in the IER program?</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57F9DC94" w14:textId="77777777">
        <w:tc>
          <w:tcPr>
            <w:tcW w:w="5392" w:type="dxa"/>
            <w:tcBorders>
              <w:top w:val="single" w:sz="4" w:space="0" w:color="BFBFBF"/>
              <w:left w:val="nil"/>
              <w:bottom w:val="single" w:sz="4" w:space="0" w:color="D9D9D9"/>
              <w:right w:val="nil"/>
            </w:tcBorders>
            <w:hideMark/>
          </w:tcPr>
          <w:p w14:paraId="32AAE2DC"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 satisfied</w:t>
            </w:r>
          </w:p>
        </w:tc>
        <w:tc>
          <w:tcPr>
            <w:tcW w:w="1990" w:type="dxa"/>
            <w:tcBorders>
              <w:top w:val="single" w:sz="4" w:space="0" w:color="BFBFBF"/>
              <w:left w:val="nil"/>
              <w:bottom w:val="single" w:sz="4" w:space="0" w:color="D9D9D9"/>
              <w:right w:val="nil"/>
            </w:tcBorders>
            <w:hideMark/>
          </w:tcPr>
          <w:p w14:paraId="60CDF341"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3B015ECC" w14:textId="77777777">
        <w:tc>
          <w:tcPr>
            <w:tcW w:w="5392" w:type="dxa"/>
            <w:tcBorders>
              <w:top w:val="single" w:sz="4" w:space="0" w:color="D9D9D9"/>
              <w:left w:val="nil"/>
              <w:bottom w:val="single" w:sz="4" w:space="0" w:color="D9D9D9"/>
              <w:right w:val="nil"/>
            </w:tcBorders>
            <w:hideMark/>
          </w:tcPr>
          <w:p w14:paraId="278FFD0C"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Only a little bit satisfied</w:t>
            </w:r>
          </w:p>
        </w:tc>
        <w:tc>
          <w:tcPr>
            <w:tcW w:w="1990" w:type="dxa"/>
            <w:tcBorders>
              <w:top w:val="single" w:sz="4" w:space="0" w:color="D9D9D9"/>
              <w:left w:val="nil"/>
              <w:bottom w:val="single" w:sz="4" w:space="0" w:color="D9D9D9"/>
              <w:right w:val="nil"/>
            </w:tcBorders>
            <w:hideMark/>
          </w:tcPr>
          <w:p w14:paraId="59EB82AF"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45353DB6" w14:textId="77777777">
        <w:tc>
          <w:tcPr>
            <w:tcW w:w="5392" w:type="dxa"/>
            <w:tcBorders>
              <w:top w:val="single" w:sz="4" w:space="0" w:color="D9D9D9"/>
              <w:left w:val="nil"/>
              <w:bottom w:val="single" w:sz="4" w:space="0" w:color="D9D9D9"/>
              <w:right w:val="nil"/>
            </w:tcBorders>
            <w:hideMark/>
          </w:tcPr>
          <w:p w14:paraId="3E9E8F2D"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satisfied</w:t>
            </w:r>
          </w:p>
        </w:tc>
        <w:tc>
          <w:tcPr>
            <w:tcW w:w="1990" w:type="dxa"/>
            <w:tcBorders>
              <w:top w:val="single" w:sz="4" w:space="0" w:color="D9D9D9"/>
              <w:left w:val="nil"/>
              <w:bottom w:val="single" w:sz="4" w:space="0" w:color="D9D9D9"/>
              <w:right w:val="nil"/>
            </w:tcBorders>
            <w:hideMark/>
          </w:tcPr>
          <w:p w14:paraId="63E78DBB"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38B9DB6F" w14:textId="77777777">
        <w:tc>
          <w:tcPr>
            <w:tcW w:w="5392" w:type="dxa"/>
            <w:tcBorders>
              <w:top w:val="single" w:sz="4" w:space="0" w:color="D9D9D9"/>
              <w:left w:val="nil"/>
              <w:bottom w:val="single" w:sz="4" w:space="0" w:color="D9D9D9"/>
              <w:right w:val="nil"/>
            </w:tcBorders>
          </w:tcPr>
          <w:p w14:paraId="268D55D9"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Mostly satisfied</w:t>
            </w:r>
          </w:p>
        </w:tc>
        <w:tc>
          <w:tcPr>
            <w:tcW w:w="1990" w:type="dxa"/>
            <w:tcBorders>
              <w:top w:val="single" w:sz="4" w:space="0" w:color="D9D9D9"/>
              <w:left w:val="nil"/>
              <w:bottom w:val="single" w:sz="4" w:space="0" w:color="D9D9D9"/>
              <w:right w:val="nil"/>
            </w:tcBorders>
          </w:tcPr>
          <w:p w14:paraId="17231A6F"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r w:rsidR="00327147" w:rsidRPr="0097718E" w14:paraId="3FF75FBB" w14:textId="77777777">
        <w:tc>
          <w:tcPr>
            <w:tcW w:w="5392" w:type="dxa"/>
            <w:tcBorders>
              <w:top w:val="single" w:sz="4" w:space="0" w:color="D9D9D9"/>
              <w:left w:val="nil"/>
              <w:bottom w:val="single" w:sz="4" w:space="0" w:color="D9D9D9"/>
              <w:right w:val="nil"/>
            </w:tcBorders>
          </w:tcPr>
          <w:p w14:paraId="4D23F34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Completely satisfied</w:t>
            </w:r>
          </w:p>
        </w:tc>
        <w:tc>
          <w:tcPr>
            <w:tcW w:w="1990" w:type="dxa"/>
            <w:tcBorders>
              <w:top w:val="single" w:sz="4" w:space="0" w:color="D9D9D9"/>
              <w:left w:val="nil"/>
              <w:bottom w:val="single" w:sz="4" w:space="0" w:color="D9D9D9"/>
              <w:right w:val="nil"/>
            </w:tcBorders>
          </w:tcPr>
          <w:p w14:paraId="7738252E"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bl>
    <w:p w14:paraId="102052E4" w14:textId="4377C4CC" w:rsidR="000F60FA" w:rsidRPr="00D96B34" w:rsidRDefault="000F60FA" w:rsidP="002E15E6">
      <w:pPr>
        <w:pStyle w:val="H4Numbers"/>
        <w:ind w:left="567" w:hanging="567"/>
      </w:pPr>
      <w:r w:rsidRPr="00D96B34">
        <w:lastRenderedPageBreak/>
        <w:t>What were the worst things about your experience of the IER process?</w:t>
      </w:r>
    </w:p>
    <w:p w14:paraId="4318B305" w14:textId="77777777" w:rsidR="000F60FA" w:rsidRPr="0097718E" w:rsidRDefault="000F60FA" w:rsidP="000F60FA">
      <w:pPr>
        <w:spacing w:before="120"/>
        <w:rPr>
          <w:rFonts w:eastAsia="Calibri" w:cs="Arial"/>
          <w:szCs w:val="22"/>
          <w:lang w:val="en-CA" w:eastAsia="en-AU"/>
        </w:rPr>
      </w:pPr>
      <w:r w:rsidRPr="0097718E">
        <w:rPr>
          <w:rFonts w:eastAsia="Calibri" w:cs="Arial"/>
          <w:szCs w:val="22"/>
          <w:lang w:val="en-CA" w:eastAsia="en-AU"/>
        </w:rPr>
        <w:t>&lt;FREE TEXT&gt;</w:t>
      </w:r>
    </w:p>
    <w:p w14:paraId="25989784" w14:textId="77777777" w:rsidR="000F60FA" w:rsidRPr="0097718E" w:rsidRDefault="000F60FA" w:rsidP="000F60FA">
      <w:pPr>
        <w:spacing w:before="120"/>
        <w:rPr>
          <w:rFonts w:eastAsia="Calibri" w:cs="Arial"/>
          <w:szCs w:val="22"/>
          <w:lang w:val="en-CA" w:eastAsia="en-AU"/>
        </w:rPr>
      </w:pPr>
    </w:p>
    <w:p w14:paraId="69F96E7B" w14:textId="77777777" w:rsidR="000F60FA" w:rsidRPr="0097718E" w:rsidRDefault="000F60FA" w:rsidP="002E15E6">
      <w:pPr>
        <w:pStyle w:val="H4Numbers"/>
        <w:ind w:left="567" w:hanging="567"/>
      </w:pPr>
      <w:r w:rsidRPr="0097718E">
        <w:t>What were the best things about your experience of the IER process?</w:t>
      </w:r>
    </w:p>
    <w:p w14:paraId="2110421F" w14:textId="77777777" w:rsidR="000F60FA" w:rsidRPr="0097718E" w:rsidRDefault="000F60FA" w:rsidP="000F60FA">
      <w:pPr>
        <w:spacing w:before="120"/>
        <w:rPr>
          <w:rFonts w:eastAsia="Calibri" w:cs="Arial"/>
          <w:szCs w:val="22"/>
          <w:lang w:val="en-CA" w:eastAsia="en-AU"/>
        </w:rPr>
      </w:pPr>
      <w:r w:rsidRPr="0097718E">
        <w:rPr>
          <w:rFonts w:eastAsia="Calibri" w:cs="Arial"/>
          <w:szCs w:val="22"/>
          <w:lang w:val="en-CA" w:eastAsia="en-AU"/>
        </w:rPr>
        <w:t>&lt;FREE TEXT&gt;</w:t>
      </w:r>
    </w:p>
    <w:p w14:paraId="07C56626" w14:textId="77777777" w:rsidR="000F60FA" w:rsidRPr="0097718E" w:rsidRDefault="000F60FA" w:rsidP="000F60FA">
      <w:pPr>
        <w:spacing w:before="120"/>
        <w:rPr>
          <w:rFonts w:eastAsia="Calibri" w:cs="Arial"/>
          <w:szCs w:val="22"/>
          <w:lang w:val="en-CA" w:eastAsia="en-AU"/>
        </w:rPr>
      </w:pPr>
    </w:p>
    <w:p w14:paraId="3AEC6CD6" w14:textId="77777777" w:rsidR="000F60FA" w:rsidRPr="0097718E" w:rsidRDefault="000F60FA" w:rsidP="002E15E6">
      <w:pPr>
        <w:pStyle w:val="H4Numbers"/>
        <w:ind w:left="567" w:hanging="567"/>
      </w:pPr>
      <w:r w:rsidRPr="0097718E">
        <w:t>How would you rate your satisfaction with the Independent Expert who reviewed your matter in the following areas?</w:t>
      </w:r>
    </w:p>
    <w:tbl>
      <w:tblPr>
        <w:tblStyle w:val="TableGrid1"/>
        <w:tblW w:w="5000" w:type="pct"/>
        <w:tblInd w:w="0"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1983"/>
        <w:gridCol w:w="1683"/>
        <w:gridCol w:w="1400"/>
        <w:gridCol w:w="1298"/>
        <w:gridCol w:w="1345"/>
        <w:gridCol w:w="1317"/>
      </w:tblGrid>
      <w:tr w:rsidR="000F60FA" w:rsidRPr="0097718E" w14:paraId="09EE0CB1" w14:textId="77777777">
        <w:tc>
          <w:tcPr>
            <w:tcW w:w="1110" w:type="pct"/>
            <w:tcBorders>
              <w:top w:val="single" w:sz="4" w:space="0" w:color="BFBFBF"/>
              <w:left w:val="nil"/>
              <w:bottom w:val="single" w:sz="4" w:space="0" w:color="D9D9D9"/>
              <w:right w:val="nil"/>
            </w:tcBorders>
          </w:tcPr>
          <w:p w14:paraId="1B182DF4" w14:textId="77777777" w:rsidR="000F60FA" w:rsidRPr="0097718E" w:rsidRDefault="000F60FA">
            <w:pPr>
              <w:spacing w:before="60" w:after="60"/>
              <w:rPr>
                <w:rFonts w:eastAsia="Calibri"/>
                <w:sz w:val="22"/>
                <w:szCs w:val="22"/>
                <w:lang w:val="en-CA" w:eastAsia="en-US"/>
              </w:rPr>
            </w:pPr>
          </w:p>
        </w:tc>
        <w:tc>
          <w:tcPr>
            <w:tcW w:w="944" w:type="pct"/>
            <w:tcBorders>
              <w:top w:val="single" w:sz="4" w:space="0" w:color="BFBFBF"/>
              <w:left w:val="nil"/>
              <w:bottom w:val="single" w:sz="4" w:space="0" w:color="D9D9D9"/>
              <w:right w:val="nil"/>
            </w:tcBorders>
          </w:tcPr>
          <w:p w14:paraId="09A7A5D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 satisfied</w:t>
            </w:r>
          </w:p>
        </w:tc>
        <w:tc>
          <w:tcPr>
            <w:tcW w:w="787" w:type="pct"/>
            <w:tcBorders>
              <w:top w:val="single" w:sz="4" w:space="0" w:color="BFBFBF"/>
              <w:left w:val="nil"/>
              <w:bottom w:val="single" w:sz="4" w:space="0" w:color="D9D9D9"/>
              <w:right w:val="nil"/>
            </w:tcBorders>
          </w:tcPr>
          <w:p w14:paraId="7F90CA91"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 xml:space="preserve"> Only a little bit satisfied</w:t>
            </w:r>
          </w:p>
        </w:tc>
        <w:tc>
          <w:tcPr>
            <w:tcW w:w="730" w:type="pct"/>
            <w:tcBorders>
              <w:top w:val="single" w:sz="4" w:space="0" w:color="BFBFBF"/>
              <w:left w:val="nil"/>
              <w:bottom w:val="single" w:sz="4" w:space="0" w:color="D9D9D9"/>
              <w:right w:val="nil"/>
            </w:tcBorders>
          </w:tcPr>
          <w:p w14:paraId="70B80ABE"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satisfied</w:t>
            </w:r>
          </w:p>
        </w:tc>
        <w:tc>
          <w:tcPr>
            <w:tcW w:w="756" w:type="pct"/>
            <w:tcBorders>
              <w:top w:val="single" w:sz="4" w:space="0" w:color="BFBFBF"/>
              <w:left w:val="nil"/>
              <w:bottom w:val="single" w:sz="4" w:space="0" w:color="D9D9D9"/>
              <w:right w:val="nil"/>
            </w:tcBorders>
          </w:tcPr>
          <w:p w14:paraId="5F8114C8"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Mostly satisfied</w:t>
            </w:r>
          </w:p>
        </w:tc>
        <w:tc>
          <w:tcPr>
            <w:tcW w:w="674" w:type="pct"/>
            <w:tcBorders>
              <w:top w:val="single" w:sz="4" w:space="0" w:color="BFBFBF"/>
              <w:left w:val="nil"/>
              <w:bottom w:val="single" w:sz="4" w:space="0" w:color="D9D9D9"/>
              <w:right w:val="nil"/>
            </w:tcBorders>
          </w:tcPr>
          <w:p w14:paraId="76071CF0" w14:textId="77777777" w:rsidR="000F60FA" w:rsidRPr="0097718E" w:rsidDel="00B61872" w:rsidRDefault="000F60FA">
            <w:pPr>
              <w:spacing w:before="60" w:after="60"/>
              <w:rPr>
                <w:rFonts w:eastAsia="Calibri"/>
                <w:sz w:val="22"/>
                <w:szCs w:val="22"/>
                <w:lang w:val="en-CA" w:eastAsia="en-US"/>
              </w:rPr>
            </w:pPr>
            <w:r w:rsidRPr="0097718E">
              <w:rPr>
                <w:rFonts w:eastAsia="Calibri"/>
                <w:sz w:val="22"/>
                <w:szCs w:val="22"/>
                <w:lang w:val="en-CA" w:eastAsia="en-US"/>
              </w:rPr>
              <w:t>Completely satisfied</w:t>
            </w:r>
          </w:p>
        </w:tc>
      </w:tr>
      <w:tr w:rsidR="000F60FA" w:rsidRPr="0097718E" w14:paraId="05D744EA" w14:textId="77777777">
        <w:tc>
          <w:tcPr>
            <w:tcW w:w="1110" w:type="pct"/>
            <w:tcBorders>
              <w:top w:val="single" w:sz="4" w:space="0" w:color="D9D9D9"/>
              <w:left w:val="nil"/>
              <w:bottom w:val="single" w:sz="4" w:space="0" w:color="D9D9D9"/>
              <w:right w:val="nil"/>
            </w:tcBorders>
            <w:hideMark/>
          </w:tcPr>
          <w:p w14:paraId="0C698C3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Their understanding of your case</w:t>
            </w:r>
          </w:p>
        </w:tc>
        <w:tc>
          <w:tcPr>
            <w:tcW w:w="944" w:type="pct"/>
            <w:tcBorders>
              <w:top w:val="single" w:sz="4" w:space="0" w:color="D9D9D9"/>
              <w:left w:val="nil"/>
              <w:bottom w:val="single" w:sz="4" w:space="0" w:color="D9D9D9"/>
              <w:right w:val="nil"/>
            </w:tcBorders>
          </w:tcPr>
          <w:p w14:paraId="4833D58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7" w:type="pct"/>
            <w:tcBorders>
              <w:top w:val="single" w:sz="4" w:space="0" w:color="D9D9D9"/>
              <w:left w:val="nil"/>
              <w:bottom w:val="single" w:sz="4" w:space="0" w:color="D9D9D9"/>
              <w:right w:val="nil"/>
            </w:tcBorders>
          </w:tcPr>
          <w:p w14:paraId="07931F1E"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0" w:type="pct"/>
            <w:tcBorders>
              <w:top w:val="single" w:sz="4" w:space="0" w:color="D9D9D9"/>
              <w:left w:val="nil"/>
              <w:bottom w:val="single" w:sz="4" w:space="0" w:color="D9D9D9"/>
              <w:right w:val="nil"/>
            </w:tcBorders>
          </w:tcPr>
          <w:p w14:paraId="321D8689"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6" w:type="pct"/>
            <w:tcBorders>
              <w:top w:val="single" w:sz="4" w:space="0" w:color="D9D9D9"/>
              <w:left w:val="nil"/>
              <w:bottom w:val="single" w:sz="4" w:space="0" w:color="D9D9D9"/>
              <w:right w:val="nil"/>
            </w:tcBorders>
            <w:hideMark/>
          </w:tcPr>
          <w:p w14:paraId="31BEF7EF"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063A4E3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43112D9E" w14:textId="77777777">
        <w:tc>
          <w:tcPr>
            <w:tcW w:w="1110" w:type="pct"/>
            <w:tcBorders>
              <w:top w:val="single" w:sz="4" w:space="0" w:color="D9D9D9"/>
              <w:left w:val="nil"/>
              <w:bottom w:val="single" w:sz="4" w:space="0" w:color="D9D9D9"/>
              <w:right w:val="nil"/>
            </w:tcBorders>
            <w:hideMark/>
          </w:tcPr>
          <w:p w14:paraId="2E7B699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Their understanding of your disability and how it affects your life</w:t>
            </w:r>
          </w:p>
        </w:tc>
        <w:tc>
          <w:tcPr>
            <w:tcW w:w="944" w:type="pct"/>
            <w:tcBorders>
              <w:top w:val="single" w:sz="4" w:space="0" w:color="D9D9D9"/>
              <w:left w:val="nil"/>
              <w:bottom w:val="single" w:sz="4" w:space="0" w:color="D9D9D9"/>
              <w:right w:val="nil"/>
            </w:tcBorders>
          </w:tcPr>
          <w:p w14:paraId="4F8DF874"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7" w:type="pct"/>
            <w:tcBorders>
              <w:top w:val="single" w:sz="4" w:space="0" w:color="D9D9D9"/>
              <w:left w:val="nil"/>
              <w:bottom w:val="single" w:sz="4" w:space="0" w:color="D9D9D9"/>
              <w:right w:val="nil"/>
            </w:tcBorders>
          </w:tcPr>
          <w:p w14:paraId="148161FF"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0" w:type="pct"/>
            <w:tcBorders>
              <w:top w:val="single" w:sz="4" w:space="0" w:color="D9D9D9"/>
              <w:left w:val="nil"/>
              <w:bottom w:val="single" w:sz="4" w:space="0" w:color="D9D9D9"/>
              <w:right w:val="nil"/>
            </w:tcBorders>
          </w:tcPr>
          <w:p w14:paraId="42991DA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6" w:type="pct"/>
            <w:tcBorders>
              <w:top w:val="single" w:sz="4" w:space="0" w:color="D9D9D9"/>
              <w:left w:val="nil"/>
              <w:bottom w:val="single" w:sz="4" w:space="0" w:color="D9D9D9"/>
              <w:right w:val="nil"/>
            </w:tcBorders>
            <w:hideMark/>
          </w:tcPr>
          <w:p w14:paraId="07142581"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2AEF8D6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1313E1BE" w14:textId="77777777">
        <w:tc>
          <w:tcPr>
            <w:tcW w:w="1110" w:type="pct"/>
            <w:tcBorders>
              <w:top w:val="single" w:sz="4" w:space="0" w:color="D9D9D9"/>
              <w:left w:val="nil"/>
              <w:bottom w:val="single" w:sz="4" w:space="0" w:color="D9D9D9"/>
              <w:right w:val="nil"/>
            </w:tcBorders>
          </w:tcPr>
          <w:p w14:paraId="050FE7E2"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How prepared they were when they met you</w:t>
            </w:r>
          </w:p>
        </w:tc>
        <w:tc>
          <w:tcPr>
            <w:tcW w:w="944" w:type="pct"/>
            <w:tcBorders>
              <w:top w:val="single" w:sz="4" w:space="0" w:color="D9D9D9"/>
              <w:left w:val="nil"/>
              <w:bottom w:val="single" w:sz="4" w:space="0" w:color="D9D9D9"/>
              <w:right w:val="nil"/>
            </w:tcBorders>
          </w:tcPr>
          <w:p w14:paraId="4E3F88A4"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7" w:type="pct"/>
            <w:tcBorders>
              <w:top w:val="single" w:sz="4" w:space="0" w:color="D9D9D9"/>
              <w:left w:val="nil"/>
              <w:bottom w:val="single" w:sz="4" w:space="0" w:color="D9D9D9"/>
              <w:right w:val="nil"/>
            </w:tcBorders>
          </w:tcPr>
          <w:p w14:paraId="7669D69D"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0" w:type="pct"/>
            <w:tcBorders>
              <w:top w:val="single" w:sz="4" w:space="0" w:color="D9D9D9"/>
              <w:left w:val="nil"/>
              <w:bottom w:val="single" w:sz="4" w:space="0" w:color="D9D9D9"/>
              <w:right w:val="nil"/>
            </w:tcBorders>
          </w:tcPr>
          <w:p w14:paraId="555B3979"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6" w:type="pct"/>
            <w:tcBorders>
              <w:top w:val="single" w:sz="4" w:space="0" w:color="D9D9D9"/>
              <w:left w:val="nil"/>
              <w:bottom w:val="single" w:sz="4" w:space="0" w:color="D9D9D9"/>
              <w:right w:val="nil"/>
            </w:tcBorders>
          </w:tcPr>
          <w:p w14:paraId="27B8BB4A"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74F5C1A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71525AFF" w14:textId="77777777">
        <w:tc>
          <w:tcPr>
            <w:tcW w:w="1110" w:type="pct"/>
            <w:tcBorders>
              <w:top w:val="single" w:sz="4" w:space="0" w:color="D9D9D9"/>
              <w:left w:val="nil"/>
              <w:bottom w:val="single" w:sz="4" w:space="0" w:color="D9D9D9"/>
              <w:right w:val="nil"/>
            </w:tcBorders>
          </w:tcPr>
          <w:p w14:paraId="7CC7EC0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Their communication with you during the process</w:t>
            </w:r>
          </w:p>
        </w:tc>
        <w:tc>
          <w:tcPr>
            <w:tcW w:w="944" w:type="pct"/>
            <w:tcBorders>
              <w:top w:val="single" w:sz="4" w:space="0" w:color="D9D9D9"/>
              <w:left w:val="nil"/>
              <w:bottom w:val="single" w:sz="4" w:space="0" w:color="D9D9D9"/>
              <w:right w:val="nil"/>
            </w:tcBorders>
          </w:tcPr>
          <w:p w14:paraId="1CB760C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7" w:type="pct"/>
            <w:tcBorders>
              <w:top w:val="single" w:sz="4" w:space="0" w:color="D9D9D9"/>
              <w:left w:val="nil"/>
              <w:bottom w:val="single" w:sz="4" w:space="0" w:color="D9D9D9"/>
              <w:right w:val="nil"/>
            </w:tcBorders>
          </w:tcPr>
          <w:p w14:paraId="420872A8"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0" w:type="pct"/>
            <w:tcBorders>
              <w:top w:val="single" w:sz="4" w:space="0" w:color="D9D9D9"/>
              <w:left w:val="nil"/>
              <w:bottom w:val="single" w:sz="4" w:space="0" w:color="D9D9D9"/>
              <w:right w:val="nil"/>
            </w:tcBorders>
          </w:tcPr>
          <w:p w14:paraId="592371FE"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6" w:type="pct"/>
            <w:tcBorders>
              <w:top w:val="single" w:sz="4" w:space="0" w:color="D9D9D9"/>
              <w:left w:val="nil"/>
              <w:bottom w:val="single" w:sz="4" w:space="0" w:color="D9D9D9"/>
              <w:right w:val="nil"/>
            </w:tcBorders>
          </w:tcPr>
          <w:p w14:paraId="3FD90ABE"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047E0354"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64743EC5" w14:textId="77777777">
        <w:tc>
          <w:tcPr>
            <w:tcW w:w="1110" w:type="pct"/>
            <w:tcBorders>
              <w:top w:val="single" w:sz="4" w:space="0" w:color="D9D9D9"/>
              <w:left w:val="nil"/>
              <w:bottom w:val="single" w:sz="4" w:space="0" w:color="D9D9D9"/>
              <w:right w:val="nil"/>
            </w:tcBorders>
          </w:tcPr>
          <w:p w14:paraId="7F79CC4A"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way they explained the process to you</w:t>
            </w:r>
          </w:p>
        </w:tc>
        <w:tc>
          <w:tcPr>
            <w:tcW w:w="944" w:type="pct"/>
            <w:tcBorders>
              <w:top w:val="single" w:sz="4" w:space="0" w:color="D9D9D9"/>
              <w:left w:val="nil"/>
              <w:bottom w:val="single" w:sz="4" w:space="0" w:color="D9D9D9"/>
              <w:right w:val="nil"/>
            </w:tcBorders>
          </w:tcPr>
          <w:p w14:paraId="7E9F2332"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7" w:type="pct"/>
            <w:tcBorders>
              <w:top w:val="single" w:sz="4" w:space="0" w:color="D9D9D9"/>
              <w:left w:val="nil"/>
              <w:bottom w:val="single" w:sz="4" w:space="0" w:color="D9D9D9"/>
              <w:right w:val="nil"/>
            </w:tcBorders>
          </w:tcPr>
          <w:p w14:paraId="3A164028"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0" w:type="pct"/>
            <w:tcBorders>
              <w:top w:val="single" w:sz="4" w:space="0" w:color="D9D9D9"/>
              <w:left w:val="nil"/>
              <w:bottom w:val="single" w:sz="4" w:space="0" w:color="D9D9D9"/>
              <w:right w:val="nil"/>
            </w:tcBorders>
          </w:tcPr>
          <w:p w14:paraId="02A8164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6" w:type="pct"/>
            <w:tcBorders>
              <w:top w:val="single" w:sz="4" w:space="0" w:color="D9D9D9"/>
              <w:left w:val="nil"/>
              <w:bottom w:val="single" w:sz="4" w:space="0" w:color="D9D9D9"/>
              <w:right w:val="nil"/>
            </w:tcBorders>
          </w:tcPr>
          <w:p w14:paraId="056B49CF"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7FFB3D86"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31D91C81" w14:textId="77777777">
        <w:tc>
          <w:tcPr>
            <w:tcW w:w="1110" w:type="pct"/>
            <w:tcBorders>
              <w:top w:val="single" w:sz="4" w:space="0" w:color="D9D9D9"/>
              <w:left w:val="nil"/>
              <w:bottom w:val="single" w:sz="4" w:space="0" w:color="D9D9D9"/>
              <w:right w:val="nil"/>
            </w:tcBorders>
          </w:tcPr>
          <w:p w14:paraId="5A98FB48"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way they explained their recommendation to you</w:t>
            </w:r>
          </w:p>
        </w:tc>
        <w:tc>
          <w:tcPr>
            <w:tcW w:w="944" w:type="pct"/>
            <w:tcBorders>
              <w:top w:val="single" w:sz="4" w:space="0" w:color="D9D9D9"/>
              <w:left w:val="nil"/>
              <w:bottom w:val="single" w:sz="4" w:space="0" w:color="D9D9D9"/>
              <w:right w:val="nil"/>
            </w:tcBorders>
          </w:tcPr>
          <w:p w14:paraId="39ECF2B1"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7" w:type="pct"/>
            <w:tcBorders>
              <w:top w:val="single" w:sz="4" w:space="0" w:color="D9D9D9"/>
              <w:left w:val="nil"/>
              <w:bottom w:val="single" w:sz="4" w:space="0" w:color="D9D9D9"/>
              <w:right w:val="nil"/>
            </w:tcBorders>
          </w:tcPr>
          <w:p w14:paraId="52273B9A"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0" w:type="pct"/>
            <w:tcBorders>
              <w:top w:val="single" w:sz="4" w:space="0" w:color="D9D9D9"/>
              <w:left w:val="nil"/>
              <w:bottom w:val="single" w:sz="4" w:space="0" w:color="D9D9D9"/>
              <w:right w:val="nil"/>
            </w:tcBorders>
          </w:tcPr>
          <w:p w14:paraId="462671D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6" w:type="pct"/>
            <w:tcBorders>
              <w:top w:val="single" w:sz="4" w:space="0" w:color="D9D9D9"/>
              <w:left w:val="nil"/>
              <w:bottom w:val="single" w:sz="4" w:space="0" w:color="D9D9D9"/>
              <w:right w:val="nil"/>
            </w:tcBorders>
          </w:tcPr>
          <w:p w14:paraId="4BEA185A"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6EB506F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553E7707" w14:textId="77777777">
        <w:tc>
          <w:tcPr>
            <w:tcW w:w="1110" w:type="pct"/>
            <w:tcBorders>
              <w:top w:val="single" w:sz="4" w:space="0" w:color="D9D9D9"/>
              <w:left w:val="nil"/>
              <w:bottom w:val="single" w:sz="4" w:space="0" w:color="D9D9D9"/>
              <w:right w:val="nil"/>
            </w:tcBorders>
          </w:tcPr>
          <w:p w14:paraId="7127548E"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lastRenderedPageBreak/>
              <w:t>The way they handled your matter overall</w:t>
            </w:r>
          </w:p>
        </w:tc>
        <w:tc>
          <w:tcPr>
            <w:tcW w:w="944" w:type="pct"/>
            <w:tcBorders>
              <w:top w:val="single" w:sz="4" w:space="0" w:color="D9D9D9"/>
              <w:left w:val="nil"/>
              <w:bottom w:val="single" w:sz="4" w:space="0" w:color="D9D9D9"/>
              <w:right w:val="nil"/>
            </w:tcBorders>
          </w:tcPr>
          <w:p w14:paraId="0CE3C7A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7" w:type="pct"/>
            <w:tcBorders>
              <w:top w:val="single" w:sz="4" w:space="0" w:color="D9D9D9"/>
              <w:left w:val="nil"/>
              <w:bottom w:val="single" w:sz="4" w:space="0" w:color="D9D9D9"/>
              <w:right w:val="nil"/>
            </w:tcBorders>
          </w:tcPr>
          <w:p w14:paraId="196FBD2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0" w:type="pct"/>
            <w:tcBorders>
              <w:top w:val="single" w:sz="4" w:space="0" w:color="D9D9D9"/>
              <w:left w:val="nil"/>
              <w:bottom w:val="single" w:sz="4" w:space="0" w:color="D9D9D9"/>
              <w:right w:val="nil"/>
            </w:tcBorders>
          </w:tcPr>
          <w:p w14:paraId="6EB8F07D"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6" w:type="pct"/>
            <w:tcBorders>
              <w:top w:val="single" w:sz="4" w:space="0" w:color="D9D9D9"/>
              <w:left w:val="nil"/>
              <w:bottom w:val="single" w:sz="4" w:space="0" w:color="D9D9D9"/>
              <w:right w:val="nil"/>
            </w:tcBorders>
          </w:tcPr>
          <w:p w14:paraId="47EECB6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2EFDAF6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bl>
    <w:p w14:paraId="5869305E" w14:textId="5277A458" w:rsidR="000F60FA" w:rsidRPr="0097718E" w:rsidRDefault="000F60FA" w:rsidP="000F60FA">
      <w:pPr>
        <w:spacing w:before="120"/>
        <w:rPr>
          <w:rFonts w:eastAsia="Calibri" w:cs="Arial"/>
          <w:szCs w:val="22"/>
          <w:lang w:eastAsia="en-US"/>
        </w:rPr>
      </w:pPr>
    </w:p>
    <w:p w14:paraId="56716468" w14:textId="77777777" w:rsidR="000F60FA" w:rsidRPr="004C00D5" w:rsidRDefault="000F60FA" w:rsidP="004C00D5">
      <w:pPr>
        <w:pStyle w:val="H4Numbers"/>
        <w:ind w:left="567" w:hanging="567"/>
      </w:pPr>
      <w:r w:rsidRPr="004C00D5">
        <w:t>How satisfied were you with the way the NDIA managed the IER Program, in the following aspects?</w:t>
      </w:r>
    </w:p>
    <w:tbl>
      <w:tblPr>
        <w:tblStyle w:val="TableGrid1"/>
        <w:tblW w:w="5000" w:type="pct"/>
        <w:tblInd w:w="0"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2532"/>
        <w:gridCol w:w="1401"/>
        <w:gridCol w:w="1301"/>
        <w:gridCol w:w="1289"/>
        <w:gridCol w:w="1186"/>
        <w:gridCol w:w="1317"/>
      </w:tblGrid>
      <w:tr w:rsidR="000F60FA" w:rsidRPr="0097718E" w14:paraId="3DF8FAA0" w14:textId="77777777">
        <w:tc>
          <w:tcPr>
            <w:tcW w:w="1414" w:type="pct"/>
            <w:tcBorders>
              <w:top w:val="single" w:sz="4" w:space="0" w:color="BFBFBF"/>
              <w:left w:val="nil"/>
              <w:bottom w:val="single" w:sz="4" w:space="0" w:color="D9D9D9"/>
              <w:right w:val="nil"/>
            </w:tcBorders>
          </w:tcPr>
          <w:p w14:paraId="5725D6F3" w14:textId="77777777" w:rsidR="000F60FA" w:rsidRPr="0097718E" w:rsidRDefault="000F60FA">
            <w:pPr>
              <w:spacing w:before="60" w:after="60"/>
              <w:rPr>
                <w:rFonts w:eastAsia="Calibri"/>
                <w:sz w:val="22"/>
                <w:szCs w:val="22"/>
                <w:lang w:val="en-CA" w:eastAsia="en-US"/>
              </w:rPr>
            </w:pPr>
          </w:p>
        </w:tc>
        <w:tc>
          <w:tcPr>
            <w:tcW w:w="787" w:type="pct"/>
            <w:tcBorders>
              <w:top w:val="single" w:sz="4" w:space="0" w:color="BFBFBF"/>
              <w:left w:val="nil"/>
              <w:bottom w:val="single" w:sz="4" w:space="0" w:color="D9D9D9"/>
              <w:right w:val="nil"/>
            </w:tcBorders>
          </w:tcPr>
          <w:p w14:paraId="61B41B11"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 satisfied</w:t>
            </w:r>
          </w:p>
        </w:tc>
        <w:tc>
          <w:tcPr>
            <w:tcW w:w="732" w:type="pct"/>
            <w:tcBorders>
              <w:top w:val="single" w:sz="4" w:space="0" w:color="BFBFBF"/>
              <w:left w:val="nil"/>
              <w:bottom w:val="single" w:sz="4" w:space="0" w:color="D9D9D9"/>
              <w:right w:val="nil"/>
            </w:tcBorders>
          </w:tcPr>
          <w:p w14:paraId="557F3F81"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Only a little bit satisfied</w:t>
            </w:r>
          </w:p>
        </w:tc>
        <w:tc>
          <w:tcPr>
            <w:tcW w:w="725" w:type="pct"/>
            <w:tcBorders>
              <w:top w:val="single" w:sz="4" w:space="0" w:color="BFBFBF"/>
              <w:left w:val="nil"/>
              <w:bottom w:val="single" w:sz="4" w:space="0" w:color="D9D9D9"/>
              <w:right w:val="nil"/>
            </w:tcBorders>
          </w:tcPr>
          <w:p w14:paraId="0DB41A0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satisfied</w:t>
            </w:r>
          </w:p>
        </w:tc>
        <w:tc>
          <w:tcPr>
            <w:tcW w:w="668" w:type="pct"/>
            <w:tcBorders>
              <w:top w:val="single" w:sz="4" w:space="0" w:color="BFBFBF"/>
              <w:left w:val="nil"/>
              <w:bottom w:val="single" w:sz="4" w:space="0" w:color="D9D9D9"/>
              <w:right w:val="nil"/>
            </w:tcBorders>
          </w:tcPr>
          <w:p w14:paraId="515709B5"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Mostly satisfied</w:t>
            </w:r>
          </w:p>
        </w:tc>
        <w:tc>
          <w:tcPr>
            <w:tcW w:w="674" w:type="pct"/>
            <w:tcBorders>
              <w:top w:val="single" w:sz="4" w:space="0" w:color="BFBFBF"/>
              <w:left w:val="nil"/>
              <w:bottom w:val="single" w:sz="4" w:space="0" w:color="D9D9D9"/>
              <w:right w:val="nil"/>
            </w:tcBorders>
          </w:tcPr>
          <w:p w14:paraId="131C4112"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Completely satisfied</w:t>
            </w:r>
          </w:p>
        </w:tc>
      </w:tr>
      <w:tr w:rsidR="000F60FA" w:rsidRPr="0097718E" w14:paraId="1670016D" w14:textId="77777777">
        <w:tc>
          <w:tcPr>
            <w:tcW w:w="1414" w:type="pct"/>
            <w:tcBorders>
              <w:top w:val="single" w:sz="4" w:space="0" w:color="D9D9D9"/>
              <w:left w:val="nil"/>
              <w:bottom w:val="single" w:sz="4" w:space="0" w:color="D9D9D9"/>
              <w:right w:val="nil"/>
            </w:tcBorders>
          </w:tcPr>
          <w:p w14:paraId="13B3909D"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information they gave you about the IER program</w:t>
            </w:r>
          </w:p>
        </w:tc>
        <w:tc>
          <w:tcPr>
            <w:tcW w:w="787" w:type="pct"/>
            <w:tcBorders>
              <w:top w:val="single" w:sz="4" w:space="0" w:color="D9D9D9"/>
              <w:left w:val="nil"/>
              <w:bottom w:val="single" w:sz="4" w:space="0" w:color="D9D9D9"/>
              <w:right w:val="nil"/>
            </w:tcBorders>
          </w:tcPr>
          <w:p w14:paraId="6ABF8B42"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tcPr>
          <w:p w14:paraId="514E53F8"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tcPr>
          <w:p w14:paraId="44F827A3"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tcPr>
          <w:p w14:paraId="7F156A2F"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73978256"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1769C48B" w14:textId="77777777">
        <w:tc>
          <w:tcPr>
            <w:tcW w:w="1414" w:type="pct"/>
            <w:tcBorders>
              <w:top w:val="single" w:sz="4" w:space="0" w:color="D9D9D9"/>
              <w:left w:val="nil"/>
              <w:bottom w:val="single" w:sz="4" w:space="0" w:color="D9D9D9"/>
              <w:right w:val="nil"/>
            </w:tcBorders>
            <w:hideMark/>
          </w:tcPr>
          <w:p w14:paraId="61F3608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way they explained how your matter would be dealt with</w:t>
            </w:r>
          </w:p>
        </w:tc>
        <w:tc>
          <w:tcPr>
            <w:tcW w:w="787" w:type="pct"/>
            <w:tcBorders>
              <w:top w:val="single" w:sz="4" w:space="0" w:color="D9D9D9"/>
              <w:left w:val="nil"/>
              <w:bottom w:val="single" w:sz="4" w:space="0" w:color="D9D9D9"/>
              <w:right w:val="nil"/>
            </w:tcBorders>
          </w:tcPr>
          <w:p w14:paraId="50CB022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tcPr>
          <w:p w14:paraId="171E1CE3"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tcPr>
          <w:p w14:paraId="7946E2F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hideMark/>
          </w:tcPr>
          <w:p w14:paraId="2F7E07E8"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11021199"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1DEDEC68" w14:textId="77777777">
        <w:tc>
          <w:tcPr>
            <w:tcW w:w="1414" w:type="pct"/>
            <w:tcBorders>
              <w:top w:val="single" w:sz="4" w:space="0" w:color="D9D9D9"/>
              <w:left w:val="nil"/>
              <w:bottom w:val="single" w:sz="4" w:space="0" w:color="D9D9D9"/>
              <w:right w:val="nil"/>
            </w:tcBorders>
            <w:hideMark/>
          </w:tcPr>
          <w:p w14:paraId="4FA5D78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 xml:space="preserve">The information </w:t>
            </w:r>
            <w:r w:rsidRPr="0097718E">
              <w:rPr>
                <w:rFonts w:eastAsia="Calibri"/>
                <w:b/>
                <w:bCs/>
                <w:sz w:val="22"/>
                <w:szCs w:val="22"/>
                <w:lang w:val="en-CA" w:eastAsia="en-US"/>
              </w:rPr>
              <w:t>they gave you</w:t>
            </w:r>
            <w:r w:rsidRPr="0097718E">
              <w:rPr>
                <w:rFonts w:eastAsia="Calibri"/>
                <w:sz w:val="22"/>
                <w:szCs w:val="22"/>
                <w:lang w:val="en-CA" w:eastAsia="en-US"/>
              </w:rPr>
              <w:t xml:space="preserve"> about the independent expert who would review your matter</w:t>
            </w:r>
          </w:p>
        </w:tc>
        <w:tc>
          <w:tcPr>
            <w:tcW w:w="787" w:type="pct"/>
            <w:tcBorders>
              <w:top w:val="single" w:sz="4" w:space="0" w:color="D9D9D9"/>
              <w:left w:val="nil"/>
              <w:bottom w:val="single" w:sz="4" w:space="0" w:color="D9D9D9"/>
              <w:right w:val="nil"/>
            </w:tcBorders>
          </w:tcPr>
          <w:p w14:paraId="284AE18A"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tcPr>
          <w:p w14:paraId="5BBB3024"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tcPr>
          <w:p w14:paraId="3732BA1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hideMark/>
          </w:tcPr>
          <w:p w14:paraId="30198BC6"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5F140418"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45E0E823" w14:textId="77777777">
        <w:tc>
          <w:tcPr>
            <w:tcW w:w="1414" w:type="pct"/>
            <w:tcBorders>
              <w:top w:val="single" w:sz="4" w:space="0" w:color="D9D9D9"/>
              <w:left w:val="nil"/>
              <w:bottom w:val="single" w:sz="4" w:space="0" w:color="D9D9D9"/>
              <w:right w:val="nil"/>
            </w:tcBorders>
          </w:tcPr>
          <w:p w14:paraId="4B930389"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 xml:space="preserve">The information </w:t>
            </w:r>
            <w:r w:rsidRPr="0097718E">
              <w:rPr>
                <w:rFonts w:eastAsia="Calibri"/>
                <w:b/>
                <w:bCs/>
                <w:sz w:val="22"/>
                <w:szCs w:val="22"/>
                <w:lang w:val="en-CA" w:eastAsia="en-US"/>
              </w:rPr>
              <w:t>they gave the independent expert</w:t>
            </w:r>
            <w:r w:rsidRPr="0097718E">
              <w:rPr>
                <w:rFonts w:eastAsia="Calibri"/>
                <w:sz w:val="22"/>
                <w:szCs w:val="22"/>
                <w:lang w:val="en-CA" w:eastAsia="en-US"/>
              </w:rPr>
              <w:t xml:space="preserve"> about your matter </w:t>
            </w:r>
          </w:p>
        </w:tc>
        <w:tc>
          <w:tcPr>
            <w:tcW w:w="787" w:type="pct"/>
            <w:tcBorders>
              <w:top w:val="single" w:sz="4" w:space="0" w:color="D9D9D9"/>
              <w:left w:val="nil"/>
              <w:bottom w:val="single" w:sz="4" w:space="0" w:color="D9D9D9"/>
              <w:right w:val="nil"/>
            </w:tcBorders>
          </w:tcPr>
          <w:p w14:paraId="61FB699F"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tcPr>
          <w:p w14:paraId="050FE436"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tcPr>
          <w:p w14:paraId="4DB2B13A"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tcPr>
          <w:p w14:paraId="5B45CE18"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20004843"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74B4772A" w14:textId="77777777">
        <w:tc>
          <w:tcPr>
            <w:tcW w:w="1414" w:type="pct"/>
            <w:tcBorders>
              <w:top w:val="single" w:sz="4" w:space="0" w:color="D9D9D9"/>
              <w:left w:val="nil"/>
              <w:bottom w:val="single" w:sz="4" w:space="0" w:color="D9D9D9"/>
              <w:right w:val="nil"/>
            </w:tcBorders>
          </w:tcPr>
          <w:p w14:paraId="6036709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Their communication with you during the process</w:t>
            </w:r>
          </w:p>
        </w:tc>
        <w:tc>
          <w:tcPr>
            <w:tcW w:w="787" w:type="pct"/>
            <w:tcBorders>
              <w:top w:val="single" w:sz="4" w:space="0" w:color="D9D9D9"/>
              <w:left w:val="nil"/>
              <w:bottom w:val="single" w:sz="4" w:space="0" w:color="D9D9D9"/>
              <w:right w:val="nil"/>
            </w:tcBorders>
          </w:tcPr>
          <w:p w14:paraId="238A1D96"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tcPr>
          <w:p w14:paraId="049DB6F9"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tcPr>
          <w:p w14:paraId="318119C4"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tcPr>
          <w:p w14:paraId="40C64D98"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129B8E72"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2340536A" w14:textId="77777777">
        <w:tc>
          <w:tcPr>
            <w:tcW w:w="1414" w:type="pct"/>
            <w:tcBorders>
              <w:top w:val="single" w:sz="4" w:space="0" w:color="D9D9D9"/>
              <w:left w:val="nil"/>
              <w:bottom w:val="single" w:sz="4" w:space="0" w:color="D9D9D9"/>
              <w:right w:val="nil"/>
            </w:tcBorders>
          </w:tcPr>
          <w:p w14:paraId="4A4C7899"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way they dealt with the independent expert’s recommendation</w:t>
            </w:r>
          </w:p>
        </w:tc>
        <w:tc>
          <w:tcPr>
            <w:tcW w:w="787" w:type="pct"/>
            <w:tcBorders>
              <w:top w:val="single" w:sz="4" w:space="0" w:color="D9D9D9"/>
              <w:left w:val="nil"/>
              <w:bottom w:val="single" w:sz="4" w:space="0" w:color="D9D9D9"/>
              <w:right w:val="nil"/>
            </w:tcBorders>
          </w:tcPr>
          <w:p w14:paraId="72BB669D"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tcPr>
          <w:p w14:paraId="1A5C777E"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tcPr>
          <w:p w14:paraId="6860EA52"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tcPr>
          <w:p w14:paraId="690A4BEA"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tcPr>
          <w:p w14:paraId="4B0F4113"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bl>
    <w:p w14:paraId="75CCD75B" w14:textId="68C0B5F9" w:rsidR="000F60FA" w:rsidRPr="0097718E" w:rsidRDefault="000F60FA" w:rsidP="000F60FA">
      <w:pPr>
        <w:spacing w:before="120"/>
        <w:rPr>
          <w:rFonts w:eastAsia="Calibri" w:cs="Arial"/>
          <w:szCs w:val="22"/>
          <w:lang w:eastAsia="en-US"/>
        </w:rPr>
      </w:pPr>
    </w:p>
    <w:p w14:paraId="4E6EB3B2" w14:textId="77777777" w:rsidR="000F60FA" w:rsidRPr="0097718E" w:rsidRDefault="000F60FA" w:rsidP="004C00D5">
      <w:pPr>
        <w:pStyle w:val="H4Numbers"/>
        <w:ind w:left="567" w:hanging="567"/>
      </w:pPr>
      <w:r w:rsidRPr="0097718E">
        <w:lastRenderedPageBreak/>
        <w:t>To what extent did the IER program give you the opportunity to be heard?</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63B8F219" w14:textId="77777777">
        <w:tc>
          <w:tcPr>
            <w:tcW w:w="5392" w:type="dxa"/>
            <w:tcBorders>
              <w:top w:val="single" w:sz="4" w:space="0" w:color="BFBFBF"/>
              <w:left w:val="nil"/>
              <w:bottom w:val="single" w:sz="4" w:space="0" w:color="D9D9D9"/>
              <w:right w:val="nil"/>
            </w:tcBorders>
            <w:hideMark/>
          </w:tcPr>
          <w:p w14:paraId="07F0946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w:t>
            </w:r>
          </w:p>
        </w:tc>
        <w:tc>
          <w:tcPr>
            <w:tcW w:w="1990" w:type="dxa"/>
            <w:tcBorders>
              <w:top w:val="single" w:sz="4" w:space="0" w:color="BFBFBF"/>
              <w:left w:val="nil"/>
              <w:bottom w:val="single" w:sz="4" w:space="0" w:color="D9D9D9"/>
              <w:right w:val="nil"/>
            </w:tcBorders>
            <w:hideMark/>
          </w:tcPr>
          <w:p w14:paraId="3379D3A3"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5267BCD2" w14:textId="77777777">
        <w:tc>
          <w:tcPr>
            <w:tcW w:w="5392" w:type="dxa"/>
            <w:tcBorders>
              <w:top w:val="single" w:sz="4" w:space="0" w:color="D9D9D9"/>
              <w:left w:val="nil"/>
              <w:bottom w:val="single" w:sz="4" w:space="0" w:color="D9D9D9"/>
              <w:right w:val="nil"/>
            </w:tcBorders>
            <w:hideMark/>
          </w:tcPr>
          <w:p w14:paraId="492C99C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Very little, it wasn’t enough</w:t>
            </w:r>
          </w:p>
        </w:tc>
        <w:tc>
          <w:tcPr>
            <w:tcW w:w="1990" w:type="dxa"/>
            <w:tcBorders>
              <w:top w:val="single" w:sz="4" w:space="0" w:color="D9D9D9"/>
              <w:left w:val="nil"/>
              <w:bottom w:val="single" w:sz="4" w:space="0" w:color="D9D9D9"/>
              <w:right w:val="nil"/>
            </w:tcBorders>
            <w:hideMark/>
          </w:tcPr>
          <w:p w14:paraId="4F1421F6"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75F42FF3" w14:textId="77777777">
        <w:tc>
          <w:tcPr>
            <w:tcW w:w="5392" w:type="dxa"/>
            <w:tcBorders>
              <w:top w:val="single" w:sz="4" w:space="0" w:color="D9D9D9"/>
              <w:left w:val="nil"/>
              <w:bottom w:val="single" w:sz="4" w:space="0" w:color="D9D9D9"/>
              <w:right w:val="nil"/>
            </w:tcBorders>
            <w:hideMark/>
          </w:tcPr>
          <w:p w14:paraId="70C3B80D"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but it could have been more</w:t>
            </w:r>
          </w:p>
        </w:tc>
        <w:tc>
          <w:tcPr>
            <w:tcW w:w="1990" w:type="dxa"/>
            <w:tcBorders>
              <w:top w:val="single" w:sz="4" w:space="0" w:color="D9D9D9"/>
              <w:left w:val="nil"/>
              <w:bottom w:val="single" w:sz="4" w:space="0" w:color="D9D9D9"/>
              <w:right w:val="nil"/>
            </w:tcBorders>
            <w:hideMark/>
          </w:tcPr>
          <w:p w14:paraId="1F78BCEA"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203FC2ED" w14:textId="77777777">
        <w:tc>
          <w:tcPr>
            <w:tcW w:w="5392" w:type="dxa"/>
            <w:tcBorders>
              <w:top w:val="single" w:sz="4" w:space="0" w:color="D9D9D9"/>
              <w:left w:val="nil"/>
              <w:bottom w:val="single" w:sz="4" w:space="0" w:color="D9D9D9"/>
              <w:right w:val="nil"/>
            </w:tcBorders>
          </w:tcPr>
          <w:p w14:paraId="33E0806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A lot</w:t>
            </w:r>
          </w:p>
        </w:tc>
        <w:tc>
          <w:tcPr>
            <w:tcW w:w="1990" w:type="dxa"/>
            <w:tcBorders>
              <w:top w:val="single" w:sz="4" w:space="0" w:color="D9D9D9"/>
              <w:left w:val="nil"/>
              <w:bottom w:val="single" w:sz="4" w:space="0" w:color="D9D9D9"/>
              <w:right w:val="nil"/>
            </w:tcBorders>
          </w:tcPr>
          <w:p w14:paraId="46AAC476"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bl>
    <w:p w14:paraId="4925D2B1" w14:textId="77777777" w:rsidR="000F60FA" w:rsidRPr="0097718E" w:rsidRDefault="000F60FA" w:rsidP="000F60FA">
      <w:pPr>
        <w:spacing w:before="60" w:after="60" w:line="264" w:lineRule="auto"/>
        <w:rPr>
          <w:rFonts w:eastAsia="Calibri" w:cs="Arial"/>
          <w:b/>
          <w:bCs/>
          <w:szCs w:val="22"/>
          <w:lang w:eastAsia="en-US"/>
        </w:rPr>
      </w:pPr>
    </w:p>
    <w:p w14:paraId="4B10ACE9" w14:textId="77777777" w:rsidR="000F60FA" w:rsidRPr="0097718E" w:rsidRDefault="000F60FA" w:rsidP="000F60FA">
      <w:pPr>
        <w:spacing w:before="60" w:after="60" w:line="264" w:lineRule="auto"/>
        <w:rPr>
          <w:rFonts w:eastAsia="Calibri" w:cs="Arial"/>
          <w:b/>
          <w:bCs/>
          <w:szCs w:val="22"/>
          <w:lang w:eastAsia="en-US"/>
        </w:rPr>
      </w:pPr>
      <w:r w:rsidRPr="0097718E">
        <w:rPr>
          <w:rFonts w:eastAsia="Calibri" w:cs="Arial"/>
          <w:b/>
          <w:bCs/>
          <w:szCs w:val="22"/>
          <w:lang w:eastAsia="en-US"/>
        </w:rPr>
        <w:t>The next questions are about the internal NDIS process that you had before you went through Independent Expert Review Program</w:t>
      </w:r>
    </w:p>
    <w:p w14:paraId="59C653F7" w14:textId="77777777" w:rsidR="000F60FA" w:rsidRPr="0097718E" w:rsidRDefault="000F60FA" w:rsidP="000F60FA">
      <w:pPr>
        <w:rPr>
          <w:szCs w:val="22"/>
          <w:lang w:eastAsia="en-US"/>
        </w:rPr>
      </w:pPr>
    </w:p>
    <w:p w14:paraId="28900519" w14:textId="2B11D793" w:rsidR="000F60FA" w:rsidRPr="0097718E" w:rsidRDefault="000F60FA" w:rsidP="000F60FA">
      <w:pPr>
        <w:keepNext/>
        <w:spacing w:before="60" w:after="60" w:line="264" w:lineRule="auto"/>
        <w:rPr>
          <w:rFonts w:eastAsia="Calibri" w:cs="Arial"/>
          <w:b/>
          <w:bCs/>
          <w:szCs w:val="22"/>
          <w:u w:val="single"/>
          <w:lang w:eastAsia="en-US"/>
        </w:rPr>
      </w:pPr>
      <w:r w:rsidRPr="0097718E">
        <w:rPr>
          <w:rFonts w:eastAsia="Calibri" w:cs="Arial"/>
          <w:b/>
          <w:bCs/>
          <w:szCs w:val="22"/>
          <w:u w:val="single"/>
          <w:lang w:eastAsia="en-US"/>
        </w:rPr>
        <w:t>The NDIS Planning meeting</w:t>
      </w:r>
    </w:p>
    <w:p w14:paraId="382045CE" w14:textId="77777777" w:rsidR="000F60FA" w:rsidRPr="0097718E" w:rsidRDefault="000F60FA" w:rsidP="00CF7129">
      <w:pPr>
        <w:pStyle w:val="H4Numbers"/>
        <w:ind w:left="360"/>
      </w:pPr>
      <w:r w:rsidRPr="0097718E">
        <w:t xml:space="preserve">Thinking back to your last NDIS plan meeting, overall how satisfied were you with the process? </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6964AB79" w14:textId="77777777">
        <w:tc>
          <w:tcPr>
            <w:tcW w:w="5392" w:type="dxa"/>
            <w:tcBorders>
              <w:top w:val="single" w:sz="4" w:space="0" w:color="BFBFBF"/>
              <w:left w:val="nil"/>
              <w:bottom w:val="single" w:sz="4" w:space="0" w:color="D9D9D9"/>
              <w:right w:val="nil"/>
            </w:tcBorders>
            <w:hideMark/>
          </w:tcPr>
          <w:p w14:paraId="4922D2BE"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 satisfied</w:t>
            </w:r>
          </w:p>
        </w:tc>
        <w:tc>
          <w:tcPr>
            <w:tcW w:w="1990" w:type="dxa"/>
            <w:tcBorders>
              <w:top w:val="single" w:sz="4" w:space="0" w:color="BFBFBF"/>
              <w:left w:val="nil"/>
              <w:bottom w:val="single" w:sz="4" w:space="0" w:color="D9D9D9"/>
              <w:right w:val="nil"/>
            </w:tcBorders>
            <w:hideMark/>
          </w:tcPr>
          <w:p w14:paraId="57FB93DF"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579755D8" w14:textId="77777777">
        <w:tc>
          <w:tcPr>
            <w:tcW w:w="5392" w:type="dxa"/>
            <w:tcBorders>
              <w:top w:val="single" w:sz="4" w:space="0" w:color="D9D9D9"/>
              <w:left w:val="nil"/>
              <w:bottom w:val="single" w:sz="4" w:space="0" w:color="D9D9D9"/>
              <w:right w:val="nil"/>
            </w:tcBorders>
            <w:hideMark/>
          </w:tcPr>
          <w:p w14:paraId="56133C8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Only a little bit satisfied</w:t>
            </w:r>
          </w:p>
        </w:tc>
        <w:tc>
          <w:tcPr>
            <w:tcW w:w="1990" w:type="dxa"/>
            <w:tcBorders>
              <w:top w:val="single" w:sz="4" w:space="0" w:color="D9D9D9"/>
              <w:left w:val="nil"/>
              <w:bottom w:val="single" w:sz="4" w:space="0" w:color="D9D9D9"/>
              <w:right w:val="nil"/>
            </w:tcBorders>
            <w:hideMark/>
          </w:tcPr>
          <w:p w14:paraId="3B055B96"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5B232FC3" w14:textId="77777777">
        <w:tc>
          <w:tcPr>
            <w:tcW w:w="5392" w:type="dxa"/>
            <w:tcBorders>
              <w:top w:val="single" w:sz="4" w:space="0" w:color="D9D9D9"/>
              <w:left w:val="nil"/>
              <w:bottom w:val="single" w:sz="4" w:space="0" w:color="D9D9D9"/>
              <w:right w:val="nil"/>
            </w:tcBorders>
            <w:hideMark/>
          </w:tcPr>
          <w:p w14:paraId="63C51CD4"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satisfied</w:t>
            </w:r>
          </w:p>
        </w:tc>
        <w:tc>
          <w:tcPr>
            <w:tcW w:w="1990" w:type="dxa"/>
            <w:tcBorders>
              <w:top w:val="single" w:sz="4" w:space="0" w:color="D9D9D9"/>
              <w:left w:val="nil"/>
              <w:bottom w:val="single" w:sz="4" w:space="0" w:color="D9D9D9"/>
              <w:right w:val="nil"/>
            </w:tcBorders>
            <w:hideMark/>
          </w:tcPr>
          <w:p w14:paraId="1BEFD74C"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06E2AFE6" w14:textId="77777777">
        <w:tc>
          <w:tcPr>
            <w:tcW w:w="5392" w:type="dxa"/>
            <w:tcBorders>
              <w:top w:val="single" w:sz="4" w:space="0" w:color="D9D9D9"/>
              <w:left w:val="nil"/>
              <w:bottom w:val="single" w:sz="4" w:space="0" w:color="D9D9D9"/>
              <w:right w:val="nil"/>
            </w:tcBorders>
            <w:hideMark/>
          </w:tcPr>
          <w:p w14:paraId="6FEC2BAC"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Mostly satisfied</w:t>
            </w:r>
          </w:p>
        </w:tc>
        <w:tc>
          <w:tcPr>
            <w:tcW w:w="1990" w:type="dxa"/>
            <w:tcBorders>
              <w:top w:val="single" w:sz="4" w:space="0" w:color="D9D9D9"/>
              <w:left w:val="nil"/>
              <w:bottom w:val="single" w:sz="4" w:space="0" w:color="D9D9D9"/>
              <w:right w:val="nil"/>
            </w:tcBorders>
            <w:hideMark/>
          </w:tcPr>
          <w:p w14:paraId="52544B89"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r w:rsidR="00327147" w:rsidRPr="0097718E" w14:paraId="57782803" w14:textId="77777777">
        <w:tc>
          <w:tcPr>
            <w:tcW w:w="5392" w:type="dxa"/>
            <w:tcBorders>
              <w:top w:val="single" w:sz="4" w:space="0" w:color="D9D9D9"/>
              <w:left w:val="nil"/>
              <w:bottom w:val="single" w:sz="4" w:space="0" w:color="D9D9D9"/>
              <w:right w:val="nil"/>
            </w:tcBorders>
            <w:hideMark/>
          </w:tcPr>
          <w:p w14:paraId="4182B7F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Completely satisfied</w:t>
            </w:r>
          </w:p>
        </w:tc>
        <w:tc>
          <w:tcPr>
            <w:tcW w:w="1990" w:type="dxa"/>
            <w:tcBorders>
              <w:top w:val="single" w:sz="4" w:space="0" w:color="D9D9D9"/>
              <w:left w:val="nil"/>
              <w:bottom w:val="single" w:sz="4" w:space="0" w:color="D9D9D9"/>
              <w:right w:val="nil"/>
            </w:tcBorders>
            <w:hideMark/>
          </w:tcPr>
          <w:p w14:paraId="4ED8350E"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bl>
    <w:p w14:paraId="37A3D155" w14:textId="77777777" w:rsidR="000F60FA" w:rsidRPr="0097718E" w:rsidRDefault="000F60FA" w:rsidP="000F60FA">
      <w:pPr>
        <w:spacing w:before="60" w:after="60" w:line="264" w:lineRule="auto"/>
        <w:rPr>
          <w:rFonts w:eastAsia="Calibri" w:cs="Arial"/>
          <w:b/>
          <w:bCs/>
          <w:szCs w:val="22"/>
          <w:lang w:eastAsia="en-US"/>
        </w:rPr>
      </w:pPr>
    </w:p>
    <w:p w14:paraId="22A28658" w14:textId="77777777" w:rsidR="000F60FA" w:rsidRPr="0097718E" w:rsidRDefault="000F60FA" w:rsidP="00883B6D">
      <w:pPr>
        <w:pStyle w:val="H4Numbers"/>
        <w:ind w:left="567" w:hanging="567"/>
      </w:pPr>
      <w:r w:rsidRPr="0097718E">
        <w:t>How satisfied were you with the following aspects of your last NDIS plan meeting?</w:t>
      </w:r>
    </w:p>
    <w:tbl>
      <w:tblPr>
        <w:tblStyle w:val="TableGrid1"/>
        <w:tblW w:w="5000" w:type="pct"/>
        <w:tblInd w:w="0"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ayout w:type="fixed"/>
        <w:tblLook w:val="04A0" w:firstRow="1" w:lastRow="0" w:firstColumn="1" w:lastColumn="0" w:noHBand="0" w:noVBand="1"/>
      </w:tblPr>
      <w:tblGrid>
        <w:gridCol w:w="2959"/>
        <w:gridCol w:w="1024"/>
        <w:gridCol w:w="1264"/>
        <w:gridCol w:w="1274"/>
        <w:gridCol w:w="144"/>
        <w:gridCol w:w="993"/>
        <w:gridCol w:w="1368"/>
      </w:tblGrid>
      <w:tr w:rsidR="000F60FA" w:rsidRPr="0097718E" w14:paraId="725BB815" w14:textId="77777777">
        <w:tc>
          <w:tcPr>
            <w:tcW w:w="1639" w:type="pct"/>
            <w:tcBorders>
              <w:top w:val="single" w:sz="4" w:space="0" w:color="BFBFBF"/>
              <w:left w:val="nil"/>
              <w:bottom w:val="single" w:sz="4" w:space="0" w:color="D9D9D9"/>
              <w:right w:val="nil"/>
            </w:tcBorders>
          </w:tcPr>
          <w:p w14:paraId="500896FD" w14:textId="77777777" w:rsidR="000F60FA" w:rsidRPr="0097718E" w:rsidRDefault="000F60FA">
            <w:pPr>
              <w:spacing w:before="60" w:after="60"/>
              <w:rPr>
                <w:rFonts w:eastAsia="Calibri"/>
                <w:sz w:val="22"/>
                <w:szCs w:val="22"/>
                <w:lang w:val="en-CA" w:eastAsia="en-US"/>
              </w:rPr>
            </w:pPr>
          </w:p>
        </w:tc>
        <w:tc>
          <w:tcPr>
            <w:tcW w:w="567" w:type="pct"/>
            <w:tcBorders>
              <w:top w:val="single" w:sz="4" w:space="0" w:color="BFBFBF"/>
              <w:left w:val="nil"/>
              <w:bottom w:val="single" w:sz="4" w:space="0" w:color="D9D9D9"/>
              <w:right w:val="nil"/>
            </w:tcBorders>
            <w:hideMark/>
          </w:tcPr>
          <w:p w14:paraId="74954A8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 satisfied</w:t>
            </w:r>
          </w:p>
        </w:tc>
        <w:tc>
          <w:tcPr>
            <w:tcW w:w="700" w:type="pct"/>
            <w:tcBorders>
              <w:top w:val="single" w:sz="4" w:space="0" w:color="BFBFBF"/>
              <w:left w:val="nil"/>
              <w:bottom w:val="single" w:sz="4" w:space="0" w:color="D9D9D9"/>
              <w:right w:val="nil"/>
            </w:tcBorders>
            <w:hideMark/>
          </w:tcPr>
          <w:p w14:paraId="1E58854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Only a little bit satisfied</w:t>
            </w:r>
          </w:p>
        </w:tc>
        <w:tc>
          <w:tcPr>
            <w:tcW w:w="706" w:type="pct"/>
            <w:tcBorders>
              <w:top w:val="single" w:sz="4" w:space="0" w:color="BFBFBF"/>
              <w:left w:val="nil"/>
              <w:bottom w:val="single" w:sz="4" w:space="0" w:color="D9D9D9"/>
              <w:right w:val="nil"/>
            </w:tcBorders>
            <w:hideMark/>
          </w:tcPr>
          <w:p w14:paraId="44FE51E8"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satisfied</w:t>
            </w:r>
          </w:p>
        </w:tc>
        <w:tc>
          <w:tcPr>
            <w:tcW w:w="629" w:type="pct"/>
            <w:gridSpan w:val="2"/>
            <w:tcBorders>
              <w:top w:val="single" w:sz="4" w:space="0" w:color="BFBFBF"/>
              <w:left w:val="nil"/>
              <w:bottom w:val="single" w:sz="4" w:space="0" w:color="D9D9D9"/>
              <w:right w:val="nil"/>
            </w:tcBorders>
            <w:hideMark/>
          </w:tcPr>
          <w:p w14:paraId="6B990BF1"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Mostly satisfied</w:t>
            </w:r>
          </w:p>
        </w:tc>
        <w:tc>
          <w:tcPr>
            <w:tcW w:w="759" w:type="pct"/>
            <w:tcBorders>
              <w:top w:val="single" w:sz="4" w:space="0" w:color="BFBFBF"/>
              <w:left w:val="nil"/>
              <w:bottom w:val="single" w:sz="4" w:space="0" w:color="D9D9D9"/>
              <w:right w:val="nil"/>
            </w:tcBorders>
            <w:hideMark/>
          </w:tcPr>
          <w:p w14:paraId="696C1482"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Completely satisfied</w:t>
            </w:r>
          </w:p>
        </w:tc>
      </w:tr>
      <w:tr w:rsidR="000F60FA" w:rsidRPr="0097718E" w14:paraId="12D00ADC" w14:textId="77777777">
        <w:tc>
          <w:tcPr>
            <w:tcW w:w="1639" w:type="pct"/>
            <w:tcBorders>
              <w:top w:val="single" w:sz="4" w:space="0" w:color="D9D9D9"/>
              <w:left w:val="nil"/>
              <w:bottom w:val="single" w:sz="4" w:space="0" w:color="D9D9D9"/>
              <w:right w:val="nil"/>
            </w:tcBorders>
          </w:tcPr>
          <w:p w14:paraId="43B1FD4F"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information you were given to help you prepare for your plan review meeting</w:t>
            </w:r>
          </w:p>
        </w:tc>
        <w:tc>
          <w:tcPr>
            <w:tcW w:w="567" w:type="pct"/>
            <w:tcBorders>
              <w:top w:val="single" w:sz="4" w:space="0" w:color="D9D9D9"/>
              <w:left w:val="nil"/>
              <w:bottom w:val="single" w:sz="4" w:space="0" w:color="D9D9D9"/>
              <w:right w:val="nil"/>
            </w:tcBorders>
          </w:tcPr>
          <w:p w14:paraId="1E4F86F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00" w:type="pct"/>
            <w:tcBorders>
              <w:top w:val="single" w:sz="4" w:space="0" w:color="D9D9D9"/>
              <w:left w:val="nil"/>
              <w:bottom w:val="single" w:sz="4" w:space="0" w:color="D9D9D9"/>
              <w:right w:val="nil"/>
            </w:tcBorders>
          </w:tcPr>
          <w:p w14:paraId="6BF934E0"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6" w:type="pct"/>
            <w:gridSpan w:val="2"/>
            <w:tcBorders>
              <w:top w:val="single" w:sz="4" w:space="0" w:color="D9D9D9"/>
              <w:left w:val="nil"/>
              <w:bottom w:val="single" w:sz="4" w:space="0" w:color="D9D9D9"/>
              <w:right w:val="nil"/>
            </w:tcBorders>
          </w:tcPr>
          <w:p w14:paraId="526E675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550" w:type="pct"/>
            <w:tcBorders>
              <w:top w:val="single" w:sz="4" w:space="0" w:color="D9D9D9"/>
              <w:left w:val="nil"/>
              <w:bottom w:val="single" w:sz="4" w:space="0" w:color="D9D9D9"/>
              <w:right w:val="nil"/>
            </w:tcBorders>
          </w:tcPr>
          <w:p w14:paraId="707F591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9" w:type="pct"/>
            <w:tcBorders>
              <w:top w:val="single" w:sz="4" w:space="0" w:color="D9D9D9"/>
              <w:left w:val="nil"/>
              <w:bottom w:val="single" w:sz="4" w:space="0" w:color="D9D9D9"/>
              <w:right w:val="nil"/>
            </w:tcBorders>
          </w:tcPr>
          <w:p w14:paraId="60896AB8"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1B7607B0" w14:textId="77777777">
        <w:tc>
          <w:tcPr>
            <w:tcW w:w="1639" w:type="pct"/>
            <w:tcBorders>
              <w:top w:val="single" w:sz="4" w:space="0" w:color="D9D9D9"/>
              <w:left w:val="nil"/>
              <w:bottom w:val="single" w:sz="4" w:space="0" w:color="D9D9D9"/>
              <w:right w:val="nil"/>
            </w:tcBorders>
            <w:hideMark/>
          </w:tcPr>
          <w:p w14:paraId="523D509E"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NDIS planner’s knowledge of your disability</w:t>
            </w:r>
          </w:p>
        </w:tc>
        <w:tc>
          <w:tcPr>
            <w:tcW w:w="567" w:type="pct"/>
            <w:tcBorders>
              <w:top w:val="single" w:sz="4" w:space="0" w:color="D9D9D9"/>
              <w:left w:val="nil"/>
              <w:bottom w:val="single" w:sz="4" w:space="0" w:color="D9D9D9"/>
              <w:right w:val="nil"/>
            </w:tcBorders>
            <w:hideMark/>
          </w:tcPr>
          <w:p w14:paraId="154AAE2B"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00" w:type="pct"/>
            <w:tcBorders>
              <w:top w:val="single" w:sz="4" w:space="0" w:color="D9D9D9"/>
              <w:left w:val="nil"/>
              <w:bottom w:val="single" w:sz="4" w:space="0" w:color="D9D9D9"/>
              <w:right w:val="nil"/>
            </w:tcBorders>
            <w:hideMark/>
          </w:tcPr>
          <w:p w14:paraId="6D086941"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6" w:type="pct"/>
            <w:gridSpan w:val="2"/>
            <w:tcBorders>
              <w:top w:val="single" w:sz="4" w:space="0" w:color="D9D9D9"/>
              <w:left w:val="nil"/>
              <w:bottom w:val="single" w:sz="4" w:space="0" w:color="D9D9D9"/>
              <w:right w:val="nil"/>
            </w:tcBorders>
            <w:hideMark/>
          </w:tcPr>
          <w:p w14:paraId="76BAE74F"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550" w:type="pct"/>
            <w:tcBorders>
              <w:top w:val="single" w:sz="4" w:space="0" w:color="D9D9D9"/>
              <w:left w:val="nil"/>
              <w:bottom w:val="single" w:sz="4" w:space="0" w:color="D9D9D9"/>
              <w:right w:val="nil"/>
            </w:tcBorders>
            <w:hideMark/>
          </w:tcPr>
          <w:p w14:paraId="7B48B5E9"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9" w:type="pct"/>
            <w:tcBorders>
              <w:top w:val="single" w:sz="4" w:space="0" w:color="D9D9D9"/>
              <w:left w:val="nil"/>
              <w:bottom w:val="single" w:sz="4" w:space="0" w:color="D9D9D9"/>
              <w:right w:val="nil"/>
            </w:tcBorders>
            <w:hideMark/>
          </w:tcPr>
          <w:p w14:paraId="2F77A15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3EFFF120" w14:textId="77777777">
        <w:tc>
          <w:tcPr>
            <w:tcW w:w="1639" w:type="pct"/>
            <w:tcBorders>
              <w:top w:val="single" w:sz="4" w:space="0" w:color="D9D9D9"/>
              <w:left w:val="nil"/>
              <w:bottom w:val="single" w:sz="4" w:space="0" w:color="D9D9D9"/>
              <w:right w:val="nil"/>
            </w:tcBorders>
            <w:hideMark/>
          </w:tcPr>
          <w:p w14:paraId="1A11A66F"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lastRenderedPageBreak/>
              <w:t xml:space="preserve">The NDIS planner’s understanding of how your disability affects your life </w:t>
            </w:r>
          </w:p>
        </w:tc>
        <w:tc>
          <w:tcPr>
            <w:tcW w:w="567" w:type="pct"/>
            <w:tcBorders>
              <w:top w:val="single" w:sz="4" w:space="0" w:color="D9D9D9"/>
              <w:left w:val="nil"/>
              <w:bottom w:val="single" w:sz="4" w:space="0" w:color="D9D9D9"/>
              <w:right w:val="nil"/>
            </w:tcBorders>
            <w:hideMark/>
          </w:tcPr>
          <w:p w14:paraId="322AAC58"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00" w:type="pct"/>
            <w:tcBorders>
              <w:top w:val="single" w:sz="4" w:space="0" w:color="D9D9D9"/>
              <w:left w:val="nil"/>
              <w:bottom w:val="single" w:sz="4" w:space="0" w:color="D9D9D9"/>
              <w:right w:val="nil"/>
            </w:tcBorders>
            <w:hideMark/>
          </w:tcPr>
          <w:p w14:paraId="2A22726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6" w:type="pct"/>
            <w:gridSpan w:val="2"/>
            <w:tcBorders>
              <w:top w:val="single" w:sz="4" w:space="0" w:color="D9D9D9"/>
              <w:left w:val="nil"/>
              <w:bottom w:val="single" w:sz="4" w:space="0" w:color="D9D9D9"/>
              <w:right w:val="nil"/>
            </w:tcBorders>
            <w:hideMark/>
          </w:tcPr>
          <w:p w14:paraId="068BA95F"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550" w:type="pct"/>
            <w:tcBorders>
              <w:top w:val="single" w:sz="4" w:space="0" w:color="D9D9D9"/>
              <w:left w:val="nil"/>
              <w:bottom w:val="single" w:sz="4" w:space="0" w:color="D9D9D9"/>
              <w:right w:val="nil"/>
            </w:tcBorders>
            <w:hideMark/>
          </w:tcPr>
          <w:p w14:paraId="36ED4DB8"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c>
          <w:tcPr>
            <w:tcW w:w="759" w:type="pct"/>
            <w:tcBorders>
              <w:top w:val="single" w:sz="4" w:space="0" w:color="D9D9D9"/>
              <w:left w:val="nil"/>
              <w:bottom w:val="single" w:sz="4" w:space="0" w:color="D9D9D9"/>
              <w:right w:val="nil"/>
            </w:tcBorders>
            <w:hideMark/>
          </w:tcPr>
          <w:p w14:paraId="48CB6C20"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1B1220B5" w14:textId="77777777">
        <w:tc>
          <w:tcPr>
            <w:tcW w:w="1639" w:type="pct"/>
            <w:tcBorders>
              <w:top w:val="single" w:sz="4" w:space="0" w:color="D9D9D9"/>
              <w:left w:val="nil"/>
              <w:bottom w:val="single" w:sz="4" w:space="0" w:color="D9D9D9"/>
              <w:right w:val="nil"/>
            </w:tcBorders>
          </w:tcPr>
          <w:p w14:paraId="7BD228DF"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NDIS planner’s use of specialist reports provided</w:t>
            </w:r>
          </w:p>
        </w:tc>
        <w:tc>
          <w:tcPr>
            <w:tcW w:w="567" w:type="pct"/>
            <w:tcBorders>
              <w:top w:val="single" w:sz="4" w:space="0" w:color="D9D9D9"/>
              <w:left w:val="nil"/>
              <w:bottom w:val="single" w:sz="4" w:space="0" w:color="D9D9D9"/>
              <w:right w:val="nil"/>
            </w:tcBorders>
          </w:tcPr>
          <w:p w14:paraId="4876E17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00" w:type="pct"/>
            <w:tcBorders>
              <w:top w:val="single" w:sz="4" w:space="0" w:color="D9D9D9"/>
              <w:left w:val="nil"/>
              <w:bottom w:val="single" w:sz="4" w:space="0" w:color="D9D9D9"/>
              <w:right w:val="nil"/>
            </w:tcBorders>
          </w:tcPr>
          <w:p w14:paraId="13B4157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6" w:type="pct"/>
            <w:gridSpan w:val="2"/>
            <w:tcBorders>
              <w:top w:val="single" w:sz="4" w:space="0" w:color="D9D9D9"/>
              <w:left w:val="nil"/>
              <w:bottom w:val="single" w:sz="4" w:space="0" w:color="D9D9D9"/>
              <w:right w:val="nil"/>
            </w:tcBorders>
          </w:tcPr>
          <w:p w14:paraId="7EA7D5B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550" w:type="pct"/>
            <w:tcBorders>
              <w:top w:val="single" w:sz="4" w:space="0" w:color="D9D9D9"/>
              <w:left w:val="nil"/>
              <w:bottom w:val="single" w:sz="4" w:space="0" w:color="D9D9D9"/>
              <w:right w:val="nil"/>
            </w:tcBorders>
          </w:tcPr>
          <w:p w14:paraId="07BE876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9" w:type="pct"/>
            <w:tcBorders>
              <w:top w:val="single" w:sz="4" w:space="0" w:color="D9D9D9"/>
              <w:left w:val="nil"/>
              <w:bottom w:val="single" w:sz="4" w:space="0" w:color="D9D9D9"/>
              <w:right w:val="nil"/>
            </w:tcBorders>
          </w:tcPr>
          <w:p w14:paraId="335D3DA1"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062F5AFE" w14:textId="77777777">
        <w:tc>
          <w:tcPr>
            <w:tcW w:w="1639" w:type="pct"/>
            <w:tcBorders>
              <w:top w:val="single" w:sz="4" w:space="0" w:color="D9D9D9"/>
              <w:left w:val="nil"/>
              <w:bottom w:val="single" w:sz="4" w:space="0" w:color="D9D9D9"/>
              <w:right w:val="nil"/>
            </w:tcBorders>
          </w:tcPr>
          <w:p w14:paraId="217D83B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NDIS planner’s anticipation of your future needs</w:t>
            </w:r>
          </w:p>
        </w:tc>
        <w:tc>
          <w:tcPr>
            <w:tcW w:w="567" w:type="pct"/>
            <w:tcBorders>
              <w:top w:val="single" w:sz="4" w:space="0" w:color="D9D9D9"/>
              <w:left w:val="nil"/>
              <w:bottom w:val="single" w:sz="4" w:space="0" w:color="D9D9D9"/>
              <w:right w:val="nil"/>
            </w:tcBorders>
          </w:tcPr>
          <w:p w14:paraId="6732D3A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00" w:type="pct"/>
            <w:tcBorders>
              <w:top w:val="single" w:sz="4" w:space="0" w:color="D9D9D9"/>
              <w:left w:val="nil"/>
              <w:bottom w:val="single" w:sz="4" w:space="0" w:color="D9D9D9"/>
              <w:right w:val="nil"/>
            </w:tcBorders>
          </w:tcPr>
          <w:p w14:paraId="23EE952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6" w:type="pct"/>
            <w:gridSpan w:val="2"/>
            <w:tcBorders>
              <w:top w:val="single" w:sz="4" w:space="0" w:color="D9D9D9"/>
              <w:left w:val="nil"/>
              <w:bottom w:val="single" w:sz="4" w:space="0" w:color="D9D9D9"/>
              <w:right w:val="nil"/>
            </w:tcBorders>
          </w:tcPr>
          <w:p w14:paraId="12DC805D"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550" w:type="pct"/>
            <w:tcBorders>
              <w:top w:val="single" w:sz="4" w:space="0" w:color="D9D9D9"/>
              <w:left w:val="nil"/>
              <w:bottom w:val="single" w:sz="4" w:space="0" w:color="D9D9D9"/>
              <w:right w:val="nil"/>
            </w:tcBorders>
          </w:tcPr>
          <w:p w14:paraId="3035340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9" w:type="pct"/>
            <w:tcBorders>
              <w:top w:val="single" w:sz="4" w:space="0" w:color="D9D9D9"/>
              <w:left w:val="nil"/>
              <w:bottom w:val="single" w:sz="4" w:space="0" w:color="D9D9D9"/>
              <w:right w:val="nil"/>
            </w:tcBorders>
          </w:tcPr>
          <w:p w14:paraId="041A760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0D129F08" w14:textId="77777777">
        <w:tc>
          <w:tcPr>
            <w:tcW w:w="1639" w:type="pct"/>
            <w:tcBorders>
              <w:top w:val="single" w:sz="4" w:space="0" w:color="D9D9D9"/>
              <w:left w:val="nil"/>
              <w:bottom w:val="single" w:sz="4" w:space="0" w:color="D9D9D9"/>
              <w:right w:val="nil"/>
            </w:tcBorders>
            <w:hideMark/>
          </w:tcPr>
          <w:p w14:paraId="61C27154"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NDIS planner listening to you about your support needs during the planning meeting</w:t>
            </w:r>
          </w:p>
        </w:tc>
        <w:tc>
          <w:tcPr>
            <w:tcW w:w="567" w:type="pct"/>
            <w:tcBorders>
              <w:top w:val="single" w:sz="4" w:space="0" w:color="D9D9D9"/>
              <w:left w:val="nil"/>
              <w:bottom w:val="single" w:sz="4" w:space="0" w:color="D9D9D9"/>
              <w:right w:val="nil"/>
            </w:tcBorders>
            <w:hideMark/>
          </w:tcPr>
          <w:p w14:paraId="7B82800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00" w:type="pct"/>
            <w:tcBorders>
              <w:top w:val="single" w:sz="4" w:space="0" w:color="D9D9D9"/>
              <w:left w:val="nil"/>
              <w:bottom w:val="single" w:sz="4" w:space="0" w:color="D9D9D9"/>
              <w:right w:val="nil"/>
            </w:tcBorders>
            <w:hideMark/>
          </w:tcPr>
          <w:p w14:paraId="58775913"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6" w:type="pct"/>
            <w:gridSpan w:val="2"/>
            <w:tcBorders>
              <w:top w:val="single" w:sz="4" w:space="0" w:color="D9D9D9"/>
              <w:left w:val="nil"/>
              <w:bottom w:val="single" w:sz="4" w:space="0" w:color="D9D9D9"/>
              <w:right w:val="nil"/>
            </w:tcBorders>
            <w:hideMark/>
          </w:tcPr>
          <w:p w14:paraId="75A10C89"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550" w:type="pct"/>
            <w:tcBorders>
              <w:top w:val="single" w:sz="4" w:space="0" w:color="D9D9D9"/>
              <w:left w:val="nil"/>
              <w:bottom w:val="single" w:sz="4" w:space="0" w:color="D9D9D9"/>
              <w:right w:val="nil"/>
            </w:tcBorders>
            <w:hideMark/>
          </w:tcPr>
          <w:p w14:paraId="3E6ACD6B"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c>
          <w:tcPr>
            <w:tcW w:w="759" w:type="pct"/>
            <w:tcBorders>
              <w:top w:val="single" w:sz="4" w:space="0" w:color="D9D9D9"/>
              <w:left w:val="nil"/>
              <w:bottom w:val="single" w:sz="4" w:space="0" w:color="D9D9D9"/>
              <w:right w:val="nil"/>
            </w:tcBorders>
            <w:hideMark/>
          </w:tcPr>
          <w:p w14:paraId="2257603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5E68DDC1" w14:textId="77777777">
        <w:tc>
          <w:tcPr>
            <w:tcW w:w="1639" w:type="pct"/>
            <w:tcBorders>
              <w:top w:val="single" w:sz="4" w:space="0" w:color="D9D9D9"/>
              <w:left w:val="nil"/>
              <w:bottom w:val="single" w:sz="4" w:space="0" w:color="D9D9D9"/>
              <w:right w:val="nil"/>
            </w:tcBorders>
            <w:hideMark/>
          </w:tcPr>
          <w:p w14:paraId="1E6BBE3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NDIS planner giving a clear explanation for the decisions they made about your NDIS funding</w:t>
            </w:r>
          </w:p>
        </w:tc>
        <w:tc>
          <w:tcPr>
            <w:tcW w:w="567" w:type="pct"/>
            <w:tcBorders>
              <w:top w:val="single" w:sz="4" w:space="0" w:color="D9D9D9"/>
              <w:left w:val="nil"/>
              <w:bottom w:val="single" w:sz="4" w:space="0" w:color="D9D9D9"/>
              <w:right w:val="nil"/>
            </w:tcBorders>
            <w:hideMark/>
          </w:tcPr>
          <w:p w14:paraId="266D0253"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00" w:type="pct"/>
            <w:tcBorders>
              <w:top w:val="single" w:sz="4" w:space="0" w:color="D9D9D9"/>
              <w:left w:val="nil"/>
              <w:bottom w:val="single" w:sz="4" w:space="0" w:color="D9D9D9"/>
              <w:right w:val="nil"/>
            </w:tcBorders>
            <w:hideMark/>
          </w:tcPr>
          <w:p w14:paraId="3EFEE26D"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86" w:type="pct"/>
            <w:gridSpan w:val="2"/>
            <w:tcBorders>
              <w:top w:val="single" w:sz="4" w:space="0" w:color="D9D9D9"/>
              <w:left w:val="nil"/>
              <w:bottom w:val="single" w:sz="4" w:space="0" w:color="D9D9D9"/>
              <w:right w:val="nil"/>
            </w:tcBorders>
            <w:hideMark/>
          </w:tcPr>
          <w:p w14:paraId="534132E2"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550" w:type="pct"/>
            <w:tcBorders>
              <w:top w:val="single" w:sz="4" w:space="0" w:color="D9D9D9"/>
              <w:left w:val="nil"/>
              <w:bottom w:val="single" w:sz="4" w:space="0" w:color="D9D9D9"/>
              <w:right w:val="nil"/>
            </w:tcBorders>
            <w:hideMark/>
          </w:tcPr>
          <w:p w14:paraId="0749E64A"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59" w:type="pct"/>
            <w:tcBorders>
              <w:top w:val="single" w:sz="4" w:space="0" w:color="D9D9D9"/>
              <w:left w:val="nil"/>
              <w:bottom w:val="single" w:sz="4" w:space="0" w:color="D9D9D9"/>
              <w:right w:val="nil"/>
            </w:tcBorders>
            <w:hideMark/>
          </w:tcPr>
          <w:p w14:paraId="391464B9"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bl>
    <w:p w14:paraId="78101911" w14:textId="77777777" w:rsidR="000F60FA" w:rsidRPr="0097718E" w:rsidRDefault="000F60FA" w:rsidP="00883B6D">
      <w:pPr>
        <w:pStyle w:val="H4Numbers"/>
        <w:tabs>
          <w:tab w:val="left" w:pos="709"/>
        </w:tabs>
        <w:ind w:left="2410" w:hanging="2410"/>
      </w:pPr>
      <w:r w:rsidRPr="0097718E">
        <w:t>How could the NDIS improve the planning process?</w:t>
      </w:r>
    </w:p>
    <w:p w14:paraId="1C9E86DB" w14:textId="77777777" w:rsidR="000F60FA" w:rsidRPr="0097718E" w:rsidRDefault="000F60FA" w:rsidP="000F60FA">
      <w:pPr>
        <w:rPr>
          <w:szCs w:val="22"/>
          <w:lang w:eastAsia="en-US"/>
        </w:rPr>
      </w:pPr>
      <w:r w:rsidRPr="0097718E">
        <w:rPr>
          <w:szCs w:val="22"/>
          <w:lang w:eastAsia="en-US"/>
        </w:rPr>
        <w:t>&lt;FREE TEXT&gt;</w:t>
      </w:r>
    </w:p>
    <w:p w14:paraId="3A89519C" w14:textId="24F65871" w:rsidR="000F60FA" w:rsidRPr="0097718E" w:rsidRDefault="000F60FA" w:rsidP="000F60FA">
      <w:pPr>
        <w:spacing w:before="0" w:after="0"/>
        <w:rPr>
          <w:rFonts w:eastAsia="Calibri" w:cs="Cordia New"/>
          <w:b/>
          <w:bCs/>
          <w:szCs w:val="22"/>
          <w:u w:val="single"/>
          <w:lang w:eastAsia="en-US"/>
        </w:rPr>
      </w:pPr>
      <w:r w:rsidRPr="0097718E">
        <w:rPr>
          <w:rFonts w:eastAsia="Calibri" w:cs="Cordia New"/>
          <w:szCs w:val="22"/>
          <w:lang w:eastAsia="en-US"/>
        </w:rPr>
        <w:br w:type="page"/>
      </w:r>
      <w:r w:rsidRPr="0097718E">
        <w:rPr>
          <w:rFonts w:eastAsia="Calibri" w:cs="Cordia New"/>
          <w:b/>
          <w:bCs/>
          <w:szCs w:val="22"/>
          <w:u w:val="single"/>
          <w:lang w:eastAsia="en-US"/>
        </w:rPr>
        <w:lastRenderedPageBreak/>
        <w:t>The Internal NDIS Review</w:t>
      </w:r>
    </w:p>
    <w:p w14:paraId="410CAC9B" w14:textId="77777777" w:rsidR="000F60FA" w:rsidRPr="0097718E" w:rsidRDefault="000F60FA" w:rsidP="000F60FA">
      <w:pPr>
        <w:spacing w:before="0" w:after="0"/>
        <w:rPr>
          <w:rFonts w:eastAsia="Calibri" w:cs="Arial"/>
          <w:b/>
          <w:bCs/>
          <w:szCs w:val="22"/>
          <w:lang w:eastAsia="en-US"/>
        </w:rPr>
      </w:pPr>
      <w:r w:rsidRPr="0097718E">
        <w:rPr>
          <w:rFonts w:eastAsia="Calibri" w:cs="Arial"/>
          <w:b/>
          <w:bCs/>
          <w:szCs w:val="22"/>
          <w:lang w:eastAsia="en-US"/>
        </w:rPr>
        <w:t>Before your matter went to the Administrative Appeals Tribunal and the IER program, you had an internal NDIA review.</w:t>
      </w:r>
    </w:p>
    <w:p w14:paraId="1E469578" w14:textId="77777777" w:rsidR="000F60FA" w:rsidRPr="0097718E" w:rsidRDefault="000F60FA" w:rsidP="000F60FA">
      <w:pPr>
        <w:spacing w:before="0" w:after="0"/>
        <w:rPr>
          <w:rFonts w:eastAsia="Calibri" w:cs="Cordia New"/>
          <w:szCs w:val="22"/>
          <w:lang w:eastAsia="en-US"/>
        </w:rPr>
      </w:pPr>
    </w:p>
    <w:p w14:paraId="14E0EA4C" w14:textId="77777777" w:rsidR="000F60FA" w:rsidRPr="0097718E" w:rsidRDefault="000F60FA" w:rsidP="00883B6D">
      <w:pPr>
        <w:pStyle w:val="H4Numbers"/>
        <w:ind w:left="426" w:hanging="426"/>
      </w:pPr>
      <w:r w:rsidRPr="0097718E">
        <w:t>Overall, how satisfied were you with the way your matter was dealt with at the internal NDIA review?</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3A4B02EC" w14:textId="77777777">
        <w:tc>
          <w:tcPr>
            <w:tcW w:w="5392" w:type="dxa"/>
            <w:tcBorders>
              <w:top w:val="single" w:sz="4" w:space="0" w:color="BFBFBF"/>
              <w:left w:val="nil"/>
              <w:bottom w:val="single" w:sz="4" w:space="0" w:color="D9D9D9"/>
              <w:right w:val="nil"/>
            </w:tcBorders>
            <w:hideMark/>
          </w:tcPr>
          <w:p w14:paraId="138926F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 satisfied</w:t>
            </w:r>
          </w:p>
        </w:tc>
        <w:tc>
          <w:tcPr>
            <w:tcW w:w="1990" w:type="dxa"/>
            <w:tcBorders>
              <w:top w:val="single" w:sz="4" w:space="0" w:color="BFBFBF"/>
              <w:left w:val="nil"/>
              <w:bottom w:val="single" w:sz="4" w:space="0" w:color="D9D9D9"/>
              <w:right w:val="nil"/>
            </w:tcBorders>
            <w:hideMark/>
          </w:tcPr>
          <w:p w14:paraId="0FA7FABE"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168EB011" w14:textId="77777777">
        <w:tc>
          <w:tcPr>
            <w:tcW w:w="5392" w:type="dxa"/>
            <w:tcBorders>
              <w:top w:val="single" w:sz="4" w:space="0" w:color="D9D9D9"/>
              <w:left w:val="nil"/>
              <w:bottom w:val="single" w:sz="4" w:space="0" w:color="D9D9D9"/>
              <w:right w:val="nil"/>
            </w:tcBorders>
            <w:hideMark/>
          </w:tcPr>
          <w:p w14:paraId="6ABBDE8A"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Only a little bit satisfied</w:t>
            </w:r>
          </w:p>
        </w:tc>
        <w:tc>
          <w:tcPr>
            <w:tcW w:w="1990" w:type="dxa"/>
            <w:tcBorders>
              <w:top w:val="single" w:sz="4" w:space="0" w:color="D9D9D9"/>
              <w:left w:val="nil"/>
              <w:bottom w:val="single" w:sz="4" w:space="0" w:color="D9D9D9"/>
              <w:right w:val="nil"/>
            </w:tcBorders>
            <w:hideMark/>
          </w:tcPr>
          <w:p w14:paraId="445546EC"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62362BEF" w14:textId="77777777">
        <w:tc>
          <w:tcPr>
            <w:tcW w:w="5392" w:type="dxa"/>
            <w:tcBorders>
              <w:top w:val="single" w:sz="4" w:space="0" w:color="D9D9D9"/>
              <w:left w:val="nil"/>
              <w:bottom w:val="single" w:sz="4" w:space="0" w:color="D9D9D9"/>
              <w:right w:val="nil"/>
            </w:tcBorders>
            <w:hideMark/>
          </w:tcPr>
          <w:p w14:paraId="7B0537F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satisfied</w:t>
            </w:r>
          </w:p>
        </w:tc>
        <w:tc>
          <w:tcPr>
            <w:tcW w:w="1990" w:type="dxa"/>
            <w:tcBorders>
              <w:top w:val="single" w:sz="4" w:space="0" w:color="D9D9D9"/>
              <w:left w:val="nil"/>
              <w:bottom w:val="single" w:sz="4" w:space="0" w:color="D9D9D9"/>
              <w:right w:val="nil"/>
            </w:tcBorders>
            <w:hideMark/>
          </w:tcPr>
          <w:p w14:paraId="1240FCFD"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424D096E" w14:textId="77777777">
        <w:tc>
          <w:tcPr>
            <w:tcW w:w="5392" w:type="dxa"/>
            <w:tcBorders>
              <w:top w:val="single" w:sz="4" w:space="0" w:color="D9D9D9"/>
              <w:left w:val="nil"/>
              <w:bottom w:val="single" w:sz="4" w:space="0" w:color="D9D9D9"/>
              <w:right w:val="nil"/>
            </w:tcBorders>
            <w:hideMark/>
          </w:tcPr>
          <w:p w14:paraId="5340483D"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Mostly satisfied</w:t>
            </w:r>
          </w:p>
        </w:tc>
        <w:tc>
          <w:tcPr>
            <w:tcW w:w="1990" w:type="dxa"/>
            <w:tcBorders>
              <w:top w:val="single" w:sz="4" w:space="0" w:color="D9D9D9"/>
              <w:left w:val="nil"/>
              <w:bottom w:val="single" w:sz="4" w:space="0" w:color="D9D9D9"/>
              <w:right w:val="nil"/>
            </w:tcBorders>
            <w:hideMark/>
          </w:tcPr>
          <w:p w14:paraId="642032E3"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r w:rsidR="00327147" w:rsidRPr="0097718E" w14:paraId="01EE082B" w14:textId="77777777">
        <w:tc>
          <w:tcPr>
            <w:tcW w:w="5392" w:type="dxa"/>
            <w:tcBorders>
              <w:top w:val="single" w:sz="4" w:space="0" w:color="D9D9D9"/>
              <w:left w:val="nil"/>
              <w:bottom w:val="single" w:sz="4" w:space="0" w:color="D9D9D9"/>
              <w:right w:val="nil"/>
            </w:tcBorders>
            <w:hideMark/>
          </w:tcPr>
          <w:p w14:paraId="206F8812"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Completely satisfied</w:t>
            </w:r>
          </w:p>
        </w:tc>
        <w:tc>
          <w:tcPr>
            <w:tcW w:w="1990" w:type="dxa"/>
            <w:tcBorders>
              <w:top w:val="single" w:sz="4" w:space="0" w:color="D9D9D9"/>
              <w:left w:val="nil"/>
              <w:bottom w:val="single" w:sz="4" w:space="0" w:color="D9D9D9"/>
              <w:right w:val="nil"/>
            </w:tcBorders>
            <w:hideMark/>
          </w:tcPr>
          <w:p w14:paraId="71C3DC79"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bl>
    <w:p w14:paraId="23BC16FD" w14:textId="77777777" w:rsidR="000F60FA" w:rsidRPr="0097718E" w:rsidRDefault="000F60FA" w:rsidP="000F60FA">
      <w:pPr>
        <w:spacing w:before="60" w:after="60" w:line="264" w:lineRule="auto"/>
        <w:rPr>
          <w:rFonts w:eastAsia="Calibri" w:cs="Arial"/>
          <w:b/>
          <w:bCs/>
          <w:szCs w:val="22"/>
          <w:lang w:eastAsia="en-US"/>
        </w:rPr>
      </w:pPr>
    </w:p>
    <w:p w14:paraId="01CAB8B0" w14:textId="77777777" w:rsidR="000F60FA" w:rsidRPr="0097718E" w:rsidRDefault="000F60FA" w:rsidP="00883B6D">
      <w:pPr>
        <w:pStyle w:val="H4Numbers"/>
        <w:ind w:left="360"/>
      </w:pPr>
      <w:r w:rsidRPr="0097718E">
        <w:t>How satisfied were you with the way the NDIA managed the internal review of your matter in the following aspects?</w:t>
      </w:r>
    </w:p>
    <w:tbl>
      <w:tblPr>
        <w:tblStyle w:val="TableGrid1"/>
        <w:tblW w:w="5000" w:type="pct"/>
        <w:tblInd w:w="0"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2814"/>
        <w:gridCol w:w="1117"/>
        <w:gridCol w:w="1301"/>
        <w:gridCol w:w="1290"/>
        <w:gridCol w:w="1187"/>
        <w:gridCol w:w="1317"/>
      </w:tblGrid>
      <w:tr w:rsidR="000F60FA" w:rsidRPr="0097718E" w14:paraId="43B84C29" w14:textId="77777777">
        <w:tc>
          <w:tcPr>
            <w:tcW w:w="1570" w:type="pct"/>
            <w:tcBorders>
              <w:top w:val="single" w:sz="4" w:space="0" w:color="BFBFBF"/>
              <w:left w:val="nil"/>
              <w:bottom w:val="single" w:sz="4" w:space="0" w:color="D9D9D9"/>
              <w:right w:val="nil"/>
            </w:tcBorders>
          </w:tcPr>
          <w:p w14:paraId="591BFB12" w14:textId="77777777" w:rsidR="000F60FA" w:rsidRPr="0097718E" w:rsidRDefault="000F60FA">
            <w:pPr>
              <w:spacing w:before="60" w:after="60"/>
              <w:rPr>
                <w:rFonts w:eastAsia="Calibri"/>
                <w:sz w:val="22"/>
                <w:szCs w:val="22"/>
                <w:lang w:val="en-CA" w:eastAsia="en-US"/>
              </w:rPr>
            </w:pPr>
          </w:p>
        </w:tc>
        <w:tc>
          <w:tcPr>
            <w:tcW w:w="630" w:type="pct"/>
            <w:tcBorders>
              <w:top w:val="single" w:sz="4" w:space="0" w:color="BFBFBF"/>
              <w:left w:val="nil"/>
              <w:bottom w:val="single" w:sz="4" w:space="0" w:color="D9D9D9"/>
              <w:right w:val="nil"/>
            </w:tcBorders>
            <w:hideMark/>
          </w:tcPr>
          <w:p w14:paraId="217BD828"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 satisfied</w:t>
            </w:r>
          </w:p>
        </w:tc>
        <w:tc>
          <w:tcPr>
            <w:tcW w:w="732" w:type="pct"/>
            <w:tcBorders>
              <w:top w:val="single" w:sz="4" w:space="0" w:color="BFBFBF"/>
              <w:left w:val="nil"/>
              <w:bottom w:val="single" w:sz="4" w:space="0" w:color="D9D9D9"/>
              <w:right w:val="nil"/>
            </w:tcBorders>
            <w:hideMark/>
          </w:tcPr>
          <w:p w14:paraId="27202F41"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Only a little bit satisfied</w:t>
            </w:r>
          </w:p>
        </w:tc>
        <w:tc>
          <w:tcPr>
            <w:tcW w:w="725" w:type="pct"/>
            <w:tcBorders>
              <w:top w:val="single" w:sz="4" w:space="0" w:color="BFBFBF"/>
              <w:left w:val="nil"/>
              <w:bottom w:val="single" w:sz="4" w:space="0" w:color="D9D9D9"/>
              <w:right w:val="nil"/>
            </w:tcBorders>
            <w:hideMark/>
          </w:tcPr>
          <w:p w14:paraId="18C19759"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Somewhat satisfied</w:t>
            </w:r>
          </w:p>
        </w:tc>
        <w:tc>
          <w:tcPr>
            <w:tcW w:w="668" w:type="pct"/>
            <w:tcBorders>
              <w:top w:val="single" w:sz="4" w:space="0" w:color="BFBFBF"/>
              <w:left w:val="nil"/>
              <w:bottom w:val="single" w:sz="4" w:space="0" w:color="D9D9D9"/>
              <w:right w:val="nil"/>
            </w:tcBorders>
            <w:hideMark/>
          </w:tcPr>
          <w:p w14:paraId="55D7F6CA"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Mostly satisfied</w:t>
            </w:r>
          </w:p>
        </w:tc>
        <w:tc>
          <w:tcPr>
            <w:tcW w:w="674" w:type="pct"/>
            <w:tcBorders>
              <w:top w:val="single" w:sz="4" w:space="0" w:color="BFBFBF"/>
              <w:left w:val="nil"/>
              <w:bottom w:val="single" w:sz="4" w:space="0" w:color="D9D9D9"/>
              <w:right w:val="nil"/>
            </w:tcBorders>
            <w:hideMark/>
          </w:tcPr>
          <w:p w14:paraId="59238BD5"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Completely satisfied</w:t>
            </w:r>
          </w:p>
        </w:tc>
      </w:tr>
      <w:tr w:rsidR="000F60FA" w:rsidRPr="0097718E" w14:paraId="6D98A7EC" w14:textId="77777777">
        <w:tc>
          <w:tcPr>
            <w:tcW w:w="1570" w:type="pct"/>
            <w:tcBorders>
              <w:top w:val="single" w:sz="4" w:space="0" w:color="D9D9D9"/>
              <w:left w:val="nil"/>
              <w:bottom w:val="single" w:sz="4" w:space="0" w:color="D9D9D9"/>
              <w:right w:val="nil"/>
            </w:tcBorders>
            <w:hideMark/>
          </w:tcPr>
          <w:p w14:paraId="104E9C4F"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information the NDIA gave you about the internal review process</w:t>
            </w:r>
          </w:p>
        </w:tc>
        <w:tc>
          <w:tcPr>
            <w:tcW w:w="630" w:type="pct"/>
            <w:tcBorders>
              <w:top w:val="single" w:sz="4" w:space="0" w:color="D9D9D9"/>
              <w:left w:val="nil"/>
              <w:bottom w:val="single" w:sz="4" w:space="0" w:color="D9D9D9"/>
              <w:right w:val="nil"/>
            </w:tcBorders>
            <w:hideMark/>
          </w:tcPr>
          <w:p w14:paraId="32CF4D41"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hideMark/>
          </w:tcPr>
          <w:p w14:paraId="55D38630"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hideMark/>
          </w:tcPr>
          <w:p w14:paraId="2ECFB588"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hideMark/>
          </w:tcPr>
          <w:p w14:paraId="7173F0EE"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hideMark/>
          </w:tcPr>
          <w:p w14:paraId="07EEC21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3A4A1ECB" w14:textId="77777777">
        <w:tc>
          <w:tcPr>
            <w:tcW w:w="1570" w:type="pct"/>
            <w:tcBorders>
              <w:top w:val="single" w:sz="4" w:space="0" w:color="D9D9D9"/>
              <w:left w:val="nil"/>
              <w:bottom w:val="single" w:sz="4" w:space="0" w:color="D9D9D9"/>
              <w:right w:val="nil"/>
            </w:tcBorders>
            <w:hideMark/>
          </w:tcPr>
          <w:p w14:paraId="146EF21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 xml:space="preserve">Speaking to the right person about your matter </w:t>
            </w:r>
          </w:p>
        </w:tc>
        <w:tc>
          <w:tcPr>
            <w:tcW w:w="630" w:type="pct"/>
            <w:tcBorders>
              <w:top w:val="single" w:sz="4" w:space="0" w:color="D9D9D9"/>
              <w:left w:val="nil"/>
              <w:bottom w:val="single" w:sz="4" w:space="0" w:color="D9D9D9"/>
              <w:right w:val="nil"/>
            </w:tcBorders>
            <w:hideMark/>
          </w:tcPr>
          <w:p w14:paraId="7F49F873"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hideMark/>
          </w:tcPr>
          <w:p w14:paraId="53CD5866"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hideMark/>
          </w:tcPr>
          <w:p w14:paraId="07C52E61"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hideMark/>
          </w:tcPr>
          <w:p w14:paraId="3290F33D"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hideMark/>
          </w:tcPr>
          <w:p w14:paraId="7DD0473E"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20211783" w14:textId="77777777">
        <w:tc>
          <w:tcPr>
            <w:tcW w:w="1570" w:type="pct"/>
            <w:tcBorders>
              <w:top w:val="single" w:sz="4" w:space="0" w:color="D9D9D9"/>
              <w:left w:val="nil"/>
              <w:bottom w:val="single" w:sz="4" w:space="0" w:color="D9D9D9"/>
              <w:right w:val="nil"/>
            </w:tcBorders>
            <w:hideMark/>
          </w:tcPr>
          <w:p w14:paraId="488C2298"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Your opportunity to be heard on your matter at the NDIA internal review</w:t>
            </w:r>
          </w:p>
        </w:tc>
        <w:tc>
          <w:tcPr>
            <w:tcW w:w="630" w:type="pct"/>
            <w:tcBorders>
              <w:top w:val="single" w:sz="4" w:space="0" w:color="D9D9D9"/>
              <w:left w:val="nil"/>
              <w:bottom w:val="single" w:sz="4" w:space="0" w:color="D9D9D9"/>
              <w:right w:val="nil"/>
            </w:tcBorders>
            <w:hideMark/>
          </w:tcPr>
          <w:p w14:paraId="4317FAAF"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hideMark/>
          </w:tcPr>
          <w:p w14:paraId="09F8E0C5"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hideMark/>
          </w:tcPr>
          <w:p w14:paraId="2BD3AD33"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hideMark/>
          </w:tcPr>
          <w:p w14:paraId="72A849E0"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hideMark/>
          </w:tcPr>
          <w:p w14:paraId="3D271A19"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36C3BA04" w14:textId="77777777">
        <w:tc>
          <w:tcPr>
            <w:tcW w:w="1570" w:type="pct"/>
            <w:tcBorders>
              <w:top w:val="single" w:sz="4" w:space="0" w:color="D9D9D9"/>
              <w:left w:val="nil"/>
              <w:bottom w:val="single" w:sz="4" w:space="0" w:color="D9D9D9"/>
              <w:right w:val="nil"/>
            </w:tcBorders>
            <w:hideMark/>
          </w:tcPr>
          <w:p w14:paraId="308FBBAE"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NDIA understanding the issues involved in your matter</w:t>
            </w:r>
          </w:p>
        </w:tc>
        <w:tc>
          <w:tcPr>
            <w:tcW w:w="630" w:type="pct"/>
            <w:tcBorders>
              <w:top w:val="single" w:sz="4" w:space="0" w:color="D9D9D9"/>
              <w:left w:val="nil"/>
              <w:bottom w:val="single" w:sz="4" w:space="0" w:color="D9D9D9"/>
              <w:right w:val="nil"/>
            </w:tcBorders>
            <w:hideMark/>
          </w:tcPr>
          <w:p w14:paraId="151FD9CE"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hideMark/>
          </w:tcPr>
          <w:p w14:paraId="01F37447"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hideMark/>
          </w:tcPr>
          <w:p w14:paraId="73C0835C"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hideMark/>
          </w:tcPr>
          <w:p w14:paraId="3B7C49C6"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hideMark/>
          </w:tcPr>
          <w:p w14:paraId="2A270A52"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68FE5F88" w14:textId="77777777">
        <w:tc>
          <w:tcPr>
            <w:tcW w:w="1570" w:type="pct"/>
            <w:tcBorders>
              <w:top w:val="single" w:sz="4" w:space="0" w:color="D9D9D9"/>
              <w:left w:val="nil"/>
              <w:bottom w:val="single" w:sz="4" w:space="0" w:color="D9D9D9"/>
              <w:right w:val="nil"/>
            </w:tcBorders>
            <w:hideMark/>
          </w:tcPr>
          <w:p w14:paraId="0DC3F73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The NDIA objectively considering your matter</w:t>
            </w:r>
          </w:p>
        </w:tc>
        <w:tc>
          <w:tcPr>
            <w:tcW w:w="630" w:type="pct"/>
            <w:tcBorders>
              <w:top w:val="single" w:sz="4" w:space="0" w:color="D9D9D9"/>
              <w:left w:val="nil"/>
              <w:bottom w:val="single" w:sz="4" w:space="0" w:color="D9D9D9"/>
              <w:right w:val="nil"/>
            </w:tcBorders>
            <w:hideMark/>
          </w:tcPr>
          <w:p w14:paraId="31EF783B"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hideMark/>
          </w:tcPr>
          <w:p w14:paraId="4AE45051"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hideMark/>
          </w:tcPr>
          <w:p w14:paraId="33EA07F2"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hideMark/>
          </w:tcPr>
          <w:p w14:paraId="343FA48F"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hideMark/>
          </w:tcPr>
          <w:p w14:paraId="0898CD08"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r w:rsidR="000F60FA" w:rsidRPr="0097718E" w14:paraId="2250E7EE" w14:textId="77777777">
        <w:tc>
          <w:tcPr>
            <w:tcW w:w="1570" w:type="pct"/>
            <w:tcBorders>
              <w:top w:val="single" w:sz="4" w:space="0" w:color="D9D9D9"/>
              <w:left w:val="nil"/>
              <w:bottom w:val="single" w:sz="4" w:space="0" w:color="D9D9D9"/>
              <w:right w:val="nil"/>
            </w:tcBorders>
            <w:hideMark/>
          </w:tcPr>
          <w:p w14:paraId="01A3C405"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lastRenderedPageBreak/>
              <w:t>The NDIA giving a clear explanation for the decision made on your matter</w:t>
            </w:r>
          </w:p>
        </w:tc>
        <w:tc>
          <w:tcPr>
            <w:tcW w:w="630" w:type="pct"/>
            <w:tcBorders>
              <w:top w:val="single" w:sz="4" w:space="0" w:color="D9D9D9"/>
              <w:left w:val="nil"/>
              <w:bottom w:val="single" w:sz="4" w:space="0" w:color="D9D9D9"/>
              <w:right w:val="nil"/>
            </w:tcBorders>
            <w:hideMark/>
          </w:tcPr>
          <w:p w14:paraId="02A39E9B"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32" w:type="pct"/>
            <w:tcBorders>
              <w:top w:val="single" w:sz="4" w:space="0" w:color="D9D9D9"/>
              <w:left w:val="nil"/>
              <w:bottom w:val="single" w:sz="4" w:space="0" w:color="D9D9D9"/>
              <w:right w:val="nil"/>
            </w:tcBorders>
            <w:hideMark/>
          </w:tcPr>
          <w:p w14:paraId="5A0848EB"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725" w:type="pct"/>
            <w:tcBorders>
              <w:top w:val="single" w:sz="4" w:space="0" w:color="D9D9D9"/>
              <w:left w:val="nil"/>
              <w:bottom w:val="single" w:sz="4" w:space="0" w:color="D9D9D9"/>
              <w:right w:val="nil"/>
            </w:tcBorders>
            <w:hideMark/>
          </w:tcPr>
          <w:p w14:paraId="0AE255F2"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68" w:type="pct"/>
            <w:tcBorders>
              <w:top w:val="single" w:sz="4" w:space="0" w:color="D9D9D9"/>
              <w:left w:val="nil"/>
              <w:bottom w:val="single" w:sz="4" w:space="0" w:color="D9D9D9"/>
              <w:right w:val="nil"/>
            </w:tcBorders>
            <w:hideMark/>
          </w:tcPr>
          <w:p w14:paraId="2807E5BB"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c>
          <w:tcPr>
            <w:tcW w:w="674" w:type="pct"/>
            <w:tcBorders>
              <w:top w:val="single" w:sz="4" w:space="0" w:color="D9D9D9"/>
              <w:left w:val="nil"/>
              <w:bottom w:val="single" w:sz="4" w:space="0" w:color="D9D9D9"/>
              <w:right w:val="nil"/>
            </w:tcBorders>
            <w:hideMark/>
          </w:tcPr>
          <w:p w14:paraId="5204EEFB" w14:textId="77777777" w:rsidR="000F60FA" w:rsidRPr="0097718E" w:rsidRDefault="000F60FA">
            <w:pPr>
              <w:spacing w:before="60" w:after="60"/>
              <w:jc w:val="center"/>
              <w:rPr>
                <w:rFonts w:ascii="Wingdings" w:eastAsia="Wingdings" w:hAnsi="Wingdings" w:cs="Wingdings"/>
                <w:sz w:val="22"/>
                <w:szCs w:val="22"/>
                <w:lang w:val="en-CA" w:eastAsia="en-AU"/>
              </w:rPr>
            </w:pPr>
            <w:r w:rsidRPr="0097718E">
              <w:rPr>
                <w:rFonts w:ascii="Wingdings" w:eastAsia="Wingdings" w:hAnsi="Wingdings" w:cs="Wingdings"/>
                <w:sz w:val="22"/>
                <w:szCs w:val="22"/>
                <w:lang w:val="en-CA" w:eastAsia="en-AU"/>
              </w:rPr>
              <w:t>¡</w:t>
            </w:r>
          </w:p>
        </w:tc>
      </w:tr>
    </w:tbl>
    <w:p w14:paraId="14DE59A6" w14:textId="77777777" w:rsidR="000F60FA" w:rsidRPr="0097718E" w:rsidRDefault="000F60FA" w:rsidP="000F60FA">
      <w:pPr>
        <w:rPr>
          <w:szCs w:val="22"/>
          <w:lang w:eastAsia="en-US"/>
        </w:rPr>
      </w:pPr>
    </w:p>
    <w:p w14:paraId="3121F405" w14:textId="77777777" w:rsidR="000F60FA" w:rsidRPr="0097718E" w:rsidRDefault="000F60FA" w:rsidP="00883B6D">
      <w:pPr>
        <w:pStyle w:val="H4Numbers"/>
        <w:ind w:left="360"/>
      </w:pPr>
      <w:r w:rsidRPr="0097718E">
        <w:t>How could the NDIA improve the internal review process?</w:t>
      </w:r>
    </w:p>
    <w:p w14:paraId="7E9B3EED" w14:textId="77777777" w:rsidR="000F60FA" w:rsidRPr="0097718E" w:rsidRDefault="000F60FA" w:rsidP="000F60FA">
      <w:pPr>
        <w:rPr>
          <w:szCs w:val="22"/>
          <w:lang w:eastAsia="en-US"/>
        </w:rPr>
      </w:pPr>
      <w:r w:rsidRPr="0097718E">
        <w:rPr>
          <w:szCs w:val="22"/>
          <w:lang w:eastAsia="en-US"/>
        </w:rPr>
        <w:t>&lt;FREE TEXT&gt;</w:t>
      </w:r>
    </w:p>
    <w:p w14:paraId="24CA0582" w14:textId="77777777" w:rsidR="000F60FA" w:rsidRPr="0097718E" w:rsidRDefault="000F60FA" w:rsidP="000F60FA">
      <w:pPr>
        <w:rPr>
          <w:szCs w:val="22"/>
          <w:lang w:eastAsia="en-US"/>
        </w:rPr>
      </w:pPr>
    </w:p>
    <w:p w14:paraId="754205FE" w14:textId="77777777" w:rsidR="000F60FA" w:rsidRPr="0097718E" w:rsidRDefault="000F60FA" w:rsidP="000F60FA">
      <w:pPr>
        <w:spacing w:before="60" w:after="60" w:line="264" w:lineRule="auto"/>
        <w:rPr>
          <w:rFonts w:eastAsia="Calibri" w:cs="Arial"/>
          <w:b/>
          <w:bCs/>
          <w:szCs w:val="22"/>
          <w:lang w:eastAsia="en-US"/>
        </w:rPr>
      </w:pPr>
      <w:r w:rsidRPr="0097718E">
        <w:rPr>
          <w:rFonts w:eastAsia="Calibri" w:cs="Arial"/>
          <w:b/>
          <w:bCs/>
          <w:szCs w:val="22"/>
          <w:lang w:eastAsia="en-US"/>
        </w:rPr>
        <w:t>The next questions are about the Administrative Appeals Tribunal (AAT) and the Independent Expert Review Program</w:t>
      </w:r>
    </w:p>
    <w:p w14:paraId="00ECE334" w14:textId="77777777" w:rsidR="000F60FA" w:rsidRPr="0097718E" w:rsidRDefault="000F60FA" w:rsidP="000F60FA">
      <w:pPr>
        <w:rPr>
          <w:szCs w:val="22"/>
          <w:lang w:eastAsia="en-US"/>
        </w:rPr>
      </w:pPr>
    </w:p>
    <w:p w14:paraId="1AD4F42C" w14:textId="77777777" w:rsidR="000F60FA" w:rsidRPr="0097718E" w:rsidRDefault="000F60FA" w:rsidP="00883B6D">
      <w:pPr>
        <w:pStyle w:val="H4Numbers"/>
        <w:ind w:left="360"/>
      </w:pPr>
      <w:r w:rsidRPr="0097718E">
        <w:t>How much experience have you had with the Administrative Appeals Tribunal (AAT)?</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2D75AF74" w14:textId="77777777">
        <w:tc>
          <w:tcPr>
            <w:tcW w:w="5392" w:type="dxa"/>
            <w:tcBorders>
              <w:top w:val="single" w:sz="4" w:space="0" w:color="BFBFBF"/>
              <w:left w:val="nil"/>
              <w:bottom w:val="single" w:sz="4" w:space="0" w:color="D9D9D9"/>
              <w:right w:val="nil"/>
            </w:tcBorders>
            <w:hideMark/>
          </w:tcPr>
          <w:p w14:paraId="76A7EAE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None at all</w:t>
            </w:r>
          </w:p>
        </w:tc>
        <w:tc>
          <w:tcPr>
            <w:tcW w:w="1990" w:type="dxa"/>
            <w:tcBorders>
              <w:top w:val="single" w:sz="4" w:space="0" w:color="BFBFBF"/>
              <w:left w:val="nil"/>
              <w:bottom w:val="single" w:sz="4" w:space="0" w:color="D9D9D9"/>
              <w:right w:val="nil"/>
            </w:tcBorders>
            <w:hideMark/>
          </w:tcPr>
          <w:p w14:paraId="22EB06EE"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40E8F766" w14:textId="77777777">
        <w:tc>
          <w:tcPr>
            <w:tcW w:w="5392" w:type="dxa"/>
            <w:tcBorders>
              <w:top w:val="single" w:sz="4" w:space="0" w:color="D9D9D9"/>
              <w:left w:val="nil"/>
              <w:bottom w:val="single" w:sz="4" w:space="0" w:color="D9D9D9"/>
              <w:right w:val="nil"/>
            </w:tcBorders>
            <w:hideMark/>
          </w:tcPr>
          <w:p w14:paraId="16D8CA9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Some experience with the process</w:t>
            </w:r>
          </w:p>
        </w:tc>
        <w:tc>
          <w:tcPr>
            <w:tcW w:w="1990" w:type="dxa"/>
            <w:tcBorders>
              <w:top w:val="single" w:sz="4" w:space="0" w:color="D9D9D9"/>
              <w:left w:val="nil"/>
              <w:bottom w:val="single" w:sz="4" w:space="0" w:color="D9D9D9"/>
              <w:right w:val="nil"/>
            </w:tcBorders>
            <w:hideMark/>
          </w:tcPr>
          <w:p w14:paraId="15DFAC7D"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761C7BE5" w14:textId="77777777">
        <w:tc>
          <w:tcPr>
            <w:tcW w:w="5392" w:type="dxa"/>
            <w:tcBorders>
              <w:top w:val="single" w:sz="4" w:space="0" w:color="D9D9D9"/>
              <w:left w:val="nil"/>
              <w:bottom w:val="single" w:sz="4" w:space="0" w:color="D9D9D9"/>
              <w:right w:val="nil"/>
            </w:tcBorders>
          </w:tcPr>
          <w:p w14:paraId="4467E28A"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Have been through an AAT hearing</w:t>
            </w:r>
          </w:p>
        </w:tc>
        <w:tc>
          <w:tcPr>
            <w:tcW w:w="1990" w:type="dxa"/>
            <w:tcBorders>
              <w:top w:val="single" w:sz="4" w:space="0" w:color="D9D9D9"/>
              <w:left w:val="nil"/>
              <w:bottom w:val="single" w:sz="4" w:space="0" w:color="D9D9D9"/>
              <w:right w:val="nil"/>
            </w:tcBorders>
          </w:tcPr>
          <w:p w14:paraId="606AA3D8"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bl>
    <w:p w14:paraId="3DC9E5A5" w14:textId="77777777" w:rsidR="000F60FA" w:rsidRPr="0097718E" w:rsidRDefault="000F60FA" w:rsidP="000F60FA">
      <w:pPr>
        <w:keepNext/>
        <w:spacing w:before="60" w:after="60" w:line="264" w:lineRule="auto"/>
        <w:ind w:left="567"/>
        <w:rPr>
          <w:rFonts w:eastAsia="Calibri" w:cs="Arial"/>
          <w:szCs w:val="22"/>
          <w:lang w:eastAsia="en-US"/>
        </w:rPr>
      </w:pPr>
      <w:r w:rsidRPr="0097718E">
        <w:rPr>
          <w:rFonts w:eastAsia="Calibri" w:cs="Arial"/>
          <w:szCs w:val="22"/>
          <w:lang w:eastAsia="en-US"/>
        </w:rPr>
        <w:t>If “None at all” or “Some experience with the process” GO TO Q18</w:t>
      </w:r>
    </w:p>
    <w:p w14:paraId="057BC2B0" w14:textId="77777777" w:rsidR="000F60FA" w:rsidRPr="0097718E" w:rsidRDefault="000F60FA" w:rsidP="000F60FA">
      <w:pPr>
        <w:keepNext/>
        <w:spacing w:before="60" w:after="60" w:line="264" w:lineRule="auto"/>
        <w:ind w:left="567"/>
        <w:rPr>
          <w:rFonts w:eastAsia="Calibri" w:cs="Arial"/>
          <w:szCs w:val="22"/>
          <w:lang w:val="en-CA" w:eastAsia="en-US"/>
        </w:rPr>
      </w:pPr>
      <w:r w:rsidRPr="0097718E">
        <w:rPr>
          <w:rFonts w:eastAsia="Calibri" w:cs="Arial"/>
          <w:szCs w:val="22"/>
          <w:lang w:eastAsia="en-US"/>
        </w:rPr>
        <w:t>If “</w:t>
      </w:r>
      <w:r w:rsidRPr="0097718E">
        <w:rPr>
          <w:rFonts w:eastAsia="Calibri" w:cs="Arial"/>
          <w:szCs w:val="22"/>
          <w:lang w:val="en-CA" w:eastAsia="en-US"/>
        </w:rPr>
        <w:t>Have been through an AAT hearing” GO TO Q17</w:t>
      </w:r>
    </w:p>
    <w:p w14:paraId="77E881F2" w14:textId="77777777" w:rsidR="000F60FA" w:rsidRPr="0097718E" w:rsidRDefault="000F60FA" w:rsidP="000F60FA">
      <w:pPr>
        <w:rPr>
          <w:szCs w:val="22"/>
          <w:lang w:eastAsia="en-US"/>
        </w:rPr>
      </w:pPr>
    </w:p>
    <w:p w14:paraId="2DCE20F8" w14:textId="77777777" w:rsidR="000F60FA" w:rsidRPr="0097718E" w:rsidRDefault="000F60FA" w:rsidP="00883B6D">
      <w:pPr>
        <w:pStyle w:val="H4Numbers"/>
        <w:ind w:left="360"/>
      </w:pPr>
      <w:r w:rsidRPr="0097718E">
        <w:t>Did you have more or less opportunity to be heard in the IER process compared to the AAT process?</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607B1AAB" w14:textId="77777777">
        <w:tc>
          <w:tcPr>
            <w:tcW w:w="5392" w:type="dxa"/>
            <w:tcBorders>
              <w:top w:val="single" w:sz="4" w:space="0" w:color="BFBFBF"/>
              <w:left w:val="nil"/>
              <w:bottom w:val="single" w:sz="4" w:space="0" w:color="D9D9D9"/>
              <w:right w:val="nil"/>
            </w:tcBorders>
            <w:hideMark/>
          </w:tcPr>
          <w:p w14:paraId="57D38DE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Less</w:t>
            </w:r>
          </w:p>
        </w:tc>
        <w:tc>
          <w:tcPr>
            <w:tcW w:w="1990" w:type="dxa"/>
            <w:tcBorders>
              <w:top w:val="single" w:sz="4" w:space="0" w:color="BFBFBF"/>
              <w:left w:val="nil"/>
              <w:bottom w:val="single" w:sz="4" w:space="0" w:color="D9D9D9"/>
              <w:right w:val="nil"/>
            </w:tcBorders>
            <w:hideMark/>
          </w:tcPr>
          <w:p w14:paraId="69F7BF84"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0EAF66DA" w14:textId="77777777">
        <w:tc>
          <w:tcPr>
            <w:tcW w:w="5392" w:type="dxa"/>
            <w:tcBorders>
              <w:top w:val="single" w:sz="4" w:space="0" w:color="D9D9D9"/>
              <w:left w:val="nil"/>
              <w:bottom w:val="single" w:sz="4" w:space="0" w:color="D9D9D9"/>
              <w:right w:val="nil"/>
            </w:tcBorders>
            <w:hideMark/>
          </w:tcPr>
          <w:p w14:paraId="6DBB0BA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About the same</w:t>
            </w:r>
          </w:p>
        </w:tc>
        <w:tc>
          <w:tcPr>
            <w:tcW w:w="1990" w:type="dxa"/>
            <w:tcBorders>
              <w:top w:val="single" w:sz="4" w:space="0" w:color="D9D9D9"/>
              <w:left w:val="nil"/>
              <w:bottom w:val="single" w:sz="4" w:space="0" w:color="D9D9D9"/>
              <w:right w:val="nil"/>
            </w:tcBorders>
            <w:hideMark/>
          </w:tcPr>
          <w:p w14:paraId="3BBAF756"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3429ED73" w14:textId="77777777">
        <w:tc>
          <w:tcPr>
            <w:tcW w:w="5392" w:type="dxa"/>
            <w:tcBorders>
              <w:top w:val="single" w:sz="4" w:space="0" w:color="D9D9D9"/>
              <w:left w:val="nil"/>
              <w:bottom w:val="single" w:sz="4" w:space="0" w:color="D9D9D9"/>
              <w:right w:val="nil"/>
            </w:tcBorders>
            <w:hideMark/>
          </w:tcPr>
          <w:p w14:paraId="7A096D0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More</w:t>
            </w:r>
          </w:p>
        </w:tc>
        <w:tc>
          <w:tcPr>
            <w:tcW w:w="1990" w:type="dxa"/>
            <w:tcBorders>
              <w:top w:val="single" w:sz="4" w:space="0" w:color="D9D9D9"/>
              <w:left w:val="nil"/>
              <w:bottom w:val="single" w:sz="4" w:space="0" w:color="D9D9D9"/>
              <w:right w:val="nil"/>
            </w:tcBorders>
            <w:hideMark/>
          </w:tcPr>
          <w:p w14:paraId="56A93382"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47872BD8" w14:textId="77777777" w:rsidR="000F60FA" w:rsidRPr="0097718E" w:rsidRDefault="000F60FA" w:rsidP="000F60FA">
      <w:pPr>
        <w:spacing w:before="120"/>
        <w:rPr>
          <w:rFonts w:eastAsia="Calibri" w:cs="Arial"/>
          <w:szCs w:val="22"/>
          <w:lang w:val="en-CA" w:eastAsia="en-AU"/>
        </w:rPr>
      </w:pPr>
    </w:p>
    <w:p w14:paraId="27A9D9DB" w14:textId="77777777" w:rsidR="000F60FA" w:rsidRPr="0097718E" w:rsidRDefault="000F60FA" w:rsidP="00883B6D">
      <w:pPr>
        <w:pStyle w:val="H4Numbers"/>
        <w:ind w:left="360"/>
      </w:pPr>
      <w:r w:rsidRPr="0097718E">
        <w:t>To what extent did the IER program help build your trust in the NDIA’s review process?</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66F3CF09" w14:textId="77777777">
        <w:tc>
          <w:tcPr>
            <w:tcW w:w="5392" w:type="dxa"/>
            <w:tcBorders>
              <w:top w:val="single" w:sz="4" w:space="0" w:color="BFBFBF"/>
              <w:left w:val="nil"/>
              <w:bottom w:val="single" w:sz="4" w:space="0" w:color="D9D9D9"/>
              <w:right w:val="nil"/>
            </w:tcBorders>
            <w:hideMark/>
          </w:tcPr>
          <w:p w14:paraId="3A177EFA" w14:textId="77777777" w:rsidR="000F60FA" w:rsidRPr="0097718E" w:rsidRDefault="000F60FA">
            <w:pPr>
              <w:spacing w:before="60" w:after="60"/>
              <w:rPr>
                <w:rFonts w:eastAsia="Calibri"/>
                <w:sz w:val="22"/>
                <w:szCs w:val="22"/>
                <w:lang w:val="en-CA" w:eastAsia="en-US"/>
              </w:rPr>
            </w:pPr>
            <w:r w:rsidRPr="0097718E">
              <w:rPr>
                <w:rFonts w:eastAsia="Calibri" w:cs="Cordia New"/>
                <w:sz w:val="22"/>
                <w:szCs w:val="22"/>
                <w:lang w:eastAsia="en-US"/>
              </w:rPr>
              <w:t>Not at all</w:t>
            </w:r>
          </w:p>
        </w:tc>
        <w:tc>
          <w:tcPr>
            <w:tcW w:w="1990" w:type="dxa"/>
            <w:tcBorders>
              <w:top w:val="single" w:sz="4" w:space="0" w:color="BFBFBF"/>
              <w:left w:val="nil"/>
              <w:bottom w:val="single" w:sz="4" w:space="0" w:color="D9D9D9"/>
              <w:right w:val="nil"/>
            </w:tcBorders>
            <w:hideMark/>
          </w:tcPr>
          <w:p w14:paraId="326EFD2F"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3325C437" w14:textId="77777777">
        <w:tc>
          <w:tcPr>
            <w:tcW w:w="5392" w:type="dxa"/>
            <w:tcBorders>
              <w:top w:val="single" w:sz="4" w:space="0" w:color="D9D9D9"/>
              <w:left w:val="nil"/>
              <w:bottom w:val="single" w:sz="4" w:space="0" w:color="D9D9D9"/>
              <w:right w:val="nil"/>
            </w:tcBorders>
            <w:hideMark/>
          </w:tcPr>
          <w:p w14:paraId="325A79BE" w14:textId="77777777" w:rsidR="000F60FA" w:rsidRPr="0097718E" w:rsidRDefault="000F60FA">
            <w:pPr>
              <w:spacing w:before="60" w:after="60"/>
              <w:rPr>
                <w:rFonts w:eastAsia="Calibri"/>
                <w:sz w:val="22"/>
                <w:szCs w:val="22"/>
                <w:lang w:val="en-CA" w:eastAsia="en-US"/>
              </w:rPr>
            </w:pPr>
            <w:r w:rsidRPr="0097718E">
              <w:rPr>
                <w:rFonts w:eastAsia="Calibri" w:cs="Cordia New"/>
                <w:sz w:val="22"/>
                <w:szCs w:val="22"/>
                <w:lang w:eastAsia="en-US"/>
              </w:rPr>
              <w:t>Very little</w:t>
            </w:r>
            <w:r w:rsidRPr="0097718E" w:rsidDel="00CA4C2C">
              <w:rPr>
                <w:rFonts w:eastAsia="Calibri"/>
                <w:sz w:val="22"/>
                <w:szCs w:val="22"/>
                <w:lang w:val="en-CA" w:eastAsia="en-US"/>
              </w:rPr>
              <w:t xml:space="preserve"> </w:t>
            </w:r>
          </w:p>
        </w:tc>
        <w:tc>
          <w:tcPr>
            <w:tcW w:w="1990" w:type="dxa"/>
            <w:tcBorders>
              <w:top w:val="single" w:sz="4" w:space="0" w:color="D9D9D9"/>
              <w:left w:val="nil"/>
              <w:bottom w:val="single" w:sz="4" w:space="0" w:color="D9D9D9"/>
              <w:right w:val="nil"/>
            </w:tcBorders>
            <w:hideMark/>
          </w:tcPr>
          <w:p w14:paraId="53FD2FF6"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79B98669" w14:textId="77777777">
        <w:tc>
          <w:tcPr>
            <w:tcW w:w="5392" w:type="dxa"/>
            <w:tcBorders>
              <w:top w:val="single" w:sz="4" w:space="0" w:color="D9D9D9"/>
              <w:left w:val="nil"/>
              <w:bottom w:val="single" w:sz="4" w:space="0" w:color="D9D9D9"/>
              <w:right w:val="nil"/>
            </w:tcBorders>
            <w:hideMark/>
          </w:tcPr>
          <w:p w14:paraId="4AE52F45" w14:textId="77777777" w:rsidR="000F60FA" w:rsidRPr="0097718E" w:rsidRDefault="000F60FA">
            <w:pPr>
              <w:spacing w:before="60" w:after="60"/>
              <w:rPr>
                <w:rFonts w:eastAsia="Calibri"/>
                <w:sz w:val="22"/>
                <w:szCs w:val="22"/>
                <w:lang w:val="en-CA" w:eastAsia="en-US"/>
              </w:rPr>
            </w:pPr>
            <w:r w:rsidRPr="0097718E">
              <w:rPr>
                <w:rFonts w:eastAsia="Calibri" w:cs="Cordia New"/>
                <w:sz w:val="22"/>
                <w:szCs w:val="22"/>
                <w:lang w:eastAsia="en-US"/>
              </w:rPr>
              <w:lastRenderedPageBreak/>
              <w:t>Somewhat</w:t>
            </w:r>
          </w:p>
        </w:tc>
        <w:tc>
          <w:tcPr>
            <w:tcW w:w="1990" w:type="dxa"/>
            <w:tcBorders>
              <w:top w:val="single" w:sz="4" w:space="0" w:color="D9D9D9"/>
              <w:left w:val="nil"/>
              <w:bottom w:val="single" w:sz="4" w:space="0" w:color="D9D9D9"/>
              <w:right w:val="nil"/>
            </w:tcBorders>
            <w:hideMark/>
          </w:tcPr>
          <w:p w14:paraId="55535A3C"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31DEAAF0" w14:textId="77777777">
        <w:tc>
          <w:tcPr>
            <w:tcW w:w="5392" w:type="dxa"/>
            <w:tcBorders>
              <w:top w:val="single" w:sz="4" w:space="0" w:color="D9D9D9"/>
              <w:left w:val="nil"/>
              <w:bottom w:val="single" w:sz="4" w:space="0" w:color="D9D9D9"/>
              <w:right w:val="nil"/>
            </w:tcBorders>
          </w:tcPr>
          <w:p w14:paraId="5D666972" w14:textId="77777777" w:rsidR="000F60FA" w:rsidRPr="0097718E" w:rsidRDefault="000F60FA">
            <w:pPr>
              <w:spacing w:before="60" w:after="60"/>
              <w:rPr>
                <w:rFonts w:eastAsia="Calibri"/>
                <w:sz w:val="22"/>
                <w:szCs w:val="22"/>
                <w:lang w:val="en-CA" w:eastAsia="en-US"/>
              </w:rPr>
            </w:pPr>
            <w:r w:rsidRPr="0097718E">
              <w:rPr>
                <w:rFonts w:eastAsia="Calibri" w:cs="Cordia New"/>
                <w:sz w:val="22"/>
                <w:szCs w:val="22"/>
                <w:lang w:eastAsia="en-US"/>
              </w:rPr>
              <w:t>A lot</w:t>
            </w:r>
          </w:p>
        </w:tc>
        <w:tc>
          <w:tcPr>
            <w:tcW w:w="1990" w:type="dxa"/>
            <w:tcBorders>
              <w:top w:val="single" w:sz="4" w:space="0" w:color="D9D9D9"/>
              <w:left w:val="nil"/>
              <w:bottom w:val="single" w:sz="4" w:space="0" w:color="D9D9D9"/>
              <w:right w:val="nil"/>
            </w:tcBorders>
          </w:tcPr>
          <w:p w14:paraId="3CE82BA2" w14:textId="77777777" w:rsidR="000F60FA" w:rsidRPr="0097718E" w:rsidRDefault="000F60FA">
            <w:pPr>
              <w:spacing w:before="60" w:after="60"/>
              <w:jc w:val="center"/>
              <w:rPr>
                <w:rFonts w:eastAsia="Times New Roman"/>
                <w:sz w:val="22"/>
                <w:szCs w:val="22"/>
                <w:lang w:val="en-CA" w:eastAsia="en-AU"/>
              </w:rPr>
            </w:pPr>
            <w:r w:rsidRPr="0097718E">
              <w:rPr>
                <w:rFonts w:ascii="Wingdings" w:eastAsia="Wingdings" w:hAnsi="Wingdings" w:cs="Wingdings"/>
                <w:sz w:val="22"/>
                <w:szCs w:val="22"/>
                <w:lang w:val="en-CA" w:eastAsia="en-AU"/>
              </w:rPr>
              <w:t></w:t>
            </w:r>
          </w:p>
        </w:tc>
      </w:tr>
    </w:tbl>
    <w:p w14:paraId="46507ECC" w14:textId="77777777" w:rsidR="000F60FA" w:rsidRPr="0097718E" w:rsidRDefault="000F60FA" w:rsidP="00883B6D">
      <w:pPr>
        <w:keepNext/>
        <w:spacing w:before="60" w:after="60" w:line="264" w:lineRule="auto"/>
        <w:rPr>
          <w:rFonts w:eastAsia="Calibri" w:cs="Arial"/>
          <w:szCs w:val="22"/>
          <w:lang w:eastAsia="en-US"/>
        </w:rPr>
      </w:pPr>
      <w:r w:rsidRPr="0097718E">
        <w:rPr>
          <w:rFonts w:eastAsia="Calibri" w:cs="Arial"/>
          <w:szCs w:val="22"/>
          <w:lang w:eastAsia="en-US"/>
        </w:rPr>
        <w:t>If “None at all” or “Some experience with the process” AT Q16 GO TO Q20</w:t>
      </w:r>
    </w:p>
    <w:p w14:paraId="191D2823" w14:textId="77777777" w:rsidR="000F60FA" w:rsidRPr="0097718E" w:rsidRDefault="000F60FA" w:rsidP="000F60FA">
      <w:pPr>
        <w:spacing w:before="120"/>
        <w:rPr>
          <w:rFonts w:eastAsia="Calibri" w:cs="Arial"/>
          <w:szCs w:val="22"/>
          <w:lang w:eastAsia="en-US"/>
        </w:rPr>
      </w:pPr>
    </w:p>
    <w:p w14:paraId="0E9979E5" w14:textId="77777777" w:rsidR="000F60FA" w:rsidRPr="0097718E" w:rsidRDefault="000F60FA" w:rsidP="00883B6D">
      <w:pPr>
        <w:pStyle w:val="H4Numbers"/>
        <w:ind w:left="360"/>
      </w:pPr>
      <w:r w:rsidRPr="0097718E">
        <w:t>How did your experience with the IER process compare to your experience with the AAT process?</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7BD4A5BE" w14:textId="77777777">
        <w:tc>
          <w:tcPr>
            <w:tcW w:w="5392" w:type="dxa"/>
            <w:tcBorders>
              <w:top w:val="single" w:sz="4" w:space="0" w:color="BFBFBF"/>
              <w:left w:val="nil"/>
              <w:bottom w:val="single" w:sz="4" w:space="0" w:color="D9D9D9"/>
              <w:right w:val="nil"/>
            </w:tcBorders>
            <w:hideMark/>
          </w:tcPr>
          <w:p w14:paraId="30E5FBFE"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Worse</w:t>
            </w:r>
          </w:p>
        </w:tc>
        <w:tc>
          <w:tcPr>
            <w:tcW w:w="1990" w:type="dxa"/>
            <w:tcBorders>
              <w:top w:val="single" w:sz="4" w:space="0" w:color="BFBFBF"/>
              <w:left w:val="nil"/>
              <w:bottom w:val="single" w:sz="4" w:space="0" w:color="D9D9D9"/>
              <w:right w:val="nil"/>
            </w:tcBorders>
            <w:hideMark/>
          </w:tcPr>
          <w:p w14:paraId="020102CA"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6AAC3EB5" w14:textId="77777777">
        <w:tc>
          <w:tcPr>
            <w:tcW w:w="5392" w:type="dxa"/>
            <w:tcBorders>
              <w:top w:val="single" w:sz="4" w:space="0" w:color="D9D9D9"/>
              <w:left w:val="nil"/>
              <w:bottom w:val="single" w:sz="4" w:space="0" w:color="D9D9D9"/>
              <w:right w:val="nil"/>
            </w:tcBorders>
            <w:hideMark/>
          </w:tcPr>
          <w:p w14:paraId="27E76A3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About the same</w:t>
            </w:r>
          </w:p>
        </w:tc>
        <w:tc>
          <w:tcPr>
            <w:tcW w:w="1990" w:type="dxa"/>
            <w:tcBorders>
              <w:top w:val="single" w:sz="4" w:space="0" w:color="D9D9D9"/>
              <w:left w:val="nil"/>
              <w:bottom w:val="single" w:sz="4" w:space="0" w:color="D9D9D9"/>
              <w:right w:val="nil"/>
            </w:tcBorders>
            <w:hideMark/>
          </w:tcPr>
          <w:p w14:paraId="73E31BBE"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20EA2B22" w14:textId="77777777">
        <w:tc>
          <w:tcPr>
            <w:tcW w:w="5392" w:type="dxa"/>
            <w:tcBorders>
              <w:top w:val="single" w:sz="4" w:space="0" w:color="D9D9D9"/>
              <w:left w:val="nil"/>
              <w:bottom w:val="single" w:sz="4" w:space="0" w:color="D9D9D9"/>
              <w:right w:val="nil"/>
            </w:tcBorders>
            <w:hideMark/>
          </w:tcPr>
          <w:p w14:paraId="6CEE9B2A"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Better</w:t>
            </w:r>
          </w:p>
        </w:tc>
        <w:tc>
          <w:tcPr>
            <w:tcW w:w="1990" w:type="dxa"/>
            <w:tcBorders>
              <w:top w:val="single" w:sz="4" w:space="0" w:color="D9D9D9"/>
              <w:left w:val="nil"/>
              <w:bottom w:val="single" w:sz="4" w:space="0" w:color="D9D9D9"/>
              <w:right w:val="nil"/>
            </w:tcBorders>
            <w:hideMark/>
          </w:tcPr>
          <w:p w14:paraId="18C38C4D"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528583ED" w14:textId="77777777" w:rsidR="000F60FA" w:rsidRPr="0097718E" w:rsidRDefault="000F60FA" w:rsidP="000F60FA">
      <w:pPr>
        <w:rPr>
          <w:szCs w:val="22"/>
          <w:lang w:eastAsia="en-US"/>
        </w:rPr>
      </w:pPr>
      <w:r w:rsidRPr="0097718E">
        <w:rPr>
          <w:szCs w:val="22"/>
          <w:lang w:eastAsia="en-US"/>
        </w:rPr>
        <w:br w:type="page"/>
      </w:r>
    </w:p>
    <w:p w14:paraId="67230D5C" w14:textId="77777777" w:rsidR="000F60FA" w:rsidRPr="0097718E" w:rsidRDefault="000F60FA" w:rsidP="00883B6D">
      <w:pPr>
        <w:pStyle w:val="H4Numbers"/>
        <w:ind w:left="360"/>
      </w:pPr>
      <w:r w:rsidRPr="0097718E">
        <w:lastRenderedPageBreak/>
        <w:t xml:space="preserve">During your AAT proceedings and the IER program, did you change the supports requested? </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7E35A663" w14:textId="77777777">
        <w:trPr>
          <w:trHeight w:val="300"/>
        </w:trPr>
        <w:tc>
          <w:tcPr>
            <w:tcW w:w="5392" w:type="dxa"/>
            <w:tcBorders>
              <w:top w:val="single" w:sz="4" w:space="0" w:color="BFBFBF"/>
              <w:left w:val="nil"/>
              <w:bottom w:val="single" w:sz="4" w:space="0" w:color="D9D9D9"/>
              <w:right w:val="nil"/>
            </w:tcBorders>
            <w:hideMark/>
          </w:tcPr>
          <w:p w14:paraId="46C482B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Yes</w:t>
            </w:r>
          </w:p>
        </w:tc>
        <w:tc>
          <w:tcPr>
            <w:tcW w:w="1990" w:type="dxa"/>
            <w:tcBorders>
              <w:top w:val="single" w:sz="4" w:space="0" w:color="BFBFBF"/>
              <w:left w:val="nil"/>
              <w:bottom w:val="single" w:sz="4" w:space="0" w:color="D9D9D9"/>
              <w:right w:val="nil"/>
            </w:tcBorders>
            <w:hideMark/>
          </w:tcPr>
          <w:p w14:paraId="7BD6E5AA"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3EEC59C3" w14:textId="77777777">
        <w:trPr>
          <w:trHeight w:val="300"/>
        </w:trPr>
        <w:tc>
          <w:tcPr>
            <w:tcW w:w="5392" w:type="dxa"/>
            <w:tcBorders>
              <w:top w:val="single" w:sz="4" w:space="0" w:color="D9D9D9"/>
              <w:left w:val="nil"/>
              <w:bottom w:val="single" w:sz="4" w:space="0" w:color="D9D9D9"/>
              <w:right w:val="nil"/>
            </w:tcBorders>
            <w:hideMark/>
          </w:tcPr>
          <w:p w14:paraId="6B3D191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w:t>
            </w:r>
          </w:p>
        </w:tc>
        <w:tc>
          <w:tcPr>
            <w:tcW w:w="1990" w:type="dxa"/>
            <w:tcBorders>
              <w:top w:val="single" w:sz="4" w:space="0" w:color="D9D9D9"/>
              <w:left w:val="nil"/>
              <w:bottom w:val="single" w:sz="4" w:space="0" w:color="D9D9D9"/>
              <w:right w:val="nil"/>
            </w:tcBorders>
            <w:hideMark/>
          </w:tcPr>
          <w:p w14:paraId="21F7EA83"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0C3C7432" w14:textId="77777777" w:rsidR="000F60FA" w:rsidRPr="0097718E" w:rsidRDefault="000F60FA" w:rsidP="000F60FA">
      <w:pPr>
        <w:spacing w:before="120"/>
        <w:rPr>
          <w:rFonts w:eastAsia="Calibri" w:cs="Arial"/>
          <w:szCs w:val="22"/>
          <w:lang w:val="en-CA" w:eastAsia="en-AU"/>
        </w:rPr>
      </w:pPr>
      <w:r w:rsidRPr="0097718E">
        <w:rPr>
          <w:rFonts w:eastAsia="Calibri" w:cs="Arial"/>
          <w:szCs w:val="22"/>
          <w:lang w:val="en-CA" w:eastAsia="en-AU"/>
        </w:rPr>
        <w:t>IF ‘NO’ GO TO Q22</w:t>
      </w:r>
    </w:p>
    <w:p w14:paraId="06425A4A" w14:textId="77777777" w:rsidR="000F60FA" w:rsidRPr="0097718E" w:rsidRDefault="000F60FA" w:rsidP="000F60FA">
      <w:pPr>
        <w:spacing w:before="120"/>
        <w:rPr>
          <w:rFonts w:eastAsia="Calibri" w:cs="Arial"/>
          <w:szCs w:val="22"/>
          <w:lang w:val="en-CA" w:eastAsia="en-AU"/>
        </w:rPr>
      </w:pPr>
    </w:p>
    <w:p w14:paraId="3A8E7E3B" w14:textId="77777777" w:rsidR="000F60FA" w:rsidRPr="0097718E" w:rsidRDefault="000F60FA" w:rsidP="00883B6D">
      <w:pPr>
        <w:pStyle w:val="H4Numbers"/>
        <w:ind w:left="360"/>
      </w:pPr>
      <w:r w:rsidRPr="0097718E">
        <w:t>Please provide an explanation for the change</w:t>
      </w:r>
    </w:p>
    <w:p w14:paraId="078D83DD" w14:textId="77777777" w:rsidR="000F60FA" w:rsidRPr="0097718E" w:rsidRDefault="000F60FA" w:rsidP="000F60FA">
      <w:pPr>
        <w:spacing w:before="120"/>
        <w:rPr>
          <w:rFonts w:eastAsia="Calibri" w:cs="Arial"/>
          <w:szCs w:val="22"/>
          <w:lang w:eastAsia="en-US"/>
        </w:rPr>
      </w:pPr>
      <w:r w:rsidRPr="0097718E">
        <w:rPr>
          <w:rFonts w:eastAsia="Calibri" w:cs="Arial"/>
          <w:szCs w:val="22"/>
          <w:lang w:eastAsia="en-US"/>
        </w:rPr>
        <w:t>&lt;FREE TEXT&gt;</w:t>
      </w:r>
    </w:p>
    <w:p w14:paraId="5B087460" w14:textId="77777777" w:rsidR="000F60FA" w:rsidRPr="0097718E" w:rsidRDefault="000F60FA" w:rsidP="000F60FA">
      <w:pPr>
        <w:keepNext/>
        <w:spacing w:before="60" w:after="60" w:line="264" w:lineRule="auto"/>
        <w:rPr>
          <w:rFonts w:eastAsia="Calibri" w:cs="Arial"/>
          <w:szCs w:val="22"/>
          <w:lang w:eastAsia="en-US"/>
        </w:rPr>
      </w:pPr>
      <w:r w:rsidRPr="0097718E">
        <w:rPr>
          <w:rFonts w:eastAsia="Calibri" w:cs="Arial"/>
          <w:szCs w:val="22"/>
          <w:lang w:eastAsia="en-US"/>
        </w:rPr>
        <w:t>If “None at all” AT Q16 GO TO Q24</w:t>
      </w:r>
    </w:p>
    <w:p w14:paraId="6E655E77" w14:textId="77777777" w:rsidR="000F60FA" w:rsidRPr="0097718E" w:rsidRDefault="000F60FA" w:rsidP="000F60FA">
      <w:pPr>
        <w:spacing w:before="120"/>
        <w:rPr>
          <w:rFonts w:eastAsia="Calibri" w:cs="Arial"/>
          <w:szCs w:val="22"/>
          <w:lang w:eastAsia="en-US"/>
        </w:rPr>
      </w:pPr>
    </w:p>
    <w:p w14:paraId="41E5E208" w14:textId="77777777" w:rsidR="000F60FA" w:rsidRPr="0097718E" w:rsidRDefault="000F60FA" w:rsidP="00883B6D">
      <w:pPr>
        <w:pStyle w:val="H4Numbers"/>
        <w:ind w:left="360"/>
      </w:pPr>
      <w:r w:rsidRPr="0097718E">
        <w:t>Have you previously appealed an Agency decision at the AAT?</w:t>
      </w:r>
    </w:p>
    <w:tbl>
      <w:tblPr>
        <w:tblStyle w:val="TableGrid1"/>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97718E" w14:paraId="5E88A807" w14:textId="77777777">
        <w:trPr>
          <w:trHeight w:val="300"/>
        </w:trPr>
        <w:tc>
          <w:tcPr>
            <w:tcW w:w="5392" w:type="dxa"/>
            <w:tcBorders>
              <w:top w:val="single" w:sz="4" w:space="0" w:color="BFBFBF"/>
              <w:left w:val="nil"/>
              <w:bottom w:val="single" w:sz="4" w:space="0" w:color="D9D9D9"/>
              <w:right w:val="nil"/>
            </w:tcBorders>
            <w:hideMark/>
          </w:tcPr>
          <w:p w14:paraId="2B1D2ED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Yes</w:t>
            </w:r>
          </w:p>
        </w:tc>
        <w:tc>
          <w:tcPr>
            <w:tcW w:w="1990" w:type="dxa"/>
            <w:tcBorders>
              <w:top w:val="single" w:sz="4" w:space="0" w:color="BFBFBF"/>
              <w:left w:val="nil"/>
              <w:bottom w:val="single" w:sz="4" w:space="0" w:color="D9D9D9"/>
              <w:right w:val="nil"/>
            </w:tcBorders>
            <w:hideMark/>
          </w:tcPr>
          <w:p w14:paraId="199AB118"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327147" w:rsidRPr="0097718E" w14:paraId="0FC351BA" w14:textId="77777777">
        <w:trPr>
          <w:trHeight w:val="300"/>
        </w:trPr>
        <w:tc>
          <w:tcPr>
            <w:tcW w:w="5392" w:type="dxa"/>
            <w:tcBorders>
              <w:top w:val="single" w:sz="4" w:space="0" w:color="D9D9D9"/>
              <w:left w:val="nil"/>
              <w:bottom w:val="single" w:sz="4" w:space="0" w:color="D9D9D9"/>
              <w:right w:val="nil"/>
            </w:tcBorders>
            <w:hideMark/>
          </w:tcPr>
          <w:p w14:paraId="3BA30B3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w:t>
            </w:r>
          </w:p>
        </w:tc>
        <w:tc>
          <w:tcPr>
            <w:tcW w:w="1990" w:type="dxa"/>
            <w:tcBorders>
              <w:top w:val="single" w:sz="4" w:space="0" w:color="D9D9D9"/>
              <w:left w:val="nil"/>
              <w:bottom w:val="single" w:sz="4" w:space="0" w:color="D9D9D9"/>
              <w:right w:val="nil"/>
            </w:tcBorders>
            <w:hideMark/>
          </w:tcPr>
          <w:p w14:paraId="78F2A57B"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532311BA" w14:textId="77777777" w:rsidR="000F60FA" w:rsidRPr="0097718E" w:rsidRDefault="000F60FA" w:rsidP="000F60FA">
      <w:pPr>
        <w:spacing w:before="120"/>
        <w:rPr>
          <w:rFonts w:eastAsia="Calibri" w:cs="Arial"/>
          <w:szCs w:val="22"/>
          <w:lang w:eastAsia="en-US"/>
        </w:rPr>
      </w:pPr>
    </w:p>
    <w:p w14:paraId="036BFF84" w14:textId="77777777" w:rsidR="000F60FA" w:rsidRPr="0097718E" w:rsidRDefault="000F60FA" w:rsidP="00883B6D">
      <w:pPr>
        <w:pStyle w:val="H4Numbers"/>
        <w:ind w:left="360"/>
      </w:pPr>
      <w:r w:rsidRPr="0097718E">
        <w:t>What was the outcome of the previous AAT matter?</w:t>
      </w:r>
    </w:p>
    <w:p w14:paraId="6136107E" w14:textId="77777777" w:rsidR="000F60FA" w:rsidRPr="0097718E" w:rsidRDefault="000F60FA" w:rsidP="000F60FA">
      <w:pPr>
        <w:spacing w:before="120"/>
        <w:rPr>
          <w:rFonts w:eastAsia="Calibri" w:cs="Arial"/>
          <w:szCs w:val="22"/>
          <w:lang w:val="en-CA" w:eastAsia="en-AU"/>
        </w:rPr>
      </w:pPr>
      <w:r w:rsidRPr="0097718E">
        <w:rPr>
          <w:rFonts w:eastAsia="Calibri" w:cs="Arial"/>
          <w:szCs w:val="22"/>
          <w:lang w:val="en-CA" w:eastAsia="en-AU"/>
        </w:rPr>
        <w:t>&lt;FREE TEXT&gt;</w:t>
      </w:r>
    </w:p>
    <w:p w14:paraId="72238BAF" w14:textId="77777777" w:rsidR="000F60FA" w:rsidRPr="0097718E" w:rsidRDefault="000F60FA" w:rsidP="000F60FA">
      <w:pPr>
        <w:spacing w:before="120"/>
        <w:rPr>
          <w:rFonts w:eastAsia="Calibri" w:cs="Arial"/>
          <w:szCs w:val="22"/>
          <w:lang w:eastAsia="en-US"/>
        </w:rPr>
      </w:pPr>
    </w:p>
    <w:p w14:paraId="58B2B794" w14:textId="77777777" w:rsidR="000F60FA" w:rsidRPr="0097718E" w:rsidRDefault="000F60FA" w:rsidP="00883B6D">
      <w:pPr>
        <w:pStyle w:val="H4Numbers"/>
        <w:ind w:left="360"/>
      </w:pPr>
      <w:r w:rsidRPr="0097718E">
        <w:t>How could the NDIA improve the IER process?</w:t>
      </w:r>
    </w:p>
    <w:p w14:paraId="5B397E1C" w14:textId="77777777" w:rsidR="000F60FA" w:rsidRPr="0097718E" w:rsidRDefault="000F60FA" w:rsidP="000F60FA">
      <w:pPr>
        <w:spacing w:before="120"/>
        <w:rPr>
          <w:rFonts w:eastAsia="Calibri" w:cs="Arial"/>
          <w:szCs w:val="22"/>
          <w:lang w:val="en-CA" w:eastAsia="en-AU"/>
        </w:rPr>
      </w:pPr>
      <w:r w:rsidRPr="0097718E">
        <w:rPr>
          <w:rFonts w:eastAsia="Calibri" w:cs="Arial"/>
          <w:szCs w:val="22"/>
          <w:lang w:val="en-CA" w:eastAsia="en-AU"/>
        </w:rPr>
        <w:t>&lt;FREE TEXT&gt;</w:t>
      </w:r>
      <w:r w:rsidRPr="0097718E">
        <w:rPr>
          <w:rFonts w:eastAsia="Calibri" w:cs="Arial"/>
          <w:szCs w:val="22"/>
          <w:lang w:val="en-CA" w:eastAsia="en-AU"/>
        </w:rPr>
        <w:br w:type="page"/>
      </w:r>
    </w:p>
    <w:p w14:paraId="47A7CDBD" w14:textId="6687F33F" w:rsidR="000F60FA" w:rsidRPr="0097718E" w:rsidRDefault="000F60FA" w:rsidP="000F60FA">
      <w:pPr>
        <w:tabs>
          <w:tab w:val="num" w:pos="360"/>
        </w:tabs>
        <w:spacing w:before="0" w:after="0"/>
        <w:rPr>
          <w:rFonts w:eastAsia="Calibri" w:cs="Cordia New"/>
          <w:b/>
          <w:bCs/>
          <w:szCs w:val="22"/>
          <w:u w:val="single"/>
          <w:lang w:eastAsia="en-US"/>
        </w:rPr>
      </w:pPr>
      <w:r w:rsidRPr="0097718E">
        <w:rPr>
          <w:rFonts w:eastAsia="Calibri" w:cs="Cordia New"/>
          <w:b/>
          <w:bCs/>
          <w:szCs w:val="22"/>
          <w:u w:val="single"/>
          <w:lang w:eastAsia="en-US"/>
        </w:rPr>
        <w:lastRenderedPageBreak/>
        <w:t>Demographics</w:t>
      </w:r>
    </w:p>
    <w:p w14:paraId="0B8CB623" w14:textId="77777777" w:rsidR="000F60FA" w:rsidRPr="0097718E" w:rsidRDefault="000F60FA" w:rsidP="00883B6D">
      <w:pPr>
        <w:pStyle w:val="H4Numbers"/>
        <w:ind w:left="360"/>
      </w:pPr>
      <w:r w:rsidRPr="0097718E">
        <w:t>What disability or disabilities do you have? (Select all that apply).</w:t>
      </w:r>
    </w:p>
    <w:p w14:paraId="30341476"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Acquired brain injury</w:t>
      </w:r>
    </w:p>
    <w:p w14:paraId="5901D21A"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Autism</w:t>
      </w:r>
    </w:p>
    <w:p w14:paraId="35E6041D"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Cerebral palsy</w:t>
      </w:r>
    </w:p>
    <w:p w14:paraId="5438B01D"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Developmental delay</w:t>
      </w:r>
    </w:p>
    <w:p w14:paraId="1DC931BD"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Down syndrome</w:t>
      </w:r>
    </w:p>
    <w:p w14:paraId="4A85D409"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Global developmental delay</w:t>
      </w:r>
    </w:p>
    <w:p w14:paraId="0B2435D7"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Hearing impairment or deaf</w:t>
      </w:r>
    </w:p>
    <w:p w14:paraId="0732210C"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Intellectual disability</w:t>
      </w:r>
    </w:p>
    <w:p w14:paraId="292A75B8"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Multiple sclerosis</w:t>
      </w:r>
    </w:p>
    <w:p w14:paraId="5CF2DBB3"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Psychosocial disability</w:t>
      </w:r>
    </w:p>
    <w:p w14:paraId="6BE34348"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Spinal cord injury</w:t>
      </w:r>
    </w:p>
    <w:p w14:paraId="08991885"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Stroke</w:t>
      </w:r>
    </w:p>
    <w:p w14:paraId="744E676D"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Visual impairment</w:t>
      </w:r>
    </w:p>
    <w:p w14:paraId="7EE2BAE1"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Other neurological</w:t>
      </w:r>
    </w:p>
    <w:p w14:paraId="5B28345C"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Other physical</w:t>
      </w:r>
    </w:p>
    <w:p w14:paraId="306D998B"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Other sensory/speech</w:t>
      </w:r>
    </w:p>
    <w:p w14:paraId="77A84774" w14:textId="77777777" w:rsidR="000F60FA" w:rsidRPr="0097718E" w:rsidRDefault="000F60FA" w:rsidP="000705FE">
      <w:pPr>
        <w:keepNext/>
        <w:numPr>
          <w:ilvl w:val="0"/>
          <w:numId w:val="27"/>
        </w:numPr>
        <w:spacing w:before="0" w:after="0" w:line="240" w:lineRule="auto"/>
        <w:ind w:left="850" w:hanging="720"/>
        <w:rPr>
          <w:rFonts w:eastAsia="Calibri" w:cs="Arial"/>
          <w:color w:val="000000"/>
          <w:szCs w:val="22"/>
          <w:lang w:eastAsia="en-US"/>
        </w:rPr>
      </w:pPr>
      <w:r w:rsidRPr="0097718E">
        <w:rPr>
          <w:rFonts w:eastAsia="Calibri" w:cs="Arial"/>
          <w:color w:val="000000"/>
          <w:szCs w:val="22"/>
          <w:lang w:eastAsia="en-US"/>
        </w:rPr>
        <w:t>Other &lt;please specify&gt;</w:t>
      </w:r>
    </w:p>
    <w:p w14:paraId="0DCA24CE" w14:textId="77777777" w:rsidR="000F60FA" w:rsidRPr="0097718E" w:rsidRDefault="000F60FA" w:rsidP="000F60FA">
      <w:pPr>
        <w:spacing w:before="120"/>
        <w:rPr>
          <w:rFonts w:eastAsia="Calibri" w:cs="Cordia New"/>
          <w:szCs w:val="22"/>
          <w:lang w:eastAsia="en-US"/>
        </w:rPr>
      </w:pPr>
    </w:p>
    <w:p w14:paraId="1EF2A976" w14:textId="77777777" w:rsidR="000F60FA" w:rsidRPr="0097718E" w:rsidRDefault="000F60FA" w:rsidP="00D35401">
      <w:pPr>
        <w:pStyle w:val="H4Numbers"/>
        <w:ind w:left="490"/>
      </w:pPr>
      <w:r w:rsidRPr="0097718E">
        <w:t xml:space="preserve">What is your postcode? </w:t>
      </w:r>
    </w:p>
    <w:p w14:paraId="5E5BD74D" w14:textId="77777777" w:rsidR="000F60FA" w:rsidRPr="0097718E" w:rsidRDefault="000F60FA" w:rsidP="000F60FA">
      <w:pPr>
        <w:spacing w:before="120"/>
        <w:rPr>
          <w:rFonts w:eastAsia="Calibri" w:cs="Arial"/>
          <w:szCs w:val="22"/>
          <w:lang w:eastAsia="en-US"/>
        </w:rPr>
      </w:pPr>
      <w:r w:rsidRPr="0097718E">
        <w:rPr>
          <w:rFonts w:eastAsia="Calibri" w:cs="Arial"/>
          <w:szCs w:val="22"/>
          <w:lang w:eastAsia="en-US"/>
        </w:rPr>
        <w:t>__  __  __  __</w:t>
      </w:r>
    </w:p>
    <w:p w14:paraId="045F9119" w14:textId="77777777" w:rsidR="000F60FA" w:rsidRPr="0097718E" w:rsidRDefault="000F60FA" w:rsidP="000F60FA">
      <w:pPr>
        <w:spacing w:before="120"/>
        <w:rPr>
          <w:rFonts w:eastAsia="Calibri" w:cs="Arial"/>
          <w:szCs w:val="22"/>
          <w:lang w:eastAsia="en-US"/>
        </w:rPr>
      </w:pPr>
      <w:r w:rsidRPr="0097718E">
        <w:rPr>
          <w:rFonts w:eastAsia="Calibri" w:cs="Arial"/>
          <w:szCs w:val="22"/>
          <w:lang w:eastAsia="en-US"/>
        </w:rPr>
        <w:br w:type="page"/>
      </w:r>
    </w:p>
    <w:p w14:paraId="614E23AD" w14:textId="77777777" w:rsidR="000F60FA" w:rsidRPr="0097718E" w:rsidRDefault="000F60FA" w:rsidP="00883B6D">
      <w:pPr>
        <w:pStyle w:val="H4Numbers"/>
        <w:ind w:left="360"/>
      </w:pPr>
      <w:r w:rsidRPr="0097718E">
        <w:lastRenderedPageBreak/>
        <w:t>Do you identify as Aboriginal and/or Torres Strait Islander?</w:t>
      </w:r>
    </w:p>
    <w:tbl>
      <w:tblPr>
        <w:tblStyle w:val="TableGrid1"/>
        <w:tblW w:w="0" w:type="auto"/>
        <w:tblInd w:w="0" w:type="dxa"/>
        <w:tblBorders>
          <w:top w:val="single" w:sz="4" w:space="0" w:color="BFBFBF"/>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3936"/>
        <w:gridCol w:w="1851"/>
      </w:tblGrid>
      <w:tr w:rsidR="000F60FA" w:rsidRPr="0097718E" w14:paraId="319DCC8C" w14:textId="77777777">
        <w:tc>
          <w:tcPr>
            <w:tcW w:w="3936" w:type="dxa"/>
            <w:tcBorders>
              <w:top w:val="single" w:sz="4" w:space="0" w:color="BFBFBF"/>
              <w:left w:val="nil"/>
              <w:bottom w:val="single" w:sz="4" w:space="0" w:color="BFBFBF"/>
              <w:right w:val="nil"/>
            </w:tcBorders>
            <w:vAlign w:val="center"/>
            <w:hideMark/>
          </w:tcPr>
          <w:p w14:paraId="0DBB9B83"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w:t>
            </w:r>
          </w:p>
        </w:tc>
        <w:tc>
          <w:tcPr>
            <w:tcW w:w="1851" w:type="dxa"/>
            <w:tcBorders>
              <w:top w:val="single" w:sz="4" w:space="0" w:color="BFBFBF"/>
              <w:left w:val="nil"/>
              <w:bottom w:val="single" w:sz="4" w:space="0" w:color="BFBFBF"/>
              <w:right w:val="nil"/>
            </w:tcBorders>
            <w:vAlign w:val="center"/>
            <w:hideMark/>
          </w:tcPr>
          <w:p w14:paraId="7149A723"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5F1EFF98" w14:textId="77777777">
        <w:tc>
          <w:tcPr>
            <w:tcW w:w="3936" w:type="dxa"/>
            <w:tcBorders>
              <w:top w:val="single" w:sz="4" w:space="0" w:color="BFBFBF"/>
              <w:left w:val="nil"/>
              <w:bottom w:val="single" w:sz="4" w:space="0" w:color="BFBFBF"/>
              <w:right w:val="nil"/>
            </w:tcBorders>
            <w:vAlign w:val="center"/>
            <w:hideMark/>
          </w:tcPr>
          <w:p w14:paraId="0DBCE0D1"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Aboriginal</w:t>
            </w:r>
          </w:p>
        </w:tc>
        <w:tc>
          <w:tcPr>
            <w:tcW w:w="1851" w:type="dxa"/>
            <w:tcBorders>
              <w:top w:val="single" w:sz="4" w:space="0" w:color="BFBFBF"/>
              <w:left w:val="nil"/>
              <w:bottom w:val="single" w:sz="4" w:space="0" w:color="BFBFBF"/>
              <w:right w:val="nil"/>
            </w:tcBorders>
            <w:vAlign w:val="center"/>
            <w:hideMark/>
          </w:tcPr>
          <w:p w14:paraId="2209701E"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6E04D68D" w14:textId="77777777">
        <w:tc>
          <w:tcPr>
            <w:tcW w:w="3936" w:type="dxa"/>
            <w:tcBorders>
              <w:top w:val="single" w:sz="4" w:space="0" w:color="BFBFBF"/>
              <w:left w:val="nil"/>
              <w:bottom w:val="single" w:sz="4" w:space="0" w:color="BFBFBF"/>
              <w:right w:val="nil"/>
            </w:tcBorders>
            <w:vAlign w:val="center"/>
            <w:hideMark/>
          </w:tcPr>
          <w:p w14:paraId="43405C1C"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Torres Strait Islander</w:t>
            </w:r>
          </w:p>
        </w:tc>
        <w:tc>
          <w:tcPr>
            <w:tcW w:w="1851" w:type="dxa"/>
            <w:tcBorders>
              <w:top w:val="single" w:sz="4" w:space="0" w:color="BFBFBF"/>
              <w:left w:val="nil"/>
              <w:bottom w:val="single" w:sz="4" w:space="0" w:color="BFBFBF"/>
              <w:right w:val="nil"/>
            </w:tcBorders>
            <w:vAlign w:val="center"/>
            <w:hideMark/>
          </w:tcPr>
          <w:p w14:paraId="171A7B9C"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2B44BFBB" w14:textId="77777777">
        <w:tc>
          <w:tcPr>
            <w:tcW w:w="3936" w:type="dxa"/>
            <w:tcBorders>
              <w:top w:val="single" w:sz="4" w:space="0" w:color="BFBFBF"/>
              <w:left w:val="nil"/>
              <w:bottom w:val="single" w:sz="4" w:space="0" w:color="BFBFBF"/>
              <w:right w:val="nil"/>
            </w:tcBorders>
            <w:vAlign w:val="center"/>
            <w:hideMark/>
          </w:tcPr>
          <w:p w14:paraId="4AA7D8F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Aboriginal and Torres Strait Islander</w:t>
            </w:r>
          </w:p>
        </w:tc>
        <w:tc>
          <w:tcPr>
            <w:tcW w:w="1851" w:type="dxa"/>
            <w:tcBorders>
              <w:top w:val="single" w:sz="4" w:space="0" w:color="BFBFBF"/>
              <w:left w:val="nil"/>
              <w:bottom w:val="single" w:sz="4" w:space="0" w:color="BFBFBF"/>
              <w:right w:val="nil"/>
            </w:tcBorders>
            <w:hideMark/>
          </w:tcPr>
          <w:p w14:paraId="243BF578"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00363656" w14:textId="77777777">
        <w:tc>
          <w:tcPr>
            <w:tcW w:w="3936" w:type="dxa"/>
            <w:tcBorders>
              <w:top w:val="single" w:sz="4" w:space="0" w:color="BFBFBF"/>
              <w:left w:val="nil"/>
              <w:bottom w:val="single" w:sz="4" w:space="0" w:color="auto"/>
              <w:right w:val="nil"/>
            </w:tcBorders>
            <w:vAlign w:val="center"/>
            <w:hideMark/>
          </w:tcPr>
          <w:p w14:paraId="077C393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Prefer not to say</w:t>
            </w:r>
          </w:p>
        </w:tc>
        <w:tc>
          <w:tcPr>
            <w:tcW w:w="1851" w:type="dxa"/>
            <w:tcBorders>
              <w:top w:val="single" w:sz="4" w:space="0" w:color="BFBFBF"/>
              <w:left w:val="nil"/>
              <w:bottom w:val="single" w:sz="4" w:space="0" w:color="auto"/>
              <w:right w:val="nil"/>
            </w:tcBorders>
            <w:hideMark/>
          </w:tcPr>
          <w:p w14:paraId="43AA8828"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3ACF1F84" w14:textId="1F295B61" w:rsidR="000F60FA" w:rsidRPr="0097718E" w:rsidRDefault="000F60FA" w:rsidP="000F60FA">
      <w:pPr>
        <w:spacing w:before="120"/>
        <w:rPr>
          <w:rFonts w:eastAsia="Calibri" w:cs="Arial"/>
          <w:szCs w:val="22"/>
          <w:lang w:eastAsia="en-US"/>
        </w:rPr>
      </w:pPr>
      <w:r w:rsidRPr="0097718E">
        <w:rPr>
          <w:rFonts w:eastAsia="Calibri" w:cs="Arial"/>
          <w:szCs w:val="22"/>
          <w:lang w:eastAsia="en-US"/>
        </w:rPr>
        <w:t>IF ANSWER NO OR PREFER NOT TO SAY, GO TO Q</w:t>
      </w:r>
      <w:r w:rsidR="00F85037">
        <w:rPr>
          <w:rFonts w:eastAsia="Calibri" w:cs="Arial"/>
          <w:szCs w:val="22"/>
          <w:lang w:eastAsia="en-US"/>
        </w:rPr>
        <w:t>2</w:t>
      </w:r>
      <w:r w:rsidR="00477CFF">
        <w:rPr>
          <w:rFonts w:eastAsia="Calibri" w:cs="Arial"/>
          <w:szCs w:val="22"/>
          <w:lang w:eastAsia="en-US"/>
        </w:rPr>
        <w:t>8</w:t>
      </w:r>
      <w:r w:rsidRPr="0097718E">
        <w:rPr>
          <w:rFonts w:eastAsia="Calibri" w:cs="Arial"/>
          <w:szCs w:val="22"/>
          <w:lang w:eastAsia="en-US"/>
        </w:rPr>
        <w:t xml:space="preserve">. OTHERWISE SKIP TO </w:t>
      </w:r>
      <w:r w:rsidR="00CC31CF" w:rsidRPr="0097718E">
        <w:rPr>
          <w:rFonts w:eastAsia="Calibri" w:cs="Arial"/>
          <w:szCs w:val="22"/>
          <w:lang w:eastAsia="en-US"/>
        </w:rPr>
        <w:t>Q</w:t>
      </w:r>
      <w:r w:rsidR="00A60A33">
        <w:rPr>
          <w:rFonts w:eastAsia="Calibri" w:cs="Arial"/>
          <w:szCs w:val="22"/>
          <w:lang w:eastAsia="en-US"/>
        </w:rPr>
        <w:t>2</w:t>
      </w:r>
      <w:r w:rsidR="00477CFF">
        <w:rPr>
          <w:rFonts w:eastAsia="Calibri" w:cs="Arial"/>
          <w:szCs w:val="22"/>
          <w:lang w:eastAsia="en-US"/>
        </w:rPr>
        <w:t>9</w:t>
      </w:r>
    </w:p>
    <w:p w14:paraId="2A95FF86" w14:textId="77777777" w:rsidR="00BE137C" w:rsidRPr="0097718E" w:rsidRDefault="00BE137C" w:rsidP="00883B6D">
      <w:pPr>
        <w:spacing w:before="120"/>
        <w:rPr>
          <w:rFonts w:eastAsia="Calibri" w:cs="Arial"/>
          <w:b/>
          <w:szCs w:val="22"/>
          <w:lang w:eastAsia="en-US"/>
        </w:rPr>
      </w:pPr>
    </w:p>
    <w:p w14:paraId="01E1C8AD" w14:textId="77777777" w:rsidR="000F60FA" w:rsidRPr="0097718E" w:rsidRDefault="000F60FA" w:rsidP="00883B6D">
      <w:pPr>
        <w:pStyle w:val="H4Numbers"/>
        <w:ind w:left="360"/>
      </w:pPr>
      <w:r w:rsidRPr="0097718E">
        <w:t>Which country were you born in?</w:t>
      </w:r>
    </w:p>
    <w:tbl>
      <w:tblPr>
        <w:tblStyle w:val="TableGrid1"/>
        <w:tblW w:w="0" w:type="auto"/>
        <w:tblInd w:w="0" w:type="dxa"/>
        <w:tblBorders>
          <w:top w:val="single" w:sz="4" w:space="0" w:color="BFBFBF"/>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3119"/>
        <w:gridCol w:w="2668"/>
      </w:tblGrid>
      <w:tr w:rsidR="000F60FA" w:rsidRPr="0097718E" w14:paraId="77272AC2" w14:textId="77777777">
        <w:tc>
          <w:tcPr>
            <w:tcW w:w="3119" w:type="dxa"/>
            <w:tcBorders>
              <w:top w:val="single" w:sz="4" w:space="0" w:color="BFBFBF"/>
              <w:left w:val="nil"/>
              <w:bottom w:val="single" w:sz="4" w:space="0" w:color="BFBFBF"/>
              <w:right w:val="nil"/>
            </w:tcBorders>
            <w:vAlign w:val="center"/>
            <w:hideMark/>
          </w:tcPr>
          <w:p w14:paraId="4DDC40FB"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Australia</w:t>
            </w:r>
          </w:p>
        </w:tc>
        <w:tc>
          <w:tcPr>
            <w:tcW w:w="2668" w:type="dxa"/>
            <w:tcBorders>
              <w:top w:val="single" w:sz="4" w:space="0" w:color="BFBFBF"/>
              <w:left w:val="nil"/>
              <w:bottom w:val="single" w:sz="4" w:space="0" w:color="BFBFBF"/>
              <w:right w:val="nil"/>
            </w:tcBorders>
            <w:vAlign w:val="center"/>
            <w:hideMark/>
          </w:tcPr>
          <w:p w14:paraId="15B5B681"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30334F22" w14:textId="77777777">
        <w:tc>
          <w:tcPr>
            <w:tcW w:w="3119" w:type="dxa"/>
            <w:tcBorders>
              <w:top w:val="single" w:sz="4" w:space="0" w:color="BFBFBF"/>
              <w:left w:val="nil"/>
              <w:bottom w:val="single" w:sz="4" w:space="0" w:color="BFBFBF"/>
              <w:right w:val="nil"/>
            </w:tcBorders>
            <w:vAlign w:val="center"/>
            <w:hideMark/>
          </w:tcPr>
          <w:p w14:paraId="34A041A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Other &lt;please specify&gt;</w:t>
            </w:r>
          </w:p>
        </w:tc>
        <w:tc>
          <w:tcPr>
            <w:tcW w:w="2668" w:type="dxa"/>
            <w:tcBorders>
              <w:top w:val="single" w:sz="4" w:space="0" w:color="BFBFBF"/>
              <w:left w:val="nil"/>
              <w:bottom w:val="single" w:sz="4" w:space="0" w:color="BFBFBF"/>
              <w:right w:val="nil"/>
            </w:tcBorders>
            <w:vAlign w:val="center"/>
            <w:hideMark/>
          </w:tcPr>
          <w:p w14:paraId="030349CF"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44DB0F85" w14:textId="77777777">
        <w:tc>
          <w:tcPr>
            <w:tcW w:w="3119" w:type="dxa"/>
            <w:tcBorders>
              <w:top w:val="single" w:sz="4" w:space="0" w:color="BFBFBF"/>
              <w:left w:val="nil"/>
              <w:bottom w:val="single" w:sz="4" w:space="0" w:color="auto"/>
              <w:right w:val="nil"/>
            </w:tcBorders>
            <w:vAlign w:val="center"/>
            <w:hideMark/>
          </w:tcPr>
          <w:p w14:paraId="3B6FA964"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Prefer not to answer</w:t>
            </w:r>
          </w:p>
        </w:tc>
        <w:tc>
          <w:tcPr>
            <w:tcW w:w="2668" w:type="dxa"/>
            <w:tcBorders>
              <w:top w:val="single" w:sz="4" w:space="0" w:color="BFBFBF"/>
              <w:left w:val="nil"/>
              <w:bottom w:val="single" w:sz="4" w:space="0" w:color="auto"/>
              <w:right w:val="nil"/>
            </w:tcBorders>
            <w:hideMark/>
          </w:tcPr>
          <w:p w14:paraId="45C22A3C"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22EF4559" w14:textId="77777777" w:rsidR="000F60FA" w:rsidRPr="0097718E" w:rsidRDefault="000F60FA" w:rsidP="000F60FA">
      <w:pPr>
        <w:spacing w:before="120"/>
        <w:rPr>
          <w:rFonts w:eastAsia="Calibri" w:cs="Cordia New"/>
          <w:szCs w:val="22"/>
          <w:lang w:eastAsia="en-US"/>
        </w:rPr>
      </w:pPr>
    </w:p>
    <w:p w14:paraId="50442D9D" w14:textId="77777777" w:rsidR="000F60FA" w:rsidRPr="0097718E" w:rsidRDefault="000F60FA" w:rsidP="00883B6D">
      <w:pPr>
        <w:pStyle w:val="H4Numbers"/>
        <w:ind w:left="360"/>
      </w:pPr>
      <w:r w:rsidRPr="0097718E">
        <w:t>What is the main language you speak at home?</w:t>
      </w:r>
    </w:p>
    <w:tbl>
      <w:tblPr>
        <w:tblStyle w:val="TableGrid1"/>
        <w:tblW w:w="0" w:type="auto"/>
        <w:tblInd w:w="0" w:type="dxa"/>
        <w:tblBorders>
          <w:top w:val="single" w:sz="4" w:space="0" w:color="BFBFBF"/>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3119"/>
        <w:gridCol w:w="2668"/>
      </w:tblGrid>
      <w:tr w:rsidR="000F60FA" w:rsidRPr="0097718E" w14:paraId="24E31C8A" w14:textId="77777777">
        <w:tc>
          <w:tcPr>
            <w:tcW w:w="3119" w:type="dxa"/>
            <w:tcBorders>
              <w:top w:val="single" w:sz="4" w:space="0" w:color="BFBFBF"/>
              <w:left w:val="nil"/>
              <w:bottom w:val="single" w:sz="4" w:space="0" w:color="BFBFBF"/>
              <w:right w:val="nil"/>
            </w:tcBorders>
            <w:vAlign w:val="center"/>
            <w:hideMark/>
          </w:tcPr>
          <w:p w14:paraId="6296C869"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English</w:t>
            </w:r>
          </w:p>
        </w:tc>
        <w:tc>
          <w:tcPr>
            <w:tcW w:w="2668" w:type="dxa"/>
            <w:tcBorders>
              <w:top w:val="single" w:sz="4" w:space="0" w:color="BFBFBF"/>
              <w:left w:val="nil"/>
              <w:bottom w:val="single" w:sz="4" w:space="0" w:color="BFBFBF"/>
              <w:right w:val="nil"/>
            </w:tcBorders>
            <w:vAlign w:val="center"/>
            <w:hideMark/>
          </w:tcPr>
          <w:p w14:paraId="4D933EF5"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67253D3A" w14:textId="77777777">
        <w:tc>
          <w:tcPr>
            <w:tcW w:w="3119" w:type="dxa"/>
            <w:tcBorders>
              <w:top w:val="single" w:sz="4" w:space="0" w:color="BFBFBF"/>
              <w:left w:val="nil"/>
              <w:bottom w:val="single" w:sz="4" w:space="0" w:color="BFBFBF"/>
              <w:right w:val="nil"/>
            </w:tcBorders>
            <w:vAlign w:val="center"/>
            <w:hideMark/>
          </w:tcPr>
          <w:p w14:paraId="37CAA45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Other &lt;please specify&gt;</w:t>
            </w:r>
          </w:p>
        </w:tc>
        <w:tc>
          <w:tcPr>
            <w:tcW w:w="2668" w:type="dxa"/>
            <w:tcBorders>
              <w:top w:val="single" w:sz="4" w:space="0" w:color="BFBFBF"/>
              <w:left w:val="nil"/>
              <w:bottom w:val="single" w:sz="4" w:space="0" w:color="BFBFBF"/>
              <w:right w:val="nil"/>
            </w:tcBorders>
            <w:vAlign w:val="center"/>
            <w:hideMark/>
          </w:tcPr>
          <w:p w14:paraId="740E6428"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50F0CF14" w14:textId="77777777">
        <w:tc>
          <w:tcPr>
            <w:tcW w:w="3119" w:type="dxa"/>
            <w:tcBorders>
              <w:top w:val="single" w:sz="4" w:space="0" w:color="BFBFBF"/>
              <w:left w:val="nil"/>
              <w:bottom w:val="single" w:sz="4" w:space="0" w:color="auto"/>
              <w:right w:val="nil"/>
            </w:tcBorders>
            <w:vAlign w:val="center"/>
            <w:hideMark/>
          </w:tcPr>
          <w:p w14:paraId="1AAACD1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Prefer not to answer</w:t>
            </w:r>
          </w:p>
        </w:tc>
        <w:tc>
          <w:tcPr>
            <w:tcW w:w="2668" w:type="dxa"/>
            <w:tcBorders>
              <w:top w:val="single" w:sz="4" w:space="0" w:color="BFBFBF"/>
              <w:left w:val="nil"/>
              <w:bottom w:val="single" w:sz="4" w:space="0" w:color="auto"/>
              <w:right w:val="nil"/>
            </w:tcBorders>
            <w:hideMark/>
          </w:tcPr>
          <w:p w14:paraId="258A97DD"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41450B48" w14:textId="77777777" w:rsidR="000F60FA" w:rsidRPr="0097718E" w:rsidRDefault="000F60FA" w:rsidP="000F60FA">
      <w:pPr>
        <w:spacing w:before="120"/>
        <w:rPr>
          <w:rFonts w:eastAsia="Calibri" w:cs="Cordia New"/>
          <w:szCs w:val="22"/>
          <w:lang w:eastAsia="en-US"/>
        </w:rPr>
      </w:pPr>
      <w:r w:rsidRPr="0097718E">
        <w:rPr>
          <w:rFonts w:eastAsia="Calibri" w:cs="Cordia New"/>
          <w:szCs w:val="22"/>
          <w:lang w:eastAsia="en-US"/>
        </w:rPr>
        <w:t>IF SELECT ENGLISH, SKIP TO Q25</w:t>
      </w:r>
    </w:p>
    <w:p w14:paraId="10CE9AE8" w14:textId="77777777" w:rsidR="000F60FA" w:rsidRPr="0097718E" w:rsidRDefault="000F60FA" w:rsidP="000F60FA">
      <w:pPr>
        <w:spacing w:before="120"/>
        <w:rPr>
          <w:rFonts w:eastAsia="Calibri" w:cs="Cordia New"/>
          <w:szCs w:val="22"/>
          <w:lang w:eastAsia="en-US"/>
        </w:rPr>
      </w:pPr>
    </w:p>
    <w:p w14:paraId="61197046" w14:textId="77777777" w:rsidR="000F60FA" w:rsidRPr="0097718E" w:rsidRDefault="000F60FA" w:rsidP="00883B6D">
      <w:pPr>
        <w:pStyle w:val="H4Numbers"/>
        <w:ind w:left="360"/>
      </w:pPr>
      <w:r w:rsidRPr="0097718E">
        <w:t>How well do you speak and understand English?</w:t>
      </w:r>
    </w:p>
    <w:tbl>
      <w:tblPr>
        <w:tblStyle w:val="TableGrid1"/>
        <w:tblW w:w="0" w:type="auto"/>
        <w:tblInd w:w="0" w:type="dxa"/>
        <w:tblBorders>
          <w:top w:val="single" w:sz="4" w:space="0" w:color="BFBFBF"/>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3119"/>
        <w:gridCol w:w="2668"/>
      </w:tblGrid>
      <w:tr w:rsidR="000F60FA" w:rsidRPr="0097718E" w14:paraId="78211E07" w14:textId="77777777">
        <w:tc>
          <w:tcPr>
            <w:tcW w:w="3119" w:type="dxa"/>
            <w:tcBorders>
              <w:top w:val="single" w:sz="4" w:space="0" w:color="BFBFBF"/>
              <w:left w:val="nil"/>
              <w:bottom w:val="single" w:sz="4" w:space="0" w:color="BFBFBF"/>
              <w:right w:val="nil"/>
            </w:tcBorders>
            <w:vAlign w:val="center"/>
            <w:hideMark/>
          </w:tcPr>
          <w:p w14:paraId="27F51DE6"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Very well</w:t>
            </w:r>
          </w:p>
        </w:tc>
        <w:tc>
          <w:tcPr>
            <w:tcW w:w="2668" w:type="dxa"/>
            <w:tcBorders>
              <w:top w:val="single" w:sz="4" w:space="0" w:color="BFBFBF"/>
              <w:left w:val="nil"/>
              <w:bottom w:val="single" w:sz="4" w:space="0" w:color="BFBFBF"/>
              <w:right w:val="nil"/>
            </w:tcBorders>
            <w:vAlign w:val="center"/>
            <w:hideMark/>
          </w:tcPr>
          <w:p w14:paraId="0188CCB0"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2CCDF5B7" w14:textId="77777777">
        <w:tc>
          <w:tcPr>
            <w:tcW w:w="3119" w:type="dxa"/>
            <w:tcBorders>
              <w:top w:val="single" w:sz="4" w:space="0" w:color="BFBFBF"/>
              <w:left w:val="nil"/>
              <w:bottom w:val="single" w:sz="4" w:space="0" w:color="BFBFBF"/>
              <w:right w:val="nil"/>
            </w:tcBorders>
            <w:vAlign w:val="center"/>
            <w:hideMark/>
          </w:tcPr>
          <w:p w14:paraId="2989E530"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Well</w:t>
            </w:r>
          </w:p>
        </w:tc>
        <w:tc>
          <w:tcPr>
            <w:tcW w:w="2668" w:type="dxa"/>
            <w:tcBorders>
              <w:top w:val="single" w:sz="4" w:space="0" w:color="BFBFBF"/>
              <w:left w:val="nil"/>
              <w:bottom w:val="single" w:sz="4" w:space="0" w:color="BFBFBF"/>
              <w:right w:val="nil"/>
            </w:tcBorders>
            <w:vAlign w:val="center"/>
            <w:hideMark/>
          </w:tcPr>
          <w:p w14:paraId="2A2A1E02"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699C3496" w14:textId="77777777">
        <w:tc>
          <w:tcPr>
            <w:tcW w:w="3119" w:type="dxa"/>
            <w:tcBorders>
              <w:top w:val="single" w:sz="4" w:space="0" w:color="BFBFBF"/>
              <w:left w:val="nil"/>
              <w:bottom w:val="single" w:sz="4" w:space="0" w:color="BFBFBF"/>
              <w:right w:val="nil"/>
            </w:tcBorders>
            <w:vAlign w:val="center"/>
            <w:hideMark/>
          </w:tcPr>
          <w:p w14:paraId="74582FCA"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well</w:t>
            </w:r>
          </w:p>
        </w:tc>
        <w:tc>
          <w:tcPr>
            <w:tcW w:w="2668" w:type="dxa"/>
            <w:tcBorders>
              <w:top w:val="single" w:sz="4" w:space="0" w:color="BFBFBF"/>
              <w:left w:val="nil"/>
              <w:bottom w:val="single" w:sz="4" w:space="0" w:color="BFBFBF"/>
              <w:right w:val="nil"/>
            </w:tcBorders>
            <w:hideMark/>
          </w:tcPr>
          <w:p w14:paraId="762E4F11"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540A8D30" w14:textId="77777777">
        <w:tc>
          <w:tcPr>
            <w:tcW w:w="3119" w:type="dxa"/>
            <w:tcBorders>
              <w:top w:val="single" w:sz="4" w:space="0" w:color="BFBFBF"/>
              <w:left w:val="nil"/>
              <w:bottom w:val="single" w:sz="4" w:space="0" w:color="auto"/>
              <w:right w:val="nil"/>
            </w:tcBorders>
            <w:vAlign w:val="center"/>
            <w:hideMark/>
          </w:tcPr>
          <w:p w14:paraId="289A509C"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Not at all</w:t>
            </w:r>
          </w:p>
        </w:tc>
        <w:tc>
          <w:tcPr>
            <w:tcW w:w="2668" w:type="dxa"/>
            <w:tcBorders>
              <w:top w:val="single" w:sz="4" w:space="0" w:color="BFBFBF"/>
              <w:left w:val="nil"/>
              <w:bottom w:val="single" w:sz="4" w:space="0" w:color="auto"/>
              <w:right w:val="nil"/>
            </w:tcBorders>
            <w:hideMark/>
          </w:tcPr>
          <w:p w14:paraId="43133CA6"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33D73EF5" w14:textId="77777777" w:rsidR="000F60FA" w:rsidRPr="0097718E" w:rsidRDefault="000F60FA" w:rsidP="000F60FA">
      <w:pPr>
        <w:spacing w:before="120"/>
        <w:rPr>
          <w:rFonts w:eastAsia="Calibri" w:cs="Cordia New"/>
          <w:szCs w:val="22"/>
          <w:lang w:eastAsia="en-US"/>
        </w:rPr>
      </w:pPr>
      <w:r w:rsidRPr="0097718E">
        <w:rPr>
          <w:rFonts w:eastAsia="Calibri" w:cs="Cordia New"/>
          <w:szCs w:val="22"/>
          <w:lang w:eastAsia="en-US"/>
        </w:rPr>
        <w:br w:type="page"/>
      </w:r>
    </w:p>
    <w:p w14:paraId="639712A5" w14:textId="77777777" w:rsidR="000F60FA" w:rsidRPr="0097718E" w:rsidRDefault="000F60FA" w:rsidP="00883B6D">
      <w:pPr>
        <w:pStyle w:val="H4Numbers"/>
        <w:ind w:left="360"/>
      </w:pPr>
      <w:r w:rsidRPr="0097718E">
        <w:lastRenderedPageBreak/>
        <w:t>What is your gender?</w:t>
      </w:r>
    </w:p>
    <w:tbl>
      <w:tblPr>
        <w:tblStyle w:val="TableGrid1"/>
        <w:tblW w:w="0" w:type="auto"/>
        <w:tblInd w:w="0" w:type="dxa"/>
        <w:tblBorders>
          <w:top w:val="single" w:sz="4" w:space="0" w:color="BFBFBF"/>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3119"/>
        <w:gridCol w:w="2668"/>
      </w:tblGrid>
      <w:tr w:rsidR="000F60FA" w:rsidRPr="0097718E" w14:paraId="0D4FE278" w14:textId="77777777">
        <w:tc>
          <w:tcPr>
            <w:tcW w:w="3119" w:type="dxa"/>
            <w:tcBorders>
              <w:top w:val="single" w:sz="4" w:space="0" w:color="BFBFBF"/>
              <w:left w:val="nil"/>
              <w:bottom w:val="single" w:sz="4" w:space="0" w:color="BFBFBF"/>
              <w:right w:val="nil"/>
            </w:tcBorders>
            <w:vAlign w:val="center"/>
            <w:hideMark/>
          </w:tcPr>
          <w:p w14:paraId="35B33562"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Woman</w:t>
            </w:r>
          </w:p>
        </w:tc>
        <w:tc>
          <w:tcPr>
            <w:tcW w:w="2668" w:type="dxa"/>
            <w:tcBorders>
              <w:top w:val="single" w:sz="4" w:space="0" w:color="BFBFBF"/>
              <w:left w:val="nil"/>
              <w:bottom w:val="single" w:sz="4" w:space="0" w:color="BFBFBF"/>
              <w:right w:val="nil"/>
            </w:tcBorders>
            <w:vAlign w:val="center"/>
            <w:hideMark/>
          </w:tcPr>
          <w:p w14:paraId="3713CA97"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39D1BAB1" w14:textId="77777777">
        <w:tc>
          <w:tcPr>
            <w:tcW w:w="3119" w:type="dxa"/>
            <w:tcBorders>
              <w:top w:val="single" w:sz="4" w:space="0" w:color="BFBFBF"/>
              <w:left w:val="nil"/>
              <w:bottom w:val="single" w:sz="4" w:space="0" w:color="BFBFBF"/>
              <w:right w:val="nil"/>
            </w:tcBorders>
            <w:vAlign w:val="center"/>
            <w:hideMark/>
          </w:tcPr>
          <w:p w14:paraId="4CAFC061"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Man</w:t>
            </w:r>
          </w:p>
        </w:tc>
        <w:tc>
          <w:tcPr>
            <w:tcW w:w="2668" w:type="dxa"/>
            <w:tcBorders>
              <w:top w:val="single" w:sz="4" w:space="0" w:color="BFBFBF"/>
              <w:left w:val="nil"/>
              <w:bottom w:val="single" w:sz="4" w:space="0" w:color="BFBFBF"/>
              <w:right w:val="nil"/>
            </w:tcBorders>
            <w:vAlign w:val="center"/>
            <w:hideMark/>
          </w:tcPr>
          <w:p w14:paraId="0D741837"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61A80185" w14:textId="77777777">
        <w:tc>
          <w:tcPr>
            <w:tcW w:w="3119" w:type="dxa"/>
            <w:tcBorders>
              <w:top w:val="single" w:sz="4" w:space="0" w:color="BFBFBF"/>
              <w:left w:val="nil"/>
              <w:bottom w:val="single" w:sz="4" w:space="0" w:color="BFBFBF"/>
              <w:right w:val="nil"/>
            </w:tcBorders>
            <w:vAlign w:val="center"/>
            <w:hideMark/>
          </w:tcPr>
          <w:p w14:paraId="3DF3E16E"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Transgender or gender diverse</w:t>
            </w:r>
          </w:p>
        </w:tc>
        <w:tc>
          <w:tcPr>
            <w:tcW w:w="2668" w:type="dxa"/>
            <w:tcBorders>
              <w:top w:val="single" w:sz="4" w:space="0" w:color="BFBFBF"/>
              <w:left w:val="nil"/>
              <w:bottom w:val="single" w:sz="4" w:space="0" w:color="BFBFBF"/>
              <w:right w:val="nil"/>
            </w:tcBorders>
            <w:vAlign w:val="center"/>
            <w:hideMark/>
          </w:tcPr>
          <w:p w14:paraId="501C1D97"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05694833" w14:textId="77777777">
        <w:tc>
          <w:tcPr>
            <w:tcW w:w="3119" w:type="dxa"/>
            <w:tcBorders>
              <w:top w:val="single" w:sz="4" w:space="0" w:color="BFBFBF"/>
              <w:left w:val="nil"/>
              <w:bottom w:val="single" w:sz="4" w:space="0" w:color="BFBFBF"/>
              <w:right w:val="nil"/>
            </w:tcBorders>
            <w:vAlign w:val="center"/>
            <w:hideMark/>
          </w:tcPr>
          <w:p w14:paraId="054F3917"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I would prefer not to say</w:t>
            </w:r>
          </w:p>
        </w:tc>
        <w:tc>
          <w:tcPr>
            <w:tcW w:w="2668" w:type="dxa"/>
            <w:tcBorders>
              <w:top w:val="single" w:sz="4" w:space="0" w:color="BFBFBF"/>
              <w:left w:val="nil"/>
              <w:bottom w:val="single" w:sz="4" w:space="0" w:color="BFBFBF"/>
              <w:right w:val="nil"/>
            </w:tcBorders>
            <w:hideMark/>
          </w:tcPr>
          <w:p w14:paraId="4B4DDECD"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33038B52" w14:textId="77777777" w:rsidR="000F60FA" w:rsidRPr="0097718E" w:rsidRDefault="000F60FA" w:rsidP="000F60FA">
      <w:pPr>
        <w:spacing w:before="120"/>
        <w:rPr>
          <w:rFonts w:eastAsia="Calibri" w:cs="Cordia New"/>
          <w:szCs w:val="22"/>
          <w:lang w:eastAsia="en-US"/>
        </w:rPr>
      </w:pPr>
      <w:r w:rsidRPr="0097718E">
        <w:rPr>
          <w:rFonts w:eastAsia="Calibri" w:cs="Cordia New"/>
          <w:szCs w:val="22"/>
          <w:lang w:eastAsia="en-US"/>
        </w:rPr>
        <w:t>Another Option</w:t>
      </w:r>
    </w:p>
    <w:p w14:paraId="0A5C4027" w14:textId="0E2945F5" w:rsidR="000F60FA" w:rsidRPr="00883B6D" w:rsidRDefault="000F60FA" w:rsidP="00883B6D">
      <w:pPr>
        <w:spacing w:before="120"/>
        <w:rPr>
          <w:rFonts w:eastAsia="Calibri" w:cs="Arial"/>
          <w:szCs w:val="22"/>
          <w:lang w:val="en-CA" w:eastAsia="en-AU"/>
        </w:rPr>
      </w:pPr>
      <w:r w:rsidRPr="0097718E">
        <w:rPr>
          <w:rFonts w:eastAsia="Calibri" w:cs="Arial"/>
          <w:szCs w:val="22"/>
          <w:lang w:val="en-CA" w:eastAsia="en-AU"/>
        </w:rPr>
        <w:t>&lt;FREETEXT&gt;</w:t>
      </w:r>
    </w:p>
    <w:p w14:paraId="1015D23E" w14:textId="77777777" w:rsidR="000F60FA" w:rsidRPr="0097718E" w:rsidRDefault="000F60FA" w:rsidP="00883B6D">
      <w:pPr>
        <w:pStyle w:val="H4Numbers"/>
        <w:ind w:left="360"/>
      </w:pPr>
      <w:r w:rsidRPr="0097718E">
        <w:t>Do you identify as LGBTQI+?</w:t>
      </w:r>
    </w:p>
    <w:tbl>
      <w:tblPr>
        <w:tblStyle w:val="TableGrid1"/>
        <w:tblW w:w="0" w:type="auto"/>
        <w:tblInd w:w="0" w:type="dxa"/>
        <w:tblBorders>
          <w:top w:val="single" w:sz="4" w:space="0" w:color="BFBFBF"/>
          <w:left w:val="none" w:sz="0" w:space="0" w:color="auto"/>
          <w:bottom w:val="none" w:sz="0" w:space="0" w:color="auto"/>
          <w:right w:val="none" w:sz="0" w:space="0" w:color="auto"/>
          <w:insideH w:val="single" w:sz="4" w:space="0" w:color="BFBFBF"/>
          <w:insideV w:val="none" w:sz="0" w:space="0" w:color="auto"/>
        </w:tblBorders>
        <w:tblLook w:val="04A0" w:firstRow="1" w:lastRow="0" w:firstColumn="1" w:lastColumn="0" w:noHBand="0" w:noVBand="1"/>
      </w:tblPr>
      <w:tblGrid>
        <w:gridCol w:w="3119"/>
        <w:gridCol w:w="2668"/>
      </w:tblGrid>
      <w:tr w:rsidR="000F60FA" w:rsidRPr="0097718E" w14:paraId="64EDAFAA" w14:textId="77777777">
        <w:trPr>
          <w:trHeight w:val="300"/>
        </w:trPr>
        <w:tc>
          <w:tcPr>
            <w:tcW w:w="3119" w:type="dxa"/>
            <w:tcBorders>
              <w:top w:val="single" w:sz="4" w:space="0" w:color="BFBFBF"/>
              <w:left w:val="nil"/>
              <w:bottom w:val="single" w:sz="4" w:space="0" w:color="BFBFBF"/>
              <w:right w:val="nil"/>
            </w:tcBorders>
            <w:vAlign w:val="center"/>
          </w:tcPr>
          <w:p w14:paraId="302F3F3C"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Yes</w:t>
            </w:r>
          </w:p>
        </w:tc>
        <w:tc>
          <w:tcPr>
            <w:tcW w:w="2668" w:type="dxa"/>
            <w:tcBorders>
              <w:top w:val="single" w:sz="4" w:space="0" w:color="BFBFBF"/>
              <w:left w:val="nil"/>
              <w:bottom w:val="single" w:sz="4" w:space="0" w:color="BFBFBF"/>
              <w:right w:val="nil"/>
            </w:tcBorders>
            <w:vAlign w:val="center"/>
          </w:tcPr>
          <w:p w14:paraId="1F99A8CE"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0B4508F4" w14:textId="77777777">
        <w:trPr>
          <w:trHeight w:val="300"/>
        </w:trPr>
        <w:tc>
          <w:tcPr>
            <w:tcW w:w="3119" w:type="dxa"/>
            <w:tcBorders>
              <w:top w:val="single" w:sz="4" w:space="0" w:color="BFBFBF"/>
              <w:left w:val="nil"/>
              <w:bottom w:val="single" w:sz="4" w:space="0" w:color="BFBFBF"/>
              <w:right w:val="nil"/>
            </w:tcBorders>
            <w:vAlign w:val="center"/>
          </w:tcPr>
          <w:p w14:paraId="0D78FBE1"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No</w:t>
            </w:r>
          </w:p>
        </w:tc>
        <w:tc>
          <w:tcPr>
            <w:tcW w:w="2668" w:type="dxa"/>
            <w:tcBorders>
              <w:top w:val="single" w:sz="4" w:space="0" w:color="BFBFBF"/>
              <w:left w:val="nil"/>
              <w:bottom w:val="single" w:sz="4" w:space="0" w:color="BFBFBF"/>
              <w:right w:val="nil"/>
            </w:tcBorders>
            <w:vAlign w:val="center"/>
          </w:tcPr>
          <w:p w14:paraId="7563A886"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r w:rsidR="000F60FA" w:rsidRPr="0097718E" w14:paraId="74586FF7" w14:textId="77777777">
        <w:trPr>
          <w:trHeight w:val="300"/>
        </w:trPr>
        <w:tc>
          <w:tcPr>
            <w:tcW w:w="3119" w:type="dxa"/>
            <w:tcBorders>
              <w:top w:val="single" w:sz="4" w:space="0" w:color="BFBFBF"/>
              <w:left w:val="nil"/>
              <w:bottom w:val="single" w:sz="4" w:space="0" w:color="BFBFBF"/>
              <w:right w:val="nil"/>
            </w:tcBorders>
            <w:vAlign w:val="center"/>
          </w:tcPr>
          <w:p w14:paraId="72753E3F" w14:textId="77777777" w:rsidR="000F60FA" w:rsidRPr="0097718E" w:rsidRDefault="000F60FA">
            <w:pPr>
              <w:spacing w:before="60" w:after="60"/>
              <w:rPr>
                <w:rFonts w:eastAsia="Calibri"/>
                <w:sz w:val="22"/>
                <w:szCs w:val="22"/>
                <w:lang w:val="en-CA" w:eastAsia="en-US"/>
              </w:rPr>
            </w:pPr>
            <w:r w:rsidRPr="0097718E">
              <w:rPr>
                <w:rFonts w:eastAsia="Calibri"/>
                <w:sz w:val="22"/>
                <w:szCs w:val="22"/>
                <w:lang w:val="en-CA" w:eastAsia="en-US"/>
              </w:rPr>
              <w:t>I would prefer not to say</w:t>
            </w:r>
          </w:p>
        </w:tc>
        <w:tc>
          <w:tcPr>
            <w:tcW w:w="2668" w:type="dxa"/>
            <w:tcBorders>
              <w:top w:val="single" w:sz="4" w:space="0" w:color="BFBFBF"/>
              <w:left w:val="nil"/>
              <w:bottom w:val="single" w:sz="4" w:space="0" w:color="BFBFBF"/>
              <w:right w:val="nil"/>
            </w:tcBorders>
          </w:tcPr>
          <w:p w14:paraId="16E1ED47" w14:textId="77777777" w:rsidR="000F60FA" w:rsidRPr="0097718E" w:rsidRDefault="000F60FA">
            <w:pPr>
              <w:spacing w:before="60" w:after="60"/>
              <w:jc w:val="center"/>
              <w:rPr>
                <w:rFonts w:eastAsia="Calibri"/>
                <w:sz w:val="22"/>
                <w:szCs w:val="22"/>
                <w:lang w:val="en-CA" w:eastAsia="en-US"/>
              </w:rPr>
            </w:pPr>
            <w:r w:rsidRPr="0097718E">
              <w:rPr>
                <w:rFonts w:ascii="Wingdings" w:eastAsia="Wingdings" w:hAnsi="Wingdings" w:cs="Wingdings"/>
                <w:sz w:val="22"/>
                <w:szCs w:val="22"/>
                <w:lang w:val="en-CA" w:eastAsia="en-AU"/>
              </w:rPr>
              <w:t></w:t>
            </w:r>
          </w:p>
        </w:tc>
      </w:tr>
    </w:tbl>
    <w:p w14:paraId="7FCC5941" w14:textId="77777777" w:rsidR="000F60FA" w:rsidRPr="0097718E" w:rsidRDefault="000F60FA" w:rsidP="000F60FA">
      <w:pPr>
        <w:spacing w:before="120"/>
        <w:rPr>
          <w:rFonts w:eastAsia="Calibri" w:cs="Cordia New"/>
          <w:szCs w:val="22"/>
          <w:lang w:eastAsia="en-US"/>
        </w:rPr>
      </w:pPr>
      <w:r w:rsidRPr="0097718E">
        <w:rPr>
          <w:rFonts w:eastAsia="Calibri" w:cs="Cordia New"/>
          <w:szCs w:val="22"/>
          <w:lang w:eastAsia="en-US"/>
        </w:rPr>
        <w:t>Another Option</w:t>
      </w:r>
    </w:p>
    <w:p w14:paraId="5D88FCA3" w14:textId="77777777" w:rsidR="000F60FA" w:rsidRPr="0097718E" w:rsidRDefault="000F60FA" w:rsidP="000F60FA">
      <w:pPr>
        <w:spacing w:before="120"/>
        <w:rPr>
          <w:rFonts w:eastAsia="Calibri" w:cs="Arial"/>
          <w:szCs w:val="22"/>
          <w:lang w:val="en-CA" w:eastAsia="en-AU"/>
        </w:rPr>
      </w:pPr>
      <w:r w:rsidRPr="0097718E">
        <w:rPr>
          <w:rFonts w:eastAsia="Calibri" w:cs="Arial"/>
          <w:szCs w:val="22"/>
          <w:lang w:val="en-CA" w:eastAsia="en-AU"/>
        </w:rPr>
        <w:t>&lt;FREE TEXT&gt;</w:t>
      </w:r>
    </w:p>
    <w:p w14:paraId="6B50D3F3" w14:textId="77777777" w:rsidR="000F60FA" w:rsidRPr="0097718E" w:rsidRDefault="000F60FA" w:rsidP="000F60FA">
      <w:pPr>
        <w:spacing w:before="120"/>
        <w:rPr>
          <w:rFonts w:eastAsia="Calibri" w:cs="Arial"/>
          <w:szCs w:val="22"/>
          <w:lang w:val="en-CA" w:eastAsia="en-AU"/>
        </w:rPr>
      </w:pPr>
    </w:p>
    <w:p w14:paraId="16E01035" w14:textId="77777777" w:rsidR="000F60FA" w:rsidRPr="0097718E" w:rsidRDefault="000F60FA" w:rsidP="00883B6D">
      <w:pPr>
        <w:pStyle w:val="H4Numbers"/>
        <w:ind w:left="360"/>
      </w:pPr>
      <w:r w:rsidRPr="0097718E">
        <w:t>How old are you?</w:t>
      </w:r>
    </w:p>
    <w:p w14:paraId="2CDA8FB5" w14:textId="77777777" w:rsidR="000F60FA" w:rsidRPr="0097718E" w:rsidRDefault="000F60FA" w:rsidP="000F60FA">
      <w:pPr>
        <w:spacing w:before="120"/>
        <w:rPr>
          <w:rFonts w:eastAsia="Calibri" w:cs="Arial"/>
          <w:szCs w:val="22"/>
          <w:lang w:eastAsia="en-US"/>
        </w:rPr>
      </w:pPr>
      <w:r w:rsidRPr="0097718E">
        <w:rPr>
          <w:rFonts w:eastAsia="Calibri" w:cs="Arial"/>
          <w:szCs w:val="22"/>
          <w:lang w:eastAsia="en-US"/>
        </w:rPr>
        <w:t>____YEARS</w:t>
      </w:r>
    </w:p>
    <w:p w14:paraId="57C7CD0C" w14:textId="77777777" w:rsidR="000F60FA" w:rsidRPr="0097718E" w:rsidRDefault="000F60FA" w:rsidP="000F60FA">
      <w:pPr>
        <w:spacing w:before="120"/>
        <w:rPr>
          <w:rFonts w:eastAsia="Calibri" w:cs="Cordia New"/>
          <w:szCs w:val="22"/>
          <w:lang w:eastAsia="en-US"/>
        </w:rPr>
      </w:pPr>
    </w:p>
    <w:p w14:paraId="27122B57" w14:textId="77777777" w:rsidR="000F60FA" w:rsidRPr="0097718E" w:rsidRDefault="000F60FA" w:rsidP="000F60FA">
      <w:pPr>
        <w:rPr>
          <w:szCs w:val="22"/>
          <w:lang w:eastAsia="en-AU"/>
        </w:rPr>
      </w:pPr>
      <w:r w:rsidRPr="0097718E">
        <w:rPr>
          <w:szCs w:val="22"/>
          <w:lang w:eastAsia="en-AU"/>
        </w:rPr>
        <w:t>Thank you for completing this survey on your IER program experience. Your feedback and ideas are important to us.</w:t>
      </w:r>
    </w:p>
    <w:p w14:paraId="7F15643F" w14:textId="77777777" w:rsidR="000F60FA" w:rsidRPr="0097718E" w:rsidRDefault="000F60FA" w:rsidP="000F60FA">
      <w:pPr>
        <w:rPr>
          <w:szCs w:val="22"/>
          <w:lang w:eastAsia="en-AU"/>
        </w:rPr>
      </w:pPr>
      <w:r w:rsidRPr="0097718E">
        <w:rPr>
          <w:szCs w:val="22"/>
          <w:lang w:eastAsia="en-AU"/>
        </w:rPr>
        <w:t>Your input will help us to understand how to improve the IER program.</w:t>
      </w:r>
    </w:p>
    <w:p w14:paraId="72B3B534" w14:textId="77777777" w:rsidR="000F60FA" w:rsidRPr="0097718E" w:rsidRDefault="000F60FA" w:rsidP="000F60FA">
      <w:pPr>
        <w:rPr>
          <w:szCs w:val="22"/>
          <w:lang w:eastAsia="en-AU"/>
        </w:rPr>
      </w:pPr>
      <w:r w:rsidRPr="0097718E">
        <w:rPr>
          <w:szCs w:val="22"/>
          <w:lang w:eastAsia="en-AU"/>
        </w:rPr>
        <w:t>To submit your responses, please click on the 'submit' button below.</w:t>
      </w:r>
    </w:p>
    <w:p w14:paraId="733B7084" w14:textId="77777777" w:rsidR="000F60FA" w:rsidRPr="00B30D2E" w:rsidRDefault="000F60FA" w:rsidP="000F60FA">
      <w:pPr>
        <w:spacing w:before="0" w:after="158" w:line="240" w:lineRule="auto"/>
        <w:rPr>
          <w:rFonts w:ascii="Times New Roman" w:eastAsia="Calibri" w:hAnsi="Times New Roman" w:cs="Arial"/>
          <w:lang w:eastAsia="en-AU"/>
        </w:rPr>
      </w:pPr>
      <w:r w:rsidRPr="0097718E">
        <w:rPr>
          <w:rFonts w:ascii="Times New Roman" w:eastAsia="Calibri" w:hAnsi="Times New Roman" w:cs="Arial"/>
          <w:szCs w:val="22"/>
          <w:lang w:eastAsia="en-AU"/>
        </w:rPr>
        <w:br w:type="page"/>
      </w:r>
    </w:p>
    <w:p w14:paraId="4A58760F" w14:textId="77777777" w:rsidR="000F60FA" w:rsidRDefault="000F60FA" w:rsidP="00707181">
      <w:pPr>
        <w:pStyle w:val="Heading3"/>
        <w:numPr>
          <w:ilvl w:val="0"/>
          <w:numId w:val="0"/>
        </w:numPr>
        <w:ind w:left="1134" w:hanging="1134"/>
      </w:pPr>
      <w:bookmarkStart w:id="162" w:name="_Toc140146262"/>
      <w:bookmarkStart w:id="163" w:name="_Toc140148931"/>
      <w:bookmarkStart w:id="164" w:name="_Toc140157515"/>
      <w:bookmarkStart w:id="165" w:name="_Toc142483293"/>
      <w:bookmarkStart w:id="166" w:name="_Toc142918622"/>
      <w:r>
        <w:lastRenderedPageBreak/>
        <w:t>Participant representatives</w:t>
      </w:r>
      <w:bookmarkEnd w:id="162"/>
      <w:bookmarkEnd w:id="163"/>
      <w:bookmarkEnd w:id="164"/>
      <w:bookmarkEnd w:id="165"/>
      <w:bookmarkEnd w:id="166"/>
    </w:p>
    <w:p w14:paraId="3EB5EBE6" w14:textId="088BB7B8" w:rsidR="000F60FA" w:rsidRPr="005D5E65" w:rsidRDefault="000F60FA" w:rsidP="004B5B3F">
      <w:pPr>
        <w:pStyle w:val="AppendixH4"/>
      </w:pPr>
      <w:r w:rsidRPr="005D5E65">
        <w:t>Welcome to the Independent Expert Review (IER) Program survey.</w:t>
      </w:r>
    </w:p>
    <w:p w14:paraId="6427B736" w14:textId="77777777" w:rsidR="000F60FA" w:rsidRPr="005D5E65" w:rsidRDefault="000F60FA" w:rsidP="000F60FA">
      <w:pPr>
        <w:spacing w:before="120"/>
        <w:rPr>
          <w:rFonts w:ascii="Calibri" w:eastAsia="DengXian" w:hAnsi="Calibri" w:cs="Cordia New"/>
          <w:szCs w:val="22"/>
          <w:lang w:eastAsia="zh-CN" w:bidi="th-TH"/>
        </w:rPr>
      </w:pPr>
      <w:r w:rsidRPr="005D5E65">
        <w:rPr>
          <w:rFonts w:eastAsia="Calibri" w:cs="Cordia New"/>
          <w:szCs w:val="22"/>
          <w:lang w:eastAsia="en-US"/>
        </w:rPr>
        <w:t xml:space="preserve">The Agency commenced the IER program in October 2022. </w:t>
      </w:r>
    </w:p>
    <w:p w14:paraId="62AC7898"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We are now seeking feedback from you about your experience with the IER program to better inform how it could be improved as it expands in 2023.      </w:t>
      </w:r>
    </w:p>
    <w:p w14:paraId="0D9B413A"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The survey will take you about 15 minutes to complete.</w:t>
      </w:r>
    </w:p>
    <w:p w14:paraId="18221807"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Please remember that:</w:t>
      </w:r>
    </w:p>
    <w:p w14:paraId="6F0082BB" w14:textId="77777777" w:rsidR="000F60FA" w:rsidRPr="005D5E65" w:rsidRDefault="000F60FA" w:rsidP="000705FE">
      <w:pPr>
        <w:numPr>
          <w:ilvl w:val="0"/>
          <w:numId w:val="25"/>
        </w:numPr>
        <w:spacing w:before="120"/>
        <w:rPr>
          <w:rFonts w:eastAsia="Calibri" w:cs="Cordia New"/>
          <w:szCs w:val="22"/>
          <w:lang w:eastAsia="en-US"/>
        </w:rPr>
      </w:pPr>
      <w:r w:rsidRPr="005D5E65">
        <w:rPr>
          <w:rFonts w:eastAsia="Calibri" w:cs="Cordia New"/>
          <w:szCs w:val="22"/>
          <w:lang w:eastAsia="en-US"/>
        </w:rPr>
        <w:t xml:space="preserve">You don't have to do the survey if you don’t want to. </w:t>
      </w:r>
    </w:p>
    <w:p w14:paraId="01A43700" w14:textId="77777777" w:rsidR="000F60FA" w:rsidRPr="005D5E65" w:rsidRDefault="000F60FA" w:rsidP="000705FE">
      <w:pPr>
        <w:numPr>
          <w:ilvl w:val="0"/>
          <w:numId w:val="25"/>
        </w:numPr>
        <w:spacing w:before="120"/>
        <w:rPr>
          <w:rFonts w:eastAsia="Calibri" w:cs="Cordia New"/>
          <w:szCs w:val="22"/>
          <w:lang w:eastAsia="en-US"/>
        </w:rPr>
      </w:pPr>
      <w:r w:rsidRPr="005D5E65">
        <w:rPr>
          <w:rFonts w:eastAsia="Calibri" w:cs="Cordia New"/>
          <w:szCs w:val="22"/>
          <w:lang w:eastAsia="en-US"/>
        </w:rPr>
        <w:t>Your answers will be collated and remain anonymous.</w:t>
      </w:r>
    </w:p>
    <w:p w14:paraId="13DEA03E" w14:textId="77777777" w:rsidR="000F60FA" w:rsidRPr="005D5E65" w:rsidRDefault="000F60FA" w:rsidP="000F60FA">
      <w:pPr>
        <w:shd w:val="clear" w:color="auto" w:fill="FFFFFF"/>
        <w:spacing w:before="120" w:after="100" w:afterAutospacing="1"/>
        <w:rPr>
          <w:rFonts w:ascii="Segoe UI" w:eastAsia="Calibri" w:hAnsi="Segoe UI" w:cs="Segoe UI"/>
          <w:color w:val="212529"/>
          <w:szCs w:val="22"/>
          <w:lang w:eastAsia="en-US"/>
        </w:rPr>
      </w:pPr>
      <w:r w:rsidRPr="005D5E65">
        <w:rPr>
          <w:rFonts w:eastAsia="Calibri" w:cs="Cordia New"/>
          <w:szCs w:val="22"/>
          <w:lang w:eastAsia="en-US"/>
        </w:rPr>
        <w:t xml:space="preserve">Information about how we handle your responses can be found in the </w:t>
      </w:r>
      <w:hyperlink r:id="rId33" w:history="1">
        <w:r w:rsidRPr="005D5E65">
          <w:rPr>
            <w:rFonts w:ascii="Segoe UI" w:eastAsia="Calibri" w:hAnsi="Segoe UI" w:cs="Segoe UI"/>
            <w:b/>
            <w:bCs/>
            <w:i/>
            <w:iCs/>
            <w:color w:val="6B2976"/>
            <w:szCs w:val="22"/>
            <w:u w:val="single"/>
            <w:lang w:eastAsia="en-US"/>
          </w:rPr>
          <w:t>NDIS Privacy Policy</w:t>
        </w:r>
      </w:hyperlink>
      <w:r w:rsidRPr="005D5E65">
        <w:rPr>
          <w:rFonts w:ascii="Segoe UI" w:eastAsia="Calibri" w:hAnsi="Segoe UI" w:cs="Segoe UI"/>
          <w:color w:val="212529"/>
          <w:szCs w:val="22"/>
          <w:lang w:eastAsia="en-US"/>
        </w:rPr>
        <w:t xml:space="preserve"> </w:t>
      </w:r>
      <w:r w:rsidRPr="005D5E65">
        <w:rPr>
          <w:rFonts w:eastAsia="Calibri" w:cs="Cordia New"/>
          <w:szCs w:val="22"/>
          <w:lang w:eastAsia="en-US"/>
        </w:rPr>
        <w:t>and the survey information statement. You can read this statement before you decide to start the survey.</w:t>
      </w:r>
    </w:p>
    <w:p w14:paraId="5EB62890"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Your feedback and ideas are important to us. By answering the question below, you agree that you </w:t>
      </w:r>
    </w:p>
    <w:p w14:paraId="0D3F10F1" w14:textId="77777777" w:rsidR="000F60FA" w:rsidRPr="005D5E65" w:rsidRDefault="000F60FA" w:rsidP="000705FE">
      <w:pPr>
        <w:numPr>
          <w:ilvl w:val="0"/>
          <w:numId w:val="33"/>
        </w:numPr>
        <w:spacing w:before="120"/>
        <w:rPr>
          <w:rFonts w:eastAsia="Calibri" w:cs="Cordia New"/>
          <w:szCs w:val="22"/>
          <w:lang w:eastAsia="en-AU"/>
        </w:rPr>
      </w:pPr>
      <w:r w:rsidRPr="005D5E65">
        <w:rPr>
          <w:rFonts w:eastAsia="Calibri" w:cs="Cordia New"/>
          <w:szCs w:val="22"/>
          <w:lang w:eastAsia="en-US"/>
        </w:rPr>
        <w:t xml:space="preserve">understand this information, </w:t>
      </w:r>
    </w:p>
    <w:p w14:paraId="4779A9A5" w14:textId="77777777" w:rsidR="000F60FA" w:rsidRPr="005D5E65" w:rsidRDefault="000F60FA" w:rsidP="000705FE">
      <w:pPr>
        <w:numPr>
          <w:ilvl w:val="0"/>
          <w:numId w:val="33"/>
        </w:numPr>
        <w:spacing w:before="120"/>
        <w:rPr>
          <w:rFonts w:eastAsia="Calibri" w:cs="Cordia New"/>
          <w:szCs w:val="22"/>
          <w:lang w:eastAsia="en-AU"/>
        </w:rPr>
      </w:pPr>
      <w:r w:rsidRPr="005D5E65">
        <w:rPr>
          <w:rFonts w:eastAsia="Calibri" w:cs="Cordia New"/>
          <w:szCs w:val="22"/>
          <w:lang w:eastAsia="en-US"/>
        </w:rPr>
        <w:t xml:space="preserve">are over 18 years old, and </w:t>
      </w:r>
    </w:p>
    <w:p w14:paraId="216DEC58" w14:textId="77777777" w:rsidR="000F60FA" w:rsidRPr="005D5E65" w:rsidRDefault="000F60FA" w:rsidP="000705FE">
      <w:pPr>
        <w:numPr>
          <w:ilvl w:val="0"/>
          <w:numId w:val="33"/>
        </w:numPr>
        <w:spacing w:before="120" w:after="200"/>
        <w:rPr>
          <w:rFonts w:eastAsia="Calibri" w:cs="Cordia New"/>
          <w:szCs w:val="22"/>
          <w:lang w:eastAsia="en-AU"/>
        </w:rPr>
      </w:pPr>
      <w:r w:rsidRPr="005D5E65">
        <w:rPr>
          <w:rFonts w:eastAsia="Calibri" w:cs="Cordia New"/>
          <w:szCs w:val="22"/>
          <w:lang w:eastAsia="en-US"/>
        </w:rPr>
        <w:t xml:space="preserve">are willing to contribute to the survey. </w:t>
      </w:r>
    </w:p>
    <w:p w14:paraId="1110B7CD"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Do you want to do this survey now?</w:t>
      </w:r>
    </w:p>
    <w:p w14:paraId="4967E00E" w14:textId="77777777" w:rsidR="000F60FA" w:rsidRPr="005D5E65" w:rsidRDefault="000F60FA" w:rsidP="000705FE">
      <w:pPr>
        <w:numPr>
          <w:ilvl w:val="0"/>
          <w:numId w:val="28"/>
        </w:numPr>
        <w:spacing w:before="120"/>
        <w:rPr>
          <w:rFonts w:eastAsia="Calibri" w:cs="Cordia New"/>
          <w:szCs w:val="22"/>
          <w:lang w:eastAsia="en-US"/>
        </w:rPr>
      </w:pPr>
      <w:r w:rsidRPr="005D5E65">
        <w:rPr>
          <w:rFonts w:eastAsia="DengXian" w:cs="Cordia New"/>
          <w:szCs w:val="22"/>
          <w:lang w:eastAsia="en-US"/>
        </w:rPr>
        <w:t>Yes</w:t>
      </w:r>
    </w:p>
    <w:p w14:paraId="310B55D9" w14:textId="77777777" w:rsidR="000F60FA" w:rsidRPr="005D5E65" w:rsidRDefault="000F60FA" w:rsidP="000705FE">
      <w:pPr>
        <w:numPr>
          <w:ilvl w:val="0"/>
          <w:numId w:val="28"/>
        </w:numPr>
        <w:spacing w:before="120"/>
        <w:rPr>
          <w:rFonts w:eastAsia="Calibri" w:cs="Cordia New"/>
          <w:szCs w:val="22"/>
          <w:lang w:eastAsia="en-US"/>
        </w:rPr>
      </w:pPr>
      <w:r w:rsidRPr="005D5E65">
        <w:rPr>
          <w:rFonts w:eastAsia="Calibri" w:cs="Cordia New"/>
          <w:szCs w:val="22"/>
          <w:lang w:eastAsia="en-US"/>
        </w:rPr>
        <w:t>No, I need more information - GO TO SURVEY INFO STATEMENT (see end of this doc)</w:t>
      </w:r>
    </w:p>
    <w:p w14:paraId="1AE93ABA" w14:textId="77777777" w:rsidR="000F60FA" w:rsidRPr="005D5E65" w:rsidRDefault="000F60FA" w:rsidP="000705FE">
      <w:pPr>
        <w:numPr>
          <w:ilvl w:val="0"/>
          <w:numId w:val="28"/>
        </w:numPr>
        <w:spacing w:before="120"/>
        <w:rPr>
          <w:rFonts w:eastAsia="Calibri" w:cs="Cordia New"/>
          <w:szCs w:val="22"/>
          <w:lang w:eastAsia="en-US"/>
        </w:rPr>
      </w:pPr>
      <w:r w:rsidRPr="005D5E65">
        <w:rPr>
          <w:rFonts w:eastAsia="Calibri" w:cs="Cordia New"/>
          <w:szCs w:val="22"/>
          <w:lang w:eastAsia="en-US"/>
        </w:rPr>
        <w:t>Maybe later – Display message &lt;YOU CAN LEAVE THIS PAGE NOW BY CLOSING YOUR BROWSER WINDOW&gt;</w:t>
      </w:r>
    </w:p>
    <w:p w14:paraId="007EC3B2" w14:textId="77777777" w:rsidR="000F60FA" w:rsidRPr="005D5E65" w:rsidRDefault="000F60FA" w:rsidP="000F60FA">
      <w:pPr>
        <w:spacing w:before="120"/>
        <w:rPr>
          <w:rFonts w:eastAsia="Calibri" w:cs="Cordia New"/>
          <w:szCs w:val="22"/>
          <w:lang w:eastAsia="en-US"/>
        </w:rPr>
      </w:pPr>
      <w:r w:rsidRPr="005D5E65">
        <w:rPr>
          <w:rFonts w:ascii="Times New Roman" w:eastAsia="Calibri" w:hAnsi="Times New Roman" w:cs="Times New Roman"/>
          <w:szCs w:val="22"/>
          <w:lang w:eastAsia="zh-CN" w:bidi="th-TH"/>
        </w:rPr>
        <w:br w:type="page"/>
      </w:r>
    </w:p>
    <w:p w14:paraId="1A263A24" w14:textId="77777777" w:rsidR="000F60FA" w:rsidRPr="005D5E65" w:rsidRDefault="000F60FA" w:rsidP="00AD6A91">
      <w:pPr>
        <w:pStyle w:val="Q1Appendix"/>
      </w:pPr>
      <w:r w:rsidRPr="005D5E65">
        <w:lastRenderedPageBreak/>
        <w:t>What is your role in representing the Participant?</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5C523399" w14:textId="77777777">
        <w:tc>
          <w:tcPr>
            <w:tcW w:w="5392" w:type="dxa"/>
            <w:tcBorders>
              <w:top w:val="single" w:sz="4" w:space="0" w:color="BFBFBF"/>
              <w:left w:val="nil"/>
              <w:bottom w:val="single" w:sz="4" w:space="0" w:color="D9D9D9"/>
              <w:right w:val="nil"/>
            </w:tcBorders>
            <w:hideMark/>
          </w:tcPr>
          <w:p w14:paraId="47912C9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 xml:space="preserve">Support person </w:t>
            </w:r>
          </w:p>
        </w:tc>
        <w:tc>
          <w:tcPr>
            <w:tcW w:w="1990" w:type="dxa"/>
            <w:tcBorders>
              <w:top w:val="single" w:sz="4" w:space="0" w:color="BFBFBF"/>
              <w:left w:val="nil"/>
              <w:bottom w:val="single" w:sz="4" w:space="0" w:color="D9D9D9"/>
              <w:right w:val="nil"/>
            </w:tcBorders>
            <w:hideMark/>
          </w:tcPr>
          <w:p w14:paraId="27680345"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1264FC2F" w14:textId="77777777">
        <w:tc>
          <w:tcPr>
            <w:tcW w:w="5392" w:type="dxa"/>
            <w:tcBorders>
              <w:top w:val="single" w:sz="4" w:space="0" w:color="D9D9D9"/>
              <w:left w:val="nil"/>
              <w:bottom w:val="single" w:sz="4" w:space="0" w:color="D9D9D9"/>
              <w:right w:val="nil"/>
            </w:tcBorders>
            <w:hideMark/>
          </w:tcPr>
          <w:p w14:paraId="58926400"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Advocate</w:t>
            </w:r>
          </w:p>
        </w:tc>
        <w:tc>
          <w:tcPr>
            <w:tcW w:w="1990" w:type="dxa"/>
            <w:tcBorders>
              <w:top w:val="single" w:sz="4" w:space="0" w:color="D9D9D9"/>
              <w:left w:val="nil"/>
              <w:bottom w:val="single" w:sz="4" w:space="0" w:color="D9D9D9"/>
              <w:right w:val="nil"/>
            </w:tcBorders>
            <w:hideMark/>
          </w:tcPr>
          <w:p w14:paraId="031331AA"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7E4B9C56" w14:textId="77777777">
        <w:tc>
          <w:tcPr>
            <w:tcW w:w="5392" w:type="dxa"/>
            <w:tcBorders>
              <w:top w:val="single" w:sz="4" w:space="0" w:color="D9D9D9"/>
              <w:left w:val="nil"/>
              <w:bottom w:val="single" w:sz="4" w:space="0" w:color="D9D9D9"/>
              <w:right w:val="nil"/>
            </w:tcBorders>
            <w:hideMark/>
          </w:tcPr>
          <w:p w14:paraId="472B5E1C"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Lawyer</w:t>
            </w:r>
          </w:p>
        </w:tc>
        <w:tc>
          <w:tcPr>
            <w:tcW w:w="1990" w:type="dxa"/>
            <w:tcBorders>
              <w:top w:val="single" w:sz="4" w:space="0" w:color="D9D9D9"/>
              <w:left w:val="nil"/>
              <w:bottom w:val="single" w:sz="4" w:space="0" w:color="D9D9D9"/>
              <w:right w:val="nil"/>
            </w:tcBorders>
            <w:hideMark/>
          </w:tcPr>
          <w:p w14:paraId="65C62A24"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472A0267" w14:textId="77777777">
        <w:tc>
          <w:tcPr>
            <w:tcW w:w="5392" w:type="dxa"/>
            <w:tcBorders>
              <w:top w:val="single" w:sz="4" w:space="0" w:color="D9D9D9"/>
              <w:left w:val="nil"/>
              <w:bottom w:val="single" w:sz="4" w:space="0" w:color="D9D9D9"/>
              <w:right w:val="nil"/>
            </w:tcBorders>
          </w:tcPr>
          <w:p w14:paraId="35B999B6"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 xml:space="preserve">Other </w:t>
            </w:r>
          </w:p>
        </w:tc>
        <w:tc>
          <w:tcPr>
            <w:tcW w:w="1990" w:type="dxa"/>
            <w:tcBorders>
              <w:top w:val="single" w:sz="4" w:space="0" w:color="D9D9D9"/>
              <w:left w:val="nil"/>
              <w:bottom w:val="single" w:sz="4" w:space="0" w:color="D9D9D9"/>
              <w:right w:val="nil"/>
            </w:tcBorders>
          </w:tcPr>
          <w:p w14:paraId="2C4AA85F"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bl>
    <w:p w14:paraId="31AB049B"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If “Other” display message “Please specify” with &lt;FREE TEXT&gt; 100-character limit</w:t>
      </w:r>
    </w:p>
    <w:p w14:paraId="08DC8A53" w14:textId="77777777" w:rsidR="000F60FA" w:rsidRPr="005D5E65" w:rsidRDefault="000F60FA" w:rsidP="000F60FA">
      <w:pPr>
        <w:spacing w:before="120"/>
        <w:rPr>
          <w:rFonts w:eastAsia="Calibri" w:cs="Arial"/>
          <w:szCs w:val="22"/>
          <w:lang w:val="en-CA" w:eastAsia="en-AU"/>
        </w:rPr>
      </w:pPr>
    </w:p>
    <w:p w14:paraId="0FB347BB" w14:textId="77777777" w:rsidR="000F60FA" w:rsidRPr="005D5E65" w:rsidRDefault="000F60FA" w:rsidP="00AD6A91">
      <w:pPr>
        <w:pStyle w:val="Q1Appendix"/>
      </w:pPr>
      <w:r w:rsidRPr="005D5E65">
        <w:t>How actively involved were you in the Participant’s matter in the IER?</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7F1F257E" w14:textId="77777777">
        <w:tc>
          <w:tcPr>
            <w:tcW w:w="5392" w:type="dxa"/>
            <w:tcBorders>
              <w:top w:val="single" w:sz="4" w:space="0" w:color="BFBFBF"/>
              <w:left w:val="nil"/>
              <w:bottom w:val="single" w:sz="4" w:space="0" w:color="D9D9D9"/>
              <w:right w:val="nil"/>
            </w:tcBorders>
            <w:hideMark/>
          </w:tcPr>
          <w:p w14:paraId="6BD37F89"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None</w:t>
            </w:r>
          </w:p>
        </w:tc>
        <w:tc>
          <w:tcPr>
            <w:tcW w:w="1990" w:type="dxa"/>
            <w:tcBorders>
              <w:top w:val="single" w:sz="4" w:space="0" w:color="BFBFBF"/>
              <w:left w:val="nil"/>
              <w:bottom w:val="single" w:sz="4" w:space="0" w:color="D9D9D9"/>
              <w:right w:val="nil"/>
            </w:tcBorders>
            <w:hideMark/>
          </w:tcPr>
          <w:p w14:paraId="2BD0AA39"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4F1DF97F" w14:textId="77777777">
        <w:tc>
          <w:tcPr>
            <w:tcW w:w="5392" w:type="dxa"/>
            <w:tcBorders>
              <w:top w:val="single" w:sz="4" w:space="0" w:color="D9D9D9"/>
              <w:left w:val="nil"/>
              <w:bottom w:val="single" w:sz="4" w:space="0" w:color="D9D9D9"/>
              <w:right w:val="nil"/>
            </w:tcBorders>
            <w:hideMark/>
          </w:tcPr>
          <w:p w14:paraId="68EE5C57"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Limited</w:t>
            </w:r>
          </w:p>
        </w:tc>
        <w:tc>
          <w:tcPr>
            <w:tcW w:w="1990" w:type="dxa"/>
            <w:tcBorders>
              <w:top w:val="single" w:sz="4" w:space="0" w:color="D9D9D9"/>
              <w:left w:val="nil"/>
              <w:bottom w:val="single" w:sz="4" w:space="0" w:color="D9D9D9"/>
              <w:right w:val="nil"/>
            </w:tcBorders>
            <w:hideMark/>
          </w:tcPr>
          <w:p w14:paraId="1B596254"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40C909C1" w14:textId="77777777">
        <w:tc>
          <w:tcPr>
            <w:tcW w:w="5392" w:type="dxa"/>
            <w:tcBorders>
              <w:top w:val="single" w:sz="4" w:space="0" w:color="D9D9D9"/>
              <w:left w:val="nil"/>
              <w:bottom w:val="single" w:sz="4" w:space="0" w:color="D9D9D9"/>
              <w:right w:val="nil"/>
            </w:tcBorders>
            <w:hideMark/>
          </w:tcPr>
          <w:p w14:paraId="4BF953D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Moderately</w:t>
            </w:r>
          </w:p>
        </w:tc>
        <w:tc>
          <w:tcPr>
            <w:tcW w:w="1990" w:type="dxa"/>
            <w:tcBorders>
              <w:top w:val="single" w:sz="4" w:space="0" w:color="D9D9D9"/>
              <w:left w:val="nil"/>
              <w:bottom w:val="single" w:sz="4" w:space="0" w:color="D9D9D9"/>
              <w:right w:val="nil"/>
            </w:tcBorders>
            <w:hideMark/>
          </w:tcPr>
          <w:p w14:paraId="3711CBED"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06361875" w14:textId="77777777">
        <w:tc>
          <w:tcPr>
            <w:tcW w:w="5392" w:type="dxa"/>
            <w:tcBorders>
              <w:top w:val="single" w:sz="4" w:space="0" w:color="D9D9D9"/>
              <w:left w:val="nil"/>
              <w:bottom w:val="single" w:sz="4" w:space="0" w:color="D9D9D9"/>
              <w:right w:val="nil"/>
            </w:tcBorders>
          </w:tcPr>
          <w:p w14:paraId="7B8815F7"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Frequent – I acted on behalf of the participant</w:t>
            </w:r>
          </w:p>
        </w:tc>
        <w:tc>
          <w:tcPr>
            <w:tcW w:w="1990" w:type="dxa"/>
            <w:tcBorders>
              <w:top w:val="single" w:sz="4" w:space="0" w:color="D9D9D9"/>
              <w:left w:val="nil"/>
              <w:bottom w:val="single" w:sz="4" w:space="0" w:color="D9D9D9"/>
              <w:right w:val="nil"/>
            </w:tcBorders>
          </w:tcPr>
          <w:p w14:paraId="2EBF914E"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bl>
    <w:p w14:paraId="6455000B"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IF SELECT FREQUENT SKIP TO Q4</w:t>
      </w:r>
    </w:p>
    <w:p w14:paraId="2BEF8109" w14:textId="77777777" w:rsidR="000F60FA" w:rsidRPr="005D5E65" w:rsidRDefault="000F60FA" w:rsidP="000F60FA">
      <w:pPr>
        <w:spacing w:before="120"/>
        <w:rPr>
          <w:rFonts w:eastAsia="Calibri" w:cs="Arial"/>
          <w:szCs w:val="22"/>
          <w:lang w:val="en-CA" w:eastAsia="en-AU"/>
        </w:rPr>
      </w:pPr>
    </w:p>
    <w:p w14:paraId="1E360459" w14:textId="77777777" w:rsidR="000F60FA" w:rsidRPr="005D5E65" w:rsidRDefault="000F60FA" w:rsidP="00AD6A91">
      <w:pPr>
        <w:pStyle w:val="Q1Appendix"/>
      </w:pPr>
      <w:r w:rsidRPr="005D5E65">
        <w:t xml:space="preserve">How actively involved were you in the Participant’s matter in the AAT </w:t>
      </w:r>
      <w:r w:rsidRPr="005D5E65">
        <w:tab/>
        <w:t>proceedings?</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3B183C50" w14:textId="77777777">
        <w:tc>
          <w:tcPr>
            <w:tcW w:w="5392" w:type="dxa"/>
            <w:tcBorders>
              <w:top w:val="single" w:sz="4" w:space="0" w:color="BFBFBF"/>
              <w:left w:val="nil"/>
              <w:bottom w:val="single" w:sz="4" w:space="0" w:color="D9D9D9"/>
              <w:right w:val="nil"/>
            </w:tcBorders>
            <w:hideMark/>
          </w:tcPr>
          <w:p w14:paraId="19518827"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None</w:t>
            </w:r>
          </w:p>
        </w:tc>
        <w:tc>
          <w:tcPr>
            <w:tcW w:w="1990" w:type="dxa"/>
            <w:tcBorders>
              <w:top w:val="single" w:sz="4" w:space="0" w:color="BFBFBF"/>
              <w:left w:val="nil"/>
              <w:bottom w:val="single" w:sz="4" w:space="0" w:color="D9D9D9"/>
              <w:right w:val="nil"/>
            </w:tcBorders>
            <w:hideMark/>
          </w:tcPr>
          <w:p w14:paraId="67E0EE06"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3F0382BB" w14:textId="77777777">
        <w:tc>
          <w:tcPr>
            <w:tcW w:w="5392" w:type="dxa"/>
            <w:tcBorders>
              <w:top w:val="single" w:sz="4" w:space="0" w:color="D9D9D9"/>
              <w:left w:val="nil"/>
              <w:bottom w:val="single" w:sz="4" w:space="0" w:color="D9D9D9"/>
              <w:right w:val="nil"/>
            </w:tcBorders>
            <w:hideMark/>
          </w:tcPr>
          <w:p w14:paraId="2BCEA4A0"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Limited</w:t>
            </w:r>
          </w:p>
        </w:tc>
        <w:tc>
          <w:tcPr>
            <w:tcW w:w="1990" w:type="dxa"/>
            <w:tcBorders>
              <w:top w:val="single" w:sz="4" w:space="0" w:color="D9D9D9"/>
              <w:left w:val="nil"/>
              <w:bottom w:val="single" w:sz="4" w:space="0" w:color="D9D9D9"/>
              <w:right w:val="nil"/>
            </w:tcBorders>
            <w:hideMark/>
          </w:tcPr>
          <w:p w14:paraId="318E669E"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0C7C6BB6" w14:textId="77777777">
        <w:tc>
          <w:tcPr>
            <w:tcW w:w="5392" w:type="dxa"/>
            <w:tcBorders>
              <w:top w:val="single" w:sz="4" w:space="0" w:color="D9D9D9"/>
              <w:left w:val="nil"/>
              <w:bottom w:val="single" w:sz="4" w:space="0" w:color="D9D9D9"/>
              <w:right w:val="nil"/>
            </w:tcBorders>
            <w:hideMark/>
          </w:tcPr>
          <w:p w14:paraId="04BB16C8"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Moderately</w:t>
            </w:r>
          </w:p>
        </w:tc>
        <w:tc>
          <w:tcPr>
            <w:tcW w:w="1990" w:type="dxa"/>
            <w:tcBorders>
              <w:top w:val="single" w:sz="4" w:space="0" w:color="D9D9D9"/>
              <w:left w:val="nil"/>
              <w:bottom w:val="single" w:sz="4" w:space="0" w:color="D9D9D9"/>
              <w:right w:val="nil"/>
            </w:tcBorders>
            <w:hideMark/>
          </w:tcPr>
          <w:p w14:paraId="186597C7"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2019C50E" w14:textId="77777777">
        <w:tc>
          <w:tcPr>
            <w:tcW w:w="5392" w:type="dxa"/>
            <w:tcBorders>
              <w:top w:val="single" w:sz="4" w:space="0" w:color="D9D9D9"/>
              <w:left w:val="nil"/>
              <w:bottom w:val="single" w:sz="4" w:space="0" w:color="D9D9D9"/>
              <w:right w:val="nil"/>
            </w:tcBorders>
          </w:tcPr>
          <w:p w14:paraId="1C3CE45C"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Frequent – I acted on behalf of the participant</w:t>
            </w:r>
          </w:p>
        </w:tc>
        <w:tc>
          <w:tcPr>
            <w:tcW w:w="1990" w:type="dxa"/>
            <w:tcBorders>
              <w:top w:val="single" w:sz="4" w:space="0" w:color="D9D9D9"/>
              <w:left w:val="nil"/>
              <w:bottom w:val="single" w:sz="4" w:space="0" w:color="D9D9D9"/>
              <w:right w:val="nil"/>
            </w:tcBorders>
          </w:tcPr>
          <w:p w14:paraId="67115C96"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bl>
    <w:p w14:paraId="17A96668" w14:textId="77777777" w:rsidR="000F60FA" w:rsidRPr="005D5E65" w:rsidRDefault="000F60FA" w:rsidP="000F60FA">
      <w:pPr>
        <w:spacing w:before="120"/>
        <w:rPr>
          <w:rFonts w:eastAsia="Calibri" w:cs="Arial"/>
          <w:szCs w:val="22"/>
          <w:lang w:val="en-CA" w:eastAsia="en-AU"/>
        </w:rPr>
      </w:pPr>
    </w:p>
    <w:p w14:paraId="58CA5FB9" w14:textId="77777777" w:rsidR="000F60FA" w:rsidRPr="005D5E65" w:rsidRDefault="000F60FA" w:rsidP="00AD6A91">
      <w:pPr>
        <w:pStyle w:val="Q1Appendix"/>
      </w:pPr>
      <w:r w:rsidRPr="005D5E65">
        <w:t>What was the outcome of the Independent Expert’s recommendation for the Participant’s matter?</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1E61E6CE" w14:textId="77777777">
        <w:tc>
          <w:tcPr>
            <w:tcW w:w="5392" w:type="dxa"/>
            <w:tcBorders>
              <w:top w:val="single" w:sz="4" w:space="0" w:color="BFBFBF"/>
              <w:left w:val="nil"/>
              <w:bottom w:val="single" w:sz="4" w:space="0" w:color="D9D9D9"/>
              <w:right w:val="nil"/>
            </w:tcBorders>
            <w:hideMark/>
          </w:tcPr>
          <w:p w14:paraId="66C72208"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All supports recommended</w:t>
            </w:r>
          </w:p>
        </w:tc>
        <w:tc>
          <w:tcPr>
            <w:tcW w:w="1990" w:type="dxa"/>
            <w:tcBorders>
              <w:top w:val="single" w:sz="4" w:space="0" w:color="BFBFBF"/>
              <w:left w:val="nil"/>
              <w:bottom w:val="single" w:sz="4" w:space="0" w:color="D9D9D9"/>
              <w:right w:val="nil"/>
            </w:tcBorders>
            <w:hideMark/>
          </w:tcPr>
          <w:p w14:paraId="00718758"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01A73B4C" w14:textId="77777777">
        <w:tc>
          <w:tcPr>
            <w:tcW w:w="5392" w:type="dxa"/>
            <w:tcBorders>
              <w:top w:val="single" w:sz="4" w:space="0" w:color="D9D9D9"/>
              <w:left w:val="nil"/>
              <w:bottom w:val="single" w:sz="4" w:space="0" w:color="D9D9D9"/>
              <w:right w:val="nil"/>
            </w:tcBorders>
            <w:hideMark/>
          </w:tcPr>
          <w:p w14:paraId="2CE02A48"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Some supports recommended</w:t>
            </w:r>
          </w:p>
        </w:tc>
        <w:tc>
          <w:tcPr>
            <w:tcW w:w="1990" w:type="dxa"/>
            <w:tcBorders>
              <w:top w:val="single" w:sz="4" w:space="0" w:color="D9D9D9"/>
              <w:left w:val="nil"/>
              <w:bottom w:val="single" w:sz="4" w:space="0" w:color="D9D9D9"/>
              <w:right w:val="nil"/>
            </w:tcBorders>
            <w:hideMark/>
          </w:tcPr>
          <w:p w14:paraId="2EC2C909"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5D869044" w14:textId="77777777">
        <w:tc>
          <w:tcPr>
            <w:tcW w:w="5392" w:type="dxa"/>
            <w:tcBorders>
              <w:top w:val="single" w:sz="4" w:space="0" w:color="D9D9D9"/>
              <w:left w:val="nil"/>
              <w:bottom w:val="single" w:sz="4" w:space="0" w:color="D9D9D9"/>
              <w:right w:val="nil"/>
            </w:tcBorders>
            <w:hideMark/>
          </w:tcPr>
          <w:p w14:paraId="079A865A"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 supports recommended</w:t>
            </w:r>
          </w:p>
        </w:tc>
        <w:tc>
          <w:tcPr>
            <w:tcW w:w="1990" w:type="dxa"/>
            <w:tcBorders>
              <w:top w:val="single" w:sz="4" w:space="0" w:color="D9D9D9"/>
              <w:left w:val="nil"/>
              <w:bottom w:val="single" w:sz="4" w:space="0" w:color="D9D9D9"/>
              <w:right w:val="nil"/>
            </w:tcBorders>
            <w:hideMark/>
          </w:tcPr>
          <w:p w14:paraId="4E20DB36"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0E595EE4" w14:textId="77777777" w:rsidR="000F60FA" w:rsidRPr="005D5E65" w:rsidRDefault="000F60FA" w:rsidP="000F60FA">
      <w:pPr>
        <w:spacing w:before="120"/>
        <w:rPr>
          <w:rFonts w:eastAsia="Calibri" w:cs="Arial"/>
          <w:b/>
          <w:szCs w:val="22"/>
          <w:lang w:eastAsia="en-US"/>
        </w:rPr>
      </w:pPr>
      <w:r w:rsidRPr="005D5E65">
        <w:rPr>
          <w:rFonts w:eastAsia="Calibri" w:cs="Arial"/>
          <w:b/>
          <w:szCs w:val="22"/>
          <w:lang w:eastAsia="en-US"/>
        </w:rPr>
        <w:br w:type="page"/>
      </w:r>
    </w:p>
    <w:p w14:paraId="159A10AC" w14:textId="77777777" w:rsidR="000F60FA" w:rsidRPr="005D5E65" w:rsidRDefault="000F60FA" w:rsidP="00AD6A91">
      <w:pPr>
        <w:pStyle w:val="Q1Appendix"/>
      </w:pPr>
      <w:r w:rsidRPr="005D5E65">
        <w:lastRenderedPageBreak/>
        <w:t>How clear was the Independent Expert’s recommendation?</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6A05F294" w14:textId="77777777">
        <w:tc>
          <w:tcPr>
            <w:tcW w:w="5392" w:type="dxa"/>
            <w:tcBorders>
              <w:top w:val="single" w:sz="4" w:space="0" w:color="BFBFBF"/>
              <w:left w:val="nil"/>
              <w:bottom w:val="single" w:sz="4" w:space="0" w:color="D9D9D9"/>
              <w:right w:val="nil"/>
            </w:tcBorders>
            <w:hideMark/>
          </w:tcPr>
          <w:p w14:paraId="527E40A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unclear</w:t>
            </w:r>
          </w:p>
        </w:tc>
        <w:tc>
          <w:tcPr>
            <w:tcW w:w="1990" w:type="dxa"/>
            <w:tcBorders>
              <w:top w:val="single" w:sz="4" w:space="0" w:color="BFBFBF"/>
              <w:left w:val="nil"/>
              <w:bottom w:val="single" w:sz="4" w:space="0" w:color="D9D9D9"/>
              <w:right w:val="nil"/>
            </w:tcBorders>
            <w:hideMark/>
          </w:tcPr>
          <w:p w14:paraId="5083C413"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2442AD5A" w14:textId="77777777">
        <w:tc>
          <w:tcPr>
            <w:tcW w:w="5392" w:type="dxa"/>
            <w:tcBorders>
              <w:top w:val="single" w:sz="4" w:space="0" w:color="D9D9D9"/>
              <w:left w:val="nil"/>
              <w:bottom w:val="single" w:sz="4" w:space="0" w:color="D9D9D9"/>
              <w:right w:val="nil"/>
            </w:tcBorders>
            <w:hideMark/>
          </w:tcPr>
          <w:p w14:paraId="0138044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Somewhat unclear</w:t>
            </w:r>
          </w:p>
        </w:tc>
        <w:tc>
          <w:tcPr>
            <w:tcW w:w="1990" w:type="dxa"/>
            <w:tcBorders>
              <w:top w:val="single" w:sz="4" w:space="0" w:color="D9D9D9"/>
              <w:left w:val="nil"/>
              <w:bottom w:val="single" w:sz="4" w:space="0" w:color="D9D9D9"/>
              <w:right w:val="nil"/>
            </w:tcBorders>
            <w:hideMark/>
          </w:tcPr>
          <w:p w14:paraId="5D0858C7"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797AD279" w14:textId="77777777">
        <w:tc>
          <w:tcPr>
            <w:tcW w:w="5392" w:type="dxa"/>
            <w:tcBorders>
              <w:top w:val="single" w:sz="4" w:space="0" w:color="D9D9D9"/>
              <w:left w:val="nil"/>
              <w:bottom w:val="single" w:sz="4" w:space="0" w:color="D9D9D9"/>
              <w:right w:val="nil"/>
            </w:tcBorders>
          </w:tcPr>
          <w:p w14:paraId="2D011995"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Reasonably clear</w:t>
            </w:r>
          </w:p>
        </w:tc>
        <w:tc>
          <w:tcPr>
            <w:tcW w:w="1990" w:type="dxa"/>
            <w:tcBorders>
              <w:top w:val="single" w:sz="4" w:space="0" w:color="D9D9D9"/>
              <w:left w:val="nil"/>
              <w:bottom w:val="single" w:sz="4" w:space="0" w:color="D9D9D9"/>
              <w:right w:val="nil"/>
            </w:tcBorders>
          </w:tcPr>
          <w:p w14:paraId="1E3F3256"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r w:rsidR="00327147" w:rsidRPr="005D5E65" w14:paraId="2173DF33" w14:textId="77777777">
        <w:tc>
          <w:tcPr>
            <w:tcW w:w="5392" w:type="dxa"/>
            <w:tcBorders>
              <w:top w:val="single" w:sz="4" w:space="0" w:color="D9D9D9"/>
              <w:left w:val="nil"/>
              <w:bottom w:val="single" w:sz="4" w:space="0" w:color="D9D9D9"/>
              <w:right w:val="nil"/>
            </w:tcBorders>
          </w:tcPr>
          <w:p w14:paraId="77E965DD"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clear</w:t>
            </w:r>
          </w:p>
        </w:tc>
        <w:tc>
          <w:tcPr>
            <w:tcW w:w="1990" w:type="dxa"/>
            <w:tcBorders>
              <w:top w:val="single" w:sz="4" w:space="0" w:color="D9D9D9"/>
              <w:left w:val="nil"/>
              <w:bottom w:val="single" w:sz="4" w:space="0" w:color="D9D9D9"/>
              <w:right w:val="nil"/>
            </w:tcBorders>
          </w:tcPr>
          <w:p w14:paraId="4FF5BD81"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bl>
    <w:p w14:paraId="75465920" w14:textId="77777777" w:rsidR="000F60FA" w:rsidRPr="005D5E65" w:rsidRDefault="000F60FA" w:rsidP="000F60FA">
      <w:pPr>
        <w:spacing w:before="120"/>
        <w:rPr>
          <w:rFonts w:eastAsia="Calibri" w:cs="Arial"/>
          <w:b/>
          <w:szCs w:val="22"/>
          <w:lang w:eastAsia="en-US"/>
        </w:rPr>
      </w:pPr>
    </w:p>
    <w:p w14:paraId="26D62A45" w14:textId="77777777" w:rsidR="000F60FA" w:rsidRPr="005D5E65" w:rsidRDefault="000F60FA" w:rsidP="00AD6A91">
      <w:pPr>
        <w:pStyle w:val="Q1Appendix"/>
      </w:pPr>
      <w:r w:rsidRPr="005D5E65">
        <w:t>How satisfied were you with the outcome of the Participant’s matter in the IER program?</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6E93632E" w14:textId="77777777">
        <w:tc>
          <w:tcPr>
            <w:tcW w:w="5392" w:type="dxa"/>
            <w:tcBorders>
              <w:top w:val="single" w:sz="4" w:space="0" w:color="BFBFBF"/>
              <w:left w:val="nil"/>
              <w:bottom w:val="single" w:sz="4" w:space="0" w:color="D9D9D9"/>
              <w:right w:val="nil"/>
            </w:tcBorders>
            <w:hideMark/>
          </w:tcPr>
          <w:p w14:paraId="01206679"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Not at all satisfied</w:t>
            </w:r>
          </w:p>
        </w:tc>
        <w:tc>
          <w:tcPr>
            <w:tcW w:w="1990" w:type="dxa"/>
            <w:tcBorders>
              <w:top w:val="single" w:sz="4" w:space="0" w:color="BFBFBF"/>
              <w:left w:val="nil"/>
              <w:bottom w:val="single" w:sz="4" w:space="0" w:color="D9D9D9"/>
              <w:right w:val="nil"/>
            </w:tcBorders>
            <w:hideMark/>
          </w:tcPr>
          <w:p w14:paraId="5307D56C"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34417C76" w14:textId="77777777">
        <w:tc>
          <w:tcPr>
            <w:tcW w:w="5392" w:type="dxa"/>
            <w:tcBorders>
              <w:top w:val="single" w:sz="4" w:space="0" w:color="D9D9D9"/>
              <w:left w:val="nil"/>
              <w:bottom w:val="single" w:sz="4" w:space="0" w:color="D9D9D9"/>
              <w:right w:val="nil"/>
            </w:tcBorders>
            <w:hideMark/>
          </w:tcPr>
          <w:p w14:paraId="2750C3F0"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Only a little bit satisfied</w:t>
            </w:r>
          </w:p>
        </w:tc>
        <w:tc>
          <w:tcPr>
            <w:tcW w:w="1990" w:type="dxa"/>
            <w:tcBorders>
              <w:top w:val="single" w:sz="4" w:space="0" w:color="D9D9D9"/>
              <w:left w:val="nil"/>
              <w:bottom w:val="single" w:sz="4" w:space="0" w:color="D9D9D9"/>
              <w:right w:val="nil"/>
            </w:tcBorders>
            <w:hideMark/>
          </w:tcPr>
          <w:p w14:paraId="60799B23"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0E9099F3" w14:textId="77777777" w:rsidTr="00216834">
        <w:tc>
          <w:tcPr>
            <w:tcW w:w="5392" w:type="dxa"/>
            <w:tcBorders>
              <w:top w:val="single" w:sz="4" w:space="0" w:color="D9D9D9"/>
              <w:left w:val="nil"/>
              <w:bottom w:val="single" w:sz="4" w:space="0" w:color="D9D9D9"/>
              <w:right w:val="nil"/>
            </w:tcBorders>
            <w:hideMark/>
          </w:tcPr>
          <w:p w14:paraId="4F50802D" w14:textId="77777777" w:rsidR="000F60FA" w:rsidRPr="005D5E65" w:rsidRDefault="000F60FA">
            <w:pPr>
              <w:spacing w:before="60" w:after="60"/>
              <w:rPr>
                <w:rFonts w:eastAsia="Calibri"/>
                <w:strike/>
                <w:sz w:val="22"/>
                <w:szCs w:val="22"/>
                <w:lang w:val="en-CA" w:eastAsia="en-US"/>
              </w:rPr>
            </w:pPr>
            <w:r w:rsidRPr="005D5E65">
              <w:rPr>
                <w:rFonts w:eastAsia="Calibri"/>
                <w:sz w:val="22"/>
                <w:szCs w:val="22"/>
                <w:lang w:val="en-CA" w:eastAsia="en-US"/>
              </w:rPr>
              <w:t>Somewhat satisfied</w:t>
            </w:r>
          </w:p>
        </w:tc>
        <w:tc>
          <w:tcPr>
            <w:tcW w:w="1990" w:type="dxa"/>
            <w:tcBorders>
              <w:top w:val="single" w:sz="4" w:space="0" w:color="D9D9D9"/>
              <w:left w:val="nil"/>
              <w:bottom w:val="single" w:sz="4" w:space="0" w:color="D9D9D9"/>
              <w:right w:val="nil"/>
            </w:tcBorders>
            <w:hideMark/>
          </w:tcPr>
          <w:p w14:paraId="5E5218DC"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02BCF036" w14:textId="77777777">
        <w:trPr>
          <w:trHeight w:val="720"/>
        </w:trPr>
        <w:tc>
          <w:tcPr>
            <w:tcW w:w="5392" w:type="dxa"/>
            <w:tcBorders>
              <w:top w:val="single" w:sz="4" w:space="0" w:color="D9D9D9"/>
              <w:left w:val="nil"/>
              <w:bottom w:val="single" w:sz="4" w:space="0" w:color="D9D9D9"/>
              <w:right w:val="nil"/>
            </w:tcBorders>
          </w:tcPr>
          <w:p w14:paraId="5C6EB393"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Mostly satisfied</w:t>
            </w:r>
          </w:p>
        </w:tc>
        <w:tc>
          <w:tcPr>
            <w:tcW w:w="1990" w:type="dxa"/>
            <w:tcBorders>
              <w:top w:val="single" w:sz="4" w:space="0" w:color="D9D9D9"/>
              <w:left w:val="nil"/>
              <w:bottom w:val="single" w:sz="4" w:space="0" w:color="D9D9D9"/>
              <w:right w:val="nil"/>
            </w:tcBorders>
          </w:tcPr>
          <w:p w14:paraId="1DEC065D"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r w:rsidR="00327147" w:rsidRPr="005D5E65" w14:paraId="57B024A7" w14:textId="77777777">
        <w:tc>
          <w:tcPr>
            <w:tcW w:w="5392" w:type="dxa"/>
            <w:tcBorders>
              <w:top w:val="single" w:sz="4" w:space="0" w:color="D9D9D9"/>
              <w:left w:val="nil"/>
              <w:bottom w:val="single" w:sz="4" w:space="0" w:color="D9D9D9"/>
              <w:right w:val="nil"/>
            </w:tcBorders>
          </w:tcPr>
          <w:p w14:paraId="2557F39A"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Completely satisfied</w:t>
            </w:r>
          </w:p>
        </w:tc>
        <w:tc>
          <w:tcPr>
            <w:tcW w:w="1990" w:type="dxa"/>
            <w:tcBorders>
              <w:top w:val="single" w:sz="4" w:space="0" w:color="D9D9D9"/>
              <w:left w:val="nil"/>
              <w:bottom w:val="single" w:sz="4" w:space="0" w:color="D9D9D9"/>
              <w:right w:val="nil"/>
            </w:tcBorders>
          </w:tcPr>
          <w:p w14:paraId="3A292654"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bl>
    <w:p w14:paraId="1B7B0717" w14:textId="77777777" w:rsidR="000F60FA" w:rsidRPr="005D5E65" w:rsidRDefault="000F60FA" w:rsidP="000F60FA">
      <w:pPr>
        <w:spacing w:before="120"/>
        <w:rPr>
          <w:rFonts w:eastAsia="Calibri" w:cs="Arial"/>
          <w:bCs/>
          <w:szCs w:val="22"/>
          <w:lang w:eastAsia="en-US"/>
        </w:rPr>
      </w:pPr>
    </w:p>
    <w:p w14:paraId="59CBD0D3" w14:textId="77777777" w:rsidR="000F60FA" w:rsidRPr="005D5E65" w:rsidRDefault="000F60FA" w:rsidP="00AD6A91">
      <w:pPr>
        <w:pStyle w:val="Q1Appendix"/>
      </w:pPr>
      <w:r w:rsidRPr="005D5E65">
        <w:t>Overall, how was your experience with the way the Participant’s matter was dealt with in the IER program?</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7526DE57" w14:textId="77777777">
        <w:tc>
          <w:tcPr>
            <w:tcW w:w="5392" w:type="dxa"/>
            <w:tcBorders>
              <w:top w:val="single" w:sz="4" w:space="0" w:color="BFBFBF"/>
              <w:left w:val="nil"/>
              <w:bottom w:val="single" w:sz="4" w:space="0" w:color="D9D9D9"/>
              <w:right w:val="nil"/>
            </w:tcBorders>
            <w:hideMark/>
          </w:tcPr>
          <w:p w14:paraId="7B1715D3"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poor</w:t>
            </w:r>
          </w:p>
        </w:tc>
        <w:tc>
          <w:tcPr>
            <w:tcW w:w="1990" w:type="dxa"/>
            <w:tcBorders>
              <w:top w:val="single" w:sz="4" w:space="0" w:color="BFBFBF"/>
              <w:left w:val="nil"/>
              <w:bottom w:val="single" w:sz="4" w:space="0" w:color="D9D9D9"/>
              <w:right w:val="nil"/>
            </w:tcBorders>
            <w:hideMark/>
          </w:tcPr>
          <w:p w14:paraId="3FAD446D"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56AF9ED1" w14:textId="77777777">
        <w:tc>
          <w:tcPr>
            <w:tcW w:w="5392" w:type="dxa"/>
            <w:tcBorders>
              <w:top w:val="single" w:sz="4" w:space="0" w:color="D9D9D9"/>
              <w:left w:val="nil"/>
              <w:bottom w:val="single" w:sz="4" w:space="0" w:color="D9D9D9"/>
              <w:right w:val="nil"/>
            </w:tcBorders>
            <w:hideMark/>
          </w:tcPr>
          <w:p w14:paraId="6F2C9A27"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Poor</w:t>
            </w:r>
          </w:p>
        </w:tc>
        <w:tc>
          <w:tcPr>
            <w:tcW w:w="1990" w:type="dxa"/>
            <w:tcBorders>
              <w:top w:val="single" w:sz="4" w:space="0" w:color="D9D9D9"/>
              <w:left w:val="nil"/>
              <w:bottom w:val="single" w:sz="4" w:space="0" w:color="D9D9D9"/>
              <w:right w:val="nil"/>
            </w:tcBorders>
            <w:hideMark/>
          </w:tcPr>
          <w:p w14:paraId="1D22AF66"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7DA5329E" w14:textId="77777777">
        <w:tc>
          <w:tcPr>
            <w:tcW w:w="5392" w:type="dxa"/>
            <w:tcBorders>
              <w:top w:val="single" w:sz="4" w:space="0" w:color="D9D9D9"/>
              <w:left w:val="nil"/>
              <w:bottom w:val="single" w:sz="4" w:space="0" w:color="D9D9D9"/>
              <w:right w:val="nil"/>
            </w:tcBorders>
            <w:hideMark/>
          </w:tcPr>
          <w:p w14:paraId="2A6C8BB2"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It was OK</w:t>
            </w:r>
          </w:p>
        </w:tc>
        <w:tc>
          <w:tcPr>
            <w:tcW w:w="1990" w:type="dxa"/>
            <w:tcBorders>
              <w:top w:val="single" w:sz="4" w:space="0" w:color="D9D9D9"/>
              <w:left w:val="nil"/>
              <w:bottom w:val="single" w:sz="4" w:space="0" w:color="D9D9D9"/>
              <w:right w:val="nil"/>
            </w:tcBorders>
            <w:hideMark/>
          </w:tcPr>
          <w:p w14:paraId="2138085A"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4DCA8BE8" w14:textId="77777777">
        <w:tc>
          <w:tcPr>
            <w:tcW w:w="5392" w:type="dxa"/>
            <w:tcBorders>
              <w:top w:val="single" w:sz="4" w:space="0" w:color="D9D9D9"/>
              <w:left w:val="nil"/>
              <w:bottom w:val="single" w:sz="4" w:space="0" w:color="D9D9D9"/>
              <w:right w:val="nil"/>
            </w:tcBorders>
          </w:tcPr>
          <w:p w14:paraId="4593D401"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Good</w:t>
            </w:r>
          </w:p>
        </w:tc>
        <w:tc>
          <w:tcPr>
            <w:tcW w:w="1990" w:type="dxa"/>
            <w:tcBorders>
              <w:top w:val="single" w:sz="4" w:space="0" w:color="D9D9D9"/>
              <w:left w:val="nil"/>
              <w:bottom w:val="single" w:sz="4" w:space="0" w:color="D9D9D9"/>
              <w:right w:val="nil"/>
            </w:tcBorders>
          </w:tcPr>
          <w:p w14:paraId="533906E6"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r w:rsidR="00327147" w:rsidRPr="005D5E65" w14:paraId="71AFF26F" w14:textId="77777777">
        <w:tc>
          <w:tcPr>
            <w:tcW w:w="5392" w:type="dxa"/>
            <w:tcBorders>
              <w:top w:val="single" w:sz="4" w:space="0" w:color="D9D9D9"/>
              <w:left w:val="nil"/>
              <w:bottom w:val="single" w:sz="4" w:space="0" w:color="D9D9D9"/>
              <w:right w:val="nil"/>
            </w:tcBorders>
          </w:tcPr>
          <w:p w14:paraId="6E6621C3"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good</w:t>
            </w:r>
          </w:p>
        </w:tc>
        <w:tc>
          <w:tcPr>
            <w:tcW w:w="1990" w:type="dxa"/>
            <w:tcBorders>
              <w:top w:val="single" w:sz="4" w:space="0" w:color="D9D9D9"/>
              <w:left w:val="nil"/>
              <w:bottom w:val="single" w:sz="4" w:space="0" w:color="D9D9D9"/>
              <w:right w:val="nil"/>
            </w:tcBorders>
          </w:tcPr>
          <w:p w14:paraId="5F2A37EA"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bl>
    <w:p w14:paraId="05F471C8" w14:textId="77777777" w:rsidR="000F60FA" w:rsidRPr="005D5E65" w:rsidRDefault="000F60FA" w:rsidP="000F60FA">
      <w:pPr>
        <w:spacing w:before="120"/>
        <w:rPr>
          <w:rFonts w:eastAsia="Calibri" w:cs="Arial"/>
          <w:szCs w:val="22"/>
          <w:lang w:eastAsia="en-US"/>
        </w:rPr>
      </w:pPr>
    </w:p>
    <w:p w14:paraId="0DBDB70A" w14:textId="77777777" w:rsidR="000F60FA" w:rsidRPr="005D5E65" w:rsidRDefault="000F60FA" w:rsidP="00AD6A91">
      <w:pPr>
        <w:pStyle w:val="Q1Appendix"/>
      </w:pPr>
      <w:r w:rsidRPr="005D5E65">
        <w:t>What were the worst things about your experience of the IER process?</w:t>
      </w:r>
    </w:p>
    <w:p w14:paraId="4223A2A5"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6C236DA1" w14:textId="77777777" w:rsidR="000F60FA" w:rsidRPr="005D5E65" w:rsidRDefault="000F60FA" w:rsidP="000F60FA">
      <w:pPr>
        <w:spacing w:before="120"/>
        <w:rPr>
          <w:rFonts w:eastAsia="Calibri" w:cs="Arial"/>
          <w:szCs w:val="22"/>
          <w:lang w:val="en-CA" w:eastAsia="en-AU"/>
        </w:rPr>
      </w:pPr>
    </w:p>
    <w:p w14:paraId="2631A397" w14:textId="77777777" w:rsidR="000F60FA" w:rsidRPr="005D5E65" w:rsidRDefault="000F60FA" w:rsidP="00AD6A91">
      <w:pPr>
        <w:pStyle w:val="Q1Appendix"/>
      </w:pPr>
      <w:r w:rsidRPr="005D5E65">
        <w:t>What were the best things about your experience of the IER process?</w:t>
      </w:r>
    </w:p>
    <w:p w14:paraId="595D931F"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7A2AB83D" w14:textId="77777777" w:rsidR="000F60FA" w:rsidRPr="005D5E65" w:rsidRDefault="000F60FA" w:rsidP="00AD6A91">
      <w:pPr>
        <w:pStyle w:val="Q1Appendix"/>
      </w:pPr>
      <w:r w:rsidRPr="005D5E65">
        <w:lastRenderedPageBreak/>
        <w:t>How would you rate your satisfaction with the Independent Expert who reviewed the Participant’s matter in the following areas</w:t>
      </w:r>
    </w:p>
    <w:tbl>
      <w:tblPr>
        <w:tblStyle w:val="TableGrid2"/>
        <w:tblW w:w="5000" w:type="pct"/>
        <w:tblInd w:w="0"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2571"/>
        <w:gridCol w:w="1296"/>
        <w:gridCol w:w="1296"/>
        <w:gridCol w:w="1350"/>
        <w:gridCol w:w="1098"/>
        <w:gridCol w:w="1415"/>
      </w:tblGrid>
      <w:tr w:rsidR="000F60FA" w:rsidRPr="005D5E65" w14:paraId="07FC3373" w14:textId="77777777">
        <w:tc>
          <w:tcPr>
            <w:tcW w:w="1424" w:type="pct"/>
            <w:tcBorders>
              <w:top w:val="single" w:sz="4" w:space="0" w:color="BFBFBF"/>
              <w:left w:val="nil"/>
              <w:bottom w:val="single" w:sz="4" w:space="0" w:color="D9D9D9"/>
              <w:right w:val="nil"/>
            </w:tcBorders>
          </w:tcPr>
          <w:p w14:paraId="53EAF16C" w14:textId="77777777" w:rsidR="000F60FA" w:rsidRPr="005D5E65" w:rsidRDefault="000F60FA">
            <w:pPr>
              <w:spacing w:before="60" w:after="60"/>
              <w:rPr>
                <w:rFonts w:eastAsia="Calibri"/>
                <w:sz w:val="22"/>
                <w:szCs w:val="22"/>
                <w:lang w:val="en-CA" w:eastAsia="en-US"/>
              </w:rPr>
            </w:pPr>
          </w:p>
        </w:tc>
        <w:tc>
          <w:tcPr>
            <w:tcW w:w="718" w:type="pct"/>
            <w:tcBorders>
              <w:top w:val="single" w:sz="4" w:space="0" w:color="BFBFBF"/>
              <w:left w:val="nil"/>
              <w:bottom w:val="single" w:sz="4" w:space="0" w:color="D9D9D9"/>
              <w:right w:val="nil"/>
            </w:tcBorders>
          </w:tcPr>
          <w:p w14:paraId="773CA069"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Not at all satisfied</w:t>
            </w:r>
          </w:p>
        </w:tc>
        <w:tc>
          <w:tcPr>
            <w:tcW w:w="718" w:type="pct"/>
            <w:tcBorders>
              <w:top w:val="single" w:sz="4" w:space="0" w:color="BFBFBF"/>
              <w:left w:val="nil"/>
              <w:bottom w:val="single" w:sz="4" w:space="0" w:color="D9D9D9"/>
              <w:right w:val="nil"/>
            </w:tcBorders>
          </w:tcPr>
          <w:p w14:paraId="6BE2D6BA"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Only a little bit satisfied</w:t>
            </w:r>
          </w:p>
        </w:tc>
        <w:tc>
          <w:tcPr>
            <w:tcW w:w="748" w:type="pct"/>
            <w:tcBorders>
              <w:top w:val="single" w:sz="4" w:space="0" w:color="BFBFBF"/>
              <w:left w:val="nil"/>
              <w:bottom w:val="single" w:sz="4" w:space="0" w:color="D9D9D9"/>
              <w:right w:val="nil"/>
            </w:tcBorders>
          </w:tcPr>
          <w:p w14:paraId="78547DB3"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Somewhat satisfied</w:t>
            </w:r>
          </w:p>
        </w:tc>
        <w:tc>
          <w:tcPr>
            <w:tcW w:w="608" w:type="pct"/>
            <w:tcBorders>
              <w:top w:val="single" w:sz="4" w:space="0" w:color="BFBFBF"/>
              <w:left w:val="nil"/>
              <w:bottom w:val="single" w:sz="4" w:space="0" w:color="D9D9D9"/>
              <w:right w:val="nil"/>
            </w:tcBorders>
          </w:tcPr>
          <w:p w14:paraId="5C673E07"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Mostly satisfied</w:t>
            </w:r>
          </w:p>
        </w:tc>
        <w:tc>
          <w:tcPr>
            <w:tcW w:w="785" w:type="pct"/>
            <w:tcBorders>
              <w:top w:val="single" w:sz="4" w:space="0" w:color="BFBFBF"/>
              <w:left w:val="nil"/>
              <w:bottom w:val="single" w:sz="4" w:space="0" w:color="D9D9D9"/>
              <w:right w:val="nil"/>
            </w:tcBorders>
          </w:tcPr>
          <w:p w14:paraId="7FC37213"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Completely satisfied</w:t>
            </w:r>
          </w:p>
        </w:tc>
      </w:tr>
      <w:tr w:rsidR="000F60FA" w:rsidRPr="005D5E65" w14:paraId="767605BC" w14:textId="77777777">
        <w:tc>
          <w:tcPr>
            <w:tcW w:w="1424" w:type="pct"/>
            <w:tcBorders>
              <w:top w:val="single" w:sz="4" w:space="0" w:color="D9D9D9"/>
              <w:left w:val="nil"/>
              <w:bottom w:val="single" w:sz="4" w:space="0" w:color="D9D9D9"/>
              <w:right w:val="nil"/>
            </w:tcBorders>
            <w:hideMark/>
          </w:tcPr>
          <w:p w14:paraId="714E6FA8"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Their understanding of the Participant’s matter</w:t>
            </w:r>
          </w:p>
        </w:tc>
        <w:tc>
          <w:tcPr>
            <w:tcW w:w="718" w:type="pct"/>
            <w:tcBorders>
              <w:top w:val="single" w:sz="4" w:space="0" w:color="D9D9D9"/>
              <w:left w:val="nil"/>
              <w:bottom w:val="single" w:sz="4" w:space="0" w:color="D9D9D9"/>
              <w:right w:val="nil"/>
            </w:tcBorders>
          </w:tcPr>
          <w:p w14:paraId="691E78A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5107FCAE"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3A7580C5"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hideMark/>
          </w:tcPr>
          <w:p w14:paraId="48D9CC13"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6676CBD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607F3E05" w14:textId="77777777">
        <w:tc>
          <w:tcPr>
            <w:tcW w:w="1424" w:type="pct"/>
            <w:tcBorders>
              <w:top w:val="single" w:sz="4" w:space="0" w:color="D9D9D9"/>
              <w:left w:val="nil"/>
              <w:bottom w:val="single" w:sz="4" w:space="0" w:color="D9D9D9"/>
              <w:right w:val="nil"/>
            </w:tcBorders>
            <w:hideMark/>
          </w:tcPr>
          <w:p w14:paraId="28C70452"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Their understanding of the Participant’s disability and how it affects their life</w:t>
            </w:r>
          </w:p>
        </w:tc>
        <w:tc>
          <w:tcPr>
            <w:tcW w:w="718" w:type="pct"/>
            <w:tcBorders>
              <w:top w:val="single" w:sz="4" w:space="0" w:color="D9D9D9"/>
              <w:left w:val="nil"/>
              <w:bottom w:val="single" w:sz="4" w:space="0" w:color="D9D9D9"/>
              <w:right w:val="nil"/>
            </w:tcBorders>
          </w:tcPr>
          <w:p w14:paraId="75FD7D8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18C67A2B"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1149857C"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hideMark/>
          </w:tcPr>
          <w:p w14:paraId="4C92B2EC"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32E6EF83"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2C2CA06C" w14:textId="77777777">
        <w:tc>
          <w:tcPr>
            <w:tcW w:w="1424" w:type="pct"/>
            <w:tcBorders>
              <w:top w:val="single" w:sz="4" w:space="0" w:color="D9D9D9"/>
              <w:left w:val="nil"/>
              <w:bottom w:val="single" w:sz="4" w:space="0" w:color="D9D9D9"/>
              <w:right w:val="nil"/>
            </w:tcBorders>
          </w:tcPr>
          <w:p w14:paraId="0C7B1FF5"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How prepared they were when they met you and the participant</w:t>
            </w:r>
          </w:p>
        </w:tc>
        <w:tc>
          <w:tcPr>
            <w:tcW w:w="718" w:type="pct"/>
            <w:tcBorders>
              <w:top w:val="single" w:sz="4" w:space="0" w:color="D9D9D9"/>
              <w:left w:val="nil"/>
              <w:bottom w:val="single" w:sz="4" w:space="0" w:color="D9D9D9"/>
              <w:right w:val="nil"/>
            </w:tcBorders>
          </w:tcPr>
          <w:p w14:paraId="6A85C12F"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28511758"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49F95AB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tcPr>
          <w:p w14:paraId="7E191C54"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2460AF2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1AD7F4A6" w14:textId="77777777">
        <w:tc>
          <w:tcPr>
            <w:tcW w:w="1424" w:type="pct"/>
            <w:tcBorders>
              <w:top w:val="single" w:sz="4" w:space="0" w:color="D9D9D9"/>
              <w:left w:val="nil"/>
              <w:bottom w:val="single" w:sz="4" w:space="0" w:color="D9D9D9"/>
              <w:right w:val="nil"/>
            </w:tcBorders>
          </w:tcPr>
          <w:p w14:paraId="4713119F"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Their communication with you during the process</w:t>
            </w:r>
          </w:p>
        </w:tc>
        <w:tc>
          <w:tcPr>
            <w:tcW w:w="718" w:type="pct"/>
            <w:tcBorders>
              <w:top w:val="single" w:sz="4" w:space="0" w:color="D9D9D9"/>
              <w:left w:val="nil"/>
              <w:bottom w:val="single" w:sz="4" w:space="0" w:color="D9D9D9"/>
              <w:right w:val="nil"/>
            </w:tcBorders>
          </w:tcPr>
          <w:p w14:paraId="4197D80E"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79485C03"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67FED18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tcPr>
          <w:p w14:paraId="35B829CA"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752801BF"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723E78E0" w14:textId="77777777">
        <w:tc>
          <w:tcPr>
            <w:tcW w:w="1424" w:type="pct"/>
            <w:tcBorders>
              <w:top w:val="single" w:sz="4" w:space="0" w:color="D9D9D9"/>
              <w:left w:val="nil"/>
              <w:bottom w:val="single" w:sz="4" w:space="0" w:color="D9D9D9"/>
              <w:right w:val="nil"/>
            </w:tcBorders>
          </w:tcPr>
          <w:p w14:paraId="69D14C4F"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way they explained the process to you</w:t>
            </w:r>
          </w:p>
        </w:tc>
        <w:tc>
          <w:tcPr>
            <w:tcW w:w="718" w:type="pct"/>
            <w:tcBorders>
              <w:top w:val="single" w:sz="4" w:space="0" w:color="D9D9D9"/>
              <w:left w:val="nil"/>
              <w:bottom w:val="single" w:sz="4" w:space="0" w:color="D9D9D9"/>
              <w:right w:val="nil"/>
            </w:tcBorders>
          </w:tcPr>
          <w:p w14:paraId="1D6961E5"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6EDD56F2"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3C5D6A1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tcPr>
          <w:p w14:paraId="66BAD43B"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286CD545"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35A5211F" w14:textId="77777777">
        <w:tc>
          <w:tcPr>
            <w:tcW w:w="1424" w:type="pct"/>
            <w:tcBorders>
              <w:top w:val="single" w:sz="4" w:space="0" w:color="D9D9D9"/>
              <w:left w:val="nil"/>
              <w:bottom w:val="single" w:sz="4" w:space="0" w:color="D9D9D9"/>
              <w:right w:val="nil"/>
            </w:tcBorders>
          </w:tcPr>
          <w:p w14:paraId="61B02E25"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way they explained their recommendation to you</w:t>
            </w:r>
          </w:p>
        </w:tc>
        <w:tc>
          <w:tcPr>
            <w:tcW w:w="718" w:type="pct"/>
            <w:tcBorders>
              <w:top w:val="single" w:sz="4" w:space="0" w:color="D9D9D9"/>
              <w:left w:val="nil"/>
              <w:bottom w:val="single" w:sz="4" w:space="0" w:color="D9D9D9"/>
              <w:right w:val="nil"/>
            </w:tcBorders>
          </w:tcPr>
          <w:p w14:paraId="3EE73C8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480AB168"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5D44C7DC"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tcPr>
          <w:p w14:paraId="32B41E09"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42F11450"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58ED6FA0" w14:textId="77777777">
        <w:tc>
          <w:tcPr>
            <w:tcW w:w="1424" w:type="pct"/>
            <w:tcBorders>
              <w:top w:val="single" w:sz="4" w:space="0" w:color="D9D9D9"/>
              <w:left w:val="nil"/>
              <w:bottom w:val="single" w:sz="4" w:space="0" w:color="D9D9D9"/>
              <w:right w:val="nil"/>
            </w:tcBorders>
          </w:tcPr>
          <w:p w14:paraId="1AF476DC"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way they handled the matter overall</w:t>
            </w:r>
          </w:p>
        </w:tc>
        <w:tc>
          <w:tcPr>
            <w:tcW w:w="718" w:type="pct"/>
            <w:tcBorders>
              <w:top w:val="single" w:sz="4" w:space="0" w:color="D9D9D9"/>
              <w:left w:val="nil"/>
              <w:bottom w:val="single" w:sz="4" w:space="0" w:color="D9D9D9"/>
              <w:right w:val="nil"/>
            </w:tcBorders>
          </w:tcPr>
          <w:p w14:paraId="2F808C2C"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718E3AF0"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787809E9"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tcPr>
          <w:p w14:paraId="3021323F"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04916572"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bl>
    <w:p w14:paraId="27E02338" w14:textId="77777777" w:rsidR="000F60FA" w:rsidRPr="005D5E65" w:rsidRDefault="000F60FA" w:rsidP="000F60FA">
      <w:pPr>
        <w:spacing w:before="120"/>
        <w:rPr>
          <w:rFonts w:eastAsia="Calibri" w:cs="Arial"/>
          <w:szCs w:val="22"/>
          <w:lang w:val="en-CA" w:eastAsia="en-AU"/>
        </w:rPr>
      </w:pPr>
    </w:p>
    <w:p w14:paraId="5CB3E9DE" w14:textId="77777777" w:rsidR="000F60FA" w:rsidRPr="005D5E65" w:rsidRDefault="000F60FA" w:rsidP="000F60FA">
      <w:pPr>
        <w:spacing w:before="0" w:after="160" w:line="259" w:lineRule="auto"/>
        <w:rPr>
          <w:rFonts w:eastAsia="Calibri" w:cs="Arial"/>
          <w:szCs w:val="22"/>
          <w:lang w:val="en-CA" w:eastAsia="en-AU"/>
        </w:rPr>
      </w:pPr>
      <w:r w:rsidRPr="005D5E65">
        <w:rPr>
          <w:rFonts w:eastAsia="Calibri" w:cs="Arial"/>
          <w:szCs w:val="22"/>
          <w:lang w:val="en-CA" w:eastAsia="en-AU"/>
        </w:rPr>
        <w:br w:type="page"/>
      </w:r>
    </w:p>
    <w:p w14:paraId="7D1FD145" w14:textId="77777777" w:rsidR="000F60FA" w:rsidRPr="005D5E65" w:rsidRDefault="000F60FA" w:rsidP="00AD6A91">
      <w:pPr>
        <w:pStyle w:val="Q1Appendix"/>
      </w:pPr>
      <w:r w:rsidRPr="005D5E65">
        <w:lastRenderedPageBreak/>
        <w:t>How satisfied were you with the way the NDIA managed the IER Program, in the following aspects?</w:t>
      </w:r>
    </w:p>
    <w:tbl>
      <w:tblPr>
        <w:tblStyle w:val="TableGrid2"/>
        <w:tblW w:w="5000" w:type="pct"/>
        <w:tblInd w:w="0"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2571"/>
        <w:gridCol w:w="1296"/>
        <w:gridCol w:w="1296"/>
        <w:gridCol w:w="1350"/>
        <w:gridCol w:w="1098"/>
        <w:gridCol w:w="1415"/>
      </w:tblGrid>
      <w:tr w:rsidR="000F60FA" w:rsidRPr="005D5E65" w14:paraId="20B60337" w14:textId="77777777">
        <w:tc>
          <w:tcPr>
            <w:tcW w:w="1424" w:type="pct"/>
            <w:tcBorders>
              <w:top w:val="single" w:sz="4" w:space="0" w:color="BFBFBF"/>
              <w:left w:val="nil"/>
              <w:bottom w:val="single" w:sz="4" w:space="0" w:color="D9D9D9"/>
              <w:right w:val="nil"/>
            </w:tcBorders>
          </w:tcPr>
          <w:p w14:paraId="48AC4C49" w14:textId="77777777" w:rsidR="000F60FA" w:rsidRPr="005D5E65" w:rsidRDefault="000F60FA">
            <w:pPr>
              <w:spacing w:before="60" w:after="60"/>
              <w:rPr>
                <w:rFonts w:eastAsia="Calibri"/>
                <w:sz w:val="22"/>
                <w:szCs w:val="22"/>
                <w:lang w:val="en-CA" w:eastAsia="en-US"/>
              </w:rPr>
            </w:pPr>
          </w:p>
        </w:tc>
        <w:tc>
          <w:tcPr>
            <w:tcW w:w="718" w:type="pct"/>
            <w:tcBorders>
              <w:top w:val="single" w:sz="4" w:space="0" w:color="BFBFBF"/>
              <w:left w:val="nil"/>
              <w:bottom w:val="single" w:sz="4" w:space="0" w:color="D9D9D9"/>
              <w:right w:val="nil"/>
            </w:tcBorders>
          </w:tcPr>
          <w:p w14:paraId="14F76F0E"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Not at all satisfied</w:t>
            </w:r>
          </w:p>
        </w:tc>
        <w:tc>
          <w:tcPr>
            <w:tcW w:w="718" w:type="pct"/>
            <w:tcBorders>
              <w:top w:val="single" w:sz="4" w:space="0" w:color="BFBFBF"/>
              <w:left w:val="nil"/>
              <w:bottom w:val="single" w:sz="4" w:space="0" w:color="D9D9D9"/>
              <w:right w:val="nil"/>
            </w:tcBorders>
          </w:tcPr>
          <w:p w14:paraId="736C1A17"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Only a little bit satisfied</w:t>
            </w:r>
          </w:p>
        </w:tc>
        <w:tc>
          <w:tcPr>
            <w:tcW w:w="748" w:type="pct"/>
            <w:tcBorders>
              <w:top w:val="single" w:sz="4" w:space="0" w:color="BFBFBF"/>
              <w:left w:val="nil"/>
              <w:bottom w:val="single" w:sz="4" w:space="0" w:color="D9D9D9"/>
              <w:right w:val="nil"/>
            </w:tcBorders>
          </w:tcPr>
          <w:p w14:paraId="1531D26E"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Somewhat satisfied</w:t>
            </w:r>
          </w:p>
        </w:tc>
        <w:tc>
          <w:tcPr>
            <w:tcW w:w="608" w:type="pct"/>
            <w:tcBorders>
              <w:top w:val="single" w:sz="4" w:space="0" w:color="BFBFBF"/>
              <w:left w:val="nil"/>
              <w:bottom w:val="single" w:sz="4" w:space="0" w:color="D9D9D9"/>
              <w:right w:val="nil"/>
            </w:tcBorders>
          </w:tcPr>
          <w:p w14:paraId="336272FE"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Mostly satisfied</w:t>
            </w:r>
          </w:p>
        </w:tc>
        <w:tc>
          <w:tcPr>
            <w:tcW w:w="785" w:type="pct"/>
            <w:tcBorders>
              <w:top w:val="single" w:sz="4" w:space="0" w:color="BFBFBF"/>
              <w:left w:val="nil"/>
              <w:bottom w:val="single" w:sz="4" w:space="0" w:color="D9D9D9"/>
              <w:right w:val="nil"/>
            </w:tcBorders>
          </w:tcPr>
          <w:p w14:paraId="62E25A7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Completely satisfied</w:t>
            </w:r>
          </w:p>
        </w:tc>
      </w:tr>
      <w:tr w:rsidR="000F60FA" w:rsidRPr="005D5E65" w14:paraId="65E35E80" w14:textId="77777777">
        <w:tc>
          <w:tcPr>
            <w:tcW w:w="1424" w:type="pct"/>
            <w:tcBorders>
              <w:top w:val="single" w:sz="4" w:space="0" w:color="D9D9D9"/>
              <w:left w:val="nil"/>
              <w:bottom w:val="single" w:sz="4" w:space="0" w:color="D9D9D9"/>
              <w:right w:val="nil"/>
            </w:tcBorders>
            <w:hideMark/>
          </w:tcPr>
          <w:p w14:paraId="01A6295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way they explained how the participant’s matter would be dealt with</w:t>
            </w:r>
          </w:p>
        </w:tc>
        <w:tc>
          <w:tcPr>
            <w:tcW w:w="718" w:type="pct"/>
            <w:tcBorders>
              <w:top w:val="single" w:sz="4" w:space="0" w:color="D9D9D9"/>
              <w:left w:val="nil"/>
              <w:bottom w:val="single" w:sz="4" w:space="0" w:color="D9D9D9"/>
              <w:right w:val="nil"/>
            </w:tcBorders>
          </w:tcPr>
          <w:p w14:paraId="5E8D2966"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687A27B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3153625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hideMark/>
          </w:tcPr>
          <w:p w14:paraId="66F1686B"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563FBA85"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5BF6184D" w14:textId="77777777">
        <w:tc>
          <w:tcPr>
            <w:tcW w:w="1424" w:type="pct"/>
            <w:tcBorders>
              <w:top w:val="single" w:sz="4" w:space="0" w:color="D9D9D9"/>
              <w:left w:val="nil"/>
              <w:bottom w:val="single" w:sz="4" w:space="0" w:color="D9D9D9"/>
              <w:right w:val="nil"/>
            </w:tcBorders>
            <w:hideMark/>
          </w:tcPr>
          <w:p w14:paraId="5EAD3AB3"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information they gave you about the independent expert would review the matter</w:t>
            </w:r>
          </w:p>
        </w:tc>
        <w:tc>
          <w:tcPr>
            <w:tcW w:w="718" w:type="pct"/>
            <w:tcBorders>
              <w:top w:val="single" w:sz="4" w:space="0" w:color="D9D9D9"/>
              <w:left w:val="nil"/>
              <w:bottom w:val="single" w:sz="4" w:space="0" w:color="D9D9D9"/>
              <w:right w:val="nil"/>
            </w:tcBorders>
          </w:tcPr>
          <w:p w14:paraId="36B1DBF0"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604F6A24"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61A7CCC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hideMark/>
          </w:tcPr>
          <w:p w14:paraId="7D66F49B"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71C2DF1C"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26EDD846" w14:textId="77777777">
        <w:tc>
          <w:tcPr>
            <w:tcW w:w="1424" w:type="pct"/>
            <w:tcBorders>
              <w:top w:val="single" w:sz="4" w:space="0" w:color="D9D9D9"/>
              <w:left w:val="nil"/>
              <w:bottom w:val="single" w:sz="4" w:space="0" w:color="D9D9D9"/>
              <w:right w:val="nil"/>
            </w:tcBorders>
          </w:tcPr>
          <w:p w14:paraId="0B0F27CE"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 xml:space="preserve">The information they gave the independent expert about the matter </w:t>
            </w:r>
          </w:p>
        </w:tc>
        <w:tc>
          <w:tcPr>
            <w:tcW w:w="718" w:type="pct"/>
            <w:tcBorders>
              <w:top w:val="single" w:sz="4" w:space="0" w:color="D9D9D9"/>
              <w:left w:val="nil"/>
              <w:bottom w:val="single" w:sz="4" w:space="0" w:color="D9D9D9"/>
              <w:right w:val="nil"/>
            </w:tcBorders>
          </w:tcPr>
          <w:p w14:paraId="5F76B78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686C21B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1755671C"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tcPr>
          <w:p w14:paraId="42614E8D"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2A0F4599"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5D1CE86B" w14:textId="77777777">
        <w:tc>
          <w:tcPr>
            <w:tcW w:w="1424" w:type="pct"/>
            <w:tcBorders>
              <w:top w:val="single" w:sz="4" w:space="0" w:color="D9D9D9"/>
              <w:left w:val="nil"/>
              <w:bottom w:val="single" w:sz="4" w:space="0" w:color="D9D9D9"/>
              <w:right w:val="nil"/>
            </w:tcBorders>
          </w:tcPr>
          <w:p w14:paraId="0D8EB92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Their communication with you during the process</w:t>
            </w:r>
          </w:p>
        </w:tc>
        <w:tc>
          <w:tcPr>
            <w:tcW w:w="718" w:type="pct"/>
            <w:tcBorders>
              <w:top w:val="single" w:sz="4" w:space="0" w:color="D9D9D9"/>
              <w:left w:val="nil"/>
              <w:bottom w:val="single" w:sz="4" w:space="0" w:color="D9D9D9"/>
              <w:right w:val="nil"/>
            </w:tcBorders>
          </w:tcPr>
          <w:p w14:paraId="376261E4"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5452354E"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70D3C42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tcPr>
          <w:p w14:paraId="07181B2E"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42D76A7C"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72C77C7F" w14:textId="77777777">
        <w:tc>
          <w:tcPr>
            <w:tcW w:w="1424" w:type="pct"/>
            <w:tcBorders>
              <w:top w:val="single" w:sz="4" w:space="0" w:color="D9D9D9"/>
              <w:left w:val="nil"/>
              <w:bottom w:val="single" w:sz="4" w:space="0" w:color="D9D9D9"/>
              <w:right w:val="nil"/>
            </w:tcBorders>
          </w:tcPr>
          <w:p w14:paraId="390D34C0"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way they dealt with the independent expert’s recommendation</w:t>
            </w:r>
          </w:p>
        </w:tc>
        <w:tc>
          <w:tcPr>
            <w:tcW w:w="718" w:type="pct"/>
            <w:tcBorders>
              <w:top w:val="single" w:sz="4" w:space="0" w:color="D9D9D9"/>
              <w:left w:val="nil"/>
              <w:bottom w:val="single" w:sz="4" w:space="0" w:color="D9D9D9"/>
              <w:right w:val="nil"/>
            </w:tcBorders>
          </w:tcPr>
          <w:p w14:paraId="4AAD8876"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8" w:type="pct"/>
            <w:tcBorders>
              <w:top w:val="single" w:sz="4" w:space="0" w:color="D9D9D9"/>
              <w:left w:val="nil"/>
              <w:bottom w:val="single" w:sz="4" w:space="0" w:color="D9D9D9"/>
              <w:right w:val="nil"/>
            </w:tcBorders>
          </w:tcPr>
          <w:p w14:paraId="7E58E11E"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48" w:type="pct"/>
            <w:tcBorders>
              <w:top w:val="single" w:sz="4" w:space="0" w:color="D9D9D9"/>
              <w:left w:val="nil"/>
              <w:bottom w:val="single" w:sz="4" w:space="0" w:color="D9D9D9"/>
              <w:right w:val="nil"/>
            </w:tcBorders>
          </w:tcPr>
          <w:p w14:paraId="32C13C54"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08" w:type="pct"/>
            <w:tcBorders>
              <w:top w:val="single" w:sz="4" w:space="0" w:color="D9D9D9"/>
              <w:left w:val="nil"/>
              <w:bottom w:val="single" w:sz="4" w:space="0" w:color="D9D9D9"/>
              <w:right w:val="nil"/>
            </w:tcBorders>
          </w:tcPr>
          <w:p w14:paraId="3A3422E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85" w:type="pct"/>
            <w:tcBorders>
              <w:top w:val="single" w:sz="4" w:space="0" w:color="D9D9D9"/>
              <w:left w:val="nil"/>
              <w:bottom w:val="single" w:sz="4" w:space="0" w:color="D9D9D9"/>
              <w:right w:val="nil"/>
            </w:tcBorders>
          </w:tcPr>
          <w:p w14:paraId="7D2AECB3"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bl>
    <w:p w14:paraId="69FFFC82" w14:textId="77777777" w:rsidR="000F60FA" w:rsidRPr="005D5E65" w:rsidRDefault="000F60FA" w:rsidP="000F60FA">
      <w:pPr>
        <w:keepNext/>
        <w:spacing w:before="60" w:after="60" w:line="264" w:lineRule="auto"/>
        <w:ind w:left="567"/>
        <w:rPr>
          <w:rFonts w:eastAsia="Calibri" w:cs="Arial"/>
          <w:b/>
          <w:szCs w:val="22"/>
          <w:lang w:eastAsia="en-US"/>
        </w:rPr>
      </w:pPr>
    </w:p>
    <w:p w14:paraId="1C87087B" w14:textId="77777777" w:rsidR="000F60FA" w:rsidRPr="005D5E65" w:rsidRDefault="000F60FA" w:rsidP="00AD6A91">
      <w:pPr>
        <w:pStyle w:val="Q1Appendix"/>
      </w:pPr>
      <w:r w:rsidRPr="005D5E65">
        <w:t>Were you representing the NDIS Participant prior to the IER program?</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5874B396" w14:textId="77777777">
        <w:tc>
          <w:tcPr>
            <w:tcW w:w="5392" w:type="dxa"/>
            <w:tcBorders>
              <w:top w:val="single" w:sz="4" w:space="0" w:color="BFBFBF"/>
              <w:left w:val="nil"/>
              <w:bottom w:val="single" w:sz="4" w:space="0" w:color="D9D9D9"/>
              <w:right w:val="nil"/>
            </w:tcBorders>
            <w:hideMark/>
          </w:tcPr>
          <w:p w14:paraId="035D16D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Yes</w:t>
            </w:r>
          </w:p>
        </w:tc>
        <w:tc>
          <w:tcPr>
            <w:tcW w:w="1990" w:type="dxa"/>
            <w:tcBorders>
              <w:top w:val="single" w:sz="4" w:space="0" w:color="BFBFBF"/>
              <w:left w:val="nil"/>
              <w:bottom w:val="single" w:sz="4" w:space="0" w:color="D9D9D9"/>
              <w:right w:val="nil"/>
            </w:tcBorders>
            <w:hideMark/>
          </w:tcPr>
          <w:p w14:paraId="254162B6"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6A54A426" w14:textId="77777777">
        <w:tc>
          <w:tcPr>
            <w:tcW w:w="5392" w:type="dxa"/>
            <w:tcBorders>
              <w:top w:val="single" w:sz="4" w:space="0" w:color="D9D9D9"/>
              <w:left w:val="nil"/>
              <w:bottom w:val="single" w:sz="4" w:space="0" w:color="D9D9D9"/>
              <w:right w:val="nil"/>
            </w:tcBorders>
            <w:hideMark/>
          </w:tcPr>
          <w:p w14:paraId="101A68AC"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w:t>
            </w:r>
          </w:p>
        </w:tc>
        <w:tc>
          <w:tcPr>
            <w:tcW w:w="1990" w:type="dxa"/>
            <w:tcBorders>
              <w:top w:val="single" w:sz="4" w:space="0" w:color="D9D9D9"/>
              <w:left w:val="nil"/>
              <w:bottom w:val="single" w:sz="4" w:space="0" w:color="D9D9D9"/>
              <w:right w:val="nil"/>
            </w:tcBorders>
            <w:hideMark/>
          </w:tcPr>
          <w:p w14:paraId="602E4687"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4C2A305A" w14:textId="10A368DD" w:rsidR="000F60FA" w:rsidRPr="005D5E65" w:rsidRDefault="000F60FA" w:rsidP="000F60FA">
      <w:pPr>
        <w:keepNext/>
        <w:spacing w:before="60" w:after="60" w:line="264" w:lineRule="auto"/>
        <w:rPr>
          <w:rFonts w:eastAsia="Calibri" w:cs="Arial"/>
          <w:bCs/>
          <w:szCs w:val="22"/>
          <w:lang w:eastAsia="en-US"/>
        </w:rPr>
      </w:pPr>
      <w:r w:rsidRPr="005D5E65">
        <w:rPr>
          <w:rFonts w:eastAsia="Calibri" w:cs="Arial"/>
          <w:bCs/>
          <w:szCs w:val="22"/>
          <w:lang w:eastAsia="en-US"/>
        </w:rPr>
        <w:t>If “Yes” GO TO Q1</w:t>
      </w:r>
      <w:r w:rsidR="00E92FED">
        <w:rPr>
          <w:rFonts w:eastAsia="Calibri" w:cs="Arial"/>
          <w:bCs/>
          <w:szCs w:val="22"/>
          <w:lang w:eastAsia="en-US"/>
        </w:rPr>
        <w:t>3</w:t>
      </w:r>
    </w:p>
    <w:p w14:paraId="098DD1C7" w14:textId="3B4F8D0D" w:rsidR="000F60FA" w:rsidRPr="005D5E65" w:rsidRDefault="000F60FA" w:rsidP="000F60FA">
      <w:pPr>
        <w:keepNext/>
        <w:spacing w:before="60" w:after="60" w:line="264" w:lineRule="auto"/>
        <w:rPr>
          <w:rFonts w:eastAsia="Calibri" w:cs="Arial"/>
          <w:bCs/>
          <w:szCs w:val="22"/>
          <w:lang w:eastAsia="en-US"/>
        </w:rPr>
      </w:pPr>
      <w:r w:rsidRPr="005D5E65">
        <w:rPr>
          <w:rFonts w:eastAsia="Calibri" w:cs="Arial"/>
          <w:bCs/>
          <w:szCs w:val="22"/>
          <w:lang w:eastAsia="en-US"/>
        </w:rPr>
        <w:t xml:space="preserve">If “No” GO TO </w:t>
      </w:r>
      <w:r w:rsidR="00E92FED" w:rsidRPr="005D5E65">
        <w:rPr>
          <w:rFonts w:eastAsia="Calibri" w:cs="Arial"/>
          <w:bCs/>
          <w:szCs w:val="22"/>
          <w:lang w:eastAsia="en-US"/>
        </w:rPr>
        <w:t>Q1</w:t>
      </w:r>
      <w:r w:rsidR="00E92FED">
        <w:rPr>
          <w:rFonts w:eastAsia="Calibri" w:cs="Arial"/>
          <w:bCs/>
          <w:szCs w:val="22"/>
          <w:lang w:eastAsia="en-US"/>
        </w:rPr>
        <w:t>4</w:t>
      </w:r>
    </w:p>
    <w:p w14:paraId="20B5740B" w14:textId="1777E8EB" w:rsidR="000F60FA" w:rsidRPr="005D5E65" w:rsidRDefault="000F60FA" w:rsidP="000F60FA">
      <w:pPr>
        <w:spacing w:before="0" w:after="160" w:line="259" w:lineRule="auto"/>
        <w:rPr>
          <w:rFonts w:eastAsia="Calibri" w:cs="Arial"/>
          <w:b/>
          <w:szCs w:val="22"/>
          <w:lang w:eastAsia="en-US"/>
        </w:rPr>
      </w:pPr>
      <w:r w:rsidRPr="005D5E65">
        <w:rPr>
          <w:rFonts w:eastAsia="Calibri" w:cs="Arial"/>
          <w:b/>
          <w:szCs w:val="22"/>
          <w:lang w:eastAsia="en-US"/>
        </w:rPr>
        <w:br w:type="page"/>
      </w:r>
    </w:p>
    <w:p w14:paraId="6C319F0A" w14:textId="77777777" w:rsidR="000F60FA" w:rsidRPr="005D5E65" w:rsidRDefault="000F60FA" w:rsidP="00AD6A91">
      <w:pPr>
        <w:pStyle w:val="Q1Appendix"/>
      </w:pPr>
      <w:r w:rsidRPr="005D5E65">
        <w:lastRenderedPageBreak/>
        <w:t>How did your experience with the IER program compare to your experience with the AAT process in relation to the Participant’s matter?</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7978518A" w14:textId="77777777">
        <w:tc>
          <w:tcPr>
            <w:tcW w:w="5392" w:type="dxa"/>
            <w:tcBorders>
              <w:top w:val="single" w:sz="4" w:space="0" w:color="BFBFBF"/>
              <w:left w:val="nil"/>
              <w:bottom w:val="single" w:sz="4" w:space="0" w:color="D9D9D9"/>
              <w:right w:val="nil"/>
            </w:tcBorders>
            <w:hideMark/>
          </w:tcPr>
          <w:p w14:paraId="46AF22B1"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Worse</w:t>
            </w:r>
          </w:p>
        </w:tc>
        <w:tc>
          <w:tcPr>
            <w:tcW w:w="1990" w:type="dxa"/>
            <w:tcBorders>
              <w:top w:val="single" w:sz="4" w:space="0" w:color="BFBFBF"/>
              <w:left w:val="nil"/>
              <w:bottom w:val="single" w:sz="4" w:space="0" w:color="D9D9D9"/>
              <w:right w:val="nil"/>
            </w:tcBorders>
            <w:hideMark/>
          </w:tcPr>
          <w:p w14:paraId="47D2B50B"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000C6CDF" w14:textId="77777777">
        <w:tc>
          <w:tcPr>
            <w:tcW w:w="5392" w:type="dxa"/>
            <w:tcBorders>
              <w:top w:val="single" w:sz="4" w:space="0" w:color="D9D9D9"/>
              <w:left w:val="nil"/>
              <w:bottom w:val="single" w:sz="4" w:space="0" w:color="D9D9D9"/>
              <w:right w:val="nil"/>
            </w:tcBorders>
            <w:hideMark/>
          </w:tcPr>
          <w:p w14:paraId="17DD269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About the same</w:t>
            </w:r>
          </w:p>
        </w:tc>
        <w:tc>
          <w:tcPr>
            <w:tcW w:w="1990" w:type="dxa"/>
            <w:tcBorders>
              <w:top w:val="single" w:sz="4" w:space="0" w:color="D9D9D9"/>
              <w:left w:val="nil"/>
              <w:bottom w:val="single" w:sz="4" w:space="0" w:color="D9D9D9"/>
              <w:right w:val="nil"/>
            </w:tcBorders>
            <w:hideMark/>
          </w:tcPr>
          <w:p w14:paraId="1A1DB098"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322184BF" w14:textId="77777777">
        <w:tc>
          <w:tcPr>
            <w:tcW w:w="5392" w:type="dxa"/>
            <w:tcBorders>
              <w:top w:val="single" w:sz="4" w:space="0" w:color="D9D9D9"/>
              <w:left w:val="nil"/>
              <w:bottom w:val="single" w:sz="4" w:space="0" w:color="D9D9D9"/>
              <w:right w:val="nil"/>
            </w:tcBorders>
            <w:hideMark/>
          </w:tcPr>
          <w:p w14:paraId="77B95C95"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Better</w:t>
            </w:r>
          </w:p>
        </w:tc>
        <w:tc>
          <w:tcPr>
            <w:tcW w:w="1990" w:type="dxa"/>
            <w:tcBorders>
              <w:top w:val="single" w:sz="4" w:space="0" w:color="D9D9D9"/>
              <w:left w:val="nil"/>
              <w:bottom w:val="single" w:sz="4" w:space="0" w:color="D9D9D9"/>
              <w:right w:val="nil"/>
            </w:tcBorders>
            <w:hideMark/>
          </w:tcPr>
          <w:p w14:paraId="1D21BB77"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4AEE55EC" w14:textId="77777777" w:rsidR="000F60FA" w:rsidRPr="005D5E65" w:rsidRDefault="000F60FA" w:rsidP="000F60FA">
      <w:pPr>
        <w:spacing w:before="60" w:after="60" w:line="264" w:lineRule="auto"/>
        <w:rPr>
          <w:rFonts w:eastAsia="DengXian" w:cs="Cordia New"/>
          <w:b/>
          <w:bCs/>
          <w:szCs w:val="22"/>
          <w:lang w:eastAsia="en-US"/>
        </w:rPr>
      </w:pPr>
    </w:p>
    <w:p w14:paraId="346323F7" w14:textId="77777777" w:rsidR="000F60FA" w:rsidRPr="005D5E65" w:rsidRDefault="000F60FA" w:rsidP="00AD6A91">
      <w:pPr>
        <w:pStyle w:val="Q1Appendix"/>
      </w:pPr>
      <w:r w:rsidRPr="005D5E65">
        <w:t>To what extent did the IER program give the Participant and yourself the opportunity to be heard?</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61C82D4A" w14:textId="77777777">
        <w:tc>
          <w:tcPr>
            <w:tcW w:w="5392" w:type="dxa"/>
            <w:tcBorders>
              <w:top w:val="single" w:sz="4" w:space="0" w:color="BFBFBF"/>
              <w:left w:val="nil"/>
              <w:bottom w:val="single" w:sz="4" w:space="0" w:color="D9D9D9"/>
              <w:right w:val="nil"/>
            </w:tcBorders>
            <w:hideMark/>
          </w:tcPr>
          <w:p w14:paraId="5A677D6A"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Not at all</w:t>
            </w:r>
          </w:p>
        </w:tc>
        <w:tc>
          <w:tcPr>
            <w:tcW w:w="1990" w:type="dxa"/>
            <w:tcBorders>
              <w:top w:val="single" w:sz="4" w:space="0" w:color="BFBFBF"/>
              <w:left w:val="nil"/>
              <w:bottom w:val="single" w:sz="4" w:space="0" w:color="D9D9D9"/>
              <w:right w:val="nil"/>
            </w:tcBorders>
            <w:hideMark/>
          </w:tcPr>
          <w:p w14:paraId="4F433EAC"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4A28F614" w14:textId="77777777">
        <w:tc>
          <w:tcPr>
            <w:tcW w:w="5392" w:type="dxa"/>
            <w:tcBorders>
              <w:top w:val="single" w:sz="4" w:space="0" w:color="D9D9D9"/>
              <w:left w:val="nil"/>
              <w:bottom w:val="single" w:sz="4" w:space="0" w:color="D9D9D9"/>
              <w:right w:val="nil"/>
            </w:tcBorders>
            <w:hideMark/>
          </w:tcPr>
          <w:p w14:paraId="577E63CC"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little, it wasn’t enough</w:t>
            </w:r>
          </w:p>
        </w:tc>
        <w:tc>
          <w:tcPr>
            <w:tcW w:w="1990" w:type="dxa"/>
            <w:tcBorders>
              <w:top w:val="single" w:sz="4" w:space="0" w:color="D9D9D9"/>
              <w:left w:val="nil"/>
              <w:bottom w:val="single" w:sz="4" w:space="0" w:color="D9D9D9"/>
              <w:right w:val="nil"/>
            </w:tcBorders>
            <w:hideMark/>
          </w:tcPr>
          <w:p w14:paraId="26C762E0"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1B2B04B8" w14:textId="77777777">
        <w:tc>
          <w:tcPr>
            <w:tcW w:w="5392" w:type="dxa"/>
            <w:tcBorders>
              <w:top w:val="single" w:sz="4" w:space="0" w:color="D9D9D9"/>
              <w:left w:val="nil"/>
              <w:bottom w:val="single" w:sz="4" w:space="0" w:color="D9D9D9"/>
              <w:right w:val="nil"/>
            </w:tcBorders>
            <w:hideMark/>
          </w:tcPr>
          <w:p w14:paraId="20753AC7"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Somewhat but it could have been more</w:t>
            </w:r>
          </w:p>
        </w:tc>
        <w:tc>
          <w:tcPr>
            <w:tcW w:w="1990" w:type="dxa"/>
            <w:tcBorders>
              <w:top w:val="single" w:sz="4" w:space="0" w:color="D9D9D9"/>
              <w:left w:val="nil"/>
              <w:bottom w:val="single" w:sz="4" w:space="0" w:color="D9D9D9"/>
              <w:right w:val="nil"/>
            </w:tcBorders>
            <w:hideMark/>
          </w:tcPr>
          <w:p w14:paraId="4C5CB225"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29449B6B" w14:textId="77777777">
        <w:tc>
          <w:tcPr>
            <w:tcW w:w="5392" w:type="dxa"/>
            <w:tcBorders>
              <w:top w:val="single" w:sz="4" w:space="0" w:color="D9D9D9"/>
              <w:left w:val="nil"/>
              <w:bottom w:val="single" w:sz="4" w:space="0" w:color="D9D9D9"/>
              <w:right w:val="nil"/>
            </w:tcBorders>
          </w:tcPr>
          <w:p w14:paraId="5C60C110"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A lot</w:t>
            </w:r>
          </w:p>
        </w:tc>
        <w:tc>
          <w:tcPr>
            <w:tcW w:w="1990" w:type="dxa"/>
            <w:tcBorders>
              <w:top w:val="single" w:sz="4" w:space="0" w:color="D9D9D9"/>
              <w:left w:val="nil"/>
              <w:bottom w:val="single" w:sz="4" w:space="0" w:color="D9D9D9"/>
              <w:right w:val="nil"/>
            </w:tcBorders>
          </w:tcPr>
          <w:p w14:paraId="06DB61D3"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bl>
    <w:p w14:paraId="556C307F" w14:textId="12129976" w:rsidR="000F60FA" w:rsidRPr="005D5E65" w:rsidRDefault="000F60FA" w:rsidP="000F60FA">
      <w:pPr>
        <w:rPr>
          <w:szCs w:val="22"/>
          <w:lang w:eastAsia="en-US"/>
        </w:rPr>
      </w:pPr>
    </w:p>
    <w:p w14:paraId="328D6828" w14:textId="77777777" w:rsidR="000F60FA" w:rsidRPr="005D5E65" w:rsidRDefault="000F60FA" w:rsidP="00AD6A91">
      <w:pPr>
        <w:pStyle w:val="Q1Appendix"/>
      </w:pPr>
      <w:r w:rsidRPr="005D5E65">
        <w:t>Did the Participant or yourself have more or less opportunity to be heard in the IER process compared to the AAT process?</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5445E193" w14:textId="77777777">
        <w:tc>
          <w:tcPr>
            <w:tcW w:w="5392" w:type="dxa"/>
            <w:tcBorders>
              <w:top w:val="single" w:sz="4" w:space="0" w:color="BFBFBF"/>
              <w:left w:val="nil"/>
              <w:bottom w:val="single" w:sz="4" w:space="0" w:color="D9D9D9"/>
              <w:right w:val="nil"/>
            </w:tcBorders>
            <w:hideMark/>
          </w:tcPr>
          <w:p w14:paraId="75E18F35"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Less</w:t>
            </w:r>
          </w:p>
        </w:tc>
        <w:tc>
          <w:tcPr>
            <w:tcW w:w="1990" w:type="dxa"/>
            <w:tcBorders>
              <w:top w:val="single" w:sz="4" w:space="0" w:color="BFBFBF"/>
              <w:left w:val="nil"/>
              <w:bottom w:val="single" w:sz="4" w:space="0" w:color="D9D9D9"/>
              <w:right w:val="nil"/>
            </w:tcBorders>
            <w:hideMark/>
          </w:tcPr>
          <w:p w14:paraId="693FEBCC"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1067A796" w14:textId="77777777">
        <w:tc>
          <w:tcPr>
            <w:tcW w:w="5392" w:type="dxa"/>
            <w:tcBorders>
              <w:top w:val="single" w:sz="4" w:space="0" w:color="D9D9D9"/>
              <w:left w:val="nil"/>
              <w:bottom w:val="single" w:sz="4" w:space="0" w:color="D9D9D9"/>
              <w:right w:val="nil"/>
            </w:tcBorders>
            <w:hideMark/>
          </w:tcPr>
          <w:p w14:paraId="17EBB6E5"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About the same</w:t>
            </w:r>
          </w:p>
        </w:tc>
        <w:tc>
          <w:tcPr>
            <w:tcW w:w="1990" w:type="dxa"/>
            <w:tcBorders>
              <w:top w:val="single" w:sz="4" w:space="0" w:color="D9D9D9"/>
              <w:left w:val="nil"/>
              <w:bottom w:val="single" w:sz="4" w:space="0" w:color="D9D9D9"/>
              <w:right w:val="nil"/>
            </w:tcBorders>
            <w:hideMark/>
          </w:tcPr>
          <w:p w14:paraId="48D437A6"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6242F89F" w14:textId="77777777">
        <w:tc>
          <w:tcPr>
            <w:tcW w:w="5392" w:type="dxa"/>
            <w:tcBorders>
              <w:top w:val="single" w:sz="4" w:space="0" w:color="D9D9D9"/>
              <w:left w:val="nil"/>
              <w:bottom w:val="single" w:sz="4" w:space="0" w:color="D9D9D9"/>
              <w:right w:val="nil"/>
            </w:tcBorders>
            <w:hideMark/>
          </w:tcPr>
          <w:p w14:paraId="7394D585"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More</w:t>
            </w:r>
          </w:p>
        </w:tc>
        <w:tc>
          <w:tcPr>
            <w:tcW w:w="1990" w:type="dxa"/>
            <w:tcBorders>
              <w:top w:val="single" w:sz="4" w:space="0" w:color="D9D9D9"/>
              <w:left w:val="nil"/>
              <w:bottom w:val="single" w:sz="4" w:space="0" w:color="D9D9D9"/>
              <w:right w:val="nil"/>
            </w:tcBorders>
            <w:hideMark/>
          </w:tcPr>
          <w:p w14:paraId="2FD039B7"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3E48CF1E" w14:textId="77777777" w:rsidR="000F60FA" w:rsidRPr="005D5E65" w:rsidRDefault="000F60FA" w:rsidP="000F60FA">
      <w:pPr>
        <w:spacing w:before="120"/>
        <w:rPr>
          <w:rFonts w:eastAsia="Calibri" w:cs="Cordia New"/>
          <w:szCs w:val="22"/>
          <w:lang w:eastAsia="en-US"/>
        </w:rPr>
      </w:pPr>
    </w:p>
    <w:p w14:paraId="0A3E8632" w14:textId="77777777" w:rsidR="000F60FA" w:rsidRPr="005D5E65" w:rsidRDefault="000F60FA" w:rsidP="00AD6A91">
      <w:pPr>
        <w:pStyle w:val="Q1Appendix"/>
      </w:pPr>
      <w:r w:rsidRPr="005D5E65">
        <w:t>To what extent did the IER program assist to build your trust in the NDIA’s review process?</w:t>
      </w:r>
    </w:p>
    <w:tbl>
      <w:tblPr>
        <w:tblStyle w:val="TableGrid2"/>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7B496F49" w14:textId="77777777">
        <w:tc>
          <w:tcPr>
            <w:tcW w:w="5392" w:type="dxa"/>
            <w:tcBorders>
              <w:top w:val="single" w:sz="4" w:space="0" w:color="BFBFBF"/>
              <w:left w:val="nil"/>
              <w:bottom w:val="single" w:sz="4" w:space="0" w:color="D9D9D9"/>
              <w:right w:val="nil"/>
            </w:tcBorders>
            <w:hideMark/>
          </w:tcPr>
          <w:p w14:paraId="1BAEECE8"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 xml:space="preserve">Not at all </w:t>
            </w:r>
          </w:p>
        </w:tc>
        <w:tc>
          <w:tcPr>
            <w:tcW w:w="1990" w:type="dxa"/>
            <w:tcBorders>
              <w:top w:val="single" w:sz="4" w:space="0" w:color="BFBFBF"/>
              <w:left w:val="nil"/>
              <w:bottom w:val="single" w:sz="4" w:space="0" w:color="D9D9D9"/>
              <w:right w:val="nil"/>
            </w:tcBorders>
            <w:hideMark/>
          </w:tcPr>
          <w:p w14:paraId="20C3315D"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1EAC9225" w14:textId="77777777">
        <w:tc>
          <w:tcPr>
            <w:tcW w:w="5392" w:type="dxa"/>
            <w:tcBorders>
              <w:top w:val="single" w:sz="4" w:space="0" w:color="D9D9D9"/>
              <w:left w:val="nil"/>
              <w:bottom w:val="single" w:sz="4" w:space="0" w:color="D9D9D9"/>
              <w:right w:val="nil"/>
            </w:tcBorders>
            <w:hideMark/>
          </w:tcPr>
          <w:p w14:paraId="4B3F2DB1"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 xml:space="preserve">Very little </w:t>
            </w:r>
          </w:p>
        </w:tc>
        <w:tc>
          <w:tcPr>
            <w:tcW w:w="1990" w:type="dxa"/>
            <w:tcBorders>
              <w:top w:val="single" w:sz="4" w:space="0" w:color="D9D9D9"/>
              <w:left w:val="nil"/>
              <w:bottom w:val="single" w:sz="4" w:space="0" w:color="D9D9D9"/>
              <w:right w:val="nil"/>
            </w:tcBorders>
            <w:hideMark/>
          </w:tcPr>
          <w:p w14:paraId="51C8C7FA"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5E978426" w14:textId="77777777">
        <w:tc>
          <w:tcPr>
            <w:tcW w:w="5392" w:type="dxa"/>
            <w:tcBorders>
              <w:top w:val="single" w:sz="4" w:space="0" w:color="D9D9D9"/>
              <w:left w:val="nil"/>
              <w:bottom w:val="single" w:sz="4" w:space="0" w:color="D9D9D9"/>
              <w:right w:val="nil"/>
            </w:tcBorders>
            <w:hideMark/>
          </w:tcPr>
          <w:p w14:paraId="5D6F647D"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 xml:space="preserve">Somewhat </w:t>
            </w:r>
          </w:p>
        </w:tc>
        <w:tc>
          <w:tcPr>
            <w:tcW w:w="1990" w:type="dxa"/>
            <w:tcBorders>
              <w:top w:val="single" w:sz="4" w:space="0" w:color="D9D9D9"/>
              <w:left w:val="nil"/>
              <w:bottom w:val="single" w:sz="4" w:space="0" w:color="D9D9D9"/>
              <w:right w:val="nil"/>
            </w:tcBorders>
            <w:hideMark/>
          </w:tcPr>
          <w:p w14:paraId="156F0174"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64A93835" w14:textId="77777777">
        <w:tc>
          <w:tcPr>
            <w:tcW w:w="5392" w:type="dxa"/>
            <w:tcBorders>
              <w:top w:val="single" w:sz="4" w:space="0" w:color="D9D9D9"/>
              <w:left w:val="nil"/>
              <w:bottom w:val="single" w:sz="4" w:space="0" w:color="D9D9D9"/>
              <w:right w:val="nil"/>
            </w:tcBorders>
          </w:tcPr>
          <w:p w14:paraId="75B58ACE"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 xml:space="preserve">A lot </w:t>
            </w:r>
          </w:p>
        </w:tc>
        <w:tc>
          <w:tcPr>
            <w:tcW w:w="1990" w:type="dxa"/>
            <w:tcBorders>
              <w:top w:val="single" w:sz="4" w:space="0" w:color="D9D9D9"/>
              <w:left w:val="nil"/>
              <w:bottom w:val="single" w:sz="4" w:space="0" w:color="D9D9D9"/>
              <w:right w:val="nil"/>
            </w:tcBorders>
          </w:tcPr>
          <w:p w14:paraId="509AFB58"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bl>
    <w:p w14:paraId="4ADE2FE8" w14:textId="77777777" w:rsidR="000F60FA" w:rsidRPr="005D5E65" w:rsidRDefault="000F60FA" w:rsidP="000F60FA">
      <w:pPr>
        <w:spacing w:before="120"/>
        <w:rPr>
          <w:rFonts w:eastAsia="Calibri" w:cs="Cordia New"/>
          <w:szCs w:val="22"/>
          <w:lang w:eastAsia="en-US"/>
        </w:rPr>
      </w:pPr>
    </w:p>
    <w:p w14:paraId="48E0AB47" w14:textId="5D6F75FB" w:rsidR="000F60FA" w:rsidRPr="005D5E65" w:rsidRDefault="000F60FA" w:rsidP="00AD6A91">
      <w:pPr>
        <w:pStyle w:val="Q1Appendix"/>
      </w:pPr>
      <w:r w:rsidRPr="005D5E65">
        <w:t>Why did you select this rating?</w:t>
      </w:r>
    </w:p>
    <w:p w14:paraId="6E178E05"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 FREE TEXT&gt;</w:t>
      </w:r>
    </w:p>
    <w:p w14:paraId="18B03DBF" w14:textId="77777777" w:rsidR="000F60FA" w:rsidRPr="005D5E65" w:rsidRDefault="000F60FA" w:rsidP="000F60FA">
      <w:pPr>
        <w:spacing w:before="120"/>
        <w:rPr>
          <w:rFonts w:eastAsia="Calibri" w:cs="Arial"/>
          <w:szCs w:val="22"/>
          <w:lang w:eastAsia="en-US"/>
        </w:rPr>
      </w:pPr>
    </w:p>
    <w:p w14:paraId="3C3D7977" w14:textId="7009FAF5" w:rsidR="000F60FA" w:rsidRPr="005D5E65" w:rsidRDefault="000F60FA" w:rsidP="00AD6A91">
      <w:pPr>
        <w:pStyle w:val="Q1Appendix"/>
      </w:pPr>
      <w:r w:rsidRPr="005D5E65">
        <w:lastRenderedPageBreak/>
        <w:t xml:space="preserve">How could the NDIA improve the IER process? </w:t>
      </w:r>
    </w:p>
    <w:p w14:paraId="1D69A319"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78A2B9E4" w14:textId="77777777" w:rsidR="000F60FA" w:rsidRPr="005D5E65" w:rsidRDefault="000F60FA" w:rsidP="000F60FA">
      <w:pPr>
        <w:spacing w:before="120"/>
        <w:rPr>
          <w:rFonts w:eastAsia="Calibri" w:cs="Arial"/>
          <w:szCs w:val="22"/>
          <w:lang w:val="en-CA" w:eastAsia="en-AU"/>
        </w:rPr>
      </w:pPr>
    </w:p>
    <w:p w14:paraId="15C2486E" w14:textId="77777777" w:rsidR="000F60FA" w:rsidRPr="005D5E65" w:rsidRDefault="000F60FA" w:rsidP="000F60FA">
      <w:pPr>
        <w:rPr>
          <w:szCs w:val="22"/>
          <w:lang w:eastAsia="en-AU"/>
        </w:rPr>
      </w:pPr>
      <w:r w:rsidRPr="005D5E65">
        <w:rPr>
          <w:szCs w:val="22"/>
          <w:lang w:eastAsia="en-AU"/>
        </w:rPr>
        <w:t>Thank you for completing this survey on your experience with the IER program. Your feedback and ideas are important to us.</w:t>
      </w:r>
    </w:p>
    <w:p w14:paraId="59616D51" w14:textId="77777777" w:rsidR="000F60FA" w:rsidRPr="005D5E65" w:rsidRDefault="000F60FA" w:rsidP="000F60FA">
      <w:pPr>
        <w:rPr>
          <w:szCs w:val="22"/>
          <w:lang w:eastAsia="en-AU"/>
        </w:rPr>
      </w:pPr>
      <w:r w:rsidRPr="005D5E65">
        <w:rPr>
          <w:szCs w:val="22"/>
          <w:lang w:eastAsia="en-AU"/>
        </w:rPr>
        <w:t>Your input will help us to understand how to improve the IER program.</w:t>
      </w:r>
    </w:p>
    <w:p w14:paraId="09AB8F9A" w14:textId="77777777" w:rsidR="000F60FA" w:rsidRPr="005D5E65" w:rsidRDefault="000F60FA" w:rsidP="000F60FA">
      <w:pPr>
        <w:rPr>
          <w:szCs w:val="22"/>
          <w:lang w:eastAsia="en-AU"/>
        </w:rPr>
      </w:pPr>
      <w:r w:rsidRPr="005D5E65">
        <w:rPr>
          <w:szCs w:val="22"/>
          <w:lang w:eastAsia="en-AU"/>
        </w:rPr>
        <w:t>To submit your responses, please click on the 'submit' button below.</w:t>
      </w:r>
    </w:p>
    <w:p w14:paraId="15B0ABE3" w14:textId="77777777" w:rsidR="000F60FA" w:rsidRDefault="000F60FA" w:rsidP="000F60FA">
      <w:r w:rsidRPr="005D5E65">
        <w:rPr>
          <w:szCs w:val="22"/>
        </w:rPr>
        <w:br w:type="page"/>
      </w:r>
    </w:p>
    <w:p w14:paraId="35BEEBFF" w14:textId="77777777" w:rsidR="000F60FA" w:rsidRDefault="000F60FA" w:rsidP="00707181">
      <w:pPr>
        <w:pStyle w:val="Heading3"/>
        <w:numPr>
          <w:ilvl w:val="0"/>
          <w:numId w:val="0"/>
        </w:numPr>
        <w:ind w:left="1134" w:hanging="1134"/>
      </w:pPr>
      <w:bookmarkStart w:id="167" w:name="_Toc140146263"/>
      <w:bookmarkStart w:id="168" w:name="_Toc140148932"/>
      <w:bookmarkStart w:id="169" w:name="_Toc140157516"/>
      <w:bookmarkStart w:id="170" w:name="_Toc142483294"/>
      <w:bookmarkStart w:id="171" w:name="_Toc142918623"/>
      <w:r>
        <w:lastRenderedPageBreak/>
        <w:t>Independent experts</w:t>
      </w:r>
      <w:bookmarkEnd w:id="167"/>
      <w:bookmarkEnd w:id="168"/>
      <w:bookmarkEnd w:id="169"/>
      <w:bookmarkEnd w:id="170"/>
      <w:bookmarkEnd w:id="171"/>
    </w:p>
    <w:p w14:paraId="787068E1" w14:textId="7313BCAC" w:rsidR="000F60FA" w:rsidRPr="005D5E65" w:rsidRDefault="000F60FA" w:rsidP="00C06BC7">
      <w:pPr>
        <w:pStyle w:val="AppendixH4"/>
      </w:pPr>
      <w:r w:rsidRPr="005D5E65">
        <w:t>Welcome to the Independent Expert Review (IER) Program survey.</w:t>
      </w:r>
    </w:p>
    <w:p w14:paraId="0B747860" w14:textId="77777777" w:rsidR="000F60FA" w:rsidRPr="005D5E65" w:rsidRDefault="000F60FA" w:rsidP="000F60FA">
      <w:pPr>
        <w:spacing w:before="120"/>
        <w:rPr>
          <w:rFonts w:ascii="Calibri" w:eastAsia="DengXian" w:hAnsi="Calibri" w:cs="Cordia New"/>
          <w:szCs w:val="22"/>
          <w:lang w:eastAsia="zh-CN" w:bidi="th-TH"/>
        </w:rPr>
      </w:pPr>
      <w:r w:rsidRPr="005D5E65">
        <w:rPr>
          <w:rFonts w:eastAsia="Calibri" w:cs="Cordia New"/>
          <w:szCs w:val="22"/>
          <w:lang w:eastAsia="en-US"/>
        </w:rPr>
        <w:t xml:space="preserve">The Agency commenced the IER program in October 2022. </w:t>
      </w:r>
    </w:p>
    <w:p w14:paraId="0E3ABF70"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We are now seeking to obtain some feedback from you about your experience as an Independent Expert with the IER program to better inform how it could be improved as it expands in 2023.      </w:t>
      </w:r>
    </w:p>
    <w:p w14:paraId="7ECEE6E1"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The survey will take you about 15 minutes to complete.</w:t>
      </w:r>
    </w:p>
    <w:p w14:paraId="627C329B"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Please remember that:</w:t>
      </w:r>
    </w:p>
    <w:p w14:paraId="51AE61AA" w14:textId="77777777" w:rsidR="000F60FA" w:rsidRPr="005D5E65" w:rsidRDefault="000F60FA" w:rsidP="000705FE">
      <w:pPr>
        <w:numPr>
          <w:ilvl w:val="0"/>
          <w:numId w:val="25"/>
        </w:numPr>
        <w:spacing w:before="120"/>
        <w:rPr>
          <w:rFonts w:eastAsia="Calibri" w:cs="Cordia New"/>
          <w:szCs w:val="22"/>
          <w:lang w:eastAsia="en-US"/>
        </w:rPr>
      </w:pPr>
      <w:r w:rsidRPr="005D5E65">
        <w:rPr>
          <w:rFonts w:eastAsia="Calibri" w:cs="Cordia New"/>
          <w:szCs w:val="22"/>
          <w:lang w:eastAsia="en-US"/>
        </w:rPr>
        <w:t xml:space="preserve">You don't have to do the survey if you don’t want to. </w:t>
      </w:r>
    </w:p>
    <w:p w14:paraId="29E58C2E" w14:textId="77777777" w:rsidR="000F60FA" w:rsidRPr="005D5E65" w:rsidRDefault="000F60FA" w:rsidP="000705FE">
      <w:pPr>
        <w:numPr>
          <w:ilvl w:val="0"/>
          <w:numId w:val="25"/>
        </w:numPr>
        <w:spacing w:before="120"/>
        <w:rPr>
          <w:rFonts w:eastAsia="Calibri" w:cs="Cordia New"/>
          <w:szCs w:val="22"/>
          <w:lang w:eastAsia="en-US"/>
        </w:rPr>
      </w:pPr>
      <w:r w:rsidRPr="005D5E65">
        <w:rPr>
          <w:rFonts w:eastAsia="Calibri" w:cs="Cordia New"/>
          <w:szCs w:val="22"/>
          <w:lang w:eastAsia="en-US"/>
        </w:rPr>
        <w:t>Your answers will be collated and remain anonymous.</w:t>
      </w:r>
    </w:p>
    <w:p w14:paraId="663F76E2" w14:textId="77777777" w:rsidR="000F60FA" w:rsidRPr="005D5E65" w:rsidRDefault="000F60FA" w:rsidP="000F60FA">
      <w:pPr>
        <w:shd w:val="clear" w:color="auto" w:fill="FFFFFF"/>
        <w:spacing w:before="120" w:after="100" w:afterAutospacing="1"/>
        <w:rPr>
          <w:rFonts w:ascii="Segoe UI" w:eastAsia="Calibri" w:hAnsi="Segoe UI" w:cs="Segoe UI"/>
          <w:color w:val="212529"/>
          <w:szCs w:val="22"/>
          <w:lang w:eastAsia="en-US"/>
        </w:rPr>
      </w:pPr>
      <w:r w:rsidRPr="005D5E65">
        <w:rPr>
          <w:rFonts w:eastAsia="Calibri" w:cs="Cordia New"/>
          <w:szCs w:val="22"/>
          <w:lang w:eastAsia="en-US"/>
        </w:rPr>
        <w:t xml:space="preserve">Information about how we handle your responses can be found in the </w:t>
      </w:r>
      <w:hyperlink r:id="rId34" w:history="1">
        <w:r w:rsidRPr="00F14447">
          <w:rPr>
            <w:rFonts w:ascii="Segoe UI" w:eastAsia="Calibri" w:hAnsi="Segoe UI" w:cs="Segoe UI"/>
            <w:b/>
            <w:bCs/>
            <w:color w:val="6B2976"/>
            <w:szCs w:val="22"/>
            <w:u w:val="single"/>
            <w:lang w:eastAsia="en-US"/>
          </w:rPr>
          <w:t>NDIS Privacy Policy</w:t>
        </w:r>
      </w:hyperlink>
      <w:r w:rsidRPr="005D5E65">
        <w:rPr>
          <w:rFonts w:ascii="Segoe UI" w:eastAsia="Calibri" w:hAnsi="Segoe UI" w:cs="Segoe UI"/>
          <w:color w:val="212529"/>
          <w:szCs w:val="22"/>
          <w:lang w:eastAsia="en-US"/>
        </w:rPr>
        <w:t xml:space="preserve"> </w:t>
      </w:r>
      <w:r w:rsidRPr="005D5E65">
        <w:rPr>
          <w:rFonts w:eastAsia="Calibri" w:cs="Cordia New"/>
          <w:szCs w:val="22"/>
          <w:lang w:eastAsia="en-US"/>
        </w:rPr>
        <w:t>and the survey information statement. You can read this statement before you decide to start the survey.</w:t>
      </w:r>
    </w:p>
    <w:p w14:paraId="2BC0A275"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Your feedback and ideas are important to us. By answering the question below, you agree that you </w:t>
      </w:r>
    </w:p>
    <w:p w14:paraId="18251AA1" w14:textId="77777777" w:rsidR="000F60FA" w:rsidRPr="005D5E65" w:rsidRDefault="000F60FA" w:rsidP="000705FE">
      <w:pPr>
        <w:numPr>
          <w:ilvl w:val="0"/>
          <w:numId w:val="32"/>
        </w:numPr>
        <w:spacing w:before="120"/>
        <w:rPr>
          <w:rFonts w:eastAsia="Calibri" w:cs="Cordia New"/>
          <w:szCs w:val="22"/>
          <w:lang w:eastAsia="en-AU"/>
        </w:rPr>
      </w:pPr>
      <w:r w:rsidRPr="005D5E65">
        <w:rPr>
          <w:rFonts w:eastAsia="Calibri" w:cs="Cordia New"/>
          <w:szCs w:val="22"/>
          <w:lang w:eastAsia="en-US"/>
        </w:rPr>
        <w:t xml:space="preserve">understand this information, </w:t>
      </w:r>
    </w:p>
    <w:p w14:paraId="627B47D6" w14:textId="77777777" w:rsidR="000F60FA" w:rsidRPr="005D5E65" w:rsidRDefault="000F60FA" w:rsidP="000705FE">
      <w:pPr>
        <w:numPr>
          <w:ilvl w:val="0"/>
          <w:numId w:val="32"/>
        </w:numPr>
        <w:spacing w:before="120"/>
        <w:rPr>
          <w:rFonts w:eastAsia="Calibri" w:cs="Cordia New"/>
          <w:szCs w:val="22"/>
          <w:lang w:eastAsia="en-AU"/>
        </w:rPr>
      </w:pPr>
      <w:r w:rsidRPr="005D5E65">
        <w:rPr>
          <w:rFonts w:eastAsia="Calibri" w:cs="Cordia New"/>
          <w:szCs w:val="22"/>
          <w:lang w:eastAsia="en-US"/>
        </w:rPr>
        <w:t xml:space="preserve">are over 18 years old, and </w:t>
      </w:r>
    </w:p>
    <w:p w14:paraId="2E7FC32C" w14:textId="77777777" w:rsidR="000F60FA" w:rsidRPr="005D5E65" w:rsidRDefault="000F60FA" w:rsidP="000705FE">
      <w:pPr>
        <w:numPr>
          <w:ilvl w:val="0"/>
          <w:numId w:val="32"/>
        </w:numPr>
        <w:spacing w:before="120" w:after="200"/>
        <w:rPr>
          <w:rFonts w:eastAsia="Calibri" w:cs="Cordia New"/>
          <w:szCs w:val="22"/>
          <w:lang w:eastAsia="en-AU"/>
        </w:rPr>
      </w:pPr>
      <w:r w:rsidRPr="005D5E65">
        <w:rPr>
          <w:rFonts w:eastAsia="Calibri" w:cs="Cordia New"/>
          <w:szCs w:val="22"/>
          <w:lang w:eastAsia="en-US"/>
        </w:rPr>
        <w:t xml:space="preserve">are willing to contribute to the survey. </w:t>
      </w:r>
    </w:p>
    <w:p w14:paraId="766F2E12"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Do you want to do this survey now?</w:t>
      </w:r>
    </w:p>
    <w:p w14:paraId="2247667F" w14:textId="77777777" w:rsidR="000F60FA" w:rsidRPr="005D5E65" w:rsidRDefault="000F60FA" w:rsidP="000705FE">
      <w:pPr>
        <w:numPr>
          <w:ilvl w:val="0"/>
          <w:numId w:val="30"/>
        </w:numPr>
        <w:spacing w:before="120"/>
        <w:rPr>
          <w:rFonts w:eastAsia="Calibri" w:cs="Cordia New"/>
          <w:szCs w:val="22"/>
          <w:lang w:eastAsia="en-US"/>
        </w:rPr>
      </w:pPr>
      <w:r w:rsidRPr="005D5E65">
        <w:rPr>
          <w:rFonts w:eastAsia="DengXian" w:cs="Cordia New"/>
          <w:szCs w:val="22"/>
          <w:lang w:eastAsia="en-US"/>
        </w:rPr>
        <w:t>Yes</w:t>
      </w:r>
    </w:p>
    <w:p w14:paraId="2833D6A7" w14:textId="77777777" w:rsidR="000F60FA" w:rsidRPr="005D5E65" w:rsidRDefault="000F60FA" w:rsidP="000705FE">
      <w:pPr>
        <w:numPr>
          <w:ilvl w:val="0"/>
          <w:numId w:val="30"/>
        </w:numPr>
        <w:spacing w:before="120"/>
        <w:rPr>
          <w:rFonts w:eastAsia="Calibri" w:cs="Cordia New"/>
          <w:szCs w:val="22"/>
          <w:lang w:eastAsia="en-US"/>
        </w:rPr>
      </w:pPr>
      <w:r w:rsidRPr="005D5E65">
        <w:rPr>
          <w:rFonts w:eastAsia="Calibri" w:cs="Cordia New"/>
          <w:szCs w:val="22"/>
          <w:lang w:eastAsia="en-US"/>
        </w:rPr>
        <w:t>No, I need more information - GO TO SURVEY INFO STATEMENT (see end of this doc)</w:t>
      </w:r>
    </w:p>
    <w:p w14:paraId="67BE8734" w14:textId="77777777" w:rsidR="000F60FA" w:rsidRPr="005D5E65" w:rsidRDefault="000F60FA" w:rsidP="000705FE">
      <w:pPr>
        <w:numPr>
          <w:ilvl w:val="0"/>
          <w:numId w:val="30"/>
        </w:numPr>
        <w:spacing w:before="120"/>
        <w:rPr>
          <w:rFonts w:eastAsia="Calibri" w:cs="Cordia New"/>
          <w:szCs w:val="22"/>
          <w:lang w:eastAsia="en-US"/>
        </w:rPr>
      </w:pPr>
      <w:r w:rsidRPr="005D5E65">
        <w:rPr>
          <w:rFonts w:eastAsia="Calibri" w:cs="Cordia New"/>
          <w:szCs w:val="22"/>
          <w:lang w:eastAsia="en-US"/>
        </w:rPr>
        <w:t>Maybe later – Display message &lt;YOU CAN LEAVE THIS PAGE NOW BY CLOSING YOUR BROWSER WINDOW&gt;</w:t>
      </w:r>
    </w:p>
    <w:p w14:paraId="1355BB1F" w14:textId="77777777" w:rsidR="000F60FA" w:rsidRPr="005D5E65" w:rsidRDefault="000F60FA" w:rsidP="000F60FA">
      <w:pPr>
        <w:spacing w:before="120"/>
        <w:rPr>
          <w:rFonts w:eastAsia="Calibri" w:cs="Cordia New"/>
          <w:szCs w:val="22"/>
          <w:lang w:eastAsia="en-US"/>
        </w:rPr>
      </w:pPr>
      <w:r w:rsidRPr="005D5E65">
        <w:rPr>
          <w:rFonts w:ascii="Times New Roman" w:eastAsia="Calibri" w:hAnsi="Times New Roman" w:cs="Times New Roman"/>
          <w:szCs w:val="22"/>
          <w:lang w:eastAsia="zh-CN" w:bidi="th-TH"/>
        </w:rPr>
        <w:br w:type="page"/>
      </w:r>
    </w:p>
    <w:p w14:paraId="5AF856F2" w14:textId="77777777" w:rsidR="000F60FA" w:rsidRPr="005D5E65" w:rsidRDefault="000F60FA" w:rsidP="00816C16">
      <w:pPr>
        <w:pStyle w:val="Q1Appendix"/>
        <w:numPr>
          <w:ilvl w:val="0"/>
          <w:numId w:val="60"/>
        </w:numPr>
      </w:pPr>
      <w:r w:rsidRPr="005D5E65">
        <w:lastRenderedPageBreak/>
        <w:t>How useful was the induction training in explaining your role in the IER Program?</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2F5CE374" w14:textId="77777777">
        <w:trPr>
          <w:trHeight w:val="300"/>
        </w:trPr>
        <w:tc>
          <w:tcPr>
            <w:tcW w:w="5392" w:type="dxa"/>
            <w:tcBorders>
              <w:top w:val="single" w:sz="4" w:space="0" w:color="BFBFBF"/>
              <w:left w:val="nil"/>
              <w:bottom w:val="single" w:sz="4" w:space="0" w:color="D9D9D9"/>
              <w:right w:val="nil"/>
            </w:tcBorders>
          </w:tcPr>
          <w:p w14:paraId="042C7515"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Not useful</w:t>
            </w:r>
          </w:p>
        </w:tc>
        <w:tc>
          <w:tcPr>
            <w:tcW w:w="1990" w:type="dxa"/>
            <w:tcBorders>
              <w:top w:val="single" w:sz="4" w:space="0" w:color="BFBFBF"/>
              <w:left w:val="nil"/>
              <w:bottom w:val="single" w:sz="4" w:space="0" w:color="D9D9D9"/>
              <w:right w:val="nil"/>
            </w:tcBorders>
          </w:tcPr>
          <w:p w14:paraId="38946113"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4300F90F" w14:textId="77777777">
        <w:trPr>
          <w:trHeight w:val="300"/>
        </w:trPr>
        <w:tc>
          <w:tcPr>
            <w:tcW w:w="5392" w:type="dxa"/>
            <w:tcBorders>
              <w:top w:val="single" w:sz="4" w:space="0" w:color="D9D9D9"/>
              <w:left w:val="nil"/>
              <w:bottom w:val="single" w:sz="4" w:space="0" w:color="D9D9D9"/>
              <w:right w:val="nil"/>
            </w:tcBorders>
          </w:tcPr>
          <w:p w14:paraId="198EB2E8"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Useful</w:t>
            </w:r>
          </w:p>
        </w:tc>
        <w:tc>
          <w:tcPr>
            <w:tcW w:w="1990" w:type="dxa"/>
            <w:tcBorders>
              <w:top w:val="single" w:sz="4" w:space="0" w:color="D9D9D9"/>
              <w:left w:val="nil"/>
              <w:bottom w:val="single" w:sz="4" w:space="0" w:color="D9D9D9"/>
              <w:right w:val="nil"/>
            </w:tcBorders>
          </w:tcPr>
          <w:p w14:paraId="127238FD"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6B1BB878" w14:textId="77777777">
        <w:trPr>
          <w:trHeight w:val="300"/>
        </w:trPr>
        <w:tc>
          <w:tcPr>
            <w:tcW w:w="5392" w:type="dxa"/>
            <w:tcBorders>
              <w:top w:val="single" w:sz="4" w:space="0" w:color="D9D9D9"/>
              <w:left w:val="nil"/>
              <w:bottom w:val="single" w:sz="4" w:space="0" w:color="D9D9D9"/>
              <w:right w:val="nil"/>
            </w:tcBorders>
          </w:tcPr>
          <w:p w14:paraId="175F824D"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useful</w:t>
            </w:r>
          </w:p>
        </w:tc>
        <w:tc>
          <w:tcPr>
            <w:tcW w:w="1990" w:type="dxa"/>
            <w:tcBorders>
              <w:top w:val="single" w:sz="4" w:space="0" w:color="D9D9D9"/>
              <w:left w:val="nil"/>
              <w:bottom w:val="single" w:sz="4" w:space="0" w:color="D9D9D9"/>
              <w:right w:val="nil"/>
            </w:tcBorders>
          </w:tcPr>
          <w:p w14:paraId="4616933F"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2180B29B" w14:textId="77777777" w:rsidR="000F60FA" w:rsidRPr="005D5E65" w:rsidRDefault="000F60FA" w:rsidP="000F60FA">
      <w:pPr>
        <w:rPr>
          <w:szCs w:val="22"/>
          <w:lang w:eastAsia="en-US"/>
        </w:rPr>
      </w:pPr>
    </w:p>
    <w:p w14:paraId="6150A412" w14:textId="77777777" w:rsidR="000F60FA" w:rsidRPr="005D5E65" w:rsidRDefault="000F60FA" w:rsidP="00AD6A91">
      <w:pPr>
        <w:pStyle w:val="Q1Appendix"/>
      </w:pPr>
      <w:r w:rsidRPr="005D5E65">
        <w:t>How could the NDIA improve the induction training?</w:t>
      </w:r>
    </w:p>
    <w:p w14:paraId="6DB3367B"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0F3DF4C3" w14:textId="77777777" w:rsidR="000F60FA" w:rsidRPr="005D5E65" w:rsidRDefault="000F60FA" w:rsidP="000F60FA">
      <w:pPr>
        <w:spacing w:before="120"/>
        <w:rPr>
          <w:rFonts w:eastAsia="Calibri" w:cs="Arial"/>
          <w:szCs w:val="22"/>
          <w:lang w:val="en-CA" w:eastAsia="en-AU"/>
        </w:rPr>
      </w:pPr>
    </w:p>
    <w:p w14:paraId="56E39BDA" w14:textId="77777777" w:rsidR="000F60FA" w:rsidRPr="005D5E65" w:rsidRDefault="000F60FA" w:rsidP="00AD6A91">
      <w:pPr>
        <w:pStyle w:val="Q1Appendix"/>
      </w:pPr>
      <w:r w:rsidRPr="005D5E65">
        <w:t>How satisfied are you with the IER Program in the following areas?</w:t>
      </w:r>
    </w:p>
    <w:tbl>
      <w:tblPr>
        <w:tblStyle w:val="TableGrid3"/>
        <w:tblW w:w="5000" w:type="pct"/>
        <w:tblInd w:w="0"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2189"/>
        <w:gridCol w:w="104"/>
        <w:gridCol w:w="1197"/>
        <w:gridCol w:w="63"/>
        <w:gridCol w:w="1370"/>
        <w:gridCol w:w="1372"/>
        <w:gridCol w:w="61"/>
        <w:gridCol w:w="1166"/>
        <w:gridCol w:w="1504"/>
      </w:tblGrid>
      <w:tr w:rsidR="000F60FA" w:rsidRPr="005D5E65" w14:paraId="03B2E095" w14:textId="77777777">
        <w:tc>
          <w:tcPr>
            <w:tcW w:w="1212" w:type="pct"/>
            <w:tcBorders>
              <w:top w:val="single" w:sz="4" w:space="0" w:color="BFBFBF"/>
              <w:left w:val="nil"/>
              <w:bottom w:val="single" w:sz="4" w:space="0" w:color="D9D9D9"/>
              <w:right w:val="nil"/>
            </w:tcBorders>
          </w:tcPr>
          <w:p w14:paraId="74DEF12E" w14:textId="77777777" w:rsidR="000F60FA" w:rsidRPr="005D5E65" w:rsidRDefault="000F60FA">
            <w:pPr>
              <w:spacing w:before="60" w:after="60"/>
              <w:rPr>
                <w:rFonts w:eastAsia="Calibri"/>
                <w:sz w:val="22"/>
                <w:szCs w:val="22"/>
                <w:lang w:val="en-CA" w:eastAsia="en-US"/>
              </w:rPr>
            </w:pPr>
          </w:p>
        </w:tc>
        <w:tc>
          <w:tcPr>
            <w:tcW w:w="720" w:type="pct"/>
            <w:gridSpan w:val="2"/>
            <w:tcBorders>
              <w:top w:val="single" w:sz="4" w:space="0" w:color="BFBFBF"/>
              <w:left w:val="nil"/>
              <w:bottom w:val="single" w:sz="4" w:space="0" w:color="D9D9D9"/>
              <w:right w:val="nil"/>
            </w:tcBorders>
          </w:tcPr>
          <w:p w14:paraId="27D75CA3"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eastAsia="en-US"/>
              </w:rPr>
              <w:t xml:space="preserve"> Not at all satisfied</w:t>
            </w:r>
          </w:p>
        </w:tc>
        <w:tc>
          <w:tcPr>
            <w:tcW w:w="794" w:type="pct"/>
            <w:gridSpan w:val="2"/>
            <w:tcBorders>
              <w:top w:val="single" w:sz="4" w:space="0" w:color="BFBFBF"/>
              <w:left w:val="nil"/>
              <w:bottom w:val="single" w:sz="4" w:space="0" w:color="D9D9D9"/>
              <w:right w:val="nil"/>
            </w:tcBorders>
          </w:tcPr>
          <w:p w14:paraId="0C09947D"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eastAsia="en-US"/>
              </w:rPr>
              <w:t>Only a little bit satisfied</w:t>
            </w:r>
          </w:p>
        </w:tc>
        <w:tc>
          <w:tcPr>
            <w:tcW w:w="794" w:type="pct"/>
            <w:gridSpan w:val="2"/>
            <w:tcBorders>
              <w:top w:val="single" w:sz="4" w:space="0" w:color="BFBFBF"/>
              <w:left w:val="nil"/>
              <w:bottom w:val="single" w:sz="4" w:space="0" w:color="D9D9D9"/>
              <w:right w:val="nil"/>
            </w:tcBorders>
          </w:tcPr>
          <w:p w14:paraId="66922685"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eastAsia="en-US"/>
              </w:rPr>
              <w:t>Somewhat satisfied</w:t>
            </w:r>
          </w:p>
        </w:tc>
        <w:tc>
          <w:tcPr>
            <w:tcW w:w="646" w:type="pct"/>
            <w:tcBorders>
              <w:top w:val="single" w:sz="4" w:space="0" w:color="BFBFBF"/>
              <w:left w:val="nil"/>
              <w:bottom w:val="single" w:sz="4" w:space="0" w:color="D9D9D9"/>
              <w:right w:val="nil"/>
            </w:tcBorders>
          </w:tcPr>
          <w:p w14:paraId="0FDCB57B"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eastAsia="en-US"/>
              </w:rPr>
              <w:t>Mostly satisfied</w:t>
            </w:r>
          </w:p>
        </w:tc>
        <w:tc>
          <w:tcPr>
            <w:tcW w:w="833" w:type="pct"/>
            <w:tcBorders>
              <w:top w:val="single" w:sz="4" w:space="0" w:color="BFBFBF"/>
              <w:left w:val="nil"/>
              <w:bottom w:val="single" w:sz="4" w:space="0" w:color="D9D9D9"/>
              <w:right w:val="nil"/>
            </w:tcBorders>
          </w:tcPr>
          <w:p w14:paraId="212AD826" w14:textId="77777777" w:rsidR="000F60FA" w:rsidRPr="005D5E65" w:rsidRDefault="000F60FA">
            <w:pPr>
              <w:spacing w:before="60" w:after="60"/>
              <w:jc w:val="center"/>
              <w:rPr>
                <w:rFonts w:eastAsia="Calibri"/>
                <w:sz w:val="22"/>
                <w:szCs w:val="22"/>
                <w:lang w:eastAsia="en-US"/>
              </w:rPr>
            </w:pPr>
            <w:r w:rsidRPr="005D5E65">
              <w:rPr>
                <w:rFonts w:eastAsia="Calibri"/>
                <w:sz w:val="22"/>
                <w:szCs w:val="22"/>
                <w:lang w:eastAsia="en-US"/>
              </w:rPr>
              <w:t>Completely satisfied</w:t>
            </w:r>
          </w:p>
        </w:tc>
      </w:tr>
      <w:tr w:rsidR="000F60FA" w:rsidRPr="005D5E65" w14:paraId="5419D5C0" w14:textId="77777777">
        <w:tc>
          <w:tcPr>
            <w:tcW w:w="1212" w:type="pct"/>
            <w:tcBorders>
              <w:top w:val="single" w:sz="4" w:space="0" w:color="D9D9D9"/>
              <w:left w:val="nil"/>
              <w:bottom w:val="single" w:sz="4" w:space="0" w:color="D9D9D9"/>
              <w:right w:val="nil"/>
            </w:tcBorders>
            <w:hideMark/>
          </w:tcPr>
          <w:p w14:paraId="005E5F2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material referred to you to make a recommendation</w:t>
            </w:r>
          </w:p>
        </w:tc>
        <w:tc>
          <w:tcPr>
            <w:tcW w:w="720" w:type="pct"/>
            <w:gridSpan w:val="2"/>
            <w:tcBorders>
              <w:top w:val="single" w:sz="4" w:space="0" w:color="D9D9D9"/>
              <w:left w:val="nil"/>
              <w:bottom w:val="single" w:sz="4" w:space="0" w:color="D9D9D9"/>
              <w:right w:val="nil"/>
            </w:tcBorders>
          </w:tcPr>
          <w:p w14:paraId="3F74A598"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790196E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4D08011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46" w:type="pct"/>
            <w:tcBorders>
              <w:top w:val="single" w:sz="4" w:space="0" w:color="D9D9D9"/>
              <w:left w:val="nil"/>
              <w:bottom w:val="single" w:sz="4" w:space="0" w:color="D9D9D9"/>
              <w:right w:val="nil"/>
            </w:tcBorders>
          </w:tcPr>
          <w:p w14:paraId="471F17C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833" w:type="pct"/>
            <w:tcBorders>
              <w:top w:val="single" w:sz="4" w:space="0" w:color="D9D9D9"/>
              <w:left w:val="nil"/>
              <w:bottom w:val="single" w:sz="4" w:space="0" w:color="D9D9D9"/>
              <w:right w:val="nil"/>
            </w:tcBorders>
          </w:tcPr>
          <w:p w14:paraId="0EE075F4"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2F1A672B" w14:textId="77777777">
        <w:tc>
          <w:tcPr>
            <w:tcW w:w="1212" w:type="pct"/>
            <w:tcBorders>
              <w:top w:val="single" w:sz="4" w:space="0" w:color="D9D9D9"/>
              <w:left w:val="nil"/>
              <w:bottom w:val="single" w:sz="4" w:space="0" w:color="D9D9D9"/>
              <w:right w:val="nil"/>
            </w:tcBorders>
            <w:hideMark/>
          </w:tcPr>
          <w:p w14:paraId="7E2A04D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process for sending you the material via GovTeams</w:t>
            </w:r>
          </w:p>
        </w:tc>
        <w:tc>
          <w:tcPr>
            <w:tcW w:w="720" w:type="pct"/>
            <w:gridSpan w:val="2"/>
            <w:tcBorders>
              <w:top w:val="single" w:sz="4" w:space="0" w:color="D9D9D9"/>
              <w:left w:val="nil"/>
              <w:bottom w:val="single" w:sz="4" w:space="0" w:color="D9D9D9"/>
              <w:right w:val="nil"/>
            </w:tcBorders>
          </w:tcPr>
          <w:p w14:paraId="2D094B28"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58951246"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69EAF1F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46" w:type="pct"/>
            <w:tcBorders>
              <w:top w:val="single" w:sz="4" w:space="0" w:color="D9D9D9"/>
              <w:left w:val="nil"/>
              <w:bottom w:val="single" w:sz="4" w:space="0" w:color="D9D9D9"/>
              <w:right w:val="nil"/>
            </w:tcBorders>
          </w:tcPr>
          <w:p w14:paraId="7551E8E5"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833" w:type="pct"/>
            <w:tcBorders>
              <w:top w:val="single" w:sz="4" w:space="0" w:color="D9D9D9"/>
              <w:left w:val="nil"/>
              <w:bottom w:val="single" w:sz="4" w:space="0" w:color="D9D9D9"/>
              <w:right w:val="nil"/>
            </w:tcBorders>
          </w:tcPr>
          <w:p w14:paraId="62609AA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7B80B781" w14:textId="77777777">
        <w:tc>
          <w:tcPr>
            <w:tcW w:w="1212" w:type="pct"/>
            <w:tcBorders>
              <w:top w:val="single" w:sz="4" w:space="0" w:color="D9D9D9"/>
              <w:left w:val="nil"/>
              <w:bottom w:val="single" w:sz="4" w:space="0" w:color="D9D9D9"/>
              <w:right w:val="nil"/>
            </w:tcBorders>
          </w:tcPr>
          <w:p w14:paraId="22F49651"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framework for your role in making a recommendation</w:t>
            </w:r>
          </w:p>
        </w:tc>
        <w:tc>
          <w:tcPr>
            <w:tcW w:w="720" w:type="pct"/>
            <w:gridSpan w:val="2"/>
            <w:tcBorders>
              <w:top w:val="single" w:sz="4" w:space="0" w:color="D9D9D9"/>
              <w:left w:val="nil"/>
              <w:bottom w:val="single" w:sz="4" w:space="0" w:color="D9D9D9"/>
              <w:right w:val="nil"/>
            </w:tcBorders>
          </w:tcPr>
          <w:p w14:paraId="1C377606"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16B77A6E"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17E094EC"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46" w:type="pct"/>
            <w:tcBorders>
              <w:top w:val="single" w:sz="4" w:space="0" w:color="D9D9D9"/>
              <w:left w:val="nil"/>
              <w:bottom w:val="single" w:sz="4" w:space="0" w:color="D9D9D9"/>
              <w:right w:val="nil"/>
            </w:tcBorders>
          </w:tcPr>
          <w:p w14:paraId="1DBDD5B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833" w:type="pct"/>
            <w:tcBorders>
              <w:top w:val="single" w:sz="4" w:space="0" w:color="D9D9D9"/>
              <w:left w:val="nil"/>
              <w:bottom w:val="single" w:sz="4" w:space="0" w:color="D9D9D9"/>
              <w:right w:val="nil"/>
            </w:tcBorders>
          </w:tcPr>
          <w:p w14:paraId="16BD6963"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45A25A47" w14:textId="77777777">
        <w:tc>
          <w:tcPr>
            <w:tcW w:w="1212" w:type="pct"/>
            <w:tcBorders>
              <w:top w:val="single" w:sz="4" w:space="0" w:color="D9D9D9"/>
              <w:left w:val="nil"/>
              <w:bottom w:val="single" w:sz="4" w:space="0" w:color="D9D9D9"/>
              <w:right w:val="nil"/>
            </w:tcBorders>
          </w:tcPr>
          <w:p w14:paraId="140CC71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types of matters referred to you for review</w:t>
            </w:r>
          </w:p>
        </w:tc>
        <w:tc>
          <w:tcPr>
            <w:tcW w:w="720" w:type="pct"/>
            <w:gridSpan w:val="2"/>
            <w:tcBorders>
              <w:top w:val="single" w:sz="4" w:space="0" w:color="D9D9D9"/>
              <w:left w:val="nil"/>
              <w:bottom w:val="single" w:sz="4" w:space="0" w:color="D9D9D9"/>
              <w:right w:val="nil"/>
            </w:tcBorders>
          </w:tcPr>
          <w:p w14:paraId="493DFD7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6A30B436"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697E657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46" w:type="pct"/>
            <w:tcBorders>
              <w:top w:val="single" w:sz="4" w:space="0" w:color="D9D9D9"/>
              <w:left w:val="nil"/>
              <w:bottom w:val="single" w:sz="4" w:space="0" w:color="D9D9D9"/>
              <w:right w:val="nil"/>
            </w:tcBorders>
          </w:tcPr>
          <w:p w14:paraId="31085F80"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833" w:type="pct"/>
            <w:tcBorders>
              <w:top w:val="single" w:sz="4" w:space="0" w:color="D9D9D9"/>
              <w:left w:val="nil"/>
              <w:bottom w:val="single" w:sz="4" w:space="0" w:color="D9D9D9"/>
              <w:right w:val="nil"/>
            </w:tcBorders>
          </w:tcPr>
          <w:p w14:paraId="29448B57"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6C38E543" w14:textId="77777777">
        <w:tc>
          <w:tcPr>
            <w:tcW w:w="1212" w:type="pct"/>
            <w:tcBorders>
              <w:top w:val="single" w:sz="4" w:space="0" w:color="D9D9D9"/>
              <w:left w:val="nil"/>
              <w:bottom w:val="single" w:sz="4" w:space="0" w:color="D9D9D9"/>
              <w:right w:val="nil"/>
            </w:tcBorders>
          </w:tcPr>
          <w:p w14:paraId="006E2F30"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payment structure for your services</w:t>
            </w:r>
          </w:p>
        </w:tc>
        <w:tc>
          <w:tcPr>
            <w:tcW w:w="720" w:type="pct"/>
            <w:gridSpan w:val="2"/>
            <w:tcBorders>
              <w:top w:val="single" w:sz="4" w:space="0" w:color="D9D9D9"/>
              <w:left w:val="nil"/>
              <w:bottom w:val="single" w:sz="4" w:space="0" w:color="D9D9D9"/>
              <w:right w:val="nil"/>
            </w:tcBorders>
          </w:tcPr>
          <w:p w14:paraId="1E14EC4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23BA11B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3446E40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46" w:type="pct"/>
            <w:tcBorders>
              <w:top w:val="single" w:sz="4" w:space="0" w:color="D9D9D9"/>
              <w:left w:val="nil"/>
              <w:bottom w:val="single" w:sz="4" w:space="0" w:color="D9D9D9"/>
              <w:right w:val="nil"/>
            </w:tcBorders>
          </w:tcPr>
          <w:p w14:paraId="1EA78FE4"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833" w:type="pct"/>
            <w:tcBorders>
              <w:top w:val="single" w:sz="4" w:space="0" w:color="D9D9D9"/>
              <w:left w:val="nil"/>
              <w:bottom w:val="single" w:sz="4" w:space="0" w:color="D9D9D9"/>
              <w:right w:val="nil"/>
            </w:tcBorders>
          </w:tcPr>
          <w:p w14:paraId="1D47F2C3"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492724AA" w14:textId="77777777">
        <w:tc>
          <w:tcPr>
            <w:tcW w:w="1212" w:type="pct"/>
            <w:tcBorders>
              <w:top w:val="single" w:sz="4" w:space="0" w:color="D9D9D9"/>
              <w:left w:val="nil"/>
              <w:bottom w:val="single" w:sz="4" w:space="0" w:color="D9D9D9"/>
              <w:right w:val="nil"/>
            </w:tcBorders>
          </w:tcPr>
          <w:p w14:paraId="5DC0294C"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lastRenderedPageBreak/>
              <w:t>The way the NDIA managed the Program</w:t>
            </w:r>
          </w:p>
        </w:tc>
        <w:tc>
          <w:tcPr>
            <w:tcW w:w="720" w:type="pct"/>
            <w:gridSpan w:val="2"/>
            <w:tcBorders>
              <w:top w:val="single" w:sz="4" w:space="0" w:color="D9D9D9"/>
              <w:left w:val="nil"/>
              <w:bottom w:val="single" w:sz="4" w:space="0" w:color="D9D9D9"/>
              <w:right w:val="nil"/>
            </w:tcBorders>
          </w:tcPr>
          <w:p w14:paraId="2FFD24B3"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1D75A392"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94" w:type="pct"/>
            <w:gridSpan w:val="2"/>
            <w:tcBorders>
              <w:top w:val="single" w:sz="4" w:space="0" w:color="D9D9D9"/>
              <w:left w:val="nil"/>
              <w:bottom w:val="single" w:sz="4" w:space="0" w:color="D9D9D9"/>
              <w:right w:val="nil"/>
            </w:tcBorders>
          </w:tcPr>
          <w:p w14:paraId="4510E8E3"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46" w:type="pct"/>
            <w:tcBorders>
              <w:top w:val="single" w:sz="4" w:space="0" w:color="D9D9D9"/>
              <w:left w:val="nil"/>
              <w:bottom w:val="single" w:sz="4" w:space="0" w:color="D9D9D9"/>
              <w:right w:val="nil"/>
            </w:tcBorders>
          </w:tcPr>
          <w:p w14:paraId="34C325EE"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833" w:type="pct"/>
            <w:tcBorders>
              <w:top w:val="single" w:sz="4" w:space="0" w:color="D9D9D9"/>
              <w:left w:val="nil"/>
              <w:bottom w:val="single" w:sz="4" w:space="0" w:color="D9D9D9"/>
              <w:right w:val="nil"/>
            </w:tcBorders>
          </w:tcPr>
          <w:p w14:paraId="3D92F0A8"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r w:rsidR="000F60FA" w:rsidRPr="005D5E65" w14:paraId="4483DD0E" w14:textId="77777777">
        <w:tc>
          <w:tcPr>
            <w:tcW w:w="1269" w:type="pct"/>
            <w:gridSpan w:val="2"/>
            <w:tcBorders>
              <w:top w:val="single" w:sz="4" w:space="0" w:color="D9D9D9"/>
              <w:left w:val="nil"/>
              <w:bottom w:val="single" w:sz="4" w:space="0" w:color="D9D9D9"/>
              <w:right w:val="nil"/>
            </w:tcBorders>
            <w:hideMark/>
          </w:tcPr>
          <w:p w14:paraId="7DB65A1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The NDIA’s follow-up with you at the conclusion of an IER process</w:t>
            </w:r>
          </w:p>
        </w:tc>
        <w:tc>
          <w:tcPr>
            <w:tcW w:w="698" w:type="pct"/>
            <w:gridSpan w:val="2"/>
            <w:tcBorders>
              <w:top w:val="single" w:sz="4" w:space="0" w:color="D9D9D9"/>
              <w:left w:val="nil"/>
              <w:bottom w:val="single" w:sz="4" w:space="0" w:color="D9D9D9"/>
              <w:right w:val="nil"/>
            </w:tcBorders>
            <w:hideMark/>
          </w:tcPr>
          <w:p w14:paraId="57ABC188"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59" w:type="pct"/>
            <w:tcBorders>
              <w:top w:val="single" w:sz="4" w:space="0" w:color="D9D9D9"/>
              <w:left w:val="nil"/>
              <w:bottom w:val="single" w:sz="4" w:space="0" w:color="D9D9D9"/>
              <w:right w:val="nil"/>
            </w:tcBorders>
            <w:hideMark/>
          </w:tcPr>
          <w:p w14:paraId="732C64D5"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60" w:type="pct"/>
            <w:tcBorders>
              <w:top w:val="single" w:sz="4" w:space="0" w:color="D9D9D9"/>
              <w:left w:val="nil"/>
              <w:bottom w:val="single" w:sz="4" w:space="0" w:color="D9D9D9"/>
              <w:right w:val="nil"/>
            </w:tcBorders>
            <w:hideMark/>
          </w:tcPr>
          <w:p w14:paraId="092524D6"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80" w:type="pct"/>
            <w:gridSpan w:val="2"/>
            <w:tcBorders>
              <w:top w:val="single" w:sz="4" w:space="0" w:color="D9D9D9"/>
              <w:left w:val="nil"/>
              <w:bottom w:val="single" w:sz="4" w:space="0" w:color="D9D9D9"/>
              <w:right w:val="nil"/>
            </w:tcBorders>
            <w:hideMark/>
          </w:tcPr>
          <w:p w14:paraId="7102D71E"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833" w:type="pct"/>
            <w:tcBorders>
              <w:top w:val="single" w:sz="4" w:space="0" w:color="D9D9D9"/>
              <w:left w:val="nil"/>
              <w:bottom w:val="single" w:sz="4" w:space="0" w:color="D9D9D9"/>
              <w:right w:val="nil"/>
            </w:tcBorders>
          </w:tcPr>
          <w:p w14:paraId="15038EA4"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r>
    </w:tbl>
    <w:p w14:paraId="11C433C3" w14:textId="37163878" w:rsidR="000F60FA" w:rsidRPr="005D5E65" w:rsidRDefault="000F60FA" w:rsidP="000F60FA">
      <w:pPr>
        <w:spacing w:before="120"/>
        <w:rPr>
          <w:rFonts w:eastAsia="Calibri" w:cs="Arial"/>
          <w:caps/>
          <w:szCs w:val="22"/>
          <w:lang w:val="en-CA" w:eastAsia="en-AU"/>
        </w:rPr>
      </w:pPr>
      <w:r w:rsidRPr="005D5E65">
        <w:rPr>
          <w:rFonts w:eastAsia="Calibri" w:cs="Arial"/>
          <w:caps/>
          <w:szCs w:val="22"/>
          <w:lang w:val="en-CA" w:eastAsia="en-AU"/>
        </w:rPr>
        <w:t xml:space="preserve">ONLY ASK Q4 if </w:t>
      </w:r>
      <w:r w:rsidR="0037297F" w:rsidRPr="005D5E65">
        <w:rPr>
          <w:rFonts w:eastAsia="Calibri" w:cs="Arial"/>
          <w:caps/>
          <w:szCs w:val="22"/>
          <w:lang w:val="en-CA" w:eastAsia="en-AU"/>
        </w:rPr>
        <w:t>SELECT</w:t>
      </w:r>
      <w:r w:rsidRPr="005D5E65">
        <w:rPr>
          <w:rFonts w:eastAsia="Calibri" w:cs="Arial"/>
          <w:caps/>
          <w:szCs w:val="22"/>
          <w:lang w:val="en-CA" w:eastAsia="en-AU"/>
        </w:rPr>
        <w:t xml:space="preserve"> NOT AT ALL satisfied or ONLY A LITTLE BIT satisfied at 3.1</w:t>
      </w:r>
    </w:p>
    <w:p w14:paraId="2F0272DE" w14:textId="77777777" w:rsidR="000F60FA" w:rsidRPr="005D5E65" w:rsidRDefault="000F60FA" w:rsidP="000F60FA">
      <w:pPr>
        <w:spacing w:before="120"/>
        <w:rPr>
          <w:rFonts w:eastAsia="Calibri" w:cs="Arial"/>
          <w:caps/>
          <w:szCs w:val="22"/>
          <w:lang w:val="en-CA" w:eastAsia="en-AU"/>
        </w:rPr>
      </w:pPr>
    </w:p>
    <w:p w14:paraId="0BFD7CE1" w14:textId="77777777" w:rsidR="000F60FA" w:rsidRPr="005D5E65" w:rsidRDefault="000F60FA" w:rsidP="00AD6A91">
      <w:pPr>
        <w:pStyle w:val="Q1Appendix"/>
      </w:pPr>
      <w:r w:rsidRPr="005D5E65">
        <w:t>What would improve the materials you were given to make a recommendation?</w:t>
      </w:r>
    </w:p>
    <w:p w14:paraId="16AC6921"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6F49E2F7" w14:textId="77777777" w:rsidR="000F60FA" w:rsidRPr="005D5E65" w:rsidRDefault="000F60FA" w:rsidP="000F60FA">
      <w:pPr>
        <w:spacing w:before="120"/>
        <w:rPr>
          <w:rFonts w:eastAsia="Calibri" w:cs="Arial"/>
          <w:szCs w:val="22"/>
          <w:lang w:eastAsia="en-AU"/>
        </w:rPr>
      </w:pPr>
    </w:p>
    <w:p w14:paraId="0094FE9E" w14:textId="1B9BA354" w:rsidR="000F60FA" w:rsidRPr="005D5E65" w:rsidRDefault="000F60FA" w:rsidP="000F60FA">
      <w:pPr>
        <w:spacing w:before="120"/>
        <w:rPr>
          <w:rFonts w:eastAsia="Calibri" w:cs="Arial"/>
          <w:caps/>
          <w:szCs w:val="22"/>
          <w:lang w:val="en-CA" w:eastAsia="en-AU"/>
        </w:rPr>
      </w:pPr>
      <w:r w:rsidRPr="005D5E65">
        <w:rPr>
          <w:rFonts w:eastAsia="Calibri" w:cs="Arial"/>
          <w:caps/>
          <w:szCs w:val="22"/>
          <w:lang w:val="en-CA" w:eastAsia="en-AU"/>
        </w:rPr>
        <w:t xml:space="preserve">ONLY ASK Q5 if </w:t>
      </w:r>
      <w:r w:rsidR="00254BCB" w:rsidRPr="005D5E65">
        <w:rPr>
          <w:rFonts w:eastAsia="Calibri" w:cs="Arial"/>
          <w:caps/>
          <w:szCs w:val="22"/>
          <w:lang w:val="en-CA" w:eastAsia="en-AU"/>
        </w:rPr>
        <w:t>SELECT</w:t>
      </w:r>
      <w:r w:rsidRPr="005D5E65">
        <w:rPr>
          <w:rFonts w:eastAsia="Calibri" w:cs="Arial"/>
          <w:caps/>
          <w:szCs w:val="22"/>
          <w:lang w:val="en-CA" w:eastAsia="en-AU"/>
        </w:rPr>
        <w:t xml:space="preserve"> NOT AT ALL satisfied or  onlY A LITTLE BIT satisfied at 3.2</w:t>
      </w:r>
    </w:p>
    <w:p w14:paraId="6EF8A1A0" w14:textId="77777777" w:rsidR="000F60FA" w:rsidRPr="005D5E65" w:rsidRDefault="000F60FA" w:rsidP="00AD6A91">
      <w:pPr>
        <w:pStyle w:val="Q1Appendix"/>
      </w:pPr>
      <w:r w:rsidRPr="005D5E65">
        <w:t>What would improve the process for sending materials to you?</w:t>
      </w:r>
    </w:p>
    <w:p w14:paraId="535D7A1A"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442209F1" w14:textId="77777777" w:rsidR="000F60FA" w:rsidRPr="005D5E65" w:rsidRDefault="000F60FA" w:rsidP="000F60FA">
      <w:pPr>
        <w:spacing w:before="120"/>
        <w:rPr>
          <w:rFonts w:eastAsia="Calibri" w:cs="Arial"/>
          <w:szCs w:val="22"/>
          <w:lang w:val="en-CA" w:eastAsia="en-AU"/>
        </w:rPr>
      </w:pPr>
    </w:p>
    <w:p w14:paraId="68E43BDD" w14:textId="654107C3" w:rsidR="000F60FA" w:rsidRPr="005D5E65" w:rsidRDefault="000F60FA" w:rsidP="000F60FA">
      <w:pPr>
        <w:spacing w:before="120"/>
        <w:rPr>
          <w:rFonts w:eastAsia="Calibri" w:cs="Arial"/>
          <w:caps/>
          <w:szCs w:val="22"/>
          <w:lang w:val="en-CA" w:eastAsia="en-AU"/>
        </w:rPr>
      </w:pPr>
      <w:r w:rsidRPr="005D5E65">
        <w:rPr>
          <w:rFonts w:eastAsia="Calibri" w:cs="Arial"/>
          <w:caps/>
          <w:szCs w:val="22"/>
          <w:lang w:val="en-CA" w:eastAsia="en-AU"/>
        </w:rPr>
        <w:t xml:space="preserve">ONLY ASK Q6 if </w:t>
      </w:r>
      <w:r w:rsidR="00254BCB" w:rsidRPr="005D5E65">
        <w:rPr>
          <w:rFonts w:eastAsia="Calibri" w:cs="Arial"/>
          <w:caps/>
          <w:szCs w:val="22"/>
          <w:lang w:val="en-CA" w:eastAsia="en-AU"/>
        </w:rPr>
        <w:t>SELECT</w:t>
      </w:r>
      <w:r w:rsidRPr="005D5E65">
        <w:rPr>
          <w:rFonts w:eastAsia="Calibri" w:cs="Arial"/>
          <w:caps/>
          <w:szCs w:val="22"/>
          <w:lang w:val="en-CA" w:eastAsia="en-AU"/>
        </w:rPr>
        <w:t xml:space="preserve"> NOT AT ALL satisfied or  ONLY A LITTLE BIT satisfied at 3.3</w:t>
      </w:r>
    </w:p>
    <w:p w14:paraId="16D97AE8" w14:textId="77777777" w:rsidR="000F60FA" w:rsidRPr="005D5E65" w:rsidRDefault="000F60FA" w:rsidP="00AD6A91">
      <w:pPr>
        <w:pStyle w:val="Q1Appendix"/>
      </w:pPr>
      <w:r w:rsidRPr="005D5E65">
        <w:t>What would improve the framework for your role in making a recommendation?</w:t>
      </w:r>
    </w:p>
    <w:p w14:paraId="304CE628"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11265823" w14:textId="780F176F" w:rsidR="000F60FA" w:rsidRPr="005D5E65" w:rsidRDefault="000F60FA" w:rsidP="000F60FA">
      <w:pPr>
        <w:spacing w:before="120"/>
        <w:rPr>
          <w:rFonts w:eastAsia="Calibri" w:cs="Arial"/>
          <w:caps/>
          <w:szCs w:val="22"/>
          <w:lang w:val="en-CA" w:eastAsia="en-AU"/>
        </w:rPr>
      </w:pPr>
      <w:r w:rsidRPr="005D5E65">
        <w:rPr>
          <w:rFonts w:eastAsia="Calibri" w:cs="Arial"/>
          <w:caps/>
          <w:szCs w:val="22"/>
          <w:lang w:val="en-CA" w:eastAsia="en-AU"/>
        </w:rPr>
        <w:t xml:space="preserve">ONLY ASK Q7 if </w:t>
      </w:r>
      <w:r w:rsidR="00254BCB" w:rsidRPr="005D5E65">
        <w:rPr>
          <w:rFonts w:eastAsia="Calibri" w:cs="Arial"/>
          <w:caps/>
          <w:szCs w:val="22"/>
          <w:lang w:val="en-CA" w:eastAsia="en-AU"/>
        </w:rPr>
        <w:t>SELECT</w:t>
      </w:r>
      <w:r w:rsidRPr="005D5E65">
        <w:rPr>
          <w:rFonts w:eastAsia="Calibri" w:cs="Arial"/>
          <w:caps/>
          <w:szCs w:val="22"/>
          <w:lang w:val="en-CA" w:eastAsia="en-AU"/>
        </w:rPr>
        <w:t xml:space="preserve"> NOT AT ALL satisfied or  ONLY A LITTLE BIT satisfied at 3.4</w:t>
      </w:r>
    </w:p>
    <w:p w14:paraId="070FF4C2" w14:textId="77777777" w:rsidR="000F60FA" w:rsidRPr="005D5E65" w:rsidRDefault="000F60FA" w:rsidP="00AD6A91">
      <w:pPr>
        <w:pStyle w:val="Q1Appendix"/>
      </w:pPr>
      <w:r w:rsidRPr="005D5E65">
        <w:t>What could be improved about the referral of matters for you to review?</w:t>
      </w:r>
    </w:p>
    <w:p w14:paraId="0A2D793E"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0D90ECEF" w14:textId="77777777" w:rsidR="000F60FA" w:rsidRPr="005D5E65" w:rsidRDefault="000F60FA" w:rsidP="000F60FA">
      <w:pPr>
        <w:spacing w:before="120"/>
        <w:rPr>
          <w:rFonts w:eastAsia="Calibri" w:cs="Arial"/>
          <w:szCs w:val="22"/>
          <w:lang w:val="en-CA" w:eastAsia="en-AU"/>
        </w:rPr>
      </w:pPr>
    </w:p>
    <w:p w14:paraId="0BDE4327" w14:textId="6A692583" w:rsidR="000F60FA" w:rsidRPr="005D5E65" w:rsidRDefault="000F60FA" w:rsidP="000F60FA">
      <w:pPr>
        <w:spacing w:before="120"/>
        <w:rPr>
          <w:rFonts w:eastAsia="Calibri" w:cs="Arial"/>
          <w:caps/>
          <w:szCs w:val="22"/>
          <w:lang w:val="en-CA" w:eastAsia="en-AU"/>
        </w:rPr>
      </w:pPr>
      <w:r w:rsidRPr="005D5E65">
        <w:rPr>
          <w:rFonts w:eastAsia="Calibri" w:cs="Arial"/>
          <w:caps/>
          <w:szCs w:val="22"/>
          <w:lang w:val="en-CA" w:eastAsia="en-AU"/>
        </w:rPr>
        <w:lastRenderedPageBreak/>
        <w:t xml:space="preserve">ONLY ASK Q8 if </w:t>
      </w:r>
      <w:r w:rsidR="00254BCB" w:rsidRPr="005D5E65">
        <w:rPr>
          <w:rFonts w:eastAsia="Calibri" w:cs="Arial"/>
          <w:caps/>
          <w:szCs w:val="22"/>
          <w:lang w:val="en-CA" w:eastAsia="en-AU"/>
        </w:rPr>
        <w:t>SELECT</w:t>
      </w:r>
      <w:r w:rsidRPr="005D5E65">
        <w:rPr>
          <w:rFonts w:eastAsia="Calibri" w:cs="Arial"/>
          <w:caps/>
          <w:szCs w:val="22"/>
          <w:lang w:val="en-CA" w:eastAsia="en-AU"/>
        </w:rPr>
        <w:t xml:space="preserve"> NOT AT ALL satisfied or  ONLY A LITTLE BIT satisfied at 3.6</w:t>
      </w:r>
    </w:p>
    <w:p w14:paraId="68C2D6BA" w14:textId="77777777" w:rsidR="000F60FA" w:rsidRPr="005D5E65" w:rsidRDefault="000F60FA" w:rsidP="00AD6A91">
      <w:pPr>
        <w:pStyle w:val="Q1Appendix"/>
      </w:pPr>
      <w:r w:rsidRPr="005D5E65">
        <w:t>How could the NDIA improve the way it manages the IER Program?</w:t>
      </w:r>
    </w:p>
    <w:p w14:paraId="15B49A2E"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4C8B8CCF" w14:textId="1210725B" w:rsidR="000F60FA" w:rsidRPr="005D5E65" w:rsidRDefault="000F60FA" w:rsidP="000F60FA">
      <w:pPr>
        <w:spacing w:before="120"/>
        <w:rPr>
          <w:rFonts w:eastAsia="Calibri" w:cs="Arial"/>
          <w:caps/>
          <w:szCs w:val="22"/>
          <w:lang w:val="en-CA" w:eastAsia="en-AU"/>
        </w:rPr>
      </w:pPr>
      <w:r w:rsidRPr="005D5E65">
        <w:rPr>
          <w:rFonts w:eastAsia="Calibri" w:cs="Arial"/>
          <w:caps/>
          <w:szCs w:val="22"/>
          <w:lang w:val="en-CA" w:eastAsia="en-AU"/>
        </w:rPr>
        <w:t xml:space="preserve">ONLY ASK Q9 if </w:t>
      </w:r>
      <w:r w:rsidR="00254BCB" w:rsidRPr="005D5E65">
        <w:rPr>
          <w:rFonts w:eastAsia="Calibri" w:cs="Arial"/>
          <w:caps/>
          <w:szCs w:val="22"/>
          <w:lang w:val="en-CA" w:eastAsia="en-AU"/>
        </w:rPr>
        <w:t>SELECT</w:t>
      </w:r>
      <w:r w:rsidRPr="005D5E65">
        <w:rPr>
          <w:rFonts w:eastAsia="Calibri" w:cs="Arial"/>
          <w:caps/>
          <w:szCs w:val="22"/>
          <w:lang w:val="en-CA" w:eastAsia="en-AU"/>
        </w:rPr>
        <w:t xml:space="preserve"> NOT AT ALL satisfied or  ONLY A LITTLE BIT satisfied at 3.7</w:t>
      </w:r>
    </w:p>
    <w:p w14:paraId="20A5C096" w14:textId="77777777" w:rsidR="000F60FA" w:rsidRPr="005D5E65" w:rsidRDefault="000F60FA" w:rsidP="000F60FA">
      <w:pPr>
        <w:spacing w:before="120"/>
        <w:rPr>
          <w:rFonts w:eastAsia="Calibri" w:cs="Arial"/>
          <w:caps/>
          <w:szCs w:val="22"/>
          <w:lang w:val="en-CA" w:eastAsia="en-AU"/>
        </w:rPr>
      </w:pPr>
    </w:p>
    <w:p w14:paraId="235DF6D5" w14:textId="0470EB8D" w:rsidR="00D13E44" w:rsidRDefault="000F60FA" w:rsidP="00D13E44">
      <w:pPr>
        <w:pStyle w:val="Q1Appendix"/>
      </w:pPr>
      <w:r w:rsidRPr="005D5E65">
        <w:t>How could the NDIA improve the way it follows up with you at the conclusion of the IER process</w:t>
      </w:r>
      <w:r w:rsidR="00D13E44">
        <w:t>?</w:t>
      </w:r>
    </w:p>
    <w:p w14:paraId="372D2809" w14:textId="6D59B988" w:rsidR="001057CE" w:rsidRPr="005D5E65" w:rsidRDefault="002A104F" w:rsidP="003F10F6">
      <w:pPr>
        <w:pStyle w:val="Q1Appendix"/>
        <w:numPr>
          <w:ilvl w:val="0"/>
          <w:numId w:val="0"/>
        </w:numPr>
      </w:pPr>
      <w:r>
        <w:t>&lt;FREE TEXT&gt;</w:t>
      </w:r>
    </w:p>
    <w:p w14:paraId="71DB65A2" w14:textId="77777777" w:rsidR="000F60FA" w:rsidRPr="005D5E65" w:rsidRDefault="000F60FA" w:rsidP="000F60FA">
      <w:pPr>
        <w:spacing w:before="120"/>
        <w:rPr>
          <w:rFonts w:eastAsia="Calibri" w:cs="Arial"/>
          <w:caps/>
          <w:szCs w:val="22"/>
          <w:lang w:eastAsia="en-AU"/>
        </w:rPr>
      </w:pPr>
    </w:p>
    <w:p w14:paraId="08D6E1CE" w14:textId="77777777" w:rsidR="000F60FA" w:rsidRPr="005D5E65" w:rsidRDefault="000F60FA" w:rsidP="00AD6A91">
      <w:pPr>
        <w:pStyle w:val="Q1Appendix"/>
      </w:pPr>
      <w:r w:rsidRPr="005D5E65">
        <w:t>Have you contacted any of the following while conducting your reviews? Select all that apply</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18B8CB70" w14:textId="77777777">
        <w:tc>
          <w:tcPr>
            <w:tcW w:w="5392" w:type="dxa"/>
            <w:tcBorders>
              <w:top w:val="single" w:sz="4" w:space="0" w:color="BFBFBF"/>
              <w:left w:val="nil"/>
              <w:bottom w:val="single" w:sz="4" w:space="0" w:color="D9D9D9"/>
              <w:right w:val="nil"/>
            </w:tcBorders>
            <w:hideMark/>
          </w:tcPr>
          <w:p w14:paraId="36A14951"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Participant</w:t>
            </w:r>
          </w:p>
        </w:tc>
        <w:tc>
          <w:tcPr>
            <w:tcW w:w="1990" w:type="dxa"/>
            <w:tcBorders>
              <w:top w:val="single" w:sz="4" w:space="0" w:color="BFBFBF"/>
              <w:left w:val="nil"/>
              <w:bottom w:val="single" w:sz="4" w:space="0" w:color="D9D9D9"/>
              <w:right w:val="nil"/>
            </w:tcBorders>
            <w:hideMark/>
          </w:tcPr>
          <w:p w14:paraId="64868C14" w14:textId="77777777" w:rsidR="000F60FA" w:rsidRPr="005D5E65" w:rsidRDefault="000F60FA" w:rsidP="000705FE">
            <w:pPr>
              <w:numPr>
                <w:ilvl w:val="0"/>
                <w:numId w:val="31"/>
              </w:numPr>
              <w:spacing w:before="60" w:after="60"/>
              <w:jc w:val="center"/>
              <w:rPr>
                <w:rFonts w:eastAsia="Calibri"/>
                <w:sz w:val="22"/>
                <w:szCs w:val="22"/>
                <w:lang w:val="en-CA" w:eastAsia="en-US"/>
              </w:rPr>
            </w:pPr>
          </w:p>
        </w:tc>
      </w:tr>
      <w:tr w:rsidR="00327147" w:rsidRPr="005D5E65" w14:paraId="7F5C398C" w14:textId="77777777">
        <w:tc>
          <w:tcPr>
            <w:tcW w:w="5392" w:type="dxa"/>
            <w:tcBorders>
              <w:top w:val="single" w:sz="4" w:space="0" w:color="D9D9D9"/>
              <w:left w:val="nil"/>
              <w:bottom w:val="single" w:sz="4" w:space="0" w:color="D9D9D9"/>
              <w:right w:val="nil"/>
            </w:tcBorders>
            <w:hideMark/>
          </w:tcPr>
          <w:p w14:paraId="046137F2"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Participant’s representative</w:t>
            </w:r>
          </w:p>
        </w:tc>
        <w:tc>
          <w:tcPr>
            <w:tcW w:w="1990" w:type="dxa"/>
            <w:tcBorders>
              <w:top w:val="single" w:sz="4" w:space="0" w:color="D9D9D9"/>
              <w:left w:val="nil"/>
              <w:bottom w:val="single" w:sz="4" w:space="0" w:color="D9D9D9"/>
              <w:right w:val="nil"/>
            </w:tcBorders>
            <w:hideMark/>
          </w:tcPr>
          <w:p w14:paraId="20ABF17E" w14:textId="77777777" w:rsidR="000F60FA" w:rsidRPr="005D5E65" w:rsidRDefault="000F60FA" w:rsidP="000705FE">
            <w:pPr>
              <w:numPr>
                <w:ilvl w:val="0"/>
                <w:numId w:val="31"/>
              </w:numPr>
              <w:spacing w:before="60" w:after="60"/>
              <w:jc w:val="center"/>
              <w:rPr>
                <w:rFonts w:eastAsia="Calibri"/>
                <w:sz w:val="22"/>
                <w:szCs w:val="22"/>
                <w:lang w:val="en-CA" w:eastAsia="en-US"/>
              </w:rPr>
            </w:pPr>
          </w:p>
        </w:tc>
      </w:tr>
      <w:tr w:rsidR="00327147" w:rsidRPr="005D5E65" w14:paraId="0A3435C9" w14:textId="77777777">
        <w:tc>
          <w:tcPr>
            <w:tcW w:w="5392" w:type="dxa"/>
            <w:tcBorders>
              <w:top w:val="single" w:sz="4" w:space="0" w:color="D9D9D9"/>
              <w:left w:val="nil"/>
              <w:bottom w:val="single" w:sz="4" w:space="0" w:color="D9D9D9"/>
              <w:right w:val="nil"/>
            </w:tcBorders>
            <w:hideMark/>
          </w:tcPr>
          <w:p w14:paraId="1018BAB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NDIA</w:t>
            </w:r>
          </w:p>
        </w:tc>
        <w:tc>
          <w:tcPr>
            <w:tcW w:w="1990" w:type="dxa"/>
            <w:tcBorders>
              <w:top w:val="single" w:sz="4" w:space="0" w:color="D9D9D9"/>
              <w:left w:val="nil"/>
              <w:bottom w:val="single" w:sz="4" w:space="0" w:color="D9D9D9"/>
              <w:right w:val="nil"/>
            </w:tcBorders>
            <w:hideMark/>
          </w:tcPr>
          <w:p w14:paraId="1FBF5533" w14:textId="77777777" w:rsidR="000F60FA" w:rsidRPr="005D5E65" w:rsidRDefault="000F60FA" w:rsidP="000705FE">
            <w:pPr>
              <w:numPr>
                <w:ilvl w:val="0"/>
                <w:numId w:val="31"/>
              </w:numPr>
              <w:spacing w:before="60" w:after="60"/>
              <w:jc w:val="center"/>
              <w:rPr>
                <w:rFonts w:eastAsia="Calibri"/>
                <w:sz w:val="22"/>
                <w:szCs w:val="22"/>
                <w:lang w:val="en-CA" w:eastAsia="en-US"/>
              </w:rPr>
            </w:pPr>
          </w:p>
        </w:tc>
      </w:tr>
      <w:tr w:rsidR="00327147" w:rsidRPr="005D5E65" w14:paraId="4FBCA7E6" w14:textId="77777777">
        <w:tc>
          <w:tcPr>
            <w:tcW w:w="5392" w:type="dxa"/>
            <w:tcBorders>
              <w:top w:val="single" w:sz="4" w:space="0" w:color="D9D9D9"/>
              <w:left w:val="nil"/>
              <w:bottom w:val="single" w:sz="4" w:space="0" w:color="D9D9D9"/>
              <w:right w:val="nil"/>
            </w:tcBorders>
          </w:tcPr>
          <w:p w14:paraId="10001299"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Others who provided reports</w:t>
            </w:r>
          </w:p>
        </w:tc>
        <w:tc>
          <w:tcPr>
            <w:tcW w:w="1990" w:type="dxa"/>
            <w:tcBorders>
              <w:top w:val="single" w:sz="4" w:space="0" w:color="D9D9D9"/>
              <w:left w:val="nil"/>
              <w:bottom w:val="single" w:sz="4" w:space="0" w:color="D9D9D9"/>
              <w:right w:val="nil"/>
            </w:tcBorders>
          </w:tcPr>
          <w:p w14:paraId="6DD6425C" w14:textId="77777777" w:rsidR="000F60FA" w:rsidRPr="005D5E65" w:rsidRDefault="000F60FA" w:rsidP="000705FE">
            <w:pPr>
              <w:numPr>
                <w:ilvl w:val="0"/>
                <w:numId w:val="31"/>
              </w:numPr>
              <w:spacing w:before="60" w:after="60"/>
              <w:jc w:val="center"/>
              <w:rPr>
                <w:rFonts w:eastAsia="Times New Roman"/>
                <w:sz w:val="22"/>
                <w:szCs w:val="22"/>
                <w:lang w:val="en-CA" w:eastAsia="en-AU"/>
              </w:rPr>
            </w:pPr>
          </w:p>
        </w:tc>
      </w:tr>
      <w:tr w:rsidR="00327147" w:rsidRPr="005D5E65" w14:paraId="448C8C98" w14:textId="77777777">
        <w:tc>
          <w:tcPr>
            <w:tcW w:w="5392" w:type="dxa"/>
            <w:tcBorders>
              <w:top w:val="single" w:sz="4" w:space="0" w:color="D9D9D9"/>
              <w:left w:val="nil"/>
              <w:bottom w:val="single" w:sz="4" w:space="0" w:color="D9D9D9"/>
              <w:right w:val="nil"/>
            </w:tcBorders>
          </w:tcPr>
          <w:p w14:paraId="138212BA"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 xml:space="preserve">Other </w:t>
            </w:r>
          </w:p>
        </w:tc>
        <w:tc>
          <w:tcPr>
            <w:tcW w:w="1990" w:type="dxa"/>
            <w:tcBorders>
              <w:top w:val="single" w:sz="4" w:space="0" w:color="D9D9D9"/>
              <w:left w:val="nil"/>
              <w:bottom w:val="single" w:sz="4" w:space="0" w:color="D9D9D9"/>
              <w:right w:val="nil"/>
            </w:tcBorders>
          </w:tcPr>
          <w:p w14:paraId="001519D4" w14:textId="77777777" w:rsidR="000F60FA" w:rsidRPr="005D5E65" w:rsidRDefault="000F60FA" w:rsidP="000705FE">
            <w:pPr>
              <w:numPr>
                <w:ilvl w:val="0"/>
                <w:numId w:val="31"/>
              </w:numPr>
              <w:spacing w:before="60" w:after="60"/>
              <w:jc w:val="center"/>
              <w:rPr>
                <w:rFonts w:eastAsia="Times New Roman"/>
                <w:sz w:val="22"/>
                <w:szCs w:val="22"/>
                <w:lang w:val="en-CA" w:eastAsia="en-AU"/>
              </w:rPr>
            </w:pPr>
          </w:p>
        </w:tc>
      </w:tr>
    </w:tbl>
    <w:p w14:paraId="5EFA6DFF" w14:textId="77777777" w:rsidR="000F60FA" w:rsidRPr="005D5E65" w:rsidRDefault="000F60FA" w:rsidP="000F60FA">
      <w:pPr>
        <w:spacing w:before="120"/>
        <w:rPr>
          <w:rFonts w:eastAsia="Calibri" w:cs="Arial"/>
          <w:szCs w:val="22"/>
          <w:lang w:val="en-CA" w:eastAsia="en-AU"/>
        </w:rPr>
      </w:pPr>
    </w:p>
    <w:p w14:paraId="485AC1C1"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ONLY ASK Q11 IF SELECT OTHER AT Q10</w:t>
      </w:r>
    </w:p>
    <w:p w14:paraId="5CC7D517" w14:textId="77777777" w:rsidR="000F60FA" w:rsidRPr="005D5E65" w:rsidRDefault="000F60FA" w:rsidP="00AD6A91">
      <w:pPr>
        <w:pStyle w:val="Q1Appendix"/>
      </w:pPr>
      <w:r w:rsidRPr="005D5E65">
        <w:t>Why did you contact these other people?</w:t>
      </w:r>
    </w:p>
    <w:p w14:paraId="7946B43C"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&lt;FREE TEXT&gt;</w:t>
      </w:r>
    </w:p>
    <w:p w14:paraId="287D5CAE" w14:textId="77777777" w:rsidR="000F60FA" w:rsidRPr="005D5E65" w:rsidRDefault="000F60FA" w:rsidP="000F60FA">
      <w:pPr>
        <w:spacing w:before="120"/>
        <w:rPr>
          <w:rFonts w:eastAsia="Calibri" w:cs="Arial"/>
          <w:szCs w:val="22"/>
          <w:lang w:val="en-CA" w:eastAsia="en-AU"/>
        </w:rPr>
      </w:pPr>
    </w:p>
    <w:p w14:paraId="6C5954DA" w14:textId="77777777" w:rsidR="000F60FA" w:rsidRPr="005D5E65" w:rsidRDefault="000F60FA" w:rsidP="000F60FA">
      <w:pPr>
        <w:spacing w:before="120"/>
        <w:rPr>
          <w:rFonts w:eastAsia="Calibri" w:cs="Arial"/>
          <w:szCs w:val="22"/>
          <w:lang w:val="en-CA" w:eastAsia="en-AU"/>
        </w:rPr>
      </w:pPr>
      <w:r w:rsidRPr="005D5E65">
        <w:rPr>
          <w:rFonts w:eastAsia="Calibri" w:cs="Arial"/>
          <w:szCs w:val="22"/>
          <w:lang w:val="en-CA" w:eastAsia="en-AU"/>
        </w:rPr>
        <w:t>ONLY SHOW OPTIONS BELOW BASED ON RESPNSES TO Q9</w:t>
      </w:r>
    </w:p>
    <w:p w14:paraId="3A1920A3" w14:textId="77777777" w:rsidR="000F60FA" w:rsidRPr="005D5E65" w:rsidRDefault="000F60FA" w:rsidP="00AD6A91">
      <w:pPr>
        <w:pStyle w:val="Q1Appendix"/>
      </w:pPr>
      <w:r w:rsidRPr="005D5E65">
        <w:t>What has been your experience of the responsiveness of the following to any question you had during your reviews?</w:t>
      </w:r>
    </w:p>
    <w:tbl>
      <w:tblPr>
        <w:tblStyle w:val="TableGrid3"/>
        <w:tblW w:w="5000" w:type="pct"/>
        <w:tblInd w:w="0"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2865"/>
        <w:gridCol w:w="1101"/>
        <w:gridCol w:w="1320"/>
        <w:gridCol w:w="1307"/>
        <w:gridCol w:w="1144"/>
        <w:gridCol w:w="1289"/>
      </w:tblGrid>
      <w:tr w:rsidR="000F60FA" w:rsidRPr="005D5E65" w14:paraId="2CFCA7F8" w14:textId="77777777">
        <w:tc>
          <w:tcPr>
            <w:tcW w:w="1587" w:type="pct"/>
            <w:tcBorders>
              <w:top w:val="single" w:sz="4" w:space="0" w:color="BFBFBF"/>
              <w:left w:val="nil"/>
              <w:bottom w:val="single" w:sz="4" w:space="0" w:color="D9D9D9"/>
              <w:right w:val="nil"/>
            </w:tcBorders>
          </w:tcPr>
          <w:p w14:paraId="7105E75A" w14:textId="77777777" w:rsidR="000F60FA" w:rsidRPr="005D5E65" w:rsidRDefault="000F60FA">
            <w:pPr>
              <w:spacing w:before="60" w:after="60"/>
              <w:rPr>
                <w:rFonts w:eastAsia="Calibri"/>
                <w:sz w:val="22"/>
                <w:szCs w:val="22"/>
                <w:lang w:val="en-CA" w:eastAsia="en-US"/>
              </w:rPr>
            </w:pPr>
          </w:p>
        </w:tc>
        <w:tc>
          <w:tcPr>
            <w:tcW w:w="610" w:type="pct"/>
            <w:tcBorders>
              <w:top w:val="single" w:sz="4" w:space="0" w:color="BFBFBF"/>
              <w:left w:val="nil"/>
              <w:bottom w:val="single" w:sz="4" w:space="0" w:color="D9D9D9"/>
              <w:right w:val="nil"/>
            </w:tcBorders>
          </w:tcPr>
          <w:p w14:paraId="0A89553E"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val="en-CA" w:eastAsia="en-US"/>
              </w:rPr>
              <w:t>Very poor</w:t>
            </w:r>
          </w:p>
        </w:tc>
        <w:tc>
          <w:tcPr>
            <w:tcW w:w="731" w:type="pct"/>
            <w:tcBorders>
              <w:top w:val="single" w:sz="4" w:space="0" w:color="BFBFBF"/>
              <w:left w:val="nil"/>
              <w:bottom w:val="single" w:sz="4" w:space="0" w:color="D9D9D9"/>
              <w:right w:val="nil"/>
            </w:tcBorders>
          </w:tcPr>
          <w:p w14:paraId="5197F494"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val="en-CA" w:eastAsia="en-US"/>
              </w:rPr>
              <w:t>Poor</w:t>
            </w:r>
          </w:p>
        </w:tc>
        <w:tc>
          <w:tcPr>
            <w:tcW w:w="724" w:type="pct"/>
            <w:tcBorders>
              <w:top w:val="single" w:sz="4" w:space="0" w:color="BFBFBF"/>
              <w:left w:val="nil"/>
              <w:bottom w:val="single" w:sz="4" w:space="0" w:color="D9D9D9"/>
              <w:right w:val="nil"/>
            </w:tcBorders>
          </w:tcPr>
          <w:p w14:paraId="4D8EAF6D"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val="en-CA" w:eastAsia="en-US"/>
              </w:rPr>
              <w:t>Ok</w:t>
            </w:r>
          </w:p>
        </w:tc>
        <w:tc>
          <w:tcPr>
            <w:tcW w:w="634" w:type="pct"/>
            <w:tcBorders>
              <w:top w:val="single" w:sz="4" w:space="0" w:color="BFBFBF"/>
              <w:left w:val="nil"/>
              <w:bottom w:val="single" w:sz="4" w:space="0" w:color="D9D9D9"/>
              <w:right w:val="nil"/>
            </w:tcBorders>
          </w:tcPr>
          <w:p w14:paraId="75ECC462"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val="en-CA" w:eastAsia="en-US"/>
              </w:rPr>
              <w:t>Good</w:t>
            </w:r>
          </w:p>
        </w:tc>
        <w:tc>
          <w:tcPr>
            <w:tcW w:w="714" w:type="pct"/>
            <w:tcBorders>
              <w:top w:val="single" w:sz="4" w:space="0" w:color="BFBFBF"/>
              <w:left w:val="nil"/>
              <w:bottom w:val="single" w:sz="4" w:space="0" w:color="D9D9D9"/>
              <w:right w:val="nil"/>
            </w:tcBorders>
          </w:tcPr>
          <w:p w14:paraId="1736D100" w14:textId="77777777" w:rsidR="000F60FA" w:rsidRPr="005D5E65" w:rsidRDefault="000F60FA">
            <w:pPr>
              <w:spacing w:before="60" w:after="60"/>
              <w:jc w:val="center"/>
              <w:rPr>
                <w:rFonts w:eastAsia="Calibri"/>
                <w:sz w:val="22"/>
                <w:szCs w:val="22"/>
                <w:lang w:val="en-CA" w:eastAsia="en-US"/>
              </w:rPr>
            </w:pPr>
            <w:r w:rsidRPr="005D5E65">
              <w:rPr>
                <w:rFonts w:eastAsia="Calibri"/>
                <w:sz w:val="22"/>
                <w:szCs w:val="22"/>
                <w:lang w:val="en-CA" w:eastAsia="en-US"/>
              </w:rPr>
              <w:t>Very good</w:t>
            </w:r>
          </w:p>
        </w:tc>
      </w:tr>
      <w:tr w:rsidR="000F60FA" w:rsidRPr="005D5E65" w14:paraId="1FEF6118" w14:textId="77777777">
        <w:tc>
          <w:tcPr>
            <w:tcW w:w="1587" w:type="pct"/>
            <w:tcBorders>
              <w:top w:val="single" w:sz="4" w:space="0" w:color="D9D9D9"/>
              <w:left w:val="nil"/>
              <w:bottom w:val="single" w:sz="4" w:space="0" w:color="D9D9D9"/>
              <w:right w:val="nil"/>
            </w:tcBorders>
            <w:hideMark/>
          </w:tcPr>
          <w:p w14:paraId="73C4AD0F"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10.1. The NDIA</w:t>
            </w:r>
          </w:p>
        </w:tc>
        <w:tc>
          <w:tcPr>
            <w:tcW w:w="610" w:type="pct"/>
            <w:tcBorders>
              <w:top w:val="single" w:sz="4" w:space="0" w:color="D9D9D9"/>
              <w:left w:val="nil"/>
              <w:bottom w:val="single" w:sz="4" w:space="0" w:color="D9D9D9"/>
              <w:right w:val="nil"/>
            </w:tcBorders>
          </w:tcPr>
          <w:p w14:paraId="5B2FFBBA"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31" w:type="pct"/>
            <w:tcBorders>
              <w:top w:val="single" w:sz="4" w:space="0" w:color="D9D9D9"/>
              <w:left w:val="nil"/>
              <w:bottom w:val="single" w:sz="4" w:space="0" w:color="D9D9D9"/>
              <w:right w:val="nil"/>
            </w:tcBorders>
          </w:tcPr>
          <w:p w14:paraId="5AD90255"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24" w:type="pct"/>
            <w:tcBorders>
              <w:top w:val="single" w:sz="4" w:space="0" w:color="D9D9D9"/>
              <w:left w:val="nil"/>
              <w:bottom w:val="single" w:sz="4" w:space="0" w:color="D9D9D9"/>
              <w:right w:val="nil"/>
            </w:tcBorders>
          </w:tcPr>
          <w:p w14:paraId="523B6912"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34" w:type="pct"/>
            <w:tcBorders>
              <w:top w:val="single" w:sz="4" w:space="0" w:color="D9D9D9"/>
              <w:left w:val="nil"/>
              <w:bottom w:val="single" w:sz="4" w:space="0" w:color="D9D9D9"/>
              <w:right w:val="nil"/>
            </w:tcBorders>
          </w:tcPr>
          <w:p w14:paraId="4C3AAA7C"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4" w:type="pct"/>
            <w:tcBorders>
              <w:top w:val="single" w:sz="4" w:space="0" w:color="D9D9D9"/>
              <w:left w:val="nil"/>
              <w:bottom w:val="single" w:sz="4" w:space="0" w:color="D9D9D9"/>
              <w:right w:val="nil"/>
            </w:tcBorders>
            <w:hideMark/>
          </w:tcPr>
          <w:p w14:paraId="01AB33D0"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0F60FA" w:rsidRPr="005D5E65" w14:paraId="70A849BA" w14:textId="77777777">
        <w:tc>
          <w:tcPr>
            <w:tcW w:w="1587" w:type="pct"/>
            <w:tcBorders>
              <w:top w:val="single" w:sz="4" w:space="0" w:color="D9D9D9"/>
              <w:left w:val="nil"/>
              <w:bottom w:val="single" w:sz="4" w:space="0" w:color="D9D9D9"/>
              <w:right w:val="nil"/>
            </w:tcBorders>
            <w:hideMark/>
          </w:tcPr>
          <w:p w14:paraId="3D6CA7D8"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lastRenderedPageBreak/>
              <w:t>10.2. The Participant</w:t>
            </w:r>
          </w:p>
        </w:tc>
        <w:tc>
          <w:tcPr>
            <w:tcW w:w="610" w:type="pct"/>
            <w:tcBorders>
              <w:top w:val="single" w:sz="4" w:space="0" w:color="D9D9D9"/>
              <w:left w:val="nil"/>
              <w:bottom w:val="single" w:sz="4" w:space="0" w:color="D9D9D9"/>
              <w:right w:val="nil"/>
            </w:tcBorders>
          </w:tcPr>
          <w:p w14:paraId="0C6FD6F3"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31" w:type="pct"/>
            <w:tcBorders>
              <w:top w:val="single" w:sz="4" w:space="0" w:color="D9D9D9"/>
              <w:left w:val="nil"/>
              <w:bottom w:val="single" w:sz="4" w:space="0" w:color="D9D9D9"/>
              <w:right w:val="nil"/>
            </w:tcBorders>
          </w:tcPr>
          <w:p w14:paraId="3995D4B6"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24" w:type="pct"/>
            <w:tcBorders>
              <w:top w:val="single" w:sz="4" w:space="0" w:color="D9D9D9"/>
              <w:left w:val="nil"/>
              <w:bottom w:val="single" w:sz="4" w:space="0" w:color="D9D9D9"/>
              <w:right w:val="nil"/>
            </w:tcBorders>
          </w:tcPr>
          <w:p w14:paraId="440E18F1"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34" w:type="pct"/>
            <w:tcBorders>
              <w:top w:val="single" w:sz="4" w:space="0" w:color="D9D9D9"/>
              <w:left w:val="nil"/>
              <w:bottom w:val="single" w:sz="4" w:space="0" w:color="D9D9D9"/>
              <w:right w:val="nil"/>
            </w:tcBorders>
          </w:tcPr>
          <w:p w14:paraId="6BDFB2AF"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4" w:type="pct"/>
            <w:tcBorders>
              <w:top w:val="single" w:sz="4" w:space="0" w:color="D9D9D9"/>
              <w:left w:val="nil"/>
              <w:bottom w:val="single" w:sz="4" w:space="0" w:color="D9D9D9"/>
              <w:right w:val="nil"/>
            </w:tcBorders>
            <w:hideMark/>
          </w:tcPr>
          <w:p w14:paraId="7FD6DB4E"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0F60FA" w:rsidRPr="005D5E65" w14:paraId="7C63D4DD" w14:textId="77777777">
        <w:tc>
          <w:tcPr>
            <w:tcW w:w="1587" w:type="pct"/>
            <w:tcBorders>
              <w:top w:val="single" w:sz="4" w:space="0" w:color="D9D9D9"/>
              <w:left w:val="nil"/>
              <w:bottom w:val="single" w:sz="4" w:space="0" w:color="D9D9D9"/>
              <w:right w:val="nil"/>
            </w:tcBorders>
          </w:tcPr>
          <w:p w14:paraId="0321514C"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10.3. The Participant’s representative</w:t>
            </w:r>
          </w:p>
        </w:tc>
        <w:tc>
          <w:tcPr>
            <w:tcW w:w="610" w:type="pct"/>
            <w:tcBorders>
              <w:top w:val="single" w:sz="4" w:space="0" w:color="D9D9D9"/>
              <w:left w:val="nil"/>
              <w:bottom w:val="single" w:sz="4" w:space="0" w:color="D9D9D9"/>
              <w:right w:val="nil"/>
            </w:tcBorders>
          </w:tcPr>
          <w:p w14:paraId="3038734D"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31" w:type="pct"/>
            <w:tcBorders>
              <w:top w:val="single" w:sz="4" w:space="0" w:color="D9D9D9"/>
              <w:left w:val="nil"/>
              <w:bottom w:val="single" w:sz="4" w:space="0" w:color="D9D9D9"/>
              <w:right w:val="nil"/>
            </w:tcBorders>
          </w:tcPr>
          <w:p w14:paraId="00AC2EA4"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24" w:type="pct"/>
            <w:tcBorders>
              <w:top w:val="single" w:sz="4" w:space="0" w:color="D9D9D9"/>
              <w:left w:val="nil"/>
              <w:bottom w:val="single" w:sz="4" w:space="0" w:color="D9D9D9"/>
              <w:right w:val="nil"/>
            </w:tcBorders>
          </w:tcPr>
          <w:p w14:paraId="6885EFA4"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634" w:type="pct"/>
            <w:tcBorders>
              <w:top w:val="single" w:sz="4" w:space="0" w:color="D9D9D9"/>
              <w:left w:val="nil"/>
              <w:bottom w:val="single" w:sz="4" w:space="0" w:color="D9D9D9"/>
              <w:right w:val="nil"/>
            </w:tcBorders>
          </w:tcPr>
          <w:p w14:paraId="75474AE8" w14:textId="77777777" w:rsidR="000F60FA" w:rsidRPr="005D5E65" w:rsidRDefault="000F60FA">
            <w:pPr>
              <w:spacing w:before="60" w:after="60"/>
              <w:jc w:val="center"/>
              <w:rPr>
                <w:rFonts w:ascii="Wingdings" w:eastAsia="Wingdings" w:hAnsi="Wingdings" w:cs="Wingdings"/>
                <w:sz w:val="22"/>
                <w:szCs w:val="22"/>
                <w:lang w:val="en-CA" w:eastAsia="en-AU"/>
              </w:rPr>
            </w:pPr>
            <w:r w:rsidRPr="005D5E65">
              <w:rPr>
                <w:rFonts w:ascii="Wingdings" w:eastAsia="Wingdings" w:hAnsi="Wingdings" w:cs="Wingdings"/>
                <w:sz w:val="22"/>
                <w:szCs w:val="22"/>
                <w:lang w:val="en-CA" w:eastAsia="en-AU"/>
              </w:rPr>
              <w:t></w:t>
            </w:r>
          </w:p>
        </w:tc>
        <w:tc>
          <w:tcPr>
            <w:tcW w:w="714" w:type="pct"/>
            <w:tcBorders>
              <w:top w:val="single" w:sz="4" w:space="0" w:color="D9D9D9"/>
              <w:left w:val="nil"/>
              <w:bottom w:val="single" w:sz="4" w:space="0" w:color="D9D9D9"/>
              <w:right w:val="nil"/>
            </w:tcBorders>
          </w:tcPr>
          <w:p w14:paraId="4B1193E7"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bl>
    <w:p w14:paraId="1CEA1B39" w14:textId="77777777" w:rsidR="000F60FA" w:rsidRPr="005D5E65" w:rsidRDefault="000F60FA" w:rsidP="000F60FA">
      <w:pPr>
        <w:spacing w:before="120"/>
        <w:rPr>
          <w:rFonts w:eastAsia="Calibri" w:cs="Arial"/>
          <w:szCs w:val="22"/>
          <w:lang w:val="en-CA" w:eastAsia="en-AU"/>
        </w:rPr>
      </w:pPr>
    </w:p>
    <w:p w14:paraId="5C2313C6" w14:textId="77777777" w:rsidR="000F60FA" w:rsidRPr="005D5E65" w:rsidRDefault="000F60FA" w:rsidP="000F60FA">
      <w:pPr>
        <w:spacing w:before="120"/>
        <w:rPr>
          <w:rFonts w:eastAsia="Calibri" w:cs="Arial"/>
          <w:caps/>
          <w:szCs w:val="22"/>
          <w:lang w:val="en-CA" w:eastAsia="en-AU"/>
        </w:rPr>
      </w:pPr>
      <w:r w:rsidRPr="005D5E65">
        <w:rPr>
          <w:rFonts w:eastAsia="Calibri" w:cs="Arial"/>
          <w:caps/>
          <w:szCs w:val="22"/>
          <w:lang w:val="en-CA" w:eastAsia="en-AU"/>
        </w:rPr>
        <w:t>Only ask Q13 if select participant or participant’s representative at Q12</w:t>
      </w:r>
    </w:p>
    <w:p w14:paraId="48BA8A5D" w14:textId="77777777" w:rsidR="000F60FA" w:rsidRPr="005D5E65" w:rsidRDefault="000F60FA" w:rsidP="00AD6A91">
      <w:pPr>
        <w:pStyle w:val="Q1Appendix"/>
      </w:pPr>
      <w:r w:rsidRPr="005D5E65">
        <w:t>How useful was your contact with the participant or their representative?</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5FEA038A" w14:textId="77777777">
        <w:tc>
          <w:tcPr>
            <w:tcW w:w="5392" w:type="dxa"/>
            <w:tcBorders>
              <w:top w:val="single" w:sz="4" w:space="0" w:color="BFBFBF"/>
              <w:left w:val="nil"/>
              <w:bottom w:val="single" w:sz="4" w:space="0" w:color="D9D9D9"/>
              <w:right w:val="nil"/>
            </w:tcBorders>
            <w:hideMark/>
          </w:tcPr>
          <w:p w14:paraId="375B0028"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Not at all useful</w:t>
            </w:r>
          </w:p>
        </w:tc>
        <w:tc>
          <w:tcPr>
            <w:tcW w:w="1990" w:type="dxa"/>
            <w:tcBorders>
              <w:top w:val="single" w:sz="4" w:space="0" w:color="BFBFBF"/>
              <w:left w:val="nil"/>
              <w:bottom w:val="single" w:sz="4" w:space="0" w:color="D9D9D9"/>
              <w:right w:val="nil"/>
            </w:tcBorders>
            <w:hideMark/>
          </w:tcPr>
          <w:p w14:paraId="3921C75D"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25C5347F" w14:textId="77777777">
        <w:tc>
          <w:tcPr>
            <w:tcW w:w="5392" w:type="dxa"/>
            <w:tcBorders>
              <w:top w:val="single" w:sz="4" w:space="0" w:color="D9D9D9"/>
              <w:left w:val="nil"/>
              <w:bottom w:val="single" w:sz="4" w:space="0" w:color="D9D9D9"/>
              <w:right w:val="nil"/>
            </w:tcBorders>
            <w:hideMark/>
          </w:tcPr>
          <w:p w14:paraId="2F96AD49"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Somewhat useful</w:t>
            </w:r>
          </w:p>
        </w:tc>
        <w:tc>
          <w:tcPr>
            <w:tcW w:w="1990" w:type="dxa"/>
            <w:tcBorders>
              <w:top w:val="single" w:sz="4" w:space="0" w:color="D9D9D9"/>
              <w:left w:val="nil"/>
              <w:bottom w:val="single" w:sz="4" w:space="0" w:color="D9D9D9"/>
              <w:right w:val="nil"/>
            </w:tcBorders>
            <w:hideMark/>
          </w:tcPr>
          <w:p w14:paraId="42828F6E"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5315E8A7" w14:textId="77777777">
        <w:tc>
          <w:tcPr>
            <w:tcW w:w="5392" w:type="dxa"/>
            <w:tcBorders>
              <w:top w:val="single" w:sz="4" w:space="0" w:color="D9D9D9"/>
              <w:left w:val="nil"/>
              <w:bottom w:val="single" w:sz="4" w:space="0" w:color="D9D9D9"/>
              <w:right w:val="nil"/>
            </w:tcBorders>
            <w:hideMark/>
          </w:tcPr>
          <w:p w14:paraId="197BB532"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useful</w:t>
            </w:r>
          </w:p>
        </w:tc>
        <w:tc>
          <w:tcPr>
            <w:tcW w:w="1990" w:type="dxa"/>
            <w:tcBorders>
              <w:top w:val="single" w:sz="4" w:space="0" w:color="D9D9D9"/>
              <w:left w:val="nil"/>
              <w:bottom w:val="single" w:sz="4" w:space="0" w:color="D9D9D9"/>
              <w:right w:val="nil"/>
            </w:tcBorders>
            <w:hideMark/>
          </w:tcPr>
          <w:p w14:paraId="39E2F676"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1A8C1326" w14:textId="77777777" w:rsidR="000F60FA" w:rsidRPr="005D5E65" w:rsidRDefault="000F60FA" w:rsidP="000F60FA">
      <w:pPr>
        <w:spacing w:before="120"/>
        <w:rPr>
          <w:rFonts w:eastAsia="Calibri" w:cs="Cordia New"/>
          <w:szCs w:val="22"/>
          <w:lang w:eastAsia="en-US"/>
        </w:rPr>
      </w:pPr>
    </w:p>
    <w:p w14:paraId="0AC74A69" w14:textId="77777777" w:rsidR="000F60FA" w:rsidRPr="005D5E65" w:rsidRDefault="000F60FA" w:rsidP="000F60FA">
      <w:pPr>
        <w:spacing w:before="120"/>
        <w:rPr>
          <w:rFonts w:eastAsia="Calibri" w:cs="Arial"/>
          <w:caps/>
          <w:szCs w:val="22"/>
          <w:lang w:val="en-CA" w:eastAsia="en-AU"/>
        </w:rPr>
      </w:pPr>
      <w:r w:rsidRPr="005D5E65">
        <w:rPr>
          <w:rFonts w:eastAsia="Calibri" w:cs="Arial"/>
          <w:caps/>
          <w:szCs w:val="22"/>
          <w:lang w:val="en-CA" w:eastAsia="en-AU"/>
        </w:rPr>
        <w:t>Only ask Q14 if select NDIA at Q12</w:t>
      </w:r>
    </w:p>
    <w:p w14:paraId="1A7E5B10" w14:textId="77777777" w:rsidR="000F60FA" w:rsidRPr="005D5E65" w:rsidRDefault="000F60FA" w:rsidP="00AD6A91">
      <w:pPr>
        <w:pStyle w:val="Q1Appendix"/>
      </w:pPr>
      <w:r w:rsidRPr="005D5E65">
        <w:t>How useful was your contact with the NDIA?</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64058554" w14:textId="77777777">
        <w:tc>
          <w:tcPr>
            <w:tcW w:w="5392" w:type="dxa"/>
            <w:tcBorders>
              <w:top w:val="single" w:sz="4" w:space="0" w:color="BFBFBF"/>
              <w:left w:val="nil"/>
              <w:bottom w:val="single" w:sz="4" w:space="0" w:color="D9D9D9"/>
              <w:right w:val="nil"/>
            </w:tcBorders>
            <w:hideMark/>
          </w:tcPr>
          <w:p w14:paraId="7C784223"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Not at all useful</w:t>
            </w:r>
          </w:p>
        </w:tc>
        <w:tc>
          <w:tcPr>
            <w:tcW w:w="1990" w:type="dxa"/>
            <w:tcBorders>
              <w:top w:val="single" w:sz="4" w:space="0" w:color="BFBFBF"/>
              <w:left w:val="nil"/>
              <w:bottom w:val="single" w:sz="4" w:space="0" w:color="D9D9D9"/>
              <w:right w:val="nil"/>
            </w:tcBorders>
            <w:hideMark/>
          </w:tcPr>
          <w:p w14:paraId="2C8E23F0"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17981471" w14:textId="77777777">
        <w:tc>
          <w:tcPr>
            <w:tcW w:w="5392" w:type="dxa"/>
            <w:tcBorders>
              <w:top w:val="single" w:sz="4" w:space="0" w:color="D9D9D9"/>
              <w:left w:val="nil"/>
              <w:bottom w:val="single" w:sz="4" w:space="0" w:color="D9D9D9"/>
              <w:right w:val="nil"/>
            </w:tcBorders>
            <w:hideMark/>
          </w:tcPr>
          <w:p w14:paraId="42D8CADF"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Somewhat useful</w:t>
            </w:r>
          </w:p>
        </w:tc>
        <w:tc>
          <w:tcPr>
            <w:tcW w:w="1990" w:type="dxa"/>
            <w:tcBorders>
              <w:top w:val="single" w:sz="4" w:space="0" w:color="D9D9D9"/>
              <w:left w:val="nil"/>
              <w:bottom w:val="single" w:sz="4" w:space="0" w:color="D9D9D9"/>
              <w:right w:val="nil"/>
            </w:tcBorders>
            <w:hideMark/>
          </w:tcPr>
          <w:p w14:paraId="11EBA14F"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5F9AFB5E" w14:textId="77777777">
        <w:tc>
          <w:tcPr>
            <w:tcW w:w="5392" w:type="dxa"/>
            <w:tcBorders>
              <w:top w:val="single" w:sz="4" w:space="0" w:color="D9D9D9"/>
              <w:left w:val="nil"/>
              <w:bottom w:val="single" w:sz="4" w:space="0" w:color="D9D9D9"/>
              <w:right w:val="nil"/>
            </w:tcBorders>
            <w:hideMark/>
          </w:tcPr>
          <w:p w14:paraId="4054E421"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useful</w:t>
            </w:r>
          </w:p>
        </w:tc>
        <w:tc>
          <w:tcPr>
            <w:tcW w:w="1990" w:type="dxa"/>
            <w:tcBorders>
              <w:top w:val="single" w:sz="4" w:space="0" w:color="D9D9D9"/>
              <w:left w:val="nil"/>
              <w:bottom w:val="single" w:sz="4" w:space="0" w:color="D9D9D9"/>
              <w:right w:val="nil"/>
            </w:tcBorders>
            <w:hideMark/>
          </w:tcPr>
          <w:p w14:paraId="13C09EDB"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57AA2DBF" w14:textId="77777777" w:rsidR="000F60FA" w:rsidRPr="005D5E65" w:rsidRDefault="000F60FA" w:rsidP="000F60FA">
      <w:pPr>
        <w:keepNext/>
        <w:spacing w:before="60" w:after="60" w:line="264" w:lineRule="auto"/>
        <w:rPr>
          <w:rFonts w:eastAsia="Calibri" w:cs="Arial"/>
          <w:b/>
          <w:bCs/>
          <w:szCs w:val="22"/>
          <w:lang w:eastAsia="en-US"/>
        </w:rPr>
      </w:pPr>
    </w:p>
    <w:p w14:paraId="36A9E81B" w14:textId="77777777" w:rsidR="000F60FA" w:rsidRPr="005D5E65" w:rsidRDefault="000F60FA" w:rsidP="00AD6A91">
      <w:pPr>
        <w:pStyle w:val="Q1Appendix"/>
      </w:pPr>
      <w:r w:rsidRPr="005D5E65">
        <w:t>In any of your matters, did the Participant or their representative request not to be contacted?</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549521F1" w14:textId="77777777">
        <w:tc>
          <w:tcPr>
            <w:tcW w:w="5392" w:type="dxa"/>
            <w:tcBorders>
              <w:top w:val="single" w:sz="4" w:space="0" w:color="BFBFBF"/>
              <w:left w:val="nil"/>
              <w:bottom w:val="single" w:sz="4" w:space="0" w:color="D9D9D9"/>
              <w:right w:val="nil"/>
            </w:tcBorders>
            <w:hideMark/>
          </w:tcPr>
          <w:p w14:paraId="2F3A26F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Yes</w:t>
            </w:r>
          </w:p>
        </w:tc>
        <w:tc>
          <w:tcPr>
            <w:tcW w:w="1990" w:type="dxa"/>
            <w:tcBorders>
              <w:top w:val="single" w:sz="4" w:space="0" w:color="BFBFBF"/>
              <w:left w:val="nil"/>
              <w:bottom w:val="single" w:sz="4" w:space="0" w:color="D9D9D9"/>
              <w:right w:val="nil"/>
            </w:tcBorders>
            <w:hideMark/>
          </w:tcPr>
          <w:p w14:paraId="64F6367C"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5104DD29" w14:textId="77777777">
        <w:tc>
          <w:tcPr>
            <w:tcW w:w="5392" w:type="dxa"/>
            <w:tcBorders>
              <w:top w:val="single" w:sz="4" w:space="0" w:color="D9D9D9"/>
              <w:left w:val="nil"/>
              <w:bottom w:val="single" w:sz="4" w:space="0" w:color="D9D9D9"/>
              <w:right w:val="nil"/>
            </w:tcBorders>
            <w:hideMark/>
          </w:tcPr>
          <w:p w14:paraId="7843EDC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w:t>
            </w:r>
          </w:p>
        </w:tc>
        <w:tc>
          <w:tcPr>
            <w:tcW w:w="1990" w:type="dxa"/>
            <w:tcBorders>
              <w:top w:val="single" w:sz="4" w:space="0" w:color="D9D9D9"/>
              <w:left w:val="nil"/>
              <w:bottom w:val="single" w:sz="4" w:space="0" w:color="D9D9D9"/>
              <w:right w:val="nil"/>
            </w:tcBorders>
            <w:hideMark/>
          </w:tcPr>
          <w:p w14:paraId="61067D61"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42A54F74" w14:textId="77777777" w:rsidR="000F60FA" w:rsidRPr="005D5E65" w:rsidRDefault="000F60FA" w:rsidP="000F60FA">
      <w:pPr>
        <w:spacing w:before="120"/>
        <w:rPr>
          <w:rFonts w:eastAsia="Calibri" w:cs="Arial"/>
          <w:caps/>
          <w:szCs w:val="22"/>
          <w:lang w:eastAsia="en-US"/>
        </w:rPr>
      </w:pPr>
      <w:r w:rsidRPr="005D5E65">
        <w:rPr>
          <w:rFonts w:eastAsia="Calibri" w:cs="Arial"/>
          <w:caps/>
          <w:szCs w:val="22"/>
          <w:lang w:eastAsia="en-US"/>
        </w:rPr>
        <w:t>If “Yes” GO TO Q16</w:t>
      </w:r>
    </w:p>
    <w:p w14:paraId="5AE5DBA6" w14:textId="6D2BDF74" w:rsidR="000F60FA" w:rsidRPr="005D5E65" w:rsidRDefault="000F60FA" w:rsidP="000F60FA">
      <w:pPr>
        <w:spacing w:before="120"/>
        <w:rPr>
          <w:rFonts w:eastAsia="Calibri" w:cs="Arial"/>
          <w:caps/>
          <w:szCs w:val="22"/>
          <w:lang w:eastAsia="en-US"/>
        </w:rPr>
      </w:pPr>
      <w:r w:rsidRPr="005D5E65">
        <w:rPr>
          <w:rFonts w:eastAsia="Calibri" w:cs="Arial"/>
          <w:caps/>
          <w:szCs w:val="22"/>
          <w:lang w:eastAsia="en-US"/>
        </w:rPr>
        <w:t>If “No” GO TO Q17</w:t>
      </w:r>
    </w:p>
    <w:p w14:paraId="3F284639" w14:textId="77777777" w:rsidR="000F60FA" w:rsidRPr="005D5E65" w:rsidRDefault="000F60FA" w:rsidP="00AD6A91">
      <w:pPr>
        <w:pStyle w:val="Q1Appendix"/>
      </w:pPr>
      <w:r w:rsidRPr="005D5E65">
        <w:t>Would you have considered it useful to contact the Participant or their representative?</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0FFA596B" w14:textId="77777777">
        <w:tc>
          <w:tcPr>
            <w:tcW w:w="5392" w:type="dxa"/>
            <w:tcBorders>
              <w:top w:val="single" w:sz="4" w:space="0" w:color="BFBFBF"/>
              <w:left w:val="nil"/>
              <w:bottom w:val="single" w:sz="4" w:space="0" w:color="D9D9D9"/>
              <w:right w:val="nil"/>
            </w:tcBorders>
            <w:hideMark/>
          </w:tcPr>
          <w:p w14:paraId="071AC729"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Yes</w:t>
            </w:r>
          </w:p>
        </w:tc>
        <w:tc>
          <w:tcPr>
            <w:tcW w:w="1990" w:type="dxa"/>
            <w:tcBorders>
              <w:top w:val="single" w:sz="4" w:space="0" w:color="BFBFBF"/>
              <w:left w:val="nil"/>
              <w:bottom w:val="single" w:sz="4" w:space="0" w:color="D9D9D9"/>
              <w:right w:val="nil"/>
            </w:tcBorders>
            <w:hideMark/>
          </w:tcPr>
          <w:p w14:paraId="29572A31"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4E3FF6D6" w14:textId="77777777">
        <w:tc>
          <w:tcPr>
            <w:tcW w:w="5392" w:type="dxa"/>
            <w:tcBorders>
              <w:top w:val="single" w:sz="4" w:space="0" w:color="D9D9D9"/>
              <w:left w:val="nil"/>
              <w:bottom w:val="single" w:sz="4" w:space="0" w:color="D9D9D9"/>
              <w:right w:val="nil"/>
            </w:tcBorders>
            <w:hideMark/>
          </w:tcPr>
          <w:p w14:paraId="12451984"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w:t>
            </w:r>
          </w:p>
        </w:tc>
        <w:tc>
          <w:tcPr>
            <w:tcW w:w="1990" w:type="dxa"/>
            <w:tcBorders>
              <w:top w:val="single" w:sz="4" w:space="0" w:color="D9D9D9"/>
              <w:left w:val="nil"/>
              <w:bottom w:val="single" w:sz="4" w:space="0" w:color="D9D9D9"/>
              <w:right w:val="nil"/>
            </w:tcBorders>
            <w:hideMark/>
          </w:tcPr>
          <w:p w14:paraId="7FF0A6E7"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06ED4098" w14:textId="77777777" w:rsidR="000F60FA" w:rsidRPr="005D5E65" w:rsidRDefault="000F60FA" w:rsidP="000F60FA">
      <w:pPr>
        <w:spacing w:before="120"/>
        <w:rPr>
          <w:rFonts w:eastAsia="Calibri" w:cs="Arial"/>
          <w:szCs w:val="22"/>
          <w:lang w:eastAsia="en-US"/>
        </w:rPr>
      </w:pPr>
    </w:p>
    <w:p w14:paraId="56D3BA52" w14:textId="77777777" w:rsidR="000F60FA" w:rsidRPr="005D5E65" w:rsidRDefault="000F60FA" w:rsidP="00AD6A91">
      <w:pPr>
        <w:pStyle w:val="Q1Appendix"/>
      </w:pPr>
      <w:r w:rsidRPr="005D5E65">
        <w:t>In any of your matters, did the Participant or their representative provide submissions?</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1A636011" w14:textId="77777777">
        <w:tc>
          <w:tcPr>
            <w:tcW w:w="5392" w:type="dxa"/>
            <w:tcBorders>
              <w:top w:val="single" w:sz="4" w:space="0" w:color="BFBFBF"/>
              <w:left w:val="nil"/>
              <w:bottom w:val="single" w:sz="4" w:space="0" w:color="D9D9D9"/>
              <w:right w:val="nil"/>
            </w:tcBorders>
            <w:hideMark/>
          </w:tcPr>
          <w:p w14:paraId="139FB0FC"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Yes</w:t>
            </w:r>
          </w:p>
        </w:tc>
        <w:tc>
          <w:tcPr>
            <w:tcW w:w="1990" w:type="dxa"/>
            <w:tcBorders>
              <w:top w:val="single" w:sz="4" w:space="0" w:color="BFBFBF"/>
              <w:left w:val="nil"/>
              <w:bottom w:val="single" w:sz="4" w:space="0" w:color="D9D9D9"/>
              <w:right w:val="nil"/>
            </w:tcBorders>
            <w:hideMark/>
          </w:tcPr>
          <w:p w14:paraId="70557B2D"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0B898CE6" w14:textId="77777777">
        <w:tc>
          <w:tcPr>
            <w:tcW w:w="5392" w:type="dxa"/>
            <w:tcBorders>
              <w:top w:val="single" w:sz="4" w:space="0" w:color="D9D9D9"/>
              <w:left w:val="nil"/>
              <w:bottom w:val="single" w:sz="4" w:space="0" w:color="D9D9D9"/>
              <w:right w:val="nil"/>
            </w:tcBorders>
            <w:hideMark/>
          </w:tcPr>
          <w:p w14:paraId="7169233F"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w:t>
            </w:r>
          </w:p>
        </w:tc>
        <w:tc>
          <w:tcPr>
            <w:tcW w:w="1990" w:type="dxa"/>
            <w:tcBorders>
              <w:top w:val="single" w:sz="4" w:space="0" w:color="D9D9D9"/>
              <w:left w:val="nil"/>
              <w:bottom w:val="single" w:sz="4" w:space="0" w:color="D9D9D9"/>
              <w:right w:val="nil"/>
            </w:tcBorders>
            <w:hideMark/>
          </w:tcPr>
          <w:p w14:paraId="697A1521"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36EF1B56" w14:textId="77777777" w:rsidR="000F60FA" w:rsidRPr="005D5E65" w:rsidRDefault="000F60FA" w:rsidP="000F60FA">
      <w:pPr>
        <w:keepNext/>
        <w:spacing w:before="60" w:after="60" w:line="264" w:lineRule="auto"/>
        <w:rPr>
          <w:rFonts w:eastAsia="Calibri" w:cs="Arial"/>
          <w:bCs/>
          <w:caps/>
          <w:szCs w:val="22"/>
          <w:lang w:eastAsia="en-US"/>
        </w:rPr>
      </w:pPr>
      <w:r w:rsidRPr="005D5E65">
        <w:rPr>
          <w:rFonts w:eastAsia="Calibri" w:cs="Arial"/>
          <w:bCs/>
          <w:caps/>
          <w:szCs w:val="22"/>
          <w:lang w:eastAsia="en-US"/>
        </w:rPr>
        <w:t>If “Yes” GO TO Q19</w:t>
      </w:r>
    </w:p>
    <w:p w14:paraId="0DF88C89" w14:textId="77777777" w:rsidR="000F60FA" w:rsidRPr="005D5E65" w:rsidRDefault="000F60FA" w:rsidP="000F60FA">
      <w:pPr>
        <w:keepNext/>
        <w:spacing w:before="60" w:after="60" w:line="264" w:lineRule="auto"/>
        <w:rPr>
          <w:rFonts w:eastAsia="Calibri" w:cs="Arial"/>
          <w:bCs/>
          <w:caps/>
          <w:szCs w:val="22"/>
          <w:lang w:eastAsia="en-US"/>
        </w:rPr>
      </w:pPr>
      <w:r w:rsidRPr="005D5E65">
        <w:rPr>
          <w:rFonts w:eastAsia="Calibri" w:cs="Arial"/>
          <w:bCs/>
          <w:caps/>
          <w:szCs w:val="22"/>
          <w:lang w:eastAsia="en-US"/>
        </w:rPr>
        <w:t>If “No” GO TO Q18</w:t>
      </w:r>
    </w:p>
    <w:p w14:paraId="13341287" w14:textId="77777777" w:rsidR="000F60FA" w:rsidRPr="005D5E65" w:rsidRDefault="000F60FA" w:rsidP="000F60FA">
      <w:pPr>
        <w:spacing w:before="120"/>
        <w:rPr>
          <w:rFonts w:eastAsia="Calibri" w:cs="Arial"/>
          <w:b/>
          <w:bCs/>
          <w:szCs w:val="22"/>
          <w:lang w:eastAsia="en-US"/>
        </w:rPr>
      </w:pPr>
    </w:p>
    <w:p w14:paraId="4FB785B5" w14:textId="77777777" w:rsidR="000F60FA" w:rsidRPr="005D5E65" w:rsidRDefault="000F60FA" w:rsidP="00AD6A91">
      <w:pPr>
        <w:pStyle w:val="Q1Appendix"/>
      </w:pPr>
      <w:r w:rsidRPr="005D5E65">
        <w:t>Would you have considered it useful to receive submissions?</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1100A1E3" w14:textId="77777777">
        <w:tc>
          <w:tcPr>
            <w:tcW w:w="5392" w:type="dxa"/>
            <w:tcBorders>
              <w:top w:val="single" w:sz="4" w:space="0" w:color="BFBFBF"/>
              <w:left w:val="nil"/>
              <w:bottom w:val="single" w:sz="4" w:space="0" w:color="D9D9D9"/>
              <w:right w:val="nil"/>
            </w:tcBorders>
            <w:hideMark/>
          </w:tcPr>
          <w:p w14:paraId="4E91413A"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Yes</w:t>
            </w:r>
          </w:p>
        </w:tc>
        <w:tc>
          <w:tcPr>
            <w:tcW w:w="1990" w:type="dxa"/>
            <w:tcBorders>
              <w:top w:val="single" w:sz="4" w:space="0" w:color="BFBFBF"/>
              <w:left w:val="nil"/>
              <w:bottom w:val="single" w:sz="4" w:space="0" w:color="D9D9D9"/>
              <w:right w:val="nil"/>
            </w:tcBorders>
            <w:hideMark/>
          </w:tcPr>
          <w:p w14:paraId="35802B0F"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3E06F86B" w14:textId="77777777">
        <w:tc>
          <w:tcPr>
            <w:tcW w:w="5392" w:type="dxa"/>
            <w:tcBorders>
              <w:top w:val="single" w:sz="4" w:space="0" w:color="D9D9D9"/>
              <w:left w:val="nil"/>
              <w:bottom w:val="single" w:sz="4" w:space="0" w:color="D9D9D9"/>
              <w:right w:val="nil"/>
            </w:tcBorders>
            <w:hideMark/>
          </w:tcPr>
          <w:p w14:paraId="604F4739"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w:t>
            </w:r>
          </w:p>
        </w:tc>
        <w:tc>
          <w:tcPr>
            <w:tcW w:w="1990" w:type="dxa"/>
            <w:tcBorders>
              <w:top w:val="single" w:sz="4" w:space="0" w:color="D9D9D9"/>
              <w:left w:val="nil"/>
              <w:bottom w:val="single" w:sz="4" w:space="0" w:color="D9D9D9"/>
              <w:right w:val="nil"/>
            </w:tcBorders>
            <w:hideMark/>
          </w:tcPr>
          <w:p w14:paraId="5C6C33AA"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bl>
    <w:p w14:paraId="2C74FDC9" w14:textId="5A3E6621" w:rsidR="000F60FA" w:rsidRPr="005D5E65" w:rsidRDefault="000F60FA" w:rsidP="000F60FA">
      <w:pPr>
        <w:spacing w:before="120"/>
        <w:rPr>
          <w:rFonts w:eastAsia="Calibri" w:cs="Arial"/>
          <w:szCs w:val="22"/>
          <w:lang w:val="en-CA" w:eastAsia="en-AU"/>
        </w:rPr>
      </w:pPr>
    </w:p>
    <w:p w14:paraId="1F38C47D" w14:textId="77777777" w:rsidR="000F60FA" w:rsidRPr="005D5E65" w:rsidRDefault="000F60FA" w:rsidP="00AD6A91">
      <w:pPr>
        <w:pStyle w:val="Q1Appendix"/>
      </w:pPr>
      <w:r w:rsidRPr="005D5E65">
        <w:t>To what extent is the IER program giving Participants the opportunity to be heard?</w:t>
      </w:r>
    </w:p>
    <w:tbl>
      <w:tblPr>
        <w:tblStyle w:val="TableGrid3"/>
        <w:tblW w:w="0" w:type="auto"/>
        <w:tblInd w:w="-5" w:type="dxa"/>
        <w:tblBorders>
          <w:top w:val="single" w:sz="4" w:space="0" w:color="BFBFBF"/>
          <w:left w:val="none" w:sz="0" w:space="0" w:color="auto"/>
          <w:bottom w:val="single" w:sz="4" w:space="0" w:color="BFBFBF"/>
          <w:right w:val="none" w:sz="0" w:space="0" w:color="auto"/>
          <w:insideH w:val="single" w:sz="4" w:space="0" w:color="D9D9D9"/>
          <w:insideV w:val="none" w:sz="0" w:space="0" w:color="auto"/>
        </w:tblBorders>
        <w:tblLook w:val="04A0" w:firstRow="1" w:lastRow="0" w:firstColumn="1" w:lastColumn="0" w:noHBand="0" w:noVBand="1"/>
      </w:tblPr>
      <w:tblGrid>
        <w:gridCol w:w="5392"/>
        <w:gridCol w:w="1990"/>
      </w:tblGrid>
      <w:tr w:rsidR="005A0B40" w:rsidRPr="005D5E65" w14:paraId="4E36B569" w14:textId="77777777">
        <w:tc>
          <w:tcPr>
            <w:tcW w:w="5392" w:type="dxa"/>
            <w:tcBorders>
              <w:top w:val="single" w:sz="4" w:space="0" w:color="BFBFBF"/>
              <w:left w:val="nil"/>
              <w:bottom w:val="single" w:sz="4" w:space="0" w:color="D9D9D9"/>
              <w:right w:val="nil"/>
            </w:tcBorders>
            <w:hideMark/>
          </w:tcPr>
          <w:p w14:paraId="5FD6B94A"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Not at all</w:t>
            </w:r>
          </w:p>
        </w:tc>
        <w:tc>
          <w:tcPr>
            <w:tcW w:w="1990" w:type="dxa"/>
            <w:tcBorders>
              <w:top w:val="single" w:sz="4" w:space="0" w:color="BFBFBF"/>
              <w:left w:val="nil"/>
              <w:bottom w:val="single" w:sz="4" w:space="0" w:color="D9D9D9"/>
              <w:right w:val="nil"/>
            </w:tcBorders>
            <w:hideMark/>
          </w:tcPr>
          <w:p w14:paraId="4B8F2978"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1F699A2F" w14:textId="77777777">
        <w:tc>
          <w:tcPr>
            <w:tcW w:w="5392" w:type="dxa"/>
            <w:tcBorders>
              <w:top w:val="single" w:sz="4" w:space="0" w:color="D9D9D9"/>
              <w:left w:val="nil"/>
              <w:bottom w:val="single" w:sz="4" w:space="0" w:color="D9D9D9"/>
              <w:right w:val="nil"/>
            </w:tcBorders>
            <w:hideMark/>
          </w:tcPr>
          <w:p w14:paraId="23DA6EAA"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Very little, it isn’t enough</w:t>
            </w:r>
          </w:p>
        </w:tc>
        <w:tc>
          <w:tcPr>
            <w:tcW w:w="1990" w:type="dxa"/>
            <w:tcBorders>
              <w:top w:val="single" w:sz="4" w:space="0" w:color="D9D9D9"/>
              <w:left w:val="nil"/>
              <w:bottom w:val="single" w:sz="4" w:space="0" w:color="D9D9D9"/>
              <w:right w:val="nil"/>
            </w:tcBorders>
            <w:hideMark/>
          </w:tcPr>
          <w:p w14:paraId="0DD42A5B"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5FE222BC" w14:textId="77777777">
        <w:tc>
          <w:tcPr>
            <w:tcW w:w="5392" w:type="dxa"/>
            <w:tcBorders>
              <w:top w:val="single" w:sz="4" w:space="0" w:color="D9D9D9"/>
              <w:left w:val="nil"/>
              <w:bottom w:val="single" w:sz="4" w:space="0" w:color="D9D9D9"/>
              <w:right w:val="nil"/>
            </w:tcBorders>
            <w:hideMark/>
          </w:tcPr>
          <w:p w14:paraId="314CCE99"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Somewhat, but it could be more</w:t>
            </w:r>
          </w:p>
        </w:tc>
        <w:tc>
          <w:tcPr>
            <w:tcW w:w="1990" w:type="dxa"/>
            <w:tcBorders>
              <w:top w:val="single" w:sz="4" w:space="0" w:color="D9D9D9"/>
              <w:left w:val="nil"/>
              <w:bottom w:val="single" w:sz="4" w:space="0" w:color="D9D9D9"/>
              <w:right w:val="nil"/>
            </w:tcBorders>
            <w:hideMark/>
          </w:tcPr>
          <w:p w14:paraId="6A9E8F08" w14:textId="77777777" w:rsidR="000F60FA" w:rsidRPr="005D5E65" w:rsidRDefault="000F60FA">
            <w:pPr>
              <w:spacing w:before="60" w:after="60"/>
              <w:jc w:val="center"/>
              <w:rPr>
                <w:rFonts w:eastAsia="Calibri"/>
                <w:sz w:val="22"/>
                <w:szCs w:val="22"/>
                <w:lang w:val="en-CA" w:eastAsia="en-US"/>
              </w:rPr>
            </w:pPr>
            <w:r w:rsidRPr="005D5E65">
              <w:rPr>
                <w:rFonts w:ascii="Wingdings" w:eastAsia="Wingdings" w:hAnsi="Wingdings" w:cs="Wingdings"/>
                <w:sz w:val="22"/>
                <w:szCs w:val="22"/>
                <w:lang w:val="en-CA" w:eastAsia="en-AU"/>
              </w:rPr>
              <w:t>¡</w:t>
            </w:r>
          </w:p>
        </w:tc>
      </w:tr>
      <w:tr w:rsidR="00327147" w:rsidRPr="005D5E65" w14:paraId="0807C107" w14:textId="77777777">
        <w:tc>
          <w:tcPr>
            <w:tcW w:w="5392" w:type="dxa"/>
            <w:tcBorders>
              <w:top w:val="single" w:sz="4" w:space="0" w:color="D9D9D9"/>
              <w:left w:val="nil"/>
              <w:bottom w:val="single" w:sz="4" w:space="0" w:color="D9D9D9"/>
              <w:right w:val="nil"/>
            </w:tcBorders>
          </w:tcPr>
          <w:p w14:paraId="015B77AB" w14:textId="77777777" w:rsidR="000F60FA" w:rsidRPr="005D5E65" w:rsidRDefault="000F60FA">
            <w:pPr>
              <w:spacing w:before="60" w:after="60"/>
              <w:rPr>
                <w:rFonts w:eastAsia="Calibri"/>
                <w:sz w:val="22"/>
                <w:szCs w:val="22"/>
                <w:lang w:val="en-CA" w:eastAsia="en-US"/>
              </w:rPr>
            </w:pPr>
            <w:r w:rsidRPr="005D5E65">
              <w:rPr>
                <w:rFonts w:eastAsia="Calibri"/>
                <w:sz w:val="22"/>
                <w:szCs w:val="22"/>
                <w:lang w:val="en-CA" w:eastAsia="en-US"/>
              </w:rPr>
              <w:t>A lot</w:t>
            </w:r>
          </w:p>
        </w:tc>
        <w:tc>
          <w:tcPr>
            <w:tcW w:w="1990" w:type="dxa"/>
            <w:tcBorders>
              <w:top w:val="single" w:sz="4" w:space="0" w:color="D9D9D9"/>
              <w:left w:val="nil"/>
              <w:bottom w:val="single" w:sz="4" w:space="0" w:color="D9D9D9"/>
              <w:right w:val="nil"/>
            </w:tcBorders>
          </w:tcPr>
          <w:p w14:paraId="2D0A87C8" w14:textId="77777777" w:rsidR="000F60FA" w:rsidRPr="005D5E65" w:rsidRDefault="000F60FA">
            <w:pPr>
              <w:spacing w:before="60" w:after="60"/>
              <w:jc w:val="center"/>
              <w:rPr>
                <w:rFonts w:eastAsia="Times New Roman"/>
                <w:sz w:val="22"/>
                <w:szCs w:val="22"/>
                <w:lang w:val="en-CA" w:eastAsia="en-AU"/>
              </w:rPr>
            </w:pPr>
            <w:r w:rsidRPr="005D5E65">
              <w:rPr>
                <w:rFonts w:ascii="Wingdings" w:eastAsia="Wingdings" w:hAnsi="Wingdings" w:cs="Wingdings"/>
                <w:sz w:val="22"/>
                <w:szCs w:val="22"/>
                <w:lang w:val="en-CA" w:eastAsia="en-AU"/>
              </w:rPr>
              <w:t>¡</w:t>
            </w:r>
          </w:p>
        </w:tc>
      </w:tr>
    </w:tbl>
    <w:p w14:paraId="2C84DF75" w14:textId="77777777" w:rsidR="000F60FA" w:rsidRPr="005D5E65" w:rsidRDefault="000F60FA" w:rsidP="000F60FA">
      <w:pPr>
        <w:rPr>
          <w:szCs w:val="22"/>
          <w:lang w:eastAsia="en-US"/>
        </w:rPr>
      </w:pPr>
    </w:p>
    <w:p w14:paraId="570AC512" w14:textId="771EA8C4" w:rsidR="007E3D8F" w:rsidRPr="00AC4E9F" w:rsidRDefault="000F60FA" w:rsidP="007E3D8F">
      <w:pPr>
        <w:pStyle w:val="Q1Appendix"/>
      </w:pPr>
      <w:r w:rsidRPr="005D5E65">
        <w:t>How could the NDIA provide more opportunity for Participants to be heard? How could the Agency improve this rating</w:t>
      </w:r>
      <w:r w:rsidR="00DC7497">
        <w:t>?</w:t>
      </w:r>
    </w:p>
    <w:p w14:paraId="60FE383F" w14:textId="3E3093E0" w:rsidR="000F60FA" w:rsidRPr="005D5E65" w:rsidRDefault="007E3D8F" w:rsidP="000F60FA">
      <w:pPr>
        <w:spacing w:before="120"/>
        <w:rPr>
          <w:rFonts w:eastAsia="Calibri" w:cs="Arial"/>
          <w:szCs w:val="22"/>
          <w:lang w:val="en-CA" w:eastAsia="en-AU"/>
        </w:rPr>
      </w:pPr>
      <w:r>
        <w:rPr>
          <w:rFonts w:eastAsia="Calibri" w:cs="Arial"/>
          <w:szCs w:val="22"/>
          <w:lang w:val="en-CA" w:eastAsia="en-AU"/>
        </w:rPr>
        <w:t>&lt;FREE TEXT&gt;</w:t>
      </w:r>
    </w:p>
    <w:p w14:paraId="13C0A34B" w14:textId="77777777" w:rsidR="000F60FA" w:rsidRPr="005D5E65" w:rsidRDefault="000F60FA" w:rsidP="00AD6A91">
      <w:pPr>
        <w:pStyle w:val="Q1Appendix"/>
      </w:pPr>
      <w:r w:rsidRPr="005D5E65">
        <w:t>Please provide any advice or feedback you have regarding NDIA administrative decision making</w:t>
      </w:r>
    </w:p>
    <w:p w14:paraId="604525C6" w14:textId="77777777" w:rsidR="000F60FA" w:rsidRPr="005D5E65" w:rsidRDefault="000F60FA" w:rsidP="000F60FA">
      <w:pPr>
        <w:rPr>
          <w:szCs w:val="22"/>
          <w:lang w:eastAsia="en-US"/>
        </w:rPr>
      </w:pPr>
      <w:r w:rsidRPr="005D5E65">
        <w:rPr>
          <w:szCs w:val="22"/>
          <w:lang w:eastAsia="en-US"/>
        </w:rPr>
        <w:t>&lt;FREE TEXT&gt;</w:t>
      </w:r>
    </w:p>
    <w:p w14:paraId="57C6F93D" w14:textId="77777777" w:rsidR="000F60FA" w:rsidRPr="005D5E65" w:rsidRDefault="000F60FA" w:rsidP="000F60FA">
      <w:pPr>
        <w:rPr>
          <w:szCs w:val="22"/>
          <w:lang w:eastAsia="en-US"/>
        </w:rPr>
      </w:pPr>
    </w:p>
    <w:p w14:paraId="075490F9" w14:textId="77777777" w:rsidR="000F60FA" w:rsidRPr="005D5E65" w:rsidRDefault="000F60FA" w:rsidP="00AD6A91">
      <w:pPr>
        <w:pStyle w:val="Q1Appendix"/>
      </w:pPr>
      <w:r w:rsidRPr="005D5E65">
        <w:lastRenderedPageBreak/>
        <w:t>Please provide any feedback or comments you have on challenging policy issues you have encountered in your role as a IER program Independent Expert</w:t>
      </w:r>
    </w:p>
    <w:p w14:paraId="524A64F1" w14:textId="77777777" w:rsidR="000F60FA" w:rsidRPr="005D5E65" w:rsidRDefault="000F60FA" w:rsidP="000F60FA">
      <w:pPr>
        <w:rPr>
          <w:szCs w:val="22"/>
          <w:lang w:eastAsia="en-US"/>
        </w:rPr>
      </w:pPr>
      <w:r w:rsidRPr="005D5E65">
        <w:rPr>
          <w:szCs w:val="22"/>
          <w:lang w:eastAsia="en-US"/>
        </w:rPr>
        <w:t>&lt;FREE TEXT&gt;</w:t>
      </w:r>
    </w:p>
    <w:p w14:paraId="0B0F4C25" w14:textId="77777777" w:rsidR="000F60FA" w:rsidRPr="005D5E65" w:rsidRDefault="000F60FA" w:rsidP="000F60FA">
      <w:pPr>
        <w:rPr>
          <w:szCs w:val="22"/>
          <w:lang w:eastAsia="en-AU"/>
        </w:rPr>
      </w:pPr>
      <w:r w:rsidRPr="005D5E65">
        <w:rPr>
          <w:szCs w:val="22"/>
          <w:lang w:eastAsia="en-AU"/>
        </w:rPr>
        <w:t>Thank you for completing this survey on your experience as an Independent Expert in the IER program. Your feedback and ideas are important to us.</w:t>
      </w:r>
    </w:p>
    <w:p w14:paraId="64E8CBB4" w14:textId="77777777" w:rsidR="000F60FA" w:rsidRPr="005D5E65" w:rsidRDefault="000F60FA" w:rsidP="000F60FA">
      <w:pPr>
        <w:rPr>
          <w:szCs w:val="22"/>
          <w:lang w:eastAsia="en-AU"/>
        </w:rPr>
      </w:pPr>
      <w:r w:rsidRPr="005D5E65">
        <w:rPr>
          <w:szCs w:val="22"/>
          <w:lang w:eastAsia="en-AU"/>
        </w:rPr>
        <w:t>Your input will help us to improve the IER program.</w:t>
      </w:r>
    </w:p>
    <w:p w14:paraId="51DBB54C" w14:textId="77777777" w:rsidR="000F60FA" w:rsidRPr="005D5E65" w:rsidRDefault="000F60FA" w:rsidP="000F60FA">
      <w:pPr>
        <w:rPr>
          <w:szCs w:val="22"/>
          <w:lang w:eastAsia="en-AU"/>
        </w:rPr>
      </w:pPr>
      <w:r w:rsidRPr="005D5E65">
        <w:rPr>
          <w:szCs w:val="22"/>
          <w:lang w:eastAsia="en-AU"/>
        </w:rPr>
        <w:t>To submit your responses, please click on the 'submit' button below.</w:t>
      </w:r>
    </w:p>
    <w:p w14:paraId="74C6F694" w14:textId="77777777" w:rsidR="000F60FA" w:rsidRPr="005D5E65" w:rsidRDefault="000F60FA" w:rsidP="000F60FA">
      <w:pPr>
        <w:rPr>
          <w:szCs w:val="22"/>
          <w:lang w:eastAsia="en-US"/>
        </w:rPr>
      </w:pPr>
    </w:p>
    <w:p w14:paraId="0FEE8108" w14:textId="77777777" w:rsidR="000F60FA" w:rsidRPr="005D5E65" w:rsidRDefault="000F60FA" w:rsidP="000F60FA">
      <w:pPr>
        <w:rPr>
          <w:szCs w:val="22"/>
          <w:lang w:eastAsia="en-US"/>
        </w:rPr>
      </w:pPr>
      <w:r w:rsidRPr="005D5E65">
        <w:rPr>
          <w:szCs w:val="22"/>
          <w:lang w:eastAsia="en-US"/>
        </w:rPr>
        <w:br w:type="page"/>
      </w:r>
    </w:p>
    <w:p w14:paraId="4BD8CDB9" w14:textId="77777777" w:rsidR="000F60FA" w:rsidRDefault="000F60FA" w:rsidP="00EB3D5D">
      <w:pPr>
        <w:pStyle w:val="Heading3"/>
        <w:numPr>
          <w:ilvl w:val="0"/>
          <w:numId w:val="0"/>
        </w:numPr>
        <w:rPr>
          <w:lang w:eastAsia="en-US"/>
        </w:rPr>
      </w:pPr>
      <w:bookmarkStart w:id="172" w:name="_Toc140146264"/>
      <w:bookmarkStart w:id="173" w:name="_Toc140148933"/>
      <w:bookmarkStart w:id="174" w:name="_Toc140157517"/>
      <w:bookmarkStart w:id="175" w:name="_Toc142483295"/>
      <w:bookmarkStart w:id="176" w:name="_Toc142918624"/>
      <w:r w:rsidRPr="00B30D2E">
        <w:rPr>
          <w:lang w:eastAsia="en-US"/>
        </w:rPr>
        <w:lastRenderedPageBreak/>
        <w:t>Survey Information Statement</w:t>
      </w:r>
      <w:bookmarkEnd w:id="172"/>
      <w:bookmarkEnd w:id="173"/>
      <w:bookmarkEnd w:id="174"/>
      <w:bookmarkEnd w:id="175"/>
      <w:bookmarkEnd w:id="176"/>
    </w:p>
    <w:p w14:paraId="5759066D" w14:textId="77777777" w:rsidR="000F60FA" w:rsidRPr="005D5E65" w:rsidRDefault="000F60FA" w:rsidP="000F60FA">
      <w:pPr>
        <w:rPr>
          <w:szCs w:val="22"/>
          <w:lang w:eastAsia="en-US"/>
        </w:rPr>
      </w:pPr>
      <w:r w:rsidRPr="005D5E65">
        <w:rPr>
          <w:szCs w:val="22"/>
          <w:lang w:eastAsia="en-US"/>
        </w:rPr>
        <w:t>The following survey information statement accompanied the participant, representative and independent expert surveys.</w:t>
      </w:r>
    </w:p>
    <w:p w14:paraId="12F6D880"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This page explains more about the survey so you can decide if you want to take part.</w:t>
      </w:r>
    </w:p>
    <w:p w14:paraId="22DC58A1" w14:textId="573A007A" w:rsidR="000F60FA" w:rsidRPr="005D5E65" w:rsidRDefault="000F60FA" w:rsidP="00AD6A91">
      <w:pPr>
        <w:pStyle w:val="SurveyH4"/>
      </w:pPr>
      <w:r w:rsidRPr="005D5E65">
        <w:t xml:space="preserve">What is this survey about? </w:t>
      </w:r>
    </w:p>
    <w:p w14:paraId="7A40DFD1"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The Agency commenced the IER Program in October 2022 and is seeking feedback to better inform how it could be improved as it expands in 2023.   </w:t>
      </w:r>
    </w:p>
    <w:p w14:paraId="25D75222"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Your feedback will help us better understand your experience and improve our processes.</w:t>
      </w:r>
    </w:p>
    <w:p w14:paraId="5076A9E8" w14:textId="77777777" w:rsidR="000F60FA" w:rsidRPr="005D5E65" w:rsidRDefault="000F60FA" w:rsidP="00AD6A91">
      <w:pPr>
        <w:pStyle w:val="SurveyH4"/>
      </w:pPr>
      <w:r w:rsidRPr="005D5E65">
        <w:t>What does participating in this survey involve?</w:t>
      </w:r>
    </w:p>
    <w:p w14:paraId="73611506"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You will fill in a short online survey or you can ask someone to fill it in for you.</w:t>
      </w:r>
    </w:p>
    <w:p w14:paraId="6E708F06"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For most questions, you will be asked to select an answer, or answers, from a list of options. Choose the answer(s) that best reflects your experience. </w:t>
      </w:r>
    </w:p>
    <w:p w14:paraId="6F2BBF28"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You can also write about your personal experience in your own words. </w:t>
      </w:r>
    </w:p>
    <w:p w14:paraId="7C51439C"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The survey will take about 10 minutes to complete.</w:t>
      </w:r>
    </w:p>
    <w:p w14:paraId="549BAF08" w14:textId="77777777" w:rsidR="000F60FA" w:rsidRPr="005D5E65" w:rsidRDefault="000F60FA" w:rsidP="00AD6A91">
      <w:pPr>
        <w:pStyle w:val="SurveyH4"/>
      </w:pPr>
      <w:r w:rsidRPr="005D5E65">
        <w:t>How do I complete the survey?</w:t>
      </w:r>
    </w:p>
    <w:p w14:paraId="7396AD61"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You can complete the survey on your computer, smartphone, or tablet. The survey is screen-reader friendly.</w:t>
      </w:r>
    </w:p>
    <w:p w14:paraId="76865C85"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If you need help completing the survey, you can ask someone you trust, like a family member, friend, or support worker, cultural elder, to help you.</w:t>
      </w:r>
    </w:p>
    <w:p w14:paraId="1B9844F1" w14:textId="77777777" w:rsidR="000F60FA" w:rsidRPr="005D5E65" w:rsidRDefault="000F60FA" w:rsidP="00AD6A91">
      <w:pPr>
        <w:pStyle w:val="SurveyH4"/>
      </w:pPr>
      <w:r w:rsidRPr="005D5E65">
        <w:t>Do I have to complete the survey?</w:t>
      </w:r>
    </w:p>
    <w:p w14:paraId="0E4E8FAA" w14:textId="78FC39ED"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No. You do not have to complete the survey, however, your feedback is important to us.</w:t>
      </w:r>
      <w:r w:rsidR="009F65B3">
        <w:rPr>
          <w:rFonts w:eastAsia="Calibri" w:cs="Cordia New"/>
          <w:szCs w:val="22"/>
          <w:lang w:eastAsia="en-US"/>
        </w:rPr>
        <w:t xml:space="preserve"> </w:t>
      </w:r>
      <w:r w:rsidRPr="005D5E65">
        <w:rPr>
          <w:rFonts w:eastAsia="Calibri" w:cs="Cordia New"/>
          <w:szCs w:val="22"/>
          <w:lang w:eastAsia="en-US"/>
        </w:rPr>
        <w:t xml:space="preserve">You can stop the survey at any time by closing the browser. </w:t>
      </w:r>
    </w:p>
    <w:p w14:paraId="2ADD0073" w14:textId="1DF03277" w:rsidR="000F60FA" w:rsidRPr="00E602D0" w:rsidRDefault="000F60FA" w:rsidP="00E602D0">
      <w:pPr>
        <w:spacing w:before="120"/>
        <w:rPr>
          <w:rFonts w:eastAsia="Calibri" w:cs="Cordia New"/>
          <w:szCs w:val="22"/>
          <w:lang w:eastAsia="en-US"/>
        </w:rPr>
      </w:pPr>
      <w:r w:rsidRPr="005D5E65">
        <w:rPr>
          <w:rFonts w:eastAsia="Calibri" w:cs="Cordia New"/>
          <w:szCs w:val="22"/>
          <w:lang w:eastAsia="en-US"/>
        </w:rPr>
        <w:t>If you complete 50% or more of the survey, we will include your completed survey responses.</w:t>
      </w:r>
      <w:r w:rsidR="009F65B3">
        <w:rPr>
          <w:rFonts w:eastAsia="Calibri" w:cs="Cordia New"/>
          <w:szCs w:val="22"/>
          <w:lang w:eastAsia="en-US"/>
        </w:rPr>
        <w:t xml:space="preserve"> </w:t>
      </w:r>
      <w:r w:rsidRPr="005D5E65">
        <w:rPr>
          <w:rFonts w:eastAsia="Calibri" w:cs="Cordia New"/>
          <w:szCs w:val="22"/>
          <w:lang w:eastAsia="en-US"/>
        </w:rPr>
        <w:t>What you have to say is important and we hope you choose to participate.</w:t>
      </w:r>
      <w:r w:rsidRPr="005D5E65">
        <w:rPr>
          <w:szCs w:val="22"/>
          <w:lang w:eastAsia="en-US"/>
        </w:rPr>
        <w:br w:type="page"/>
      </w:r>
    </w:p>
    <w:p w14:paraId="7B6705A7" w14:textId="77777777" w:rsidR="000F60FA" w:rsidRPr="005D5E65" w:rsidRDefault="000F60FA" w:rsidP="00AD6A91">
      <w:pPr>
        <w:pStyle w:val="SurveyH4"/>
      </w:pPr>
      <w:r w:rsidRPr="005D5E65">
        <w:lastRenderedPageBreak/>
        <w:t>What will NDIA do with the results?</w:t>
      </w:r>
    </w:p>
    <w:p w14:paraId="3A50DB9E"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We will use the overall survey results to improve the IER program.</w:t>
      </w:r>
    </w:p>
    <w:p w14:paraId="4B06114B"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We will share the results of the survey as part of our ongoing engagement with the disability community to improve dispute resolution processes. We will not publish individual responses, only the overall results of the survey. If we use any individual quotes from the survey responses, these will be anonymous.</w:t>
      </w:r>
    </w:p>
    <w:p w14:paraId="42D23C5E" w14:textId="77777777" w:rsidR="000F60FA" w:rsidRPr="005D5E65" w:rsidRDefault="000F60FA" w:rsidP="00AD6A91">
      <w:pPr>
        <w:pStyle w:val="SurveyH4"/>
      </w:pPr>
      <w:r w:rsidRPr="005D5E65">
        <w:t>What do I get for completing the survey?</w:t>
      </w:r>
    </w:p>
    <w:p w14:paraId="1662BEFD"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You will not receive any payment for completing the survey. However, your answers will help us better understand your experience and improve our process.</w:t>
      </w:r>
    </w:p>
    <w:p w14:paraId="6545A568" w14:textId="77777777" w:rsidR="000F60FA" w:rsidRPr="005D5E65" w:rsidRDefault="000F60FA" w:rsidP="00AD6A91">
      <w:pPr>
        <w:pStyle w:val="SurveyH4"/>
      </w:pPr>
      <w:r w:rsidRPr="005D5E65">
        <w:t>How will the NDIA keep my information and answers safe and private?</w:t>
      </w:r>
    </w:p>
    <w:p w14:paraId="3BE77B25"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Your personal details will not be linked to the survey data. </w:t>
      </w:r>
    </w:p>
    <w:p w14:paraId="3A6C17A7" w14:textId="0F96736B"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The de-identified information will be securely stored and destroyed in accordance with the requirements of the </w:t>
      </w:r>
      <w:hyperlink r:id="rId35" w:history="1">
        <w:r w:rsidRPr="00D51981">
          <w:rPr>
            <w:rStyle w:val="Hyperlink"/>
            <w:rFonts w:eastAsia="Calibri" w:cs="Cordia New"/>
            <w:szCs w:val="22"/>
            <w:lang w:eastAsia="en-US"/>
          </w:rPr>
          <w:t>Archives Act 1983 (Cth)</w:t>
        </w:r>
      </w:hyperlink>
      <w:r w:rsidRPr="005D5E65">
        <w:rPr>
          <w:rFonts w:eastAsia="Calibri" w:cs="Cordia New"/>
          <w:szCs w:val="22"/>
          <w:lang w:eastAsia="en-US"/>
        </w:rPr>
        <w:t>.</w:t>
      </w:r>
    </w:p>
    <w:p w14:paraId="5FD43A02" w14:textId="1ACBE48A"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Any information you share with us will be managed in line with relevant Australian privacy laws. Information about the collection, use, disclosure and storage of personal information by the NDIA is available in our </w:t>
      </w:r>
      <w:hyperlink r:id="rId36" w:history="1">
        <w:r w:rsidRPr="005D5E65">
          <w:rPr>
            <w:rFonts w:eastAsia="Calibri" w:cs="Cordia New"/>
            <w:color w:val="0563C1"/>
            <w:szCs w:val="22"/>
            <w:u w:val="single"/>
            <w:lang w:eastAsia="en-US"/>
          </w:rPr>
          <w:t>privacy policy</w:t>
        </w:r>
      </w:hyperlink>
      <w:r w:rsidRPr="005D5E65">
        <w:rPr>
          <w:rFonts w:eastAsia="Calibri" w:cs="Cordia New"/>
          <w:szCs w:val="22"/>
          <w:lang w:eastAsia="en-US"/>
        </w:rPr>
        <w:t>.</w:t>
      </w:r>
    </w:p>
    <w:p w14:paraId="6BC23E7C" w14:textId="77777777" w:rsidR="000F60FA" w:rsidRPr="005D5E65" w:rsidRDefault="000F60FA" w:rsidP="00AD6A91">
      <w:pPr>
        <w:pStyle w:val="SurveyH4"/>
      </w:pPr>
      <w:r w:rsidRPr="005D5E65">
        <w:t>Who can I contact about this survey?</w:t>
      </w:r>
    </w:p>
    <w:p w14:paraId="15E3FA22"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To verify this survey you can call the NDIA directly on 1800 800 110.</w:t>
      </w:r>
    </w:p>
    <w:p w14:paraId="65FFB128" w14:textId="77777777"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If you have concerns about your involvement in this survey, you can email the Independent Expert Review Project Team </w:t>
      </w:r>
      <w:hyperlink r:id="rId37" w:history="1">
        <w:r w:rsidRPr="005D5E65">
          <w:rPr>
            <w:rFonts w:eastAsia="Calibri" w:cs="Cordia New"/>
            <w:color w:val="0563C1"/>
            <w:szCs w:val="22"/>
            <w:u w:val="single"/>
            <w:lang w:eastAsia="en-US"/>
          </w:rPr>
          <w:t>IndependentExpertReview@ndis.gov.au</w:t>
        </w:r>
      </w:hyperlink>
    </w:p>
    <w:p w14:paraId="1D3C3E53" w14:textId="7AD4E1CA" w:rsidR="000F60FA" w:rsidRPr="005D5E65" w:rsidRDefault="000F60FA" w:rsidP="000F60FA">
      <w:pPr>
        <w:spacing w:before="120"/>
        <w:rPr>
          <w:rFonts w:eastAsia="Calibri" w:cs="Cordia New"/>
          <w:szCs w:val="22"/>
          <w:lang w:eastAsia="en-US"/>
        </w:rPr>
      </w:pPr>
      <w:r w:rsidRPr="005D5E65">
        <w:rPr>
          <w:rFonts w:eastAsia="Calibri" w:cs="Cordia New"/>
          <w:szCs w:val="22"/>
          <w:lang w:eastAsia="en-US"/>
        </w:rPr>
        <w:t xml:space="preserve">If you wish to make a complaint about the survey, you can visit the NDIA </w:t>
      </w:r>
      <w:hyperlink r:id="rId38" w:history="1">
        <w:r w:rsidRPr="005D5E65">
          <w:rPr>
            <w:rFonts w:eastAsia="Calibri" w:cs="Cordia New"/>
            <w:color w:val="0563C1"/>
            <w:szCs w:val="22"/>
            <w:u w:val="single"/>
            <w:lang w:eastAsia="en-US"/>
          </w:rPr>
          <w:t>Feedback and complaints</w:t>
        </w:r>
      </w:hyperlink>
      <w:r w:rsidRPr="005D5E65">
        <w:rPr>
          <w:rFonts w:eastAsia="Calibri" w:cs="Cordia New"/>
          <w:szCs w:val="22"/>
          <w:lang w:eastAsia="en-US"/>
        </w:rPr>
        <w:t xml:space="preserve"> website</w:t>
      </w:r>
      <w:r w:rsidR="00A65C12">
        <w:rPr>
          <w:rFonts w:eastAsia="Calibri" w:cs="Cordia New"/>
          <w:szCs w:val="22"/>
          <w:lang w:eastAsia="en-US"/>
        </w:rPr>
        <w:t>.</w:t>
      </w:r>
    </w:p>
    <w:p w14:paraId="2B2FB41F" w14:textId="7FD34DEB" w:rsidR="000F60FA" w:rsidRDefault="00364E88" w:rsidP="00EB3D5D">
      <w:pPr>
        <w:pStyle w:val="Heading2"/>
        <w:numPr>
          <w:ilvl w:val="0"/>
          <w:numId w:val="0"/>
        </w:numPr>
      </w:pPr>
      <w:bookmarkStart w:id="177" w:name="_Toc135394739"/>
      <w:bookmarkStart w:id="178" w:name="_Toc142918625"/>
      <w:r>
        <w:lastRenderedPageBreak/>
        <w:t xml:space="preserve">Appendix </w:t>
      </w:r>
      <w:r w:rsidR="00B074D3">
        <w:t>E</w:t>
      </w:r>
      <w:r>
        <w:t xml:space="preserve">: </w:t>
      </w:r>
      <w:r w:rsidR="000F60FA">
        <w:t>Detailed statistical methods</w:t>
      </w:r>
      <w:bookmarkEnd w:id="177"/>
      <w:bookmarkEnd w:id="178"/>
    </w:p>
    <w:p w14:paraId="601DC50E" w14:textId="60E5876C" w:rsidR="000F60FA" w:rsidRPr="005509FD" w:rsidRDefault="000F60FA" w:rsidP="00EB3D5D">
      <w:pPr>
        <w:pStyle w:val="Heading3"/>
        <w:numPr>
          <w:ilvl w:val="0"/>
          <w:numId w:val="0"/>
        </w:numPr>
        <w:ind w:left="1134" w:hanging="1134"/>
        <w:rPr>
          <w:lang w:eastAsia="en-US"/>
        </w:rPr>
      </w:pPr>
      <w:bookmarkStart w:id="179" w:name="_Toc140146266"/>
      <w:bookmarkStart w:id="180" w:name="_Toc140148935"/>
      <w:bookmarkStart w:id="181" w:name="_Toc140157519"/>
      <w:bookmarkStart w:id="182" w:name="_Toc142483297"/>
      <w:bookmarkStart w:id="183" w:name="_Toc142918626"/>
      <w:r w:rsidRPr="005509FD">
        <w:rPr>
          <w:lang w:eastAsia="en-US"/>
        </w:rPr>
        <w:t>Comparison of the IERP with the AAT</w:t>
      </w:r>
      <w:bookmarkEnd w:id="179"/>
      <w:bookmarkEnd w:id="180"/>
      <w:bookmarkEnd w:id="181"/>
      <w:bookmarkEnd w:id="182"/>
      <w:bookmarkEnd w:id="183"/>
    </w:p>
    <w:p w14:paraId="711D81F9" w14:textId="67313B09" w:rsidR="000F60FA" w:rsidRPr="0010408E" w:rsidRDefault="000F60FA" w:rsidP="00EB3D5D">
      <w:pPr>
        <w:pStyle w:val="Heading4"/>
        <w:numPr>
          <w:ilvl w:val="0"/>
          <w:numId w:val="0"/>
        </w:numPr>
        <w:ind w:left="1134" w:hanging="1134"/>
      </w:pPr>
      <w:r w:rsidRPr="0010408E">
        <w:t>Development of the AAT comparison group</w:t>
      </w:r>
    </w:p>
    <w:p w14:paraId="14103023" w14:textId="3EC02FFF" w:rsidR="000F60FA" w:rsidRDefault="00547886" w:rsidP="000F60FA">
      <w:r>
        <w:fldChar w:fldCharType="begin"/>
      </w:r>
      <w:r>
        <w:instrText xml:space="preserve"> REF _Ref135907575 \h </w:instrText>
      </w:r>
      <w:r>
        <w:fldChar w:fldCharType="separate"/>
      </w:r>
      <w:r w:rsidR="000F1876" w:rsidRPr="00EB3D5D">
        <w:t xml:space="preserve">Table </w:t>
      </w:r>
      <w:r w:rsidR="000F1876">
        <w:rPr>
          <w:noProof/>
        </w:rPr>
        <w:t>11</w:t>
      </w:r>
      <w:r>
        <w:fldChar w:fldCharType="end"/>
      </w:r>
      <w:r>
        <w:t xml:space="preserve"> </w:t>
      </w:r>
      <w:r w:rsidR="000F60FA" w:rsidRPr="0010408E">
        <w:t xml:space="preserve">below describes the three-step process to select appropriate AAT </w:t>
      </w:r>
      <w:r w:rsidR="000F60FA">
        <w:t>case</w:t>
      </w:r>
      <w:r w:rsidR="000F60FA" w:rsidRPr="0010408E">
        <w:t>s to compare to the IER</w:t>
      </w:r>
      <w:r w:rsidR="000F60FA">
        <w:t>P</w:t>
      </w:r>
      <w:r w:rsidR="000F60FA" w:rsidRPr="0010408E">
        <w:t xml:space="preserve"> </w:t>
      </w:r>
      <w:r w:rsidR="000F60FA">
        <w:t>cases</w:t>
      </w:r>
      <w:r w:rsidR="000F60FA" w:rsidRPr="0010408E">
        <w:t xml:space="preserve"> and lists the distribution of AAT matters by outcome</w:t>
      </w:r>
      <w:r w:rsidR="000F60FA">
        <w:t>. In summary:</w:t>
      </w:r>
    </w:p>
    <w:p w14:paraId="75E0E54E" w14:textId="59358081" w:rsidR="009112BA" w:rsidRDefault="009112BA" w:rsidP="000705FE">
      <w:pPr>
        <w:pStyle w:val="ListParagraph"/>
        <w:numPr>
          <w:ilvl w:val="0"/>
          <w:numId w:val="35"/>
        </w:numPr>
      </w:pPr>
      <w:r>
        <w:t xml:space="preserve">The Evaluation Team was provided with </w:t>
      </w:r>
      <w:r w:rsidR="002F52C1">
        <w:t>outcomes and dates of</w:t>
      </w:r>
      <w:r>
        <w:t xml:space="preserve"> 3,281 AAT support- related cases </w:t>
      </w:r>
      <w:r w:rsidR="002F52C1">
        <w:t xml:space="preserve">that were </w:t>
      </w:r>
      <w:r>
        <w:t>resolved between July 2022 and January 2023</w:t>
      </w:r>
      <w:r w:rsidR="00031DFC">
        <w:t>.</w:t>
      </w:r>
    </w:p>
    <w:p w14:paraId="4C1359CC" w14:textId="64A7D6A4" w:rsidR="000F60FA" w:rsidRDefault="00031DFC" w:rsidP="000705FE">
      <w:pPr>
        <w:pStyle w:val="ListParagraph"/>
        <w:numPr>
          <w:ilvl w:val="0"/>
          <w:numId w:val="35"/>
        </w:numPr>
      </w:pPr>
      <w:r>
        <w:t xml:space="preserve">From this </w:t>
      </w:r>
      <w:r w:rsidR="002F52C1">
        <w:t>AAT case data</w:t>
      </w:r>
      <w:r>
        <w:t xml:space="preserve">, </w:t>
      </w:r>
      <w:r w:rsidR="000F60FA">
        <w:t xml:space="preserve">119 cases met the IERP referral </w:t>
      </w:r>
      <w:r w:rsidR="00AA3FB9">
        <w:t>criteria</w:t>
      </w:r>
      <w:r w:rsidR="000F60FA">
        <w:t xml:space="preserve"> </w:t>
      </w:r>
      <w:r w:rsidR="004610A4" w:rsidRPr="00D66783">
        <w:rPr>
          <w:szCs w:val="22"/>
        </w:rPr>
        <w:t xml:space="preserve">(active in AAT for longer than nine months and </w:t>
      </w:r>
      <w:r w:rsidR="00531A45">
        <w:rPr>
          <w:szCs w:val="22"/>
        </w:rPr>
        <w:t>where the supports in dispute equate to at least</w:t>
      </w:r>
      <w:r w:rsidR="004610A4" w:rsidRPr="00D66783">
        <w:rPr>
          <w:szCs w:val="22"/>
        </w:rPr>
        <w:t xml:space="preserve"> 20% </w:t>
      </w:r>
      <w:r w:rsidR="00531A45">
        <w:rPr>
          <w:szCs w:val="22"/>
        </w:rPr>
        <w:t>of the</w:t>
      </w:r>
      <w:r w:rsidR="004610A4" w:rsidRPr="00D66783">
        <w:rPr>
          <w:szCs w:val="22"/>
        </w:rPr>
        <w:t xml:space="preserve"> plan budget)</w:t>
      </w:r>
      <w:r>
        <w:t>.</w:t>
      </w:r>
    </w:p>
    <w:p w14:paraId="1D68D1F6" w14:textId="183DEA46" w:rsidR="000F60FA" w:rsidRDefault="000F60FA" w:rsidP="000705FE">
      <w:pPr>
        <w:pStyle w:val="ListParagraph"/>
        <w:numPr>
          <w:ilvl w:val="0"/>
          <w:numId w:val="35"/>
        </w:numPr>
      </w:pPr>
      <w:r>
        <w:t xml:space="preserve">Next, 35 of these 119 cases were manually matched to the 23 NDIS plan related IERP cases </w:t>
      </w:r>
      <w:r w:rsidR="003D087A">
        <w:t xml:space="preserve">that had concluded by </w:t>
      </w:r>
      <w:r w:rsidR="00075543">
        <w:t>31 January 2023</w:t>
      </w:r>
      <w:r w:rsidR="002F52C1">
        <w:t>. Matching was</w:t>
      </w:r>
      <w:r w:rsidR="00075543">
        <w:t xml:space="preserve"> </w:t>
      </w:r>
      <w:r w:rsidRPr="0010408E">
        <w:t>based on participant</w:t>
      </w:r>
      <w:r w:rsidR="00C26914">
        <w:t>/</w:t>
      </w:r>
      <w:r>
        <w:t>applicant</w:t>
      </w:r>
      <w:r w:rsidRPr="0010408E">
        <w:t xml:space="preserve"> characteristics (approximate age, primary disability</w:t>
      </w:r>
      <w:r w:rsidR="00C26914" w:rsidRPr="0010408E">
        <w:t>,</w:t>
      </w:r>
      <w:r w:rsidRPr="0010408E">
        <w:t xml:space="preserve"> and Australian state of residence)</w:t>
      </w:r>
      <w:r>
        <w:t xml:space="preserve"> and the </w:t>
      </w:r>
      <w:r w:rsidR="002F52C1">
        <w:t xml:space="preserve">type and number of </w:t>
      </w:r>
      <w:r>
        <w:t>supports in dispute</w:t>
      </w:r>
      <w:r w:rsidRPr="0010408E">
        <w:t>.</w:t>
      </w:r>
    </w:p>
    <w:p w14:paraId="594B7E97" w14:textId="2E724AFD" w:rsidR="000F60FA" w:rsidRPr="00EB3D5D" w:rsidRDefault="00E4218F" w:rsidP="00A86241">
      <w:pPr>
        <w:pStyle w:val="Caption"/>
      </w:pPr>
      <w:bookmarkStart w:id="184" w:name="_Ref135907575"/>
      <w:r w:rsidRPr="00EB3D5D">
        <w:t xml:space="preserve">Table </w:t>
      </w:r>
      <w:r w:rsidRPr="00EB3D5D">
        <w:fldChar w:fldCharType="begin"/>
      </w:r>
      <w:r w:rsidRPr="00EB3D5D">
        <w:instrText>SEQ Table \* ARABIC</w:instrText>
      </w:r>
      <w:r w:rsidRPr="00EB3D5D">
        <w:fldChar w:fldCharType="separate"/>
      </w:r>
      <w:r w:rsidR="000F1876">
        <w:rPr>
          <w:noProof/>
        </w:rPr>
        <w:t>11</w:t>
      </w:r>
      <w:r w:rsidRPr="00EB3D5D">
        <w:fldChar w:fldCharType="end"/>
      </w:r>
      <w:bookmarkEnd w:id="184"/>
      <w:r w:rsidR="000F60FA" w:rsidRPr="00EB3D5D">
        <w:t>: Selection process for AAT cases to compare to IERP cases</w:t>
      </w:r>
    </w:p>
    <w:tbl>
      <w:tblPr>
        <w:tblW w:w="9044" w:type="dxa"/>
        <w:tblBorders>
          <w:top w:val="outset" w:sz="6" w:space="0" w:color="auto"/>
          <w:left w:val="outset" w:sz="6" w:space="0" w:color="auto"/>
          <w:bottom w:val="outset" w:sz="6" w:space="0" w:color="auto"/>
          <w:right w:val="outset" w:sz="6" w:space="0" w:color="auto"/>
        </w:tblBorders>
        <w:tblCellMar>
          <w:top w:w="28" w:type="dxa"/>
          <w:bottom w:w="28" w:type="dxa"/>
        </w:tblCellMar>
        <w:tblLook w:val="04A0" w:firstRow="1" w:lastRow="0" w:firstColumn="1" w:lastColumn="0" w:noHBand="0" w:noVBand="1"/>
        <w:tblCaption w:val="Selection process for AAT cases to compare to IERP cases"/>
        <w:tblDescription w:val="4 columns and 7 rows&#10;Table shows the three-step process taken to identify similar AAT matters to the IERP matters. Each step is shown as a column against how the matter was resolved i.e., resolved by consent, matter withdrawn, matter went to hearing, other decision, and total."/>
      </w:tblPr>
      <w:tblGrid>
        <w:gridCol w:w="2827"/>
        <w:gridCol w:w="2072"/>
        <w:gridCol w:w="2072"/>
        <w:gridCol w:w="2073"/>
      </w:tblGrid>
      <w:tr w:rsidR="000F60FA" w:rsidRPr="008A0DD1" w14:paraId="2D78B30A" w14:textId="77777777" w:rsidTr="00CC3A3B">
        <w:trPr>
          <w:trHeight w:val="434"/>
          <w:tblHeader/>
        </w:trPr>
        <w:tc>
          <w:tcPr>
            <w:tcW w:w="2827" w:type="dxa"/>
            <w:tcBorders>
              <w:top w:val="single" w:sz="6" w:space="0" w:color="595959"/>
              <w:left w:val="single" w:sz="6" w:space="0" w:color="595959"/>
              <w:bottom w:val="single" w:sz="6" w:space="0" w:color="595959"/>
              <w:right w:val="single" w:sz="6" w:space="0" w:color="595959"/>
            </w:tcBorders>
            <w:shd w:val="clear" w:color="auto" w:fill="6B2976"/>
            <w:hideMark/>
          </w:tcPr>
          <w:p w14:paraId="404457D9" w14:textId="77777777" w:rsidR="000F60FA" w:rsidRPr="00EB3D5D" w:rsidRDefault="000F60FA">
            <w:pPr>
              <w:spacing w:before="0" w:after="0" w:line="240" w:lineRule="auto"/>
              <w:contextualSpacing/>
              <w:textAlignment w:val="baseline"/>
              <w:rPr>
                <w:rFonts w:eastAsia="Times New Roman" w:cstheme="minorHAnsi"/>
                <w:b/>
                <w:szCs w:val="22"/>
                <w:lang w:eastAsia="en-AU"/>
              </w:rPr>
            </w:pPr>
            <w:r w:rsidRPr="00EB3D5D">
              <w:rPr>
                <w:rFonts w:eastAsia="Times New Roman" w:cstheme="minorHAnsi"/>
                <w:b/>
                <w:color w:val="FEFFFF"/>
                <w:szCs w:val="22"/>
                <w:lang w:eastAsia="en-AU"/>
              </w:rPr>
              <w:t>AAT Outcome</w:t>
            </w:r>
          </w:p>
        </w:tc>
        <w:tc>
          <w:tcPr>
            <w:tcW w:w="2072" w:type="dxa"/>
            <w:tcBorders>
              <w:top w:val="single" w:sz="6" w:space="0" w:color="595959"/>
              <w:left w:val="single" w:sz="6" w:space="0" w:color="595959"/>
              <w:bottom w:val="single" w:sz="6" w:space="0" w:color="595959"/>
              <w:right w:val="single" w:sz="6" w:space="0" w:color="595959"/>
            </w:tcBorders>
            <w:shd w:val="clear" w:color="auto" w:fill="6B2976"/>
            <w:hideMark/>
          </w:tcPr>
          <w:p w14:paraId="18EAF660" w14:textId="77777777" w:rsidR="000F60FA" w:rsidRPr="00EB3D5D" w:rsidRDefault="000F60FA">
            <w:pPr>
              <w:spacing w:before="0" w:after="0" w:line="240" w:lineRule="auto"/>
              <w:contextualSpacing/>
              <w:jc w:val="center"/>
              <w:textAlignment w:val="baseline"/>
              <w:rPr>
                <w:rFonts w:eastAsia="Times New Roman" w:cstheme="minorHAnsi"/>
                <w:b/>
                <w:szCs w:val="22"/>
                <w:lang w:eastAsia="en-AU"/>
              </w:rPr>
            </w:pPr>
            <w:r w:rsidRPr="00EB3D5D">
              <w:rPr>
                <w:rFonts w:eastAsia="Times New Roman" w:cstheme="minorHAnsi"/>
                <w:b/>
                <w:color w:val="FEFFFF"/>
                <w:szCs w:val="22"/>
                <w:lang w:eastAsia="en-AU"/>
              </w:rPr>
              <w:t>Step 1: AAT matters</w:t>
            </w:r>
          </w:p>
        </w:tc>
        <w:tc>
          <w:tcPr>
            <w:tcW w:w="2072" w:type="dxa"/>
            <w:tcBorders>
              <w:top w:val="single" w:sz="6" w:space="0" w:color="595959"/>
              <w:left w:val="single" w:sz="6" w:space="0" w:color="595959"/>
              <w:bottom w:val="single" w:sz="6" w:space="0" w:color="595959"/>
              <w:right w:val="single" w:sz="6" w:space="0" w:color="595959"/>
            </w:tcBorders>
            <w:shd w:val="clear" w:color="auto" w:fill="6B2976"/>
            <w:hideMark/>
          </w:tcPr>
          <w:p w14:paraId="08FA92DA" w14:textId="77777777" w:rsidR="000F60FA" w:rsidRPr="00EB3D5D" w:rsidRDefault="000F60FA">
            <w:pPr>
              <w:spacing w:before="0" w:after="0" w:line="240" w:lineRule="auto"/>
              <w:contextualSpacing/>
              <w:jc w:val="center"/>
              <w:textAlignment w:val="baseline"/>
              <w:rPr>
                <w:rFonts w:eastAsia="Times New Roman" w:cstheme="minorHAnsi"/>
                <w:b/>
                <w:szCs w:val="22"/>
                <w:lang w:eastAsia="en-AU"/>
              </w:rPr>
            </w:pPr>
            <w:r w:rsidRPr="00EB3D5D">
              <w:rPr>
                <w:rFonts w:eastAsia="Times New Roman" w:cstheme="minorHAnsi"/>
                <w:b/>
                <w:color w:val="FEFFFF"/>
                <w:szCs w:val="22"/>
                <w:lang w:eastAsia="en-AU"/>
              </w:rPr>
              <w:t>Step 2: AAT matters</w:t>
            </w:r>
          </w:p>
        </w:tc>
        <w:tc>
          <w:tcPr>
            <w:tcW w:w="2073" w:type="dxa"/>
            <w:tcBorders>
              <w:top w:val="single" w:sz="6" w:space="0" w:color="595959"/>
              <w:left w:val="single" w:sz="6" w:space="0" w:color="595959"/>
              <w:bottom w:val="single" w:sz="6" w:space="0" w:color="595959"/>
              <w:right w:val="single" w:sz="6" w:space="0" w:color="595959"/>
            </w:tcBorders>
            <w:shd w:val="clear" w:color="auto" w:fill="6B2976"/>
            <w:hideMark/>
          </w:tcPr>
          <w:p w14:paraId="0FE05DBC" w14:textId="77777777" w:rsidR="000F60FA" w:rsidRPr="00EB3D5D" w:rsidRDefault="000F60FA">
            <w:pPr>
              <w:spacing w:before="0" w:after="0" w:line="240" w:lineRule="auto"/>
              <w:contextualSpacing/>
              <w:jc w:val="center"/>
              <w:textAlignment w:val="baseline"/>
              <w:rPr>
                <w:rFonts w:eastAsia="Times New Roman" w:cstheme="minorHAnsi"/>
                <w:b/>
                <w:szCs w:val="22"/>
                <w:lang w:eastAsia="en-AU"/>
              </w:rPr>
            </w:pPr>
            <w:r w:rsidRPr="00EB3D5D">
              <w:rPr>
                <w:rFonts w:eastAsia="Times New Roman" w:cstheme="minorHAnsi"/>
                <w:b/>
                <w:color w:val="FEFFFF"/>
                <w:szCs w:val="22"/>
                <w:lang w:eastAsia="en-AU"/>
              </w:rPr>
              <w:t>Step 3: AAT matters</w:t>
            </w:r>
          </w:p>
        </w:tc>
      </w:tr>
      <w:tr w:rsidR="000F60FA" w:rsidRPr="008A0DD1" w14:paraId="4D524A5D" w14:textId="77777777">
        <w:trPr>
          <w:trHeight w:val="434"/>
        </w:trPr>
        <w:tc>
          <w:tcPr>
            <w:tcW w:w="2827" w:type="dxa"/>
            <w:tcBorders>
              <w:top w:val="single" w:sz="6" w:space="0" w:color="595959"/>
              <w:left w:val="single" w:sz="6" w:space="0" w:color="595959"/>
              <w:bottom w:val="single" w:sz="6" w:space="0" w:color="595959"/>
              <w:right w:val="single" w:sz="6" w:space="0" w:color="595959"/>
            </w:tcBorders>
            <w:shd w:val="clear" w:color="auto" w:fill="F7EEF7"/>
            <w:hideMark/>
          </w:tcPr>
          <w:p w14:paraId="0A7953E3" w14:textId="77777777" w:rsidR="000F60FA" w:rsidRPr="00EB3D5D" w:rsidRDefault="000F60FA">
            <w:pPr>
              <w:spacing w:before="0" w:after="0" w:line="240" w:lineRule="auto"/>
              <w:contextualSpacing/>
              <w:textAlignment w:val="baseline"/>
              <w:rPr>
                <w:rFonts w:eastAsia="Times New Roman" w:cstheme="minorHAnsi"/>
                <w:szCs w:val="22"/>
                <w:lang w:eastAsia="en-AU"/>
              </w:rPr>
            </w:pPr>
            <w:r w:rsidRPr="00EB3D5D">
              <w:rPr>
                <w:rFonts w:eastAsia="Times New Roman" w:cstheme="minorHAnsi"/>
                <w:color w:val="000000"/>
                <w:szCs w:val="22"/>
                <w:lang w:eastAsia="en-AU"/>
              </w:rPr>
              <w:t>Resolved by Consent</w:t>
            </w:r>
          </w:p>
        </w:tc>
        <w:tc>
          <w:tcPr>
            <w:tcW w:w="2072" w:type="dxa"/>
            <w:tcBorders>
              <w:top w:val="single" w:sz="6" w:space="0" w:color="595959"/>
              <w:left w:val="single" w:sz="6" w:space="0" w:color="595959"/>
              <w:bottom w:val="single" w:sz="6" w:space="0" w:color="595959"/>
              <w:right w:val="single" w:sz="6" w:space="0" w:color="595959"/>
            </w:tcBorders>
            <w:shd w:val="clear" w:color="auto" w:fill="F7EEF7"/>
            <w:hideMark/>
          </w:tcPr>
          <w:p w14:paraId="6B93E95A"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2,643 (80.6%)</w:t>
            </w:r>
          </w:p>
        </w:tc>
        <w:tc>
          <w:tcPr>
            <w:tcW w:w="2072" w:type="dxa"/>
            <w:tcBorders>
              <w:top w:val="single" w:sz="6" w:space="0" w:color="595959"/>
              <w:left w:val="single" w:sz="6" w:space="0" w:color="595959"/>
              <w:bottom w:val="single" w:sz="6" w:space="0" w:color="595959"/>
              <w:right w:val="single" w:sz="6" w:space="0" w:color="595959"/>
            </w:tcBorders>
            <w:shd w:val="clear" w:color="auto" w:fill="F7EEF7"/>
            <w:hideMark/>
          </w:tcPr>
          <w:p w14:paraId="246C2340"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99 (83.2%)</w:t>
            </w:r>
          </w:p>
        </w:tc>
        <w:tc>
          <w:tcPr>
            <w:tcW w:w="2073" w:type="dxa"/>
            <w:tcBorders>
              <w:top w:val="single" w:sz="6" w:space="0" w:color="595959"/>
              <w:left w:val="single" w:sz="6" w:space="0" w:color="595959"/>
              <w:bottom w:val="single" w:sz="6" w:space="0" w:color="595959"/>
              <w:right w:val="single" w:sz="6" w:space="0" w:color="595959"/>
            </w:tcBorders>
            <w:shd w:val="clear" w:color="auto" w:fill="F7EEF7"/>
            <w:hideMark/>
          </w:tcPr>
          <w:p w14:paraId="639103F9"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28 (80%)</w:t>
            </w:r>
          </w:p>
        </w:tc>
      </w:tr>
      <w:tr w:rsidR="000F60FA" w:rsidRPr="008A0DD1" w14:paraId="4073D80B" w14:textId="77777777">
        <w:trPr>
          <w:trHeight w:val="434"/>
        </w:trPr>
        <w:tc>
          <w:tcPr>
            <w:tcW w:w="2827" w:type="dxa"/>
            <w:tcBorders>
              <w:top w:val="single" w:sz="6" w:space="0" w:color="595959"/>
              <w:left w:val="single" w:sz="6" w:space="0" w:color="595959"/>
              <w:bottom w:val="single" w:sz="6" w:space="0" w:color="595959"/>
              <w:right w:val="single" w:sz="6" w:space="0" w:color="595959"/>
            </w:tcBorders>
            <w:shd w:val="clear" w:color="auto" w:fill="auto"/>
            <w:hideMark/>
          </w:tcPr>
          <w:p w14:paraId="68FBA2A1" w14:textId="77777777" w:rsidR="000F60FA" w:rsidRPr="00EB3D5D" w:rsidRDefault="000F60FA">
            <w:pPr>
              <w:spacing w:before="0" w:after="0" w:line="240" w:lineRule="auto"/>
              <w:contextualSpacing/>
              <w:textAlignment w:val="baseline"/>
              <w:rPr>
                <w:rFonts w:eastAsia="Times New Roman" w:cstheme="minorHAnsi"/>
                <w:szCs w:val="22"/>
                <w:lang w:eastAsia="en-AU"/>
              </w:rPr>
            </w:pPr>
            <w:r w:rsidRPr="00EB3D5D">
              <w:rPr>
                <w:rFonts w:eastAsia="Times New Roman" w:cstheme="minorHAnsi"/>
                <w:color w:val="000000"/>
                <w:szCs w:val="22"/>
                <w:lang w:eastAsia="en-AU"/>
              </w:rPr>
              <w:t>Withdrawn</w:t>
            </w:r>
          </w:p>
        </w:tc>
        <w:tc>
          <w:tcPr>
            <w:tcW w:w="2072" w:type="dxa"/>
            <w:tcBorders>
              <w:top w:val="single" w:sz="6" w:space="0" w:color="595959"/>
              <w:left w:val="single" w:sz="6" w:space="0" w:color="595959"/>
              <w:bottom w:val="single" w:sz="6" w:space="0" w:color="595959"/>
              <w:right w:val="single" w:sz="6" w:space="0" w:color="595959"/>
            </w:tcBorders>
            <w:shd w:val="clear" w:color="auto" w:fill="auto"/>
            <w:hideMark/>
          </w:tcPr>
          <w:p w14:paraId="189AFA52"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507 (15.5%)</w:t>
            </w:r>
          </w:p>
        </w:tc>
        <w:tc>
          <w:tcPr>
            <w:tcW w:w="2072" w:type="dxa"/>
            <w:tcBorders>
              <w:top w:val="single" w:sz="6" w:space="0" w:color="595959"/>
              <w:left w:val="single" w:sz="6" w:space="0" w:color="595959"/>
              <w:bottom w:val="single" w:sz="6" w:space="0" w:color="595959"/>
              <w:right w:val="single" w:sz="6" w:space="0" w:color="595959"/>
            </w:tcBorders>
            <w:shd w:val="clear" w:color="auto" w:fill="auto"/>
            <w:hideMark/>
          </w:tcPr>
          <w:p w14:paraId="0C81CA9F"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9 (7.6%)</w:t>
            </w:r>
          </w:p>
        </w:tc>
        <w:tc>
          <w:tcPr>
            <w:tcW w:w="2073" w:type="dxa"/>
            <w:tcBorders>
              <w:top w:val="single" w:sz="6" w:space="0" w:color="595959"/>
              <w:left w:val="single" w:sz="6" w:space="0" w:color="595959"/>
              <w:bottom w:val="single" w:sz="6" w:space="0" w:color="595959"/>
              <w:right w:val="single" w:sz="6" w:space="0" w:color="595959"/>
            </w:tcBorders>
            <w:shd w:val="clear" w:color="auto" w:fill="auto"/>
            <w:hideMark/>
          </w:tcPr>
          <w:p w14:paraId="6A46FD64"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0 (0%)</w:t>
            </w:r>
          </w:p>
        </w:tc>
      </w:tr>
      <w:tr w:rsidR="000F60FA" w:rsidRPr="008A0DD1" w14:paraId="47C048C0" w14:textId="77777777">
        <w:trPr>
          <w:trHeight w:val="434"/>
        </w:trPr>
        <w:tc>
          <w:tcPr>
            <w:tcW w:w="2827" w:type="dxa"/>
            <w:tcBorders>
              <w:top w:val="single" w:sz="6" w:space="0" w:color="595959"/>
              <w:left w:val="single" w:sz="6" w:space="0" w:color="595959"/>
              <w:bottom w:val="single" w:sz="6" w:space="0" w:color="595959"/>
              <w:right w:val="single" w:sz="6" w:space="0" w:color="595959"/>
            </w:tcBorders>
            <w:shd w:val="clear" w:color="auto" w:fill="F7EEF7"/>
            <w:hideMark/>
          </w:tcPr>
          <w:p w14:paraId="3733FB5C" w14:textId="77777777" w:rsidR="000F60FA" w:rsidRPr="00EB3D5D" w:rsidRDefault="000F60FA">
            <w:pPr>
              <w:spacing w:before="0" w:after="0" w:line="240" w:lineRule="auto"/>
              <w:contextualSpacing/>
              <w:textAlignment w:val="baseline"/>
              <w:rPr>
                <w:rFonts w:eastAsia="Times New Roman" w:cstheme="minorHAnsi"/>
                <w:szCs w:val="22"/>
                <w:lang w:eastAsia="en-AU"/>
              </w:rPr>
            </w:pPr>
            <w:r w:rsidRPr="00EB3D5D">
              <w:rPr>
                <w:rFonts w:eastAsia="Times New Roman" w:cstheme="minorHAnsi"/>
                <w:color w:val="000000"/>
                <w:szCs w:val="22"/>
                <w:lang w:eastAsia="en-AU"/>
              </w:rPr>
              <w:t>Dismissed</w:t>
            </w:r>
          </w:p>
        </w:tc>
        <w:tc>
          <w:tcPr>
            <w:tcW w:w="2072" w:type="dxa"/>
            <w:tcBorders>
              <w:top w:val="single" w:sz="6" w:space="0" w:color="595959"/>
              <w:left w:val="single" w:sz="6" w:space="0" w:color="595959"/>
              <w:bottom w:val="single" w:sz="6" w:space="0" w:color="595959"/>
              <w:right w:val="single" w:sz="6" w:space="0" w:color="595959"/>
            </w:tcBorders>
            <w:shd w:val="clear" w:color="auto" w:fill="F7EEF7"/>
            <w:hideMark/>
          </w:tcPr>
          <w:p w14:paraId="603EB856"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82 (2.5%)</w:t>
            </w:r>
          </w:p>
        </w:tc>
        <w:tc>
          <w:tcPr>
            <w:tcW w:w="2072" w:type="dxa"/>
            <w:tcBorders>
              <w:top w:val="single" w:sz="6" w:space="0" w:color="595959"/>
              <w:left w:val="single" w:sz="6" w:space="0" w:color="595959"/>
              <w:bottom w:val="single" w:sz="6" w:space="0" w:color="595959"/>
              <w:right w:val="single" w:sz="6" w:space="0" w:color="595959"/>
            </w:tcBorders>
            <w:shd w:val="clear" w:color="auto" w:fill="F7EEF7"/>
            <w:hideMark/>
          </w:tcPr>
          <w:p w14:paraId="613292C2"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4 (3.4%)</w:t>
            </w:r>
          </w:p>
        </w:tc>
        <w:tc>
          <w:tcPr>
            <w:tcW w:w="2073" w:type="dxa"/>
            <w:tcBorders>
              <w:top w:val="single" w:sz="6" w:space="0" w:color="595959"/>
              <w:left w:val="single" w:sz="6" w:space="0" w:color="595959"/>
              <w:bottom w:val="single" w:sz="6" w:space="0" w:color="595959"/>
              <w:right w:val="single" w:sz="6" w:space="0" w:color="595959"/>
            </w:tcBorders>
            <w:shd w:val="clear" w:color="auto" w:fill="F7EEF7"/>
            <w:hideMark/>
          </w:tcPr>
          <w:p w14:paraId="6C34FC4F"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0 (0%)</w:t>
            </w:r>
          </w:p>
        </w:tc>
      </w:tr>
      <w:tr w:rsidR="000F60FA" w:rsidRPr="008A0DD1" w14:paraId="4CF3A140" w14:textId="77777777">
        <w:trPr>
          <w:trHeight w:val="434"/>
        </w:trPr>
        <w:tc>
          <w:tcPr>
            <w:tcW w:w="2827" w:type="dxa"/>
            <w:tcBorders>
              <w:top w:val="single" w:sz="6" w:space="0" w:color="595959"/>
              <w:left w:val="single" w:sz="6" w:space="0" w:color="595959"/>
              <w:bottom w:val="single" w:sz="6" w:space="0" w:color="595959"/>
              <w:right w:val="single" w:sz="6" w:space="0" w:color="595959"/>
            </w:tcBorders>
            <w:shd w:val="clear" w:color="auto" w:fill="auto"/>
            <w:hideMark/>
          </w:tcPr>
          <w:p w14:paraId="36B3D6E0" w14:textId="77777777" w:rsidR="000F60FA" w:rsidRPr="00EB3D5D" w:rsidRDefault="000F60FA">
            <w:pPr>
              <w:spacing w:before="0" w:after="0" w:line="240" w:lineRule="auto"/>
              <w:contextualSpacing/>
              <w:textAlignment w:val="baseline"/>
              <w:rPr>
                <w:rFonts w:eastAsia="Times New Roman" w:cstheme="minorHAnsi"/>
                <w:szCs w:val="22"/>
                <w:lang w:eastAsia="en-AU"/>
              </w:rPr>
            </w:pPr>
            <w:r w:rsidRPr="00EB3D5D">
              <w:rPr>
                <w:rFonts w:eastAsia="Times New Roman" w:cstheme="minorHAnsi"/>
                <w:color w:val="000000"/>
                <w:szCs w:val="22"/>
                <w:lang w:eastAsia="en-AU"/>
              </w:rPr>
              <w:t>Hearing Decision (Affirmed, Varied, Set Aside)</w:t>
            </w:r>
          </w:p>
        </w:tc>
        <w:tc>
          <w:tcPr>
            <w:tcW w:w="2072" w:type="dxa"/>
            <w:tcBorders>
              <w:top w:val="single" w:sz="6" w:space="0" w:color="595959"/>
              <w:left w:val="single" w:sz="6" w:space="0" w:color="595959"/>
              <w:bottom w:val="single" w:sz="6" w:space="0" w:color="595959"/>
              <w:right w:val="single" w:sz="6" w:space="0" w:color="595959"/>
            </w:tcBorders>
            <w:shd w:val="clear" w:color="auto" w:fill="auto"/>
            <w:hideMark/>
          </w:tcPr>
          <w:p w14:paraId="2C472325"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41 (1.3%)</w:t>
            </w:r>
          </w:p>
        </w:tc>
        <w:tc>
          <w:tcPr>
            <w:tcW w:w="2072" w:type="dxa"/>
            <w:tcBorders>
              <w:top w:val="single" w:sz="6" w:space="0" w:color="595959"/>
              <w:left w:val="single" w:sz="6" w:space="0" w:color="595959"/>
              <w:bottom w:val="single" w:sz="6" w:space="0" w:color="595959"/>
              <w:right w:val="single" w:sz="6" w:space="0" w:color="595959"/>
            </w:tcBorders>
            <w:shd w:val="clear" w:color="auto" w:fill="auto"/>
            <w:hideMark/>
          </w:tcPr>
          <w:p w14:paraId="401C1F21"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7 (5.8%)</w:t>
            </w:r>
          </w:p>
        </w:tc>
        <w:tc>
          <w:tcPr>
            <w:tcW w:w="2073" w:type="dxa"/>
            <w:tcBorders>
              <w:top w:val="single" w:sz="6" w:space="0" w:color="595959"/>
              <w:left w:val="single" w:sz="6" w:space="0" w:color="595959"/>
              <w:bottom w:val="single" w:sz="6" w:space="0" w:color="595959"/>
              <w:right w:val="single" w:sz="6" w:space="0" w:color="595959"/>
            </w:tcBorders>
            <w:shd w:val="clear" w:color="auto" w:fill="auto"/>
            <w:hideMark/>
          </w:tcPr>
          <w:p w14:paraId="11E302EB"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7 (20%)</w:t>
            </w:r>
          </w:p>
        </w:tc>
      </w:tr>
      <w:tr w:rsidR="000F60FA" w:rsidRPr="008A0DD1" w14:paraId="194C6265" w14:textId="77777777">
        <w:trPr>
          <w:trHeight w:val="434"/>
        </w:trPr>
        <w:tc>
          <w:tcPr>
            <w:tcW w:w="2827" w:type="dxa"/>
            <w:tcBorders>
              <w:top w:val="single" w:sz="6" w:space="0" w:color="595959"/>
              <w:left w:val="single" w:sz="6" w:space="0" w:color="595959"/>
              <w:bottom w:val="single" w:sz="6" w:space="0" w:color="595959"/>
              <w:right w:val="single" w:sz="6" w:space="0" w:color="595959"/>
            </w:tcBorders>
            <w:shd w:val="clear" w:color="auto" w:fill="F7EEF7"/>
            <w:hideMark/>
          </w:tcPr>
          <w:p w14:paraId="397DF0B6" w14:textId="77777777" w:rsidR="000F60FA" w:rsidRPr="00EB3D5D" w:rsidRDefault="000F60FA">
            <w:pPr>
              <w:spacing w:before="0" w:after="0" w:line="240" w:lineRule="auto"/>
              <w:contextualSpacing/>
              <w:textAlignment w:val="baseline"/>
              <w:rPr>
                <w:rFonts w:eastAsia="Times New Roman" w:cstheme="minorHAnsi"/>
                <w:szCs w:val="22"/>
                <w:lang w:eastAsia="en-AU"/>
              </w:rPr>
            </w:pPr>
            <w:r w:rsidRPr="00EB3D5D">
              <w:rPr>
                <w:rFonts w:eastAsia="Times New Roman" w:cstheme="minorHAnsi"/>
                <w:color w:val="000000"/>
                <w:szCs w:val="22"/>
                <w:lang w:eastAsia="en-AU"/>
              </w:rPr>
              <w:t>Other (EOT not opposed, No Jurisdiction)</w:t>
            </w:r>
          </w:p>
        </w:tc>
        <w:tc>
          <w:tcPr>
            <w:tcW w:w="2072" w:type="dxa"/>
            <w:tcBorders>
              <w:top w:val="single" w:sz="6" w:space="0" w:color="595959"/>
              <w:left w:val="single" w:sz="6" w:space="0" w:color="595959"/>
              <w:bottom w:val="single" w:sz="6" w:space="0" w:color="595959"/>
              <w:right w:val="single" w:sz="6" w:space="0" w:color="595959"/>
            </w:tcBorders>
            <w:shd w:val="clear" w:color="auto" w:fill="F7EEF7"/>
            <w:hideMark/>
          </w:tcPr>
          <w:p w14:paraId="2F885581"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8 (0.2%)</w:t>
            </w:r>
          </w:p>
        </w:tc>
        <w:tc>
          <w:tcPr>
            <w:tcW w:w="2072" w:type="dxa"/>
            <w:tcBorders>
              <w:top w:val="single" w:sz="6" w:space="0" w:color="595959"/>
              <w:left w:val="single" w:sz="6" w:space="0" w:color="595959"/>
              <w:bottom w:val="single" w:sz="6" w:space="0" w:color="595959"/>
              <w:right w:val="single" w:sz="6" w:space="0" w:color="595959"/>
            </w:tcBorders>
            <w:shd w:val="clear" w:color="auto" w:fill="F7EEF7"/>
            <w:hideMark/>
          </w:tcPr>
          <w:p w14:paraId="1C44F21C"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0 (0%)</w:t>
            </w:r>
          </w:p>
        </w:tc>
        <w:tc>
          <w:tcPr>
            <w:tcW w:w="2073" w:type="dxa"/>
            <w:tcBorders>
              <w:top w:val="single" w:sz="6" w:space="0" w:color="595959"/>
              <w:left w:val="single" w:sz="6" w:space="0" w:color="595959"/>
              <w:bottom w:val="single" w:sz="6" w:space="0" w:color="595959"/>
              <w:right w:val="single" w:sz="6" w:space="0" w:color="595959"/>
            </w:tcBorders>
            <w:shd w:val="clear" w:color="auto" w:fill="F7EEF7"/>
            <w:hideMark/>
          </w:tcPr>
          <w:p w14:paraId="1C08D126"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szCs w:val="22"/>
                <w:lang w:eastAsia="en-AU"/>
              </w:rPr>
              <w:t>0 (0%)</w:t>
            </w:r>
          </w:p>
        </w:tc>
      </w:tr>
      <w:tr w:rsidR="000F60FA" w:rsidRPr="008A0DD1" w14:paraId="5846127D" w14:textId="77777777">
        <w:trPr>
          <w:trHeight w:val="434"/>
        </w:trPr>
        <w:tc>
          <w:tcPr>
            <w:tcW w:w="2827" w:type="dxa"/>
            <w:tcBorders>
              <w:top w:val="single" w:sz="6" w:space="0" w:color="595959"/>
              <w:left w:val="single" w:sz="6" w:space="0" w:color="595959"/>
              <w:bottom w:val="single" w:sz="6" w:space="0" w:color="595959"/>
              <w:right w:val="single" w:sz="6" w:space="0" w:color="595959"/>
            </w:tcBorders>
            <w:shd w:val="clear" w:color="auto" w:fill="auto"/>
            <w:hideMark/>
          </w:tcPr>
          <w:p w14:paraId="22676A06" w14:textId="77777777" w:rsidR="000F60FA" w:rsidRPr="00EB3D5D" w:rsidRDefault="000F60FA">
            <w:pPr>
              <w:spacing w:before="0" w:after="0" w:line="240" w:lineRule="auto"/>
              <w:contextualSpacing/>
              <w:textAlignment w:val="baseline"/>
              <w:rPr>
                <w:rFonts w:eastAsia="Times New Roman" w:cstheme="minorHAnsi"/>
                <w:szCs w:val="22"/>
                <w:lang w:eastAsia="en-AU"/>
              </w:rPr>
            </w:pPr>
            <w:r w:rsidRPr="00EB3D5D">
              <w:rPr>
                <w:rFonts w:eastAsia="Times New Roman" w:cstheme="minorHAnsi"/>
                <w:b/>
                <w:color w:val="000000"/>
                <w:szCs w:val="22"/>
                <w:lang w:eastAsia="en-AU"/>
              </w:rPr>
              <w:t>Total</w:t>
            </w:r>
          </w:p>
        </w:tc>
        <w:tc>
          <w:tcPr>
            <w:tcW w:w="2072" w:type="dxa"/>
            <w:tcBorders>
              <w:top w:val="single" w:sz="6" w:space="0" w:color="595959"/>
              <w:left w:val="single" w:sz="6" w:space="0" w:color="595959"/>
              <w:bottom w:val="single" w:sz="6" w:space="0" w:color="595959"/>
              <w:right w:val="single" w:sz="6" w:space="0" w:color="595959"/>
            </w:tcBorders>
            <w:shd w:val="clear" w:color="auto" w:fill="auto"/>
            <w:hideMark/>
          </w:tcPr>
          <w:p w14:paraId="745B3DE5"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b/>
                <w:szCs w:val="22"/>
                <w:lang w:eastAsia="en-AU"/>
              </w:rPr>
              <w:t>3,281</w:t>
            </w:r>
          </w:p>
        </w:tc>
        <w:tc>
          <w:tcPr>
            <w:tcW w:w="2072" w:type="dxa"/>
            <w:tcBorders>
              <w:top w:val="single" w:sz="6" w:space="0" w:color="595959"/>
              <w:left w:val="single" w:sz="6" w:space="0" w:color="595959"/>
              <w:bottom w:val="single" w:sz="6" w:space="0" w:color="595959"/>
              <w:right w:val="single" w:sz="6" w:space="0" w:color="595959"/>
            </w:tcBorders>
            <w:shd w:val="clear" w:color="auto" w:fill="auto"/>
            <w:hideMark/>
          </w:tcPr>
          <w:p w14:paraId="6B627299"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b/>
                <w:szCs w:val="22"/>
                <w:lang w:eastAsia="en-AU"/>
              </w:rPr>
              <w:t>119</w:t>
            </w:r>
          </w:p>
        </w:tc>
        <w:tc>
          <w:tcPr>
            <w:tcW w:w="2073" w:type="dxa"/>
            <w:tcBorders>
              <w:top w:val="single" w:sz="6" w:space="0" w:color="595959"/>
              <w:left w:val="single" w:sz="6" w:space="0" w:color="595959"/>
              <w:bottom w:val="single" w:sz="6" w:space="0" w:color="595959"/>
              <w:right w:val="single" w:sz="6" w:space="0" w:color="595959"/>
            </w:tcBorders>
            <w:shd w:val="clear" w:color="auto" w:fill="auto"/>
            <w:hideMark/>
          </w:tcPr>
          <w:p w14:paraId="3AD353E4" w14:textId="77777777" w:rsidR="000F60FA" w:rsidRPr="00EB3D5D" w:rsidRDefault="000F60FA">
            <w:pPr>
              <w:spacing w:before="0" w:after="0" w:line="240" w:lineRule="auto"/>
              <w:contextualSpacing/>
              <w:jc w:val="center"/>
              <w:textAlignment w:val="baseline"/>
              <w:rPr>
                <w:rFonts w:eastAsia="Times New Roman" w:cstheme="minorHAnsi"/>
                <w:szCs w:val="22"/>
                <w:lang w:eastAsia="en-AU"/>
              </w:rPr>
            </w:pPr>
            <w:r w:rsidRPr="00EB3D5D">
              <w:rPr>
                <w:rFonts w:eastAsia="Times New Roman" w:cstheme="minorHAnsi"/>
                <w:b/>
                <w:szCs w:val="22"/>
                <w:lang w:eastAsia="en-AU"/>
              </w:rPr>
              <w:t>35</w:t>
            </w:r>
          </w:p>
        </w:tc>
      </w:tr>
    </w:tbl>
    <w:p w14:paraId="13403C40" w14:textId="77777777" w:rsidR="000F60FA" w:rsidRPr="00EB3D5D" w:rsidRDefault="000F60FA" w:rsidP="000F60FA">
      <w:pPr>
        <w:spacing w:before="0" w:after="0"/>
        <w:rPr>
          <w:szCs w:val="22"/>
        </w:rPr>
      </w:pPr>
      <w:r w:rsidRPr="00EB3D5D">
        <w:rPr>
          <w:szCs w:val="22"/>
        </w:rPr>
        <w:lastRenderedPageBreak/>
        <w:t>Source: Research and Evaluation Branch analysis of final IER and AAT decisions.</w:t>
      </w:r>
    </w:p>
    <w:p w14:paraId="225419E0" w14:textId="30DC94F7" w:rsidR="000F60FA" w:rsidRPr="00EB3D5D" w:rsidRDefault="000F60FA" w:rsidP="000F60FA">
      <w:pPr>
        <w:spacing w:before="0" w:after="0"/>
        <w:rPr>
          <w:szCs w:val="22"/>
        </w:rPr>
      </w:pPr>
      <w:r w:rsidRPr="00EB3D5D">
        <w:rPr>
          <w:szCs w:val="22"/>
        </w:rPr>
        <w:t>Notes: Cases presenting from July 2022 to January 2023.</w:t>
      </w:r>
    </w:p>
    <w:p w14:paraId="0F7169D0" w14:textId="667DAD2B" w:rsidR="000F60FA" w:rsidRDefault="000F60FA" w:rsidP="00EB3D5D">
      <w:pPr>
        <w:pStyle w:val="Heading4"/>
        <w:numPr>
          <w:ilvl w:val="0"/>
          <w:numId w:val="0"/>
        </w:numPr>
        <w:ind w:left="1134" w:hanging="1134"/>
      </w:pPr>
      <w:r>
        <w:t>Complexity of IERP and comparison AAT cases</w:t>
      </w:r>
    </w:p>
    <w:p w14:paraId="0CF51653" w14:textId="2D6E1A7E" w:rsidR="000F60FA" w:rsidRDefault="007748E4" w:rsidP="00E053C2">
      <w:pPr>
        <w:spacing w:before="60" w:after="200"/>
        <w:rPr>
          <w:lang w:eastAsia="en-AU"/>
        </w:rPr>
      </w:pPr>
      <w:r>
        <w:rPr>
          <w:szCs w:val="22"/>
        </w:rPr>
        <w:t xml:space="preserve">As of </w:t>
      </w:r>
      <w:r w:rsidR="008478E6">
        <w:rPr>
          <w:szCs w:val="22"/>
        </w:rPr>
        <w:t xml:space="preserve">31 </w:t>
      </w:r>
      <w:r>
        <w:rPr>
          <w:szCs w:val="22"/>
        </w:rPr>
        <w:t>January 2023</w:t>
      </w:r>
      <w:r w:rsidR="00E053C2" w:rsidRPr="00997B46">
        <w:rPr>
          <w:szCs w:val="22"/>
        </w:rPr>
        <w:t xml:space="preserve">, independent experts </w:t>
      </w:r>
      <w:r w:rsidR="00B53EB6">
        <w:rPr>
          <w:szCs w:val="22"/>
        </w:rPr>
        <w:t xml:space="preserve">had </w:t>
      </w:r>
      <w:r w:rsidR="00E053C2" w:rsidRPr="00997B46">
        <w:rPr>
          <w:szCs w:val="22"/>
        </w:rPr>
        <w:t>reviewed 23 NDIS-</w:t>
      </w:r>
      <w:r>
        <w:rPr>
          <w:szCs w:val="22"/>
        </w:rPr>
        <w:t>support</w:t>
      </w:r>
      <w:r w:rsidR="00E053C2" w:rsidRPr="00997B46">
        <w:rPr>
          <w:szCs w:val="22"/>
        </w:rPr>
        <w:t xml:space="preserve"> related cases. These cases contained a</w:t>
      </w:r>
      <w:r w:rsidR="00DF7FCE">
        <w:rPr>
          <w:szCs w:val="22"/>
        </w:rPr>
        <w:t xml:space="preserve">n </w:t>
      </w:r>
      <w:r w:rsidR="000F60FA">
        <w:rPr>
          <w:lang w:eastAsia="en-AU"/>
        </w:rPr>
        <w:t>average of 5</w:t>
      </w:r>
      <w:r w:rsidR="009A1A3B">
        <w:rPr>
          <w:lang w:eastAsia="en-AU"/>
        </w:rPr>
        <w:t>.2</w:t>
      </w:r>
      <w:r w:rsidR="000F60FA">
        <w:rPr>
          <w:lang w:eastAsia="en-AU"/>
        </w:rPr>
        <w:t xml:space="preserve"> </w:t>
      </w:r>
      <w:r w:rsidR="00DF7FCE">
        <w:rPr>
          <w:lang w:eastAsia="en-AU"/>
        </w:rPr>
        <w:t xml:space="preserve">issues </w:t>
      </w:r>
      <w:r w:rsidR="000F60FA">
        <w:rPr>
          <w:lang w:eastAsia="en-AU"/>
        </w:rPr>
        <w:t xml:space="preserve">per case. This compared </w:t>
      </w:r>
      <w:r w:rsidR="00C474D6">
        <w:rPr>
          <w:lang w:eastAsia="en-AU"/>
        </w:rPr>
        <w:t xml:space="preserve">to </w:t>
      </w:r>
      <w:r w:rsidR="000F60FA">
        <w:rPr>
          <w:lang w:eastAsia="en-AU"/>
        </w:rPr>
        <w:t xml:space="preserve">an average of 5.9 matters per </w:t>
      </w:r>
      <w:r>
        <w:rPr>
          <w:lang w:eastAsia="en-AU"/>
        </w:rPr>
        <w:t xml:space="preserve">comparison </w:t>
      </w:r>
      <w:r w:rsidR="000F60FA">
        <w:rPr>
          <w:lang w:eastAsia="en-AU"/>
        </w:rPr>
        <w:t>case resolved at AAT hearing and 8.7 matters per AAT case resolved by consent</w:t>
      </w:r>
      <w:r>
        <w:rPr>
          <w:lang w:eastAsia="en-AU"/>
        </w:rPr>
        <w:t xml:space="preserve"> (</w:t>
      </w:r>
      <w:r>
        <w:fldChar w:fldCharType="begin"/>
      </w:r>
      <w:r>
        <w:instrText xml:space="preserve"> REF _Ref135916174 \h </w:instrText>
      </w:r>
      <w:r>
        <w:fldChar w:fldCharType="separate"/>
      </w:r>
      <w:r w:rsidR="000F1876">
        <w:t>T</w:t>
      </w:r>
      <w:r w:rsidR="000F1876" w:rsidRPr="00EB3D5D">
        <w:t xml:space="preserve">able </w:t>
      </w:r>
      <w:r w:rsidR="000F1876">
        <w:rPr>
          <w:noProof/>
        </w:rPr>
        <w:t>12</w:t>
      </w:r>
      <w:r>
        <w:fldChar w:fldCharType="end"/>
      </w:r>
      <w:r>
        <w:t>)</w:t>
      </w:r>
      <w:r w:rsidR="000F60FA">
        <w:rPr>
          <w:lang w:eastAsia="en-AU"/>
        </w:rPr>
        <w:t>.</w:t>
      </w:r>
    </w:p>
    <w:p w14:paraId="26031F9C" w14:textId="1EA662FD" w:rsidR="00531A45" w:rsidRDefault="00531A45" w:rsidP="00E053C2">
      <w:pPr>
        <w:spacing w:before="60" w:after="200"/>
        <w:rPr>
          <w:lang w:eastAsia="en-AU"/>
        </w:rPr>
      </w:pPr>
      <w:r>
        <w:rPr>
          <w:lang w:eastAsia="en-AU"/>
        </w:rPr>
        <w:br w:type="page"/>
      </w:r>
    </w:p>
    <w:p w14:paraId="316625C0" w14:textId="5C6E1AF4" w:rsidR="000F60FA" w:rsidRPr="00EB3D5D" w:rsidRDefault="00902CE6" w:rsidP="00A86241">
      <w:pPr>
        <w:pStyle w:val="Caption"/>
      </w:pPr>
      <w:bookmarkStart w:id="185" w:name="_Ref135916174"/>
      <w:r>
        <w:lastRenderedPageBreak/>
        <w:t>T</w:t>
      </w:r>
      <w:r w:rsidRPr="00EB3D5D">
        <w:t xml:space="preserve">able </w:t>
      </w:r>
      <w:r w:rsidRPr="00EB3D5D">
        <w:fldChar w:fldCharType="begin"/>
      </w:r>
      <w:r w:rsidRPr="00EB3D5D">
        <w:instrText>SEQ Table \* ARABIC</w:instrText>
      </w:r>
      <w:r w:rsidRPr="00EB3D5D">
        <w:fldChar w:fldCharType="separate"/>
      </w:r>
      <w:r w:rsidR="000F1876">
        <w:rPr>
          <w:noProof/>
        </w:rPr>
        <w:t>12</w:t>
      </w:r>
      <w:r w:rsidRPr="00EB3D5D">
        <w:fldChar w:fldCharType="end"/>
      </w:r>
      <w:bookmarkEnd w:id="185"/>
      <w:r w:rsidR="000F60FA" w:rsidRPr="00EB3D5D">
        <w:t>: The number of matters for each IERP and comparison AAT case</w:t>
      </w:r>
    </w:p>
    <w:tbl>
      <w:tblPr>
        <w:tblW w:w="4952" w:type="pct"/>
        <w:tblLook w:val="0600" w:firstRow="0" w:lastRow="0" w:firstColumn="0" w:lastColumn="0" w:noHBand="1" w:noVBand="1"/>
        <w:tblCaption w:val="The number of matters for each IERP and comparison AAT case"/>
        <w:tblDescription w:val="5 columns and 5 rows&#10;Table shows the comparison of the IERP matters against AAT hearing decisions, AAT matters resolved by consent, and total AAT matters. It shows that the number of issues dealt with, the average number of issues per case, and the range of recorded issues among the matters."/>
      </w:tblPr>
      <w:tblGrid>
        <w:gridCol w:w="1838"/>
        <w:gridCol w:w="1771"/>
        <w:gridCol w:w="1628"/>
        <w:gridCol w:w="1915"/>
        <w:gridCol w:w="1772"/>
      </w:tblGrid>
      <w:tr w:rsidR="000F60FA" w:rsidRPr="007122F5" w14:paraId="1E7FD35B" w14:textId="77777777" w:rsidTr="0047451E">
        <w:tc>
          <w:tcPr>
            <w:tcW w:w="1030" w:type="pct"/>
            <w:tcBorders>
              <w:top w:val="single" w:sz="6" w:space="0" w:color="595959"/>
              <w:left w:val="single" w:sz="6" w:space="0" w:color="595959"/>
              <w:bottom w:val="single" w:sz="6" w:space="0" w:color="595959"/>
              <w:right w:val="single" w:sz="6" w:space="0" w:color="595959"/>
            </w:tcBorders>
            <w:shd w:val="clear" w:color="auto" w:fill="6B2976"/>
            <w:tcMar>
              <w:top w:w="72" w:type="dxa"/>
              <w:left w:w="144" w:type="dxa"/>
              <w:bottom w:w="72" w:type="dxa"/>
              <w:right w:w="144" w:type="dxa"/>
            </w:tcMar>
            <w:hideMark/>
          </w:tcPr>
          <w:p w14:paraId="36C3080C" w14:textId="77777777" w:rsidR="000F60FA" w:rsidRPr="00EB3D5D" w:rsidRDefault="000F60FA">
            <w:pPr>
              <w:spacing w:before="0" w:after="0"/>
              <w:rPr>
                <w:color w:val="FEFFFF" w:themeColor="background1"/>
                <w:szCs w:val="22"/>
              </w:rPr>
            </w:pPr>
            <w:r w:rsidRPr="00EB3D5D">
              <w:rPr>
                <w:b/>
                <w:color w:val="FEFFFF" w:themeColor="background1"/>
                <w:szCs w:val="22"/>
              </w:rPr>
              <w:t>Sample</w:t>
            </w:r>
          </w:p>
        </w:tc>
        <w:tc>
          <w:tcPr>
            <w:tcW w:w="992" w:type="pct"/>
            <w:tcBorders>
              <w:top w:val="single" w:sz="6" w:space="0" w:color="595959"/>
              <w:left w:val="single" w:sz="6" w:space="0" w:color="595959"/>
              <w:bottom w:val="single" w:sz="6" w:space="0" w:color="595959"/>
              <w:right w:val="single" w:sz="6" w:space="0" w:color="595959"/>
            </w:tcBorders>
            <w:shd w:val="clear" w:color="auto" w:fill="6B2976"/>
            <w:tcMar>
              <w:top w:w="72" w:type="dxa"/>
              <w:left w:w="144" w:type="dxa"/>
              <w:bottom w:w="72" w:type="dxa"/>
              <w:right w:w="144" w:type="dxa"/>
            </w:tcMar>
            <w:hideMark/>
          </w:tcPr>
          <w:p w14:paraId="73189145" w14:textId="77777777" w:rsidR="000F60FA" w:rsidRPr="00EB3D5D" w:rsidRDefault="000F60FA">
            <w:pPr>
              <w:spacing w:before="0" w:after="0"/>
              <w:jc w:val="center"/>
              <w:rPr>
                <w:color w:val="FEFFFF" w:themeColor="background1"/>
                <w:szCs w:val="22"/>
              </w:rPr>
            </w:pPr>
            <w:r w:rsidRPr="00EB3D5D">
              <w:rPr>
                <w:b/>
                <w:color w:val="FEFFFF" w:themeColor="background1"/>
                <w:szCs w:val="22"/>
              </w:rPr>
              <w:t>Number of NDIS-plan related cases</w:t>
            </w:r>
          </w:p>
        </w:tc>
        <w:tc>
          <w:tcPr>
            <w:tcW w:w="912" w:type="pct"/>
            <w:tcBorders>
              <w:top w:val="single" w:sz="6" w:space="0" w:color="595959"/>
              <w:left w:val="single" w:sz="6" w:space="0" w:color="595959"/>
              <w:bottom w:val="single" w:sz="6" w:space="0" w:color="595959"/>
              <w:right w:val="single" w:sz="6" w:space="0" w:color="595959"/>
            </w:tcBorders>
            <w:shd w:val="clear" w:color="auto" w:fill="6B2976"/>
          </w:tcPr>
          <w:p w14:paraId="1089E6E6" w14:textId="4B46C4E5" w:rsidR="000F60FA" w:rsidRPr="00EB3D5D" w:rsidRDefault="000F60FA">
            <w:pPr>
              <w:spacing w:before="0" w:after="0"/>
              <w:jc w:val="center"/>
              <w:rPr>
                <w:b/>
                <w:color w:val="FEFFFF" w:themeColor="background1"/>
                <w:szCs w:val="22"/>
              </w:rPr>
            </w:pPr>
            <w:r w:rsidRPr="00EB3D5D">
              <w:rPr>
                <w:b/>
                <w:color w:val="FEFFFF" w:themeColor="background1"/>
                <w:szCs w:val="22"/>
              </w:rPr>
              <w:t xml:space="preserve">Number of </w:t>
            </w:r>
            <w:r w:rsidR="00947529" w:rsidRPr="00EB3D5D">
              <w:rPr>
                <w:b/>
                <w:color w:val="FEFFFF" w:themeColor="background1"/>
                <w:szCs w:val="22"/>
              </w:rPr>
              <w:t>issues</w:t>
            </w:r>
          </w:p>
        </w:tc>
        <w:tc>
          <w:tcPr>
            <w:tcW w:w="1073" w:type="pct"/>
            <w:tcBorders>
              <w:top w:val="single" w:sz="6" w:space="0" w:color="595959"/>
              <w:left w:val="single" w:sz="6" w:space="0" w:color="595959"/>
              <w:bottom w:val="single" w:sz="6" w:space="0" w:color="595959"/>
              <w:right w:val="single" w:sz="6" w:space="0" w:color="595959"/>
            </w:tcBorders>
            <w:shd w:val="clear" w:color="auto" w:fill="6B2976"/>
            <w:tcMar>
              <w:top w:w="72" w:type="dxa"/>
              <w:left w:w="144" w:type="dxa"/>
              <w:bottom w:w="72" w:type="dxa"/>
              <w:right w:w="144" w:type="dxa"/>
            </w:tcMar>
            <w:hideMark/>
          </w:tcPr>
          <w:p w14:paraId="156BCF83" w14:textId="09295A64" w:rsidR="000F60FA" w:rsidRPr="00EB3D5D" w:rsidRDefault="000F60FA">
            <w:pPr>
              <w:spacing w:before="0" w:after="0"/>
              <w:jc w:val="center"/>
              <w:rPr>
                <w:color w:val="FEFFFF" w:themeColor="background1"/>
                <w:szCs w:val="22"/>
              </w:rPr>
            </w:pPr>
            <w:r w:rsidRPr="00EB3D5D">
              <w:rPr>
                <w:b/>
                <w:color w:val="FEFFFF" w:themeColor="background1"/>
                <w:szCs w:val="22"/>
              </w:rPr>
              <w:t xml:space="preserve">Average number of </w:t>
            </w:r>
            <w:r w:rsidR="00947529" w:rsidRPr="00EB3D5D">
              <w:rPr>
                <w:b/>
                <w:color w:val="FEFFFF" w:themeColor="background1"/>
                <w:szCs w:val="22"/>
              </w:rPr>
              <w:t>issues</w:t>
            </w:r>
            <w:r w:rsidRPr="00EB3D5D">
              <w:rPr>
                <w:b/>
                <w:color w:val="FEFFFF" w:themeColor="background1"/>
                <w:szCs w:val="22"/>
              </w:rPr>
              <w:t xml:space="preserve"> per case</w:t>
            </w:r>
          </w:p>
        </w:tc>
        <w:tc>
          <w:tcPr>
            <w:tcW w:w="993" w:type="pct"/>
            <w:tcBorders>
              <w:top w:val="single" w:sz="6" w:space="0" w:color="595959"/>
              <w:left w:val="single" w:sz="6" w:space="0" w:color="595959"/>
              <w:bottom w:val="single" w:sz="6" w:space="0" w:color="595959"/>
              <w:right w:val="single" w:sz="6" w:space="0" w:color="595959"/>
            </w:tcBorders>
            <w:shd w:val="clear" w:color="auto" w:fill="6B2976"/>
          </w:tcPr>
          <w:p w14:paraId="640492C7" w14:textId="3151C03D" w:rsidR="000F60FA" w:rsidRPr="00EB3D5D" w:rsidRDefault="000F60FA">
            <w:pPr>
              <w:spacing w:before="0" w:after="0"/>
              <w:jc w:val="center"/>
              <w:rPr>
                <w:b/>
                <w:color w:val="FEFFFF" w:themeColor="background1"/>
                <w:szCs w:val="22"/>
              </w:rPr>
            </w:pPr>
            <w:r w:rsidRPr="00EB3D5D">
              <w:rPr>
                <w:b/>
                <w:color w:val="FEFFFF" w:themeColor="background1"/>
                <w:szCs w:val="22"/>
              </w:rPr>
              <w:t xml:space="preserve">Range of number of recorded </w:t>
            </w:r>
            <w:r w:rsidR="00947529" w:rsidRPr="00EB3D5D">
              <w:rPr>
                <w:b/>
                <w:color w:val="FEFFFF" w:themeColor="background1"/>
                <w:szCs w:val="22"/>
              </w:rPr>
              <w:t>issues</w:t>
            </w:r>
          </w:p>
        </w:tc>
      </w:tr>
      <w:tr w:rsidR="000F60FA" w:rsidRPr="007122F5" w14:paraId="23910DAD" w14:textId="77777777" w:rsidTr="0047451E">
        <w:trPr>
          <w:trHeight w:val="300"/>
        </w:trPr>
        <w:tc>
          <w:tcPr>
            <w:tcW w:w="1030" w:type="pct"/>
            <w:tcBorders>
              <w:top w:val="single" w:sz="6" w:space="0" w:color="595959"/>
              <w:left w:val="single" w:sz="6" w:space="0" w:color="595959"/>
              <w:bottom w:val="single" w:sz="6" w:space="0" w:color="595959"/>
              <w:right w:val="single" w:sz="6" w:space="0" w:color="595959"/>
            </w:tcBorders>
            <w:shd w:val="clear" w:color="auto" w:fill="F7EEF7"/>
            <w:tcMar>
              <w:top w:w="72" w:type="dxa"/>
              <w:left w:w="144" w:type="dxa"/>
              <w:bottom w:w="72" w:type="dxa"/>
              <w:right w:w="144" w:type="dxa"/>
            </w:tcMar>
            <w:hideMark/>
          </w:tcPr>
          <w:p w14:paraId="28DC1597" w14:textId="4ABE9728" w:rsidR="000F60FA" w:rsidRPr="00EB3D5D" w:rsidRDefault="000F60FA">
            <w:pPr>
              <w:spacing w:before="0" w:after="0"/>
              <w:rPr>
                <w:szCs w:val="22"/>
              </w:rPr>
            </w:pPr>
            <w:r w:rsidRPr="00EB3D5D">
              <w:rPr>
                <w:szCs w:val="22"/>
              </w:rPr>
              <w:t>IER</w:t>
            </w:r>
            <w:r w:rsidR="00E659A6" w:rsidRPr="00EB3D5D">
              <w:rPr>
                <w:szCs w:val="22"/>
              </w:rPr>
              <w:t>P (as of Jan 2023)</w:t>
            </w:r>
          </w:p>
        </w:tc>
        <w:tc>
          <w:tcPr>
            <w:tcW w:w="992" w:type="pct"/>
            <w:tcBorders>
              <w:top w:val="single" w:sz="6" w:space="0" w:color="595959"/>
              <w:left w:val="single" w:sz="6" w:space="0" w:color="595959"/>
              <w:bottom w:val="single" w:sz="6" w:space="0" w:color="595959"/>
              <w:right w:val="single" w:sz="6" w:space="0" w:color="595959"/>
            </w:tcBorders>
            <w:shd w:val="clear" w:color="auto" w:fill="F7EEF7"/>
            <w:tcMar>
              <w:top w:w="72" w:type="dxa"/>
              <w:left w:w="144" w:type="dxa"/>
              <w:bottom w:w="72" w:type="dxa"/>
              <w:right w:w="144" w:type="dxa"/>
            </w:tcMar>
            <w:hideMark/>
          </w:tcPr>
          <w:p w14:paraId="1E34F8EE" w14:textId="77777777" w:rsidR="000F60FA" w:rsidRPr="00EB3D5D" w:rsidRDefault="000F60FA">
            <w:pPr>
              <w:spacing w:before="0" w:after="0"/>
              <w:jc w:val="center"/>
              <w:rPr>
                <w:szCs w:val="22"/>
              </w:rPr>
            </w:pPr>
            <w:r w:rsidRPr="00EB3D5D">
              <w:rPr>
                <w:szCs w:val="22"/>
              </w:rPr>
              <w:t>23</w:t>
            </w:r>
          </w:p>
        </w:tc>
        <w:tc>
          <w:tcPr>
            <w:tcW w:w="912" w:type="pct"/>
            <w:tcBorders>
              <w:top w:val="single" w:sz="6" w:space="0" w:color="595959"/>
              <w:left w:val="single" w:sz="6" w:space="0" w:color="595959"/>
              <w:bottom w:val="single" w:sz="6" w:space="0" w:color="595959"/>
              <w:right w:val="single" w:sz="6" w:space="0" w:color="595959"/>
            </w:tcBorders>
            <w:shd w:val="clear" w:color="auto" w:fill="F7EEF7"/>
          </w:tcPr>
          <w:p w14:paraId="713E8957" w14:textId="68508E7C" w:rsidR="000F60FA" w:rsidRPr="00EB3D5D" w:rsidRDefault="000F60FA">
            <w:pPr>
              <w:spacing w:before="0" w:after="0"/>
              <w:ind w:firstLine="142"/>
              <w:jc w:val="center"/>
              <w:rPr>
                <w:szCs w:val="22"/>
              </w:rPr>
            </w:pPr>
            <w:r w:rsidRPr="00EB3D5D">
              <w:rPr>
                <w:szCs w:val="22"/>
              </w:rPr>
              <w:t>1</w:t>
            </w:r>
            <w:r w:rsidR="00DF7FCE" w:rsidRPr="00EB3D5D">
              <w:rPr>
                <w:szCs w:val="22"/>
              </w:rPr>
              <w:t>20</w:t>
            </w:r>
            <w:r w:rsidR="00B87F6D" w:rsidRPr="00EB3D5D">
              <w:rPr>
                <w:szCs w:val="22"/>
              </w:rPr>
              <w:t>*</w:t>
            </w:r>
          </w:p>
        </w:tc>
        <w:tc>
          <w:tcPr>
            <w:tcW w:w="1073" w:type="pct"/>
            <w:tcBorders>
              <w:top w:val="single" w:sz="6" w:space="0" w:color="595959"/>
              <w:left w:val="single" w:sz="6" w:space="0" w:color="595959"/>
              <w:bottom w:val="single" w:sz="6" w:space="0" w:color="595959"/>
              <w:right w:val="single" w:sz="6" w:space="0" w:color="595959"/>
            </w:tcBorders>
            <w:shd w:val="clear" w:color="auto" w:fill="F7EEF7"/>
            <w:tcMar>
              <w:top w:w="72" w:type="dxa"/>
              <w:left w:w="144" w:type="dxa"/>
              <w:bottom w:w="72" w:type="dxa"/>
              <w:right w:w="144" w:type="dxa"/>
            </w:tcMar>
            <w:hideMark/>
          </w:tcPr>
          <w:p w14:paraId="0727C85E" w14:textId="7162B7AD" w:rsidR="000F60FA" w:rsidRPr="00EB3D5D" w:rsidRDefault="000F60FA">
            <w:pPr>
              <w:spacing w:before="0" w:after="0"/>
              <w:jc w:val="center"/>
              <w:rPr>
                <w:szCs w:val="22"/>
              </w:rPr>
            </w:pPr>
            <w:r w:rsidRPr="00EB3D5D">
              <w:rPr>
                <w:szCs w:val="22"/>
              </w:rPr>
              <w:t>5.</w:t>
            </w:r>
            <w:r w:rsidR="00F804CC" w:rsidRPr="00EB3D5D">
              <w:rPr>
                <w:szCs w:val="22"/>
              </w:rPr>
              <w:t>2</w:t>
            </w:r>
          </w:p>
        </w:tc>
        <w:tc>
          <w:tcPr>
            <w:tcW w:w="993" w:type="pct"/>
            <w:tcBorders>
              <w:top w:val="single" w:sz="6" w:space="0" w:color="595959"/>
              <w:left w:val="single" w:sz="6" w:space="0" w:color="595959"/>
              <w:bottom w:val="single" w:sz="6" w:space="0" w:color="595959"/>
              <w:right w:val="single" w:sz="6" w:space="0" w:color="595959"/>
            </w:tcBorders>
            <w:shd w:val="clear" w:color="auto" w:fill="F7EEF7"/>
          </w:tcPr>
          <w:p w14:paraId="1C3E7812" w14:textId="77777777" w:rsidR="000F60FA" w:rsidRPr="00EB3D5D" w:rsidRDefault="000F60FA">
            <w:pPr>
              <w:spacing w:before="0" w:after="0"/>
              <w:ind w:firstLine="138"/>
              <w:jc w:val="center"/>
              <w:rPr>
                <w:szCs w:val="22"/>
              </w:rPr>
            </w:pPr>
            <w:r w:rsidRPr="00EB3D5D">
              <w:rPr>
                <w:szCs w:val="22"/>
              </w:rPr>
              <w:t>1-22</w:t>
            </w:r>
          </w:p>
        </w:tc>
      </w:tr>
      <w:tr w:rsidR="000F60FA" w:rsidRPr="007122F5" w14:paraId="05AA60D0" w14:textId="77777777" w:rsidTr="0047451E">
        <w:trPr>
          <w:trHeight w:val="300"/>
        </w:trPr>
        <w:tc>
          <w:tcPr>
            <w:tcW w:w="1030"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hideMark/>
          </w:tcPr>
          <w:p w14:paraId="0EC67619" w14:textId="77777777" w:rsidR="000F60FA" w:rsidRPr="00EB3D5D" w:rsidRDefault="000F60FA">
            <w:pPr>
              <w:spacing w:before="0" w:after="0"/>
              <w:rPr>
                <w:szCs w:val="22"/>
              </w:rPr>
            </w:pPr>
            <w:r w:rsidRPr="00EB3D5D">
              <w:rPr>
                <w:szCs w:val="22"/>
              </w:rPr>
              <w:t>AAT-hearing decisions</w:t>
            </w:r>
          </w:p>
        </w:tc>
        <w:tc>
          <w:tcPr>
            <w:tcW w:w="992"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hideMark/>
          </w:tcPr>
          <w:p w14:paraId="6EAD6529" w14:textId="77777777" w:rsidR="000F60FA" w:rsidRPr="00EB3D5D" w:rsidRDefault="000F60FA">
            <w:pPr>
              <w:spacing w:before="0" w:after="0"/>
              <w:jc w:val="center"/>
              <w:rPr>
                <w:szCs w:val="22"/>
              </w:rPr>
            </w:pPr>
            <w:r w:rsidRPr="00EB3D5D">
              <w:rPr>
                <w:szCs w:val="22"/>
              </w:rPr>
              <w:t>7</w:t>
            </w:r>
          </w:p>
        </w:tc>
        <w:tc>
          <w:tcPr>
            <w:tcW w:w="912" w:type="pct"/>
            <w:tcBorders>
              <w:top w:val="single" w:sz="6" w:space="0" w:color="595959"/>
              <w:left w:val="single" w:sz="6" w:space="0" w:color="595959"/>
              <w:bottom w:val="single" w:sz="6" w:space="0" w:color="595959"/>
              <w:right w:val="single" w:sz="6" w:space="0" w:color="595959"/>
            </w:tcBorders>
          </w:tcPr>
          <w:p w14:paraId="0D0ECC0F" w14:textId="77777777" w:rsidR="000F60FA" w:rsidRPr="00EB3D5D" w:rsidRDefault="000F60FA">
            <w:pPr>
              <w:spacing w:before="0" w:after="0"/>
              <w:ind w:firstLine="142"/>
              <w:jc w:val="center"/>
              <w:rPr>
                <w:szCs w:val="22"/>
              </w:rPr>
            </w:pPr>
            <w:r w:rsidRPr="00EB3D5D">
              <w:rPr>
                <w:szCs w:val="22"/>
              </w:rPr>
              <w:t>41</w:t>
            </w:r>
          </w:p>
        </w:tc>
        <w:tc>
          <w:tcPr>
            <w:tcW w:w="1073"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hideMark/>
          </w:tcPr>
          <w:p w14:paraId="0BB72029" w14:textId="77777777" w:rsidR="000F60FA" w:rsidRPr="00EB3D5D" w:rsidRDefault="000F60FA">
            <w:pPr>
              <w:spacing w:before="0" w:after="0"/>
              <w:jc w:val="center"/>
              <w:rPr>
                <w:szCs w:val="22"/>
              </w:rPr>
            </w:pPr>
            <w:r w:rsidRPr="00EB3D5D">
              <w:rPr>
                <w:szCs w:val="22"/>
              </w:rPr>
              <w:t>5.9</w:t>
            </w:r>
          </w:p>
        </w:tc>
        <w:tc>
          <w:tcPr>
            <w:tcW w:w="993" w:type="pct"/>
            <w:tcBorders>
              <w:top w:val="single" w:sz="6" w:space="0" w:color="595959"/>
              <w:left w:val="single" w:sz="6" w:space="0" w:color="595959"/>
              <w:bottom w:val="single" w:sz="6" w:space="0" w:color="595959"/>
              <w:right w:val="single" w:sz="6" w:space="0" w:color="595959"/>
            </w:tcBorders>
          </w:tcPr>
          <w:p w14:paraId="0B598E07" w14:textId="77777777" w:rsidR="000F60FA" w:rsidRPr="00EB3D5D" w:rsidRDefault="000F60FA">
            <w:pPr>
              <w:spacing w:before="0" w:after="0"/>
              <w:ind w:firstLine="138"/>
              <w:jc w:val="center"/>
              <w:rPr>
                <w:szCs w:val="22"/>
              </w:rPr>
            </w:pPr>
            <w:r w:rsidRPr="00EB3D5D">
              <w:rPr>
                <w:szCs w:val="22"/>
              </w:rPr>
              <w:t>2-14</w:t>
            </w:r>
          </w:p>
        </w:tc>
      </w:tr>
      <w:tr w:rsidR="000F60FA" w:rsidRPr="007122F5" w14:paraId="0AEAFC2F" w14:textId="77777777" w:rsidTr="00821E05">
        <w:trPr>
          <w:trHeight w:val="300"/>
        </w:trPr>
        <w:tc>
          <w:tcPr>
            <w:tcW w:w="1030"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hideMark/>
          </w:tcPr>
          <w:p w14:paraId="7450BCDD" w14:textId="77777777" w:rsidR="000F60FA" w:rsidRPr="00EB3D5D" w:rsidRDefault="000F60FA">
            <w:pPr>
              <w:spacing w:before="0" w:after="0"/>
              <w:rPr>
                <w:szCs w:val="22"/>
              </w:rPr>
            </w:pPr>
            <w:r w:rsidRPr="00EB3D5D">
              <w:rPr>
                <w:szCs w:val="22"/>
              </w:rPr>
              <w:t>AAT-resolved by consent</w:t>
            </w:r>
          </w:p>
        </w:tc>
        <w:tc>
          <w:tcPr>
            <w:tcW w:w="992"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hideMark/>
          </w:tcPr>
          <w:p w14:paraId="586A580E" w14:textId="77777777" w:rsidR="000F60FA" w:rsidRPr="00EB3D5D" w:rsidRDefault="000F60FA">
            <w:pPr>
              <w:spacing w:before="0" w:after="0"/>
              <w:jc w:val="center"/>
              <w:rPr>
                <w:szCs w:val="22"/>
              </w:rPr>
            </w:pPr>
            <w:r w:rsidRPr="00EB3D5D">
              <w:rPr>
                <w:szCs w:val="22"/>
              </w:rPr>
              <w:t>28</w:t>
            </w:r>
          </w:p>
        </w:tc>
        <w:tc>
          <w:tcPr>
            <w:tcW w:w="912" w:type="pct"/>
            <w:tcBorders>
              <w:top w:val="single" w:sz="6" w:space="0" w:color="595959"/>
              <w:left w:val="single" w:sz="6" w:space="0" w:color="595959"/>
              <w:bottom w:val="single" w:sz="6" w:space="0" w:color="595959"/>
              <w:right w:val="single" w:sz="6" w:space="0" w:color="595959"/>
            </w:tcBorders>
            <w:shd w:val="clear" w:color="auto" w:fill="auto"/>
          </w:tcPr>
          <w:p w14:paraId="02C0EEFA" w14:textId="77777777" w:rsidR="000F60FA" w:rsidRPr="00EB3D5D" w:rsidRDefault="000F60FA">
            <w:pPr>
              <w:spacing w:before="0" w:after="0"/>
              <w:ind w:firstLine="142"/>
              <w:jc w:val="center"/>
              <w:rPr>
                <w:szCs w:val="22"/>
              </w:rPr>
            </w:pPr>
            <w:r w:rsidRPr="00EB3D5D">
              <w:rPr>
                <w:szCs w:val="22"/>
              </w:rPr>
              <w:t>244</w:t>
            </w:r>
          </w:p>
        </w:tc>
        <w:tc>
          <w:tcPr>
            <w:tcW w:w="1073"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hideMark/>
          </w:tcPr>
          <w:p w14:paraId="3E9C90C9" w14:textId="77777777" w:rsidR="000F60FA" w:rsidRPr="00EB3D5D" w:rsidRDefault="000F60FA">
            <w:pPr>
              <w:spacing w:before="0" w:after="0"/>
              <w:jc w:val="center"/>
              <w:rPr>
                <w:szCs w:val="22"/>
              </w:rPr>
            </w:pPr>
            <w:r w:rsidRPr="00EB3D5D">
              <w:rPr>
                <w:szCs w:val="22"/>
              </w:rPr>
              <w:t>8.7</w:t>
            </w:r>
          </w:p>
        </w:tc>
        <w:tc>
          <w:tcPr>
            <w:tcW w:w="993" w:type="pct"/>
            <w:tcBorders>
              <w:top w:val="single" w:sz="6" w:space="0" w:color="595959"/>
              <w:left w:val="single" w:sz="6" w:space="0" w:color="595959"/>
              <w:bottom w:val="single" w:sz="6" w:space="0" w:color="595959"/>
              <w:right w:val="single" w:sz="6" w:space="0" w:color="595959"/>
            </w:tcBorders>
            <w:shd w:val="clear" w:color="auto" w:fill="auto"/>
          </w:tcPr>
          <w:p w14:paraId="176B500F" w14:textId="77777777" w:rsidR="000F60FA" w:rsidRPr="00EB3D5D" w:rsidRDefault="000F60FA">
            <w:pPr>
              <w:spacing w:before="0" w:after="0"/>
              <w:ind w:firstLine="138"/>
              <w:jc w:val="center"/>
              <w:rPr>
                <w:szCs w:val="22"/>
              </w:rPr>
            </w:pPr>
            <w:r w:rsidRPr="00EB3D5D">
              <w:rPr>
                <w:szCs w:val="22"/>
              </w:rPr>
              <w:t>3-18</w:t>
            </w:r>
          </w:p>
        </w:tc>
      </w:tr>
      <w:tr w:rsidR="003350C0" w:rsidRPr="007122F5" w14:paraId="2D0F3C41" w14:textId="77777777" w:rsidTr="00821E05">
        <w:trPr>
          <w:trHeight w:val="300"/>
        </w:trPr>
        <w:tc>
          <w:tcPr>
            <w:tcW w:w="1030"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tcPr>
          <w:p w14:paraId="089984B4" w14:textId="22A85612" w:rsidR="003350C0" w:rsidRPr="00EB3D5D" w:rsidRDefault="003350C0">
            <w:pPr>
              <w:spacing w:before="0" w:after="0"/>
              <w:rPr>
                <w:szCs w:val="22"/>
              </w:rPr>
            </w:pPr>
            <w:r w:rsidRPr="00EB3D5D">
              <w:rPr>
                <w:szCs w:val="22"/>
              </w:rPr>
              <w:t>AAT-total</w:t>
            </w:r>
          </w:p>
        </w:tc>
        <w:tc>
          <w:tcPr>
            <w:tcW w:w="992"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tcPr>
          <w:p w14:paraId="0484B134" w14:textId="646111DC" w:rsidR="003350C0" w:rsidRPr="00EB3D5D" w:rsidRDefault="003350C0">
            <w:pPr>
              <w:spacing w:before="0" w:after="0"/>
              <w:jc w:val="center"/>
              <w:rPr>
                <w:szCs w:val="22"/>
              </w:rPr>
            </w:pPr>
            <w:r w:rsidRPr="00EB3D5D">
              <w:rPr>
                <w:szCs w:val="22"/>
              </w:rPr>
              <w:t>35</w:t>
            </w:r>
          </w:p>
        </w:tc>
        <w:tc>
          <w:tcPr>
            <w:tcW w:w="912" w:type="pct"/>
            <w:tcBorders>
              <w:top w:val="single" w:sz="6" w:space="0" w:color="595959"/>
              <w:left w:val="single" w:sz="6" w:space="0" w:color="595959"/>
              <w:bottom w:val="single" w:sz="6" w:space="0" w:color="595959"/>
              <w:right w:val="single" w:sz="6" w:space="0" w:color="595959"/>
            </w:tcBorders>
            <w:shd w:val="clear" w:color="auto" w:fill="auto"/>
          </w:tcPr>
          <w:p w14:paraId="718EDA20" w14:textId="5703957F" w:rsidR="003350C0" w:rsidRPr="00EB3D5D" w:rsidRDefault="005C59D1">
            <w:pPr>
              <w:spacing w:before="0" w:after="0"/>
              <w:ind w:firstLine="142"/>
              <w:jc w:val="center"/>
              <w:rPr>
                <w:szCs w:val="22"/>
              </w:rPr>
            </w:pPr>
            <w:r w:rsidRPr="00EB3D5D">
              <w:rPr>
                <w:szCs w:val="22"/>
              </w:rPr>
              <w:t>285</w:t>
            </w:r>
          </w:p>
        </w:tc>
        <w:tc>
          <w:tcPr>
            <w:tcW w:w="1073" w:type="pct"/>
            <w:tcBorders>
              <w:top w:val="single" w:sz="6" w:space="0" w:color="595959"/>
              <w:left w:val="single" w:sz="6" w:space="0" w:color="595959"/>
              <w:bottom w:val="single" w:sz="6" w:space="0" w:color="595959"/>
              <w:right w:val="single" w:sz="6" w:space="0" w:color="595959"/>
            </w:tcBorders>
            <w:shd w:val="clear" w:color="auto" w:fill="auto"/>
            <w:tcMar>
              <w:top w:w="72" w:type="dxa"/>
              <w:left w:w="144" w:type="dxa"/>
              <w:bottom w:w="72" w:type="dxa"/>
              <w:right w:w="144" w:type="dxa"/>
            </w:tcMar>
          </w:tcPr>
          <w:p w14:paraId="1052ED59" w14:textId="2BB9052B" w:rsidR="003350C0" w:rsidRPr="00EB3D5D" w:rsidRDefault="000935C0">
            <w:pPr>
              <w:spacing w:before="0" w:after="0"/>
              <w:jc w:val="center"/>
              <w:rPr>
                <w:szCs w:val="22"/>
              </w:rPr>
            </w:pPr>
            <w:r w:rsidRPr="00EB3D5D">
              <w:rPr>
                <w:szCs w:val="22"/>
              </w:rPr>
              <w:t>8.3</w:t>
            </w:r>
          </w:p>
        </w:tc>
        <w:tc>
          <w:tcPr>
            <w:tcW w:w="993" w:type="pct"/>
            <w:tcBorders>
              <w:top w:val="single" w:sz="6" w:space="0" w:color="595959"/>
              <w:left w:val="single" w:sz="6" w:space="0" w:color="595959"/>
              <w:bottom w:val="single" w:sz="6" w:space="0" w:color="595959"/>
              <w:right w:val="single" w:sz="6" w:space="0" w:color="595959"/>
            </w:tcBorders>
            <w:shd w:val="clear" w:color="auto" w:fill="auto"/>
          </w:tcPr>
          <w:p w14:paraId="58681C37" w14:textId="4D2F4947" w:rsidR="003350C0" w:rsidRPr="00EB3D5D" w:rsidRDefault="000935C0">
            <w:pPr>
              <w:spacing w:before="0" w:after="0"/>
              <w:ind w:firstLine="138"/>
              <w:jc w:val="center"/>
              <w:rPr>
                <w:szCs w:val="22"/>
              </w:rPr>
            </w:pPr>
            <w:r w:rsidRPr="00EB3D5D">
              <w:rPr>
                <w:szCs w:val="22"/>
              </w:rPr>
              <w:t>2-18</w:t>
            </w:r>
          </w:p>
        </w:tc>
      </w:tr>
    </w:tbl>
    <w:p w14:paraId="73D95B68" w14:textId="0C119C0F" w:rsidR="000F60FA" w:rsidRPr="00EB3D5D" w:rsidRDefault="000F60FA" w:rsidP="000F60FA">
      <w:pPr>
        <w:spacing w:before="60" w:after="200"/>
        <w:rPr>
          <w:szCs w:val="22"/>
        </w:rPr>
      </w:pPr>
      <w:r w:rsidRPr="00EB3D5D">
        <w:rPr>
          <w:szCs w:val="22"/>
        </w:rPr>
        <w:t>Source: Research and Evaluation Branch analysis of final IER and AAT decisions</w:t>
      </w:r>
      <w:r w:rsidR="00B87F6D" w:rsidRPr="00EB3D5D">
        <w:rPr>
          <w:szCs w:val="22"/>
        </w:rPr>
        <w:br/>
        <w:t xml:space="preserve">Note: </w:t>
      </w:r>
      <w:r w:rsidR="00825743" w:rsidRPr="00EB3D5D">
        <w:rPr>
          <w:szCs w:val="22"/>
        </w:rPr>
        <w:t>I</w:t>
      </w:r>
      <w:r w:rsidR="00333024" w:rsidRPr="00EB3D5D">
        <w:rPr>
          <w:szCs w:val="22"/>
        </w:rPr>
        <w:t>ssues</w:t>
      </w:r>
      <w:r w:rsidR="00610902" w:rsidRPr="00EB3D5D">
        <w:rPr>
          <w:szCs w:val="22"/>
        </w:rPr>
        <w:t xml:space="preserve"> reviewed by the </w:t>
      </w:r>
      <w:r w:rsidR="00825743" w:rsidRPr="00EB3D5D">
        <w:rPr>
          <w:szCs w:val="22"/>
        </w:rPr>
        <w:t xml:space="preserve">independent expert </w:t>
      </w:r>
      <w:r w:rsidR="00A12E0D" w:rsidRPr="00EB3D5D">
        <w:rPr>
          <w:szCs w:val="22"/>
        </w:rPr>
        <w:t>reduced to N=114</w:t>
      </w:r>
      <w:r w:rsidR="003D4D35" w:rsidRPr="00EB3D5D">
        <w:rPr>
          <w:szCs w:val="22"/>
        </w:rPr>
        <w:t xml:space="preserve"> as some </w:t>
      </w:r>
      <w:r w:rsidR="00A24413" w:rsidRPr="00EB3D5D">
        <w:rPr>
          <w:szCs w:val="22"/>
        </w:rPr>
        <w:t>were withdrawn</w:t>
      </w:r>
      <w:r w:rsidR="00747598" w:rsidRPr="00EB3D5D">
        <w:rPr>
          <w:szCs w:val="22"/>
        </w:rPr>
        <w:t xml:space="preserve"> or</w:t>
      </w:r>
      <w:r w:rsidR="00A57B79" w:rsidRPr="00EB3D5D">
        <w:rPr>
          <w:szCs w:val="22"/>
        </w:rPr>
        <w:t xml:space="preserve"> </w:t>
      </w:r>
      <w:r w:rsidR="00747598" w:rsidRPr="00EB3D5D">
        <w:rPr>
          <w:szCs w:val="22"/>
        </w:rPr>
        <w:t>categorised</w:t>
      </w:r>
      <w:r w:rsidR="006F3FCB" w:rsidRPr="00EB3D5D">
        <w:rPr>
          <w:szCs w:val="22"/>
        </w:rPr>
        <w:t xml:space="preserve"> as “to be reviewed after </w:t>
      </w:r>
      <w:r w:rsidR="00747598" w:rsidRPr="00EB3D5D">
        <w:rPr>
          <w:szCs w:val="22"/>
        </w:rPr>
        <w:t>a significant time”</w:t>
      </w:r>
    </w:p>
    <w:p w14:paraId="098A6500" w14:textId="16715599" w:rsidR="00EB6A88" w:rsidRPr="00EB6A88" w:rsidRDefault="00EB6A88" w:rsidP="000F60FA">
      <w:pPr>
        <w:spacing w:before="60" w:after="200"/>
        <w:rPr>
          <w:szCs w:val="22"/>
        </w:rPr>
      </w:pPr>
      <w:r w:rsidRPr="00EB6A88">
        <w:rPr>
          <w:szCs w:val="22"/>
        </w:rPr>
        <w:t>Between Jul 2022 and Jan 2023, 83% of AAT cases comparable to IERP cases were resolved by consent. However, the information available for the evaluation is insufficient to understand the extent the final settlements reflect the original support requests. Therefore, the evaluation did not compare AAT cases resolved by settlement to the IERP cases.</w:t>
      </w:r>
    </w:p>
    <w:p w14:paraId="749497CB" w14:textId="41D876F2" w:rsidR="000F60FA" w:rsidRDefault="000F60FA" w:rsidP="00EB3D5D">
      <w:pPr>
        <w:pStyle w:val="Heading4"/>
        <w:numPr>
          <w:ilvl w:val="0"/>
          <w:numId w:val="0"/>
        </w:numPr>
        <w:ind w:left="1134" w:hanging="1134"/>
      </w:pPr>
      <w:r>
        <w:t>Topic areas addressed in IERP and comparison AAT cases</w:t>
      </w:r>
    </w:p>
    <w:p w14:paraId="0390400F" w14:textId="537CD824" w:rsidR="000F60FA" w:rsidRDefault="00F83C4E" w:rsidP="000F60FA">
      <w:pPr>
        <w:rPr>
          <w:lang w:eastAsia="en-AU"/>
        </w:rPr>
      </w:pPr>
      <w:r>
        <w:rPr>
          <w:lang w:eastAsia="en-AU"/>
        </w:rPr>
        <w:fldChar w:fldCharType="begin"/>
      </w:r>
      <w:r>
        <w:rPr>
          <w:lang w:eastAsia="en-AU"/>
        </w:rPr>
        <w:instrText xml:space="preserve"> REF _Ref135916329 \h </w:instrText>
      </w:r>
      <w:r>
        <w:rPr>
          <w:lang w:eastAsia="en-AU"/>
        </w:rPr>
      </w:r>
      <w:r>
        <w:rPr>
          <w:lang w:eastAsia="en-AU"/>
        </w:rPr>
        <w:fldChar w:fldCharType="separate"/>
      </w:r>
      <w:r w:rsidR="000F1876" w:rsidRPr="00EB3D5D">
        <w:t xml:space="preserve">Figure </w:t>
      </w:r>
      <w:r w:rsidR="000F1876">
        <w:rPr>
          <w:noProof/>
        </w:rPr>
        <w:t>15</w:t>
      </w:r>
      <w:r>
        <w:rPr>
          <w:lang w:eastAsia="en-AU"/>
        </w:rPr>
        <w:fldChar w:fldCharType="end"/>
      </w:r>
      <w:r w:rsidR="00731F0B">
        <w:rPr>
          <w:lang w:eastAsia="en-AU"/>
        </w:rPr>
        <w:t xml:space="preserve"> </w:t>
      </w:r>
      <w:r w:rsidR="000F60FA">
        <w:rPr>
          <w:lang w:eastAsia="en-AU"/>
        </w:rPr>
        <w:t>compares the types of supports in dispute in the IERP</w:t>
      </w:r>
      <w:r w:rsidR="00EB4737">
        <w:rPr>
          <w:lang w:eastAsia="en-AU"/>
        </w:rPr>
        <w:t xml:space="preserve"> compared to the</w:t>
      </w:r>
      <w:r w:rsidR="000F60FA">
        <w:rPr>
          <w:lang w:eastAsia="en-AU"/>
        </w:rPr>
        <w:t xml:space="preserve"> AAT. AAT </w:t>
      </w:r>
      <w:r w:rsidR="008252F8">
        <w:rPr>
          <w:lang w:eastAsia="en-AU"/>
        </w:rPr>
        <w:t xml:space="preserve">included notably more plan management issues </w:t>
      </w:r>
      <w:r w:rsidR="000F60FA">
        <w:rPr>
          <w:lang w:eastAsia="en-AU"/>
        </w:rPr>
        <w:t>while IERP more commonly related to core supports</w:t>
      </w:r>
      <w:r w:rsidR="008252F8">
        <w:rPr>
          <w:lang w:eastAsia="en-AU"/>
        </w:rPr>
        <w:t xml:space="preserve"> and SIL</w:t>
      </w:r>
      <w:r w:rsidR="000F60FA">
        <w:rPr>
          <w:lang w:eastAsia="en-AU"/>
        </w:rPr>
        <w:t>.</w:t>
      </w:r>
    </w:p>
    <w:p w14:paraId="4FF635EC" w14:textId="7AFD028A" w:rsidR="000F60FA" w:rsidRPr="00EB3D5D" w:rsidRDefault="000531F2" w:rsidP="00A86241">
      <w:pPr>
        <w:pStyle w:val="Caption"/>
        <w:rPr>
          <w:lang w:eastAsia="en-AU"/>
        </w:rPr>
      </w:pPr>
      <w:bookmarkStart w:id="186" w:name="_Ref135916329"/>
      <w:r w:rsidRPr="00EB3D5D">
        <w:lastRenderedPageBreak/>
        <w:t xml:space="preserve">Figure </w:t>
      </w:r>
      <w:r w:rsidRPr="00EB3D5D">
        <w:fldChar w:fldCharType="begin"/>
      </w:r>
      <w:r w:rsidRPr="00EB3D5D">
        <w:instrText>SEQ Figure \* ARABIC</w:instrText>
      </w:r>
      <w:r w:rsidRPr="00EB3D5D">
        <w:fldChar w:fldCharType="separate"/>
      </w:r>
      <w:r w:rsidR="000F1876">
        <w:rPr>
          <w:noProof/>
        </w:rPr>
        <w:t>15</w:t>
      </w:r>
      <w:r w:rsidRPr="00EB3D5D">
        <w:fldChar w:fldCharType="end"/>
      </w:r>
      <w:bookmarkEnd w:id="186"/>
      <w:r w:rsidR="000F60FA" w:rsidRPr="00EB3D5D">
        <w:rPr>
          <w:lang w:eastAsia="en-AU"/>
        </w:rPr>
        <w:t>: The types of issues addressed as part of AAT decisions.</w:t>
      </w:r>
    </w:p>
    <w:p w14:paraId="337F7A99" w14:textId="4373E84B" w:rsidR="000F60FA" w:rsidRPr="00EB3D5D" w:rsidRDefault="000F60FA" w:rsidP="00F84DB8">
      <w:pPr>
        <w:spacing w:after="0"/>
        <w:rPr>
          <w:rFonts w:ascii="Segoe UI" w:eastAsia="Times New Roman" w:hAnsi="Segoe UI" w:cs="Segoe UI"/>
          <w:szCs w:val="22"/>
          <w:lang w:eastAsia="en-AU"/>
        </w:rPr>
      </w:pPr>
      <w:r>
        <w:rPr>
          <w:noProof/>
          <w:lang w:eastAsia="en-AU"/>
        </w:rPr>
        <w:drawing>
          <wp:inline distT="0" distB="0" distL="0" distR="0" wp14:anchorId="40396676" wp14:editId="212377D6">
            <wp:extent cx="5534025" cy="3857625"/>
            <wp:effectExtent l="0" t="0" r="0" b="0"/>
            <wp:docPr id="5" name="Chart 5" descr="The figure shows the types of issues addressed in AAT decisions versus IERP cases. Types of issues include: capacity building supports, core supports, plan management, assistive technology, consumables, other, SDA, transport, home modifications, general supports, SIL, and daily living costs. &#10;It is a horizontal bar graph with % of sample on the horizontal axis and types of issues on the vertical.&#10;Results show that more than 30% of issues addressed by the IERP and AAT are capacity building supports. The figure also shows that the IERP and AAT have a similar distribution of issues addressed.&#10;&#10;Daily Living Costs.&#10;IERP:2%.&#10;AAT: 0%.&#10;&#10;SIL.&#10;IERP:4%.&#10;AAT: 0%.&#10;&#10;General Supports.&#10;IERP: 0%.&#10;AAT: 1%.&#10;&#10;Home Mods.&#10;IERP: 2%.&#10;AAT: 1%.&#10;&#10;Transport.&#10;IERP: 5%.&#10;AAT: 1%.&#10;&#10;SDA.&#10;IERP: 3%.&#10;AAT: 2%.&#10;&#10;Other.&#10;IERP: 5%.&#10;AAT: 2%.&#10;&#10;Consumables.&#10;IERP: 2%.&#10;AAT: 3%&#10;&#10;Assistive Technology.&#10;IERP: 4%.&#10;AAT: 7%.&#10;&#10;Plan Management.&#10;IERP: 2%.&#10;AAT: 19%.&#10;&#10;Core Supports.&#10;IERP: 35%.&#10;AAT: 28%.&#10;&#10;CB Supports.&#10;IERP: 35%.&#10;AAT: 36%.&#1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EB3D5D">
        <w:rPr>
          <w:rFonts w:eastAsia="Times New Roman" w:cs="Arial"/>
          <w:szCs w:val="22"/>
          <w:lang w:eastAsia="en-AU"/>
        </w:rPr>
        <w:t>Source: R</w:t>
      </w:r>
      <w:r w:rsidR="008D274F" w:rsidRPr="00EB3D5D">
        <w:rPr>
          <w:rFonts w:eastAsia="Times New Roman" w:cs="Arial"/>
          <w:szCs w:val="22"/>
          <w:lang w:eastAsia="en-AU"/>
        </w:rPr>
        <w:t>esearch and Evaluation Branch</w:t>
      </w:r>
      <w:r w:rsidRPr="00EB3D5D">
        <w:rPr>
          <w:rFonts w:eastAsia="Times New Roman" w:cs="Arial"/>
          <w:szCs w:val="22"/>
          <w:lang w:eastAsia="en-AU"/>
        </w:rPr>
        <w:t xml:space="preserve"> analysis of the IER</w:t>
      </w:r>
      <w:r w:rsidR="008D274F" w:rsidRPr="00EB3D5D">
        <w:rPr>
          <w:rFonts w:eastAsia="Times New Roman" w:cs="Arial"/>
          <w:szCs w:val="22"/>
          <w:lang w:eastAsia="en-AU"/>
        </w:rPr>
        <w:t>P</w:t>
      </w:r>
      <w:r w:rsidRPr="00EB3D5D">
        <w:rPr>
          <w:rFonts w:eastAsia="Times New Roman" w:cs="Arial"/>
          <w:szCs w:val="22"/>
          <w:lang w:eastAsia="en-AU"/>
        </w:rPr>
        <w:t xml:space="preserve"> and AAT matters, Chief Council Division analysis of supplied AAT and IER decisions.</w:t>
      </w:r>
    </w:p>
    <w:p w14:paraId="3C8F0D95" w14:textId="55EAD884" w:rsidR="000F60FA" w:rsidRPr="00EB3D5D" w:rsidRDefault="000F60FA" w:rsidP="00E31990">
      <w:pPr>
        <w:spacing w:before="0" w:after="240" w:line="240" w:lineRule="auto"/>
        <w:textAlignment w:val="baseline"/>
        <w:rPr>
          <w:rFonts w:eastAsia="Times New Roman" w:cs="Arial"/>
          <w:szCs w:val="22"/>
          <w:lang w:eastAsia="en-AU"/>
        </w:rPr>
      </w:pPr>
      <w:r w:rsidRPr="00EB3D5D">
        <w:rPr>
          <w:rFonts w:eastAsia="Times New Roman" w:cs="Arial"/>
          <w:szCs w:val="22"/>
          <w:lang w:eastAsia="en-AU"/>
        </w:rPr>
        <w:t>Notes: Core supports does not include consumables or transport.</w:t>
      </w:r>
    </w:p>
    <w:p w14:paraId="0D623676" w14:textId="77777777" w:rsidR="00E31990" w:rsidRDefault="00E31990" w:rsidP="00E31990">
      <w:pPr>
        <w:spacing w:before="0" w:after="240" w:line="240" w:lineRule="auto"/>
        <w:textAlignment w:val="baseline"/>
        <w:rPr>
          <w:rFonts w:eastAsia="Times New Roman" w:cs="Arial"/>
          <w:sz w:val="20"/>
          <w:szCs w:val="20"/>
          <w:lang w:eastAsia="en-AU"/>
        </w:rPr>
      </w:pPr>
    </w:p>
    <w:p w14:paraId="5708EA57" w14:textId="0C7B4E23" w:rsidR="000F60FA" w:rsidRPr="005509FD" w:rsidRDefault="00D26BA7" w:rsidP="00EB3D5D">
      <w:pPr>
        <w:pStyle w:val="Heading3"/>
        <w:numPr>
          <w:ilvl w:val="0"/>
          <w:numId w:val="0"/>
        </w:numPr>
        <w:ind w:left="1134" w:hanging="1134"/>
        <w:rPr>
          <w:lang w:eastAsia="en-US"/>
        </w:rPr>
      </w:pPr>
      <w:bookmarkStart w:id="187" w:name="_Toc140146267"/>
      <w:bookmarkStart w:id="188" w:name="_Toc140148936"/>
      <w:bookmarkStart w:id="189" w:name="_Toc140157520"/>
      <w:bookmarkStart w:id="190" w:name="_Toc142483298"/>
      <w:bookmarkStart w:id="191" w:name="_Toc142918627"/>
      <w:r w:rsidRPr="005509FD">
        <w:rPr>
          <w:lang w:eastAsia="en-US"/>
        </w:rPr>
        <w:t>Internal review</w:t>
      </w:r>
      <w:r w:rsidR="000F60FA" w:rsidRPr="005509FD">
        <w:rPr>
          <w:lang w:eastAsia="en-US"/>
        </w:rPr>
        <w:t xml:space="preserve"> </w:t>
      </w:r>
      <w:r w:rsidR="00D84797" w:rsidRPr="005509FD">
        <w:rPr>
          <w:lang w:eastAsia="en-US"/>
        </w:rPr>
        <w:t>escalation</w:t>
      </w:r>
      <w:r w:rsidR="000F60FA" w:rsidRPr="005509FD">
        <w:rPr>
          <w:lang w:eastAsia="en-US"/>
        </w:rPr>
        <w:t xml:space="preserve"> </w:t>
      </w:r>
      <w:r w:rsidRPr="005509FD">
        <w:rPr>
          <w:lang w:eastAsia="en-US"/>
        </w:rPr>
        <w:t xml:space="preserve">to AAT </w:t>
      </w:r>
      <w:r w:rsidR="000F60FA" w:rsidRPr="005509FD">
        <w:rPr>
          <w:lang w:eastAsia="en-US"/>
        </w:rPr>
        <w:t>analysis and inference</w:t>
      </w:r>
      <w:bookmarkEnd w:id="187"/>
      <w:bookmarkEnd w:id="188"/>
      <w:bookmarkEnd w:id="189"/>
      <w:bookmarkEnd w:id="190"/>
      <w:bookmarkEnd w:id="191"/>
    </w:p>
    <w:p w14:paraId="7786E01F" w14:textId="04144A23" w:rsidR="001335EA" w:rsidRPr="001335EA" w:rsidRDefault="001335EA" w:rsidP="00EB3D5D">
      <w:pPr>
        <w:pStyle w:val="Heading4"/>
        <w:numPr>
          <w:ilvl w:val="0"/>
          <w:numId w:val="0"/>
        </w:numPr>
        <w:ind w:left="1134" w:hanging="1134"/>
      </w:pPr>
      <w:r>
        <w:t>Inference specification and methods</w:t>
      </w:r>
    </w:p>
    <w:p w14:paraId="0C12E3F3" w14:textId="48439AA0" w:rsidR="000F60FA" w:rsidRPr="004B3923" w:rsidRDefault="000F60FA" w:rsidP="000F60FA">
      <w:r w:rsidRPr="0034073E">
        <w:t xml:space="preserve">This section </w:t>
      </w:r>
      <w:r>
        <w:t>describes the</w:t>
      </w:r>
      <w:r w:rsidRPr="0034073E">
        <w:t xml:space="preserve"> analysis of potential variables within </w:t>
      </w:r>
      <w:r w:rsidR="00D84797">
        <w:t>s</w:t>
      </w:r>
      <w:r w:rsidRPr="0034073E">
        <w:t>100 matters that predict a</w:t>
      </w:r>
      <w:r w:rsidR="00C45292">
        <w:t xml:space="preserve">n escalation </w:t>
      </w:r>
      <w:r w:rsidRPr="0034073E">
        <w:t xml:space="preserve">to the AAT. </w:t>
      </w:r>
      <w:r w:rsidRPr="00B942E6">
        <w:t>Th</w:t>
      </w:r>
      <w:r>
        <w:t>e</w:t>
      </w:r>
      <w:r w:rsidRPr="0034073E">
        <w:t xml:space="preserve"> analysis uses two statistical techniques</w:t>
      </w:r>
      <w:r w:rsidR="00242CB5">
        <w:t>:</w:t>
      </w:r>
      <w:r w:rsidRPr="0034073E">
        <w:t xml:space="preserve"> a logistic regression and a gradient boosting model (GBM) regression.</w:t>
      </w:r>
    </w:p>
    <w:p w14:paraId="4BBF9AAC" w14:textId="0C0C0C5E" w:rsidR="000F60FA" w:rsidRPr="004B3923" w:rsidRDefault="000F60FA" w:rsidP="000F60FA">
      <w:r w:rsidRPr="00836363">
        <w:t>The logistic regression is a predictive model that estimates the probability of an event occurring whereas the GBM is a machine learning algorithm that identifies the relative influence of predictors compared to one another. GBM uses a decision tree structure and is an ensemble technique where multiple trees are built sequentially</w:t>
      </w:r>
      <w:r w:rsidR="00242CB5" w:rsidRPr="00836363">
        <w:t>,</w:t>
      </w:r>
      <w:r w:rsidRPr="00836363">
        <w:t xml:space="preserve"> </w:t>
      </w:r>
      <w:r w:rsidR="00655657">
        <w:t>and</w:t>
      </w:r>
      <w:r w:rsidRPr="00836363">
        <w:t xml:space="preserve"> each tree </w:t>
      </w:r>
      <w:r w:rsidR="00655657">
        <w:t>attempts</w:t>
      </w:r>
      <w:r w:rsidRPr="00836363">
        <w:t xml:space="preserve"> to correct the mistakes made by the previous tree. </w:t>
      </w:r>
      <w:r w:rsidR="000F2068">
        <w:t>B</w:t>
      </w:r>
      <w:r w:rsidRPr="00836363">
        <w:t xml:space="preserve">oth logit </w:t>
      </w:r>
      <w:r w:rsidRPr="00836363">
        <w:lastRenderedPageBreak/>
        <w:t xml:space="preserve">and GBM methods </w:t>
      </w:r>
      <w:r w:rsidR="000F2068">
        <w:t xml:space="preserve">were incorporated </w:t>
      </w:r>
      <w:r w:rsidRPr="00836363">
        <w:t>into this analysis because the GBM capture</w:t>
      </w:r>
      <w:r w:rsidR="000F2068">
        <w:t>s</w:t>
      </w:r>
      <w:r w:rsidRPr="00836363">
        <w:t xml:space="preserve"> the slight non-linearities and interaction amongst the variables </w:t>
      </w:r>
      <w:r w:rsidR="00823DA4">
        <w:t xml:space="preserve">not possible </w:t>
      </w:r>
      <w:r w:rsidR="00443734">
        <w:t xml:space="preserve">in </w:t>
      </w:r>
      <w:r w:rsidRPr="00836363">
        <w:t>logistic regression</w:t>
      </w:r>
      <w:r w:rsidR="00443734">
        <w:t>.</w:t>
      </w:r>
      <w:r w:rsidRPr="00836363">
        <w:t xml:space="preserve"> </w:t>
      </w:r>
      <w:r w:rsidR="00443734">
        <w:t>L</w:t>
      </w:r>
      <w:r w:rsidRPr="00836363">
        <w:t>ogistic regression can determine the directionality and significance of variables that the GBM cannot</w:t>
      </w:r>
      <w:r w:rsidR="00933A3B">
        <w:t xml:space="preserve"> determine</w:t>
      </w:r>
      <w:r w:rsidRPr="00836363">
        <w:t>.</w:t>
      </w:r>
    </w:p>
    <w:p w14:paraId="109D9792" w14:textId="1310B913" w:rsidR="000F60FA" w:rsidRPr="004B3923" w:rsidRDefault="000F60FA" w:rsidP="000F60FA">
      <w:r>
        <w:t>The final reduced form equation used in both the GBM and logistic regression had a binary variable indicating whether a</w:t>
      </w:r>
      <w:r w:rsidR="0010663C">
        <w:t xml:space="preserve">n escalation </w:t>
      </w:r>
      <w:r>
        <w:t xml:space="preserve">to the AAT from the </w:t>
      </w:r>
      <w:r w:rsidR="0010663C">
        <w:t>internal review</w:t>
      </w:r>
      <w:r>
        <w:t xml:space="preserve"> </w:t>
      </w:r>
      <w:r w:rsidR="00222CF7">
        <w:t>occurred</w:t>
      </w:r>
      <w:r>
        <w:t>. The following covariates were included in the form:</w:t>
      </w:r>
    </w:p>
    <w:p w14:paraId="08CC82C6" w14:textId="04438242" w:rsidR="000F60FA" w:rsidRDefault="000F60FA" w:rsidP="000705FE">
      <w:pPr>
        <w:pStyle w:val="ListParagraph"/>
        <w:numPr>
          <w:ilvl w:val="0"/>
          <w:numId w:val="47"/>
        </w:numPr>
      </w:pPr>
      <w:r>
        <w:t xml:space="preserve">Was the dispute over </w:t>
      </w:r>
      <w:r w:rsidR="00AF3C8E">
        <w:t>c</w:t>
      </w:r>
      <w:r>
        <w:t>ore supports? (yes/no)</w:t>
      </w:r>
    </w:p>
    <w:p w14:paraId="28C1AB64" w14:textId="7C5BCDED" w:rsidR="000F60FA" w:rsidRDefault="000F60FA" w:rsidP="000705FE">
      <w:pPr>
        <w:pStyle w:val="ListParagraph"/>
        <w:numPr>
          <w:ilvl w:val="0"/>
          <w:numId w:val="47"/>
        </w:numPr>
      </w:pPr>
      <w:r>
        <w:t xml:space="preserve">Was the dispute over </w:t>
      </w:r>
      <w:r w:rsidR="00AF3C8E">
        <w:t>c</w:t>
      </w:r>
      <w:r>
        <w:t>apacity building supports? (yes/no)</w:t>
      </w:r>
    </w:p>
    <w:p w14:paraId="28D8DD6B" w14:textId="77777777" w:rsidR="000F60FA" w:rsidRDefault="000F60FA" w:rsidP="000705FE">
      <w:pPr>
        <w:pStyle w:val="ListParagraph"/>
        <w:numPr>
          <w:ilvl w:val="0"/>
          <w:numId w:val="47"/>
        </w:numPr>
      </w:pPr>
      <w:r>
        <w:t>Was the dispute over non-SDA capital? (yes/no)</w:t>
      </w:r>
    </w:p>
    <w:p w14:paraId="22B30D4B" w14:textId="77777777" w:rsidR="000F60FA" w:rsidRPr="004B3923" w:rsidRDefault="000F60FA" w:rsidP="000705FE">
      <w:pPr>
        <w:pStyle w:val="ListParagraph"/>
        <w:numPr>
          <w:ilvl w:val="0"/>
          <w:numId w:val="47"/>
        </w:numPr>
      </w:pPr>
      <w:r>
        <w:t>Was the dispute over SDA capital? (yes/no)</w:t>
      </w:r>
    </w:p>
    <w:p w14:paraId="4A11AB4C" w14:textId="67D6C269" w:rsidR="000F60FA" w:rsidRDefault="000F60FA" w:rsidP="000705FE">
      <w:pPr>
        <w:pStyle w:val="ListParagraph"/>
        <w:numPr>
          <w:ilvl w:val="0"/>
          <w:numId w:val="47"/>
        </w:numPr>
      </w:pPr>
      <w:r>
        <w:t xml:space="preserve">Participant’s age (in </w:t>
      </w:r>
      <w:r w:rsidR="00852E78">
        <w:t>age bra</w:t>
      </w:r>
      <w:r w:rsidR="000351B0">
        <w:t>ckets</w:t>
      </w:r>
      <w:r w:rsidR="00CD2DF4">
        <w:t xml:space="preserve"> </w:t>
      </w:r>
      <w:r w:rsidR="00A27733">
        <w:t xml:space="preserve">0-7 yrs; </w:t>
      </w:r>
      <w:r w:rsidR="00D2462A">
        <w:t>8-15</w:t>
      </w:r>
      <w:r w:rsidR="006E432F">
        <w:t xml:space="preserve"> yrs</w:t>
      </w:r>
      <w:r w:rsidR="00CA5537">
        <w:t xml:space="preserve">; 16-24 yrs; </w:t>
      </w:r>
      <w:r w:rsidR="00133D88">
        <w:t xml:space="preserve">25-64 yrs; 65+ </w:t>
      </w:r>
      <w:r w:rsidR="006653BC">
        <w:t>yrs</w:t>
      </w:r>
      <w:r>
        <w:t>)</w:t>
      </w:r>
    </w:p>
    <w:p w14:paraId="22E54D2A" w14:textId="77777777" w:rsidR="000F60FA" w:rsidRDefault="000F60FA" w:rsidP="000705FE">
      <w:pPr>
        <w:pStyle w:val="ListParagraph"/>
        <w:numPr>
          <w:ilvl w:val="0"/>
          <w:numId w:val="47"/>
        </w:numPr>
      </w:pPr>
      <w:r>
        <w:t>Participant’s CALD status (yes/no/not stated)</w:t>
      </w:r>
    </w:p>
    <w:p w14:paraId="51CE13D5" w14:textId="77777777" w:rsidR="000F60FA" w:rsidRDefault="000F60FA" w:rsidP="000705FE">
      <w:pPr>
        <w:pStyle w:val="ListParagraph"/>
        <w:numPr>
          <w:ilvl w:val="0"/>
          <w:numId w:val="47"/>
        </w:numPr>
      </w:pPr>
      <w:r>
        <w:t>Participant’s gender (male/female/not stated/other)</w:t>
      </w:r>
    </w:p>
    <w:p w14:paraId="69DBA878" w14:textId="61D8D9B8" w:rsidR="000F60FA" w:rsidRDefault="000F60FA" w:rsidP="000705FE">
      <w:pPr>
        <w:pStyle w:val="ListParagraph"/>
        <w:numPr>
          <w:ilvl w:val="0"/>
          <w:numId w:val="47"/>
        </w:numPr>
      </w:pPr>
      <w:r>
        <w:t xml:space="preserve">Participant’s First Nations </w:t>
      </w:r>
      <w:r w:rsidR="00742575">
        <w:t xml:space="preserve">People </w:t>
      </w:r>
      <w:r>
        <w:t>status (yes/no/not stated)</w:t>
      </w:r>
    </w:p>
    <w:p w14:paraId="2ADAF87C" w14:textId="77777777" w:rsidR="000F60FA" w:rsidRDefault="000F60FA" w:rsidP="000705FE">
      <w:pPr>
        <w:pStyle w:val="ListParagraph"/>
        <w:numPr>
          <w:ilvl w:val="0"/>
          <w:numId w:val="47"/>
        </w:numPr>
      </w:pPr>
      <w:r>
        <w:t>Does the participant speak English at home (yes/no)</w:t>
      </w:r>
    </w:p>
    <w:p w14:paraId="2D7B6E50" w14:textId="3163E9E6" w:rsidR="000F60FA" w:rsidRDefault="000F60FA" w:rsidP="000705FE">
      <w:pPr>
        <w:pStyle w:val="ListParagraph"/>
        <w:numPr>
          <w:ilvl w:val="0"/>
          <w:numId w:val="47"/>
        </w:numPr>
      </w:pPr>
      <w:r>
        <w:t xml:space="preserve">ABS </w:t>
      </w:r>
      <w:r w:rsidRPr="0041273B">
        <w:t>Socio-Economic Indexes for Areas</w:t>
      </w:r>
      <w:r w:rsidR="00C73EA6">
        <w:t xml:space="preserve"> (SEIFA</w:t>
      </w:r>
      <w:r>
        <w:t>) assigned to participant post codes (in deciles). This included:</w:t>
      </w:r>
    </w:p>
    <w:p w14:paraId="7343AE8E" w14:textId="77777777" w:rsidR="000F60FA" w:rsidRDefault="000F60FA" w:rsidP="000705FE">
      <w:pPr>
        <w:pStyle w:val="ListParagraph"/>
        <w:numPr>
          <w:ilvl w:val="1"/>
          <w:numId w:val="47"/>
        </w:numPr>
      </w:pPr>
      <w:r w:rsidRPr="00D10F42">
        <w:t xml:space="preserve">The Index of Economic Resources (IER) </w:t>
      </w:r>
    </w:p>
    <w:p w14:paraId="068C5FF8" w14:textId="77777777" w:rsidR="000F60FA" w:rsidRDefault="000F60FA" w:rsidP="000705FE">
      <w:pPr>
        <w:pStyle w:val="ListParagraph"/>
        <w:numPr>
          <w:ilvl w:val="1"/>
          <w:numId w:val="47"/>
        </w:numPr>
      </w:pPr>
      <w:r w:rsidRPr="00DE3B4B">
        <w:t>The Index of Education and Occupation (IEO)</w:t>
      </w:r>
    </w:p>
    <w:p w14:paraId="524A739A" w14:textId="77777777" w:rsidR="000F60FA" w:rsidRDefault="000F60FA" w:rsidP="000705FE">
      <w:pPr>
        <w:pStyle w:val="ListParagraph"/>
        <w:numPr>
          <w:ilvl w:val="1"/>
          <w:numId w:val="47"/>
        </w:numPr>
      </w:pPr>
      <w:r w:rsidRPr="00F14462">
        <w:t>The Index of Relative Socio-economic Disadvantage (IRSD)</w:t>
      </w:r>
    </w:p>
    <w:p w14:paraId="0D41B1DE" w14:textId="5FB43F24" w:rsidR="000F60FA" w:rsidRDefault="000F60FA" w:rsidP="000705FE">
      <w:pPr>
        <w:pStyle w:val="ListParagraph"/>
        <w:numPr>
          <w:ilvl w:val="0"/>
          <w:numId w:val="47"/>
        </w:numPr>
      </w:pPr>
      <w:r>
        <w:t>Did the plan involve a plan management agency</w:t>
      </w:r>
      <w:r w:rsidR="00967C6B">
        <w:t>?</w:t>
      </w:r>
      <w:r>
        <w:t xml:space="preserve"> (yes/no)</w:t>
      </w:r>
    </w:p>
    <w:p w14:paraId="2C5139BD" w14:textId="27B891BC" w:rsidR="000F60FA" w:rsidRDefault="000F60FA" w:rsidP="000705FE">
      <w:pPr>
        <w:pStyle w:val="ListParagraph"/>
        <w:numPr>
          <w:ilvl w:val="0"/>
          <w:numId w:val="47"/>
        </w:numPr>
      </w:pPr>
      <w:r>
        <w:t>Did the participant ha</w:t>
      </w:r>
      <w:r w:rsidR="00107108">
        <w:t>ve</w:t>
      </w:r>
      <w:r>
        <w:t xml:space="preserve"> complex support needs</w:t>
      </w:r>
      <w:r w:rsidR="009656BD">
        <w:t>?</w:t>
      </w:r>
      <w:r>
        <w:t xml:space="preserve"> (yes/no)</w:t>
      </w:r>
    </w:p>
    <w:p w14:paraId="4320C1F4" w14:textId="77777777" w:rsidR="000F60FA" w:rsidRDefault="000F60FA" w:rsidP="000705FE">
      <w:pPr>
        <w:pStyle w:val="ListParagraph"/>
        <w:numPr>
          <w:ilvl w:val="0"/>
          <w:numId w:val="47"/>
        </w:numPr>
      </w:pPr>
      <w:r>
        <w:t>Was the participant receiving 24x7 support? (yes/no)</w:t>
      </w:r>
    </w:p>
    <w:p w14:paraId="5ABD939E" w14:textId="77777777" w:rsidR="000F60FA" w:rsidRDefault="000F60FA" w:rsidP="000705FE">
      <w:pPr>
        <w:pStyle w:val="ListParagraph"/>
        <w:numPr>
          <w:ilvl w:val="0"/>
          <w:numId w:val="47"/>
        </w:numPr>
      </w:pPr>
      <w:r>
        <w:t>Was the participant in medium term accommodation? (yes/no)</w:t>
      </w:r>
    </w:p>
    <w:p w14:paraId="35D4F668" w14:textId="0686703A" w:rsidR="000F60FA" w:rsidRDefault="000F60FA" w:rsidP="000705FE">
      <w:pPr>
        <w:pStyle w:val="ListParagraph"/>
        <w:numPr>
          <w:ilvl w:val="0"/>
          <w:numId w:val="47"/>
        </w:numPr>
      </w:pPr>
      <w:r>
        <w:t xml:space="preserve">Was the participant in an </w:t>
      </w:r>
      <w:r w:rsidRPr="0049016D">
        <w:t xml:space="preserve">Individualised </w:t>
      </w:r>
      <w:r w:rsidR="00A718C0">
        <w:t>L</w:t>
      </w:r>
      <w:r w:rsidRPr="0049016D">
        <w:t xml:space="preserve">iving </w:t>
      </w:r>
      <w:r w:rsidR="00A718C0">
        <w:t>O</w:t>
      </w:r>
      <w:r w:rsidRPr="0049016D">
        <w:t>ption</w:t>
      </w:r>
      <w:r w:rsidR="00A718C0">
        <w:t xml:space="preserve"> (ILO)?</w:t>
      </w:r>
      <w:r>
        <w:t xml:space="preserve"> (yes/no)</w:t>
      </w:r>
    </w:p>
    <w:p w14:paraId="45FDBDBC" w14:textId="2F917BDC" w:rsidR="000F60FA" w:rsidRDefault="000F60FA" w:rsidP="000705FE">
      <w:pPr>
        <w:pStyle w:val="ListParagraph"/>
        <w:numPr>
          <w:ilvl w:val="0"/>
          <w:numId w:val="47"/>
        </w:numPr>
      </w:pPr>
      <w:r>
        <w:t xml:space="preserve">Was the participant in </w:t>
      </w:r>
      <w:r w:rsidR="00336B26">
        <w:t>S</w:t>
      </w:r>
      <w:r>
        <w:t xml:space="preserve">upported </w:t>
      </w:r>
      <w:r w:rsidR="00336B26">
        <w:t>I</w:t>
      </w:r>
      <w:r>
        <w:t xml:space="preserve">ndependent </w:t>
      </w:r>
      <w:r w:rsidR="00336B26">
        <w:t>L</w:t>
      </w:r>
      <w:r>
        <w:t xml:space="preserve">iving </w:t>
      </w:r>
      <w:r w:rsidR="00336B26">
        <w:t xml:space="preserve">(SIL) </w:t>
      </w:r>
      <w:r>
        <w:t>stream? (yes/no)</w:t>
      </w:r>
    </w:p>
    <w:p w14:paraId="3264B9DA" w14:textId="77777777" w:rsidR="000F60FA" w:rsidRDefault="000F60FA" w:rsidP="000705FE">
      <w:pPr>
        <w:pStyle w:val="ListParagraph"/>
        <w:numPr>
          <w:ilvl w:val="0"/>
          <w:numId w:val="47"/>
        </w:numPr>
      </w:pPr>
      <w:r>
        <w:t>NDIS plan value before during and after dispute (annualised dollar value)</w:t>
      </w:r>
    </w:p>
    <w:p w14:paraId="5D3AB0E4" w14:textId="77777777" w:rsidR="000F60FA" w:rsidRPr="004B3923" w:rsidRDefault="000F60FA" w:rsidP="000705FE">
      <w:pPr>
        <w:pStyle w:val="ListParagraph"/>
        <w:numPr>
          <w:ilvl w:val="0"/>
          <w:numId w:val="47"/>
        </w:numPr>
      </w:pPr>
      <w:r>
        <w:lastRenderedPageBreak/>
        <w:t>% change in plan before versus during dispute (in deciles)</w:t>
      </w:r>
    </w:p>
    <w:p w14:paraId="5A92CB32" w14:textId="18E3A13A" w:rsidR="001335EA" w:rsidRDefault="001335EA" w:rsidP="00EB3D5D">
      <w:pPr>
        <w:pStyle w:val="Heading4"/>
        <w:numPr>
          <w:ilvl w:val="0"/>
          <w:numId w:val="0"/>
        </w:numPr>
        <w:ind w:left="1134" w:hanging="1134"/>
      </w:pPr>
      <w:r>
        <w:t xml:space="preserve">Interpretation of </w:t>
      </w:r>
      <w:r w:rsidR="00DE14D5" w:rsidRPr="00DE14D5">
        <w:t>Gradient Boosting Model</w:t>
      </w:r>
    </w:p>
    <w:p w14:paraId="01C8D312" w14:textId="0C77F789" w:rsidR="004D44D3" w:rsidRDefault="004D44D3" w:rsidP="004D44D3">
      <w:r>
        <w:t xml:space="preserve">Gradient Boosting Models (GBM) are a type of machine learning </w:t>
      </w:r>
      <w:r w:rsidR="00F651DD">
        <w:t>method that solves estimates iteratively</w:t>
      </w:r>
      <w:r>
        <w:t xml:space="preserve">. It relies on the </w:t>
      </w:r>
      <w:r w:rsidRPr="007A1363">
        <w:t>intuition</w:t>
      </w:r>
      <w:r>
        <w:t xml:space="preserve"> that the best possible next model, when combined with previous models, minimi</w:t>
      </w:r>
      <w:r w:rsidR="00BA3218">
        <w:t>s</w:t>
      </w:r>
      <w:r>
        <w:t xml:space="preserve">es the overall prediction error. </w:t>
      </w:r>
      <w:r w:rsidR="00135059">
        <w:t>T</w:t>
      </w:r>
      <w:r>
        <w:t xml:space="preserve">he outcome </w:t>
      </w:r>
      <w:r w:rsidR="00F651DD">
        <w:t>(</w:t>
      </w:r>
      <w:r w:rsidR="00CD228C">
        <w:t>escalation</w:t>
      </w:r>
      <w:r w:rsidR="00F651DD">
        <w:t xml:space="preserve"> to AAT)</w:t>
      </w:r>
      <w:r>
        <w:t xml:space="preserve"> for each case in the data depends on how much changing </w:t>
      </w:r>
      <w:r w:rsidR="00A11F00">
        <w:t>the specification</w:t>
      </w:r>
      <w:r>
        <w:t xml:space="preserve"> impacts the overall prediction error</w:t>
      </w:r>
      <w:r w:rsidR="00A11F00">
        <w:t>. That is</w:t>
      </w:r>
      <w:r w:rsidR="00A11B0D">
        <w:t>:</w:t>
      </w:r>
    </w:p>
    <w:p w14:paraId="50B9BE91" w14:textId="12E6906F" w:rsidR="004D44D3" w:rsidRDefault="004D44D3" w:rsidP="000705FE">
      <w:pPr>
        <w:pStyle w:val="ListParagraph"/>
        <w:numPr>
          <w:ilvl w:val="0"/>
          <w:numId w:val="50"/>
        </w:numPr>
      </w:pPr>
      <w:r>
        <w:t xml:space="preserve">If a small change in the prediction for a case causes a large drop in error, then </w:t>
      </w:r>
      <w:r w:rsidR="00493837">
        <w:t xml:space="preserve">the </w:t>
      </w:r>
      <w:r>
        <w:t>next outcome of the case is a high value.</w:t>
      </w:r>
      <w:r w:rsidR="00A11B0D">
        <w:t xml:space="preserve"> Changing this prediction decreases the error.</w:t>
      </w:r>
    </w:p>
    <w:p w14:paraId="00D09952" w14:textId="683DCF04" w:rsidR="004D44D3" w:rsidRDefault="004D44D3" w:rsidP="000705FE">
      <w:pPr>
        <w:pStyle w:val="ListParagraph"/>
        <w:numPr>
          <w:ilvl w:val="0"/>
          <w:numId w:val="50"/>
        </w:numPr>
      </w:pPr>
      <w:r>
        <w:t xml:space="preserve">If a small change in the prediction for a case causes no change in error, then </w:t>
      </w:r>
      <w:r w:rsidR="00C61101">
        <w:t xml:space="preserve">the </w:t>
      </w:r>
      <w:r>
        <w:t>next outcome of the case is zero. Changing this prediction does not decrease the error.</w:t>
      </w:r>
    </w:p>
    <w:p w14:paraId="7FB8A0BB" w14:textId="2AE9F8EC" w:rsidR="001335EA" w:rsidRDefault="004D44D3" w:rsidP="00DB688A">
      <w:pPr>
        <w:keepLines/>
      </w:pPr>
      <w:r>
        <w:t>The outcomes for each case are set based on the gradient of the error with respect to the prediction. Each new model takes a step in the direction that minimizes prediction error</w:t>
      </w:r>
      <w:r w:rsidR="00F651DD">
        <w:t>.</w:t>
      </w:r>
      <w:r w:rsidR="00A11B0D">
        <w:t xml:space="preserve"> Overall, the model </w:t>
      </w:r>
      <w:r w:rsidR="007666A6">
        <w:t>iteratively evaluates the error of every formulation and combination of the variables selected</w:t>
      </w:r>
      <w:r w:rsidR="003225AD">
        <w:t xml:space="preserve">. The results </w:t>
      </w:r>
      <w:r w:rsidR="007F26A8">
        <w:t xml:space="preserve">show the </w:t>
      </w:r>
      <w:r w:rsidR="003225AD">
        <w:t xml:space="preserve">relative importance of each variable </w:t>
      </w:r>
      <w:r w:rsidR="007F26A8">
        <w:t>and</w:t>
      </w:r>
      <w:r w:rsidR="003225AD">
        <w:t xml:space="preserve"> are presented </w:t>
      </w:r>
      <w:r w:rsidR="00583A77">
        <w:t>as a percentage of variation that accounts for the outcome e.g., variable X accounts for X% of the</w:t>
      </w:r>
      <w:r w:rsidR="00154B90">
        <w:t xml:space="preserve"> variation to the outcome. </w:t>
      </w:r>
      <w:r w:rsidR="0006308F">
        <w:t>Being a deterministic model</w:t>
      </w:r>
      <w:r w:rsidR="00176DF0">
        <w:t>,</w:t>
      </w:r>
      <w:r w:rsidR="0006308F">
        <w:t xml:space="preserve"> the GBM does not </w:t>
      </w:r>
      <w:r w:rsidR="008711A3">
        <w:t>calculate the</w:t>
      </w:r>
      <w:r w:rsidR="00A01B77">
        <w:t xml:space="preserve"> </w:t>
      </w:r>
      <w:r w:rsidR="008711A3">
        <w:t xml:space="preserve">directionality of the variable and </w:t>
      </w:r>
      <w:r w:rsidR="00A01B77">
        <w:t>instead</w:t>
      </w:r>
      <w:r w:rsidR="008711A3">
        <w:t xml:space="preserve"> focuses on its ability to </w:t>
      </w:r>
      <w:r w:rsidR="00A01B77">
        <w:t>reduce error in</w:t>
      </w:r>
      <w:r w:rsidR="008711A3">
        <w:t xml:space="preserve"> </w:t>
      </w:r>
      <w:r w:rsidR="00DB688A">
        <w:t>outcomes i.e., explain variation in decision making.</w:t>
      </w:r>
    </w:p>
    <w:p w14:paraId="0F1E8EC2" w14:textId="7488B434" w:rsidR="00DB688A" w:rsidRDefault="00DB688A" w:rsidP="00EB3D5D">
      <w:pPr>
        <w:pStyle w:val="Heading4"/>
        <w:numPr>
          <w:ilvl w:val="0"/>
          <w:numId w:val="0"/>
        </w:numPr>
        <w:ind w:left="1134" w:hanging="1134"/>
      </w:pPr>
      <w:r>
        <w:t>Interpretation of Logistic Regression</w:t>
      </w:r>
    </w:p>
    <w:p w14:paraId="765ED669" w14:textId="427CB408" w:rsidR="00327517" w:rsidRPr="004B3923" w:rsidRDefault="003112BE" w:rsidP="00327517">
      <w:r>
        <w:t xml:space="preserve">A </w:t>
      </w:r>
      <w:r w:rsidR="00164209">
        <w:t>l</w:t>
      </w:r>
      <w:r w:rsidRPr="003112BE">
        <w:t xml:space="preserve">ogistic </w:t>
      </w:r>
      <w:r w:rsidR="00164209">
        <w:t>r</w:t>
      </w:r>
      <w:r w:rsidRPr="003112BE">
        <w:t>egression</w:t>
      </w:r>
      <w:r>
        <w:t xml:space="preserve"> is</w:t>
      </w:r>
      <w:r w:rsidRPr="003112BE">
        <w:t xml:space="preserve"> a </w:t>
      </w:r>
      <w:r w:rsidR="007A7868">
        <w:t>probabilistic</w:t>
      </w:r>
      <w:r w:rsidR="00383FD7" w:rsidRPr="00383FD7">
        <w:t xml:space="preserve"> model often used for classification and predictive analytics. </w:t>
      </w:r>
      <w:r w:rsidR="007A7868">
        <w:t>The logistic</w:t>
      </w:r>
      <w:r w:rsidR="00383FD7" w:rsidRPr="00383FD7">
        <w:t xml:space="preserve"> regression estimates the probability of an event </w:t>
      </w:r>
      <w:r w:rsidR="00E56D0D">
        <w:t>occurring. As such</w:t>
      </w:r>
      <w:r w:rsidR="005E5B4C" w:rsidRPr="005E5B4C">
        <w:t xml:space="preserve"> the dependent variable is bounded between 0 and 1. In logistic regression, a logit transformation is applied on the probability of success divided by the probability of failure. This is also commonly known as the log odds</w:t>
      </w:r>
      <w:r w:rsidR="00E56D0D">
        <w:t>.</w:t>
      </w:r>
    </w:p>
    <w:p w14:paraId="65E83698" w14:textId="4852789F" w:rsidR="00C56EDA" w:rsidRPr="004B3923" w:rsidRDefault="000B4B26" w:rsidP="00327517">
      <w:r>
        <w:lastRenderedPageBreak/>
        <w:t>E</w:t>
      </w:r>
      <w:r w:rsidR="00AB7294" w:rsidRPr="00AB7294">
        <w:t>xponentiati</w:t>
      </w:r>
      <w:r>
        <w:t>on</w:t>
      </w:r>
      <w:r w:rsidR="000F3DD1">
        <w:t xml:space="preserve"> of </w:t>
      </w:r>
      <w:r w:rsidR="00AB7294" w:rsidRPr="00AB7294">
        <w:t xml:space="preserve">the </w:t>
      </w:r>
      <w:r w:rsidR="00AB7294">
        <w:t xml:space="preserve">logistic regression </w:t>
      </w:r>
      <w:r w:rsidR="00AB7294" w:rsidRPr="00AB7294">
        <w:t xml:space="preserve">estimates </w:t>
      </w:r>
      <w:r w:rsidR="000F3DD1">
        <w:t xml:space="preserve">was undertaken </w:t>
      </w:r>
      <w:r w:rsidR="00AB7294" w:rsidRPr="00AB7294">
        <w:t xml:space="preserve">to transform the </w:t>
      </w:r>
      <w:r w:rsidR="00AE4740">
        <w:t>factor</w:t>
      </w:r>
      <w:r w:rsidR="00AB7294" w:rsidRPr="00AB7294">
        <w:t xml:space="preserve"> results into an odds ratio (OR</w:t>
      </w:r>
      <w:r w:rsidR="00AB7294">
        <w:t>)</w:t>
      </w:r>
      <w:r w:rsidR="00AB7294" w:rsidRPr="00AB7294">
        <w:t xml:space="preserve">. The OR represents the odds that an outcome will occur given a particular event, compared to the odds of the outcome occurring in the absence of that event. If the OR is greater than 1, then the </w:t>
      </w:r>
      <w:r w:rsidR="00AE4740">
        <w:t>factor</w:t>
      </w:r>
      <w:r w:rsidR="00AB7294" w:rsidRPr="00AB7294">
        <w:t xml:space="preserve"> is associated with a</w:t>
      </w:r>
      <w:r w:rsidR="00AB7294">
        <w:t>n</w:t>
      </w:r>
      <w:r w:rsidR="00AB7294" w:rsidRPr="00AB7294">
        <w:t xml:space="preserve"> </w:t>
      </w:r>
      <w:r w:rsidR="00D96BFB">
        <w:t>increased likelihood of</w:t>
      </w:r>
      <w:r w:rsidR="005A7138">
        <w:t xml:space="preserve"> that outcome</w:t>
      </w:r>
      <w:r w:rsidR="00D96BFB">
        <w:t xml:space="preserve"> occurring</w:t>
      </w:r>
      <w:r w:rsidR="00AB7294" w:rsidRPr="00AB7294">
        <w:t xml:space="preserve">. Conversely, if the OR is less than 1, then the event is associated with a </w:t>
      </w:r>
      <w:r w:rsidR="005A7138">
        <w:t>decreased likelihood</w:t>
      </w:r>
      <w:r w:rsidR="00AB7294" w:rsidRPr="00AB7294">
        <w:t xml:space="preserve"> of that outcome occurring.</w:t>
      </w:r>
      <w:r w:rsidR="00E50338">
        <w:t xml:space="preserve"> </w:t>
      </w:r>
      <w:r w:rsidR="00E91650">
        <w:t>T</w:t>
      </w:r>
      <w:r w:rsidR="00E50338">
        <w:t xml:space="preserve">he OR </w:t>
      </w:r>
      <w:r w:rsidR="00B06C1E">
        <w:t>was used to</w:t>
      </w:r>
      <w:r w:rsidR="00E50338">
        <w:t xml:space="preserve"> show the probability estimates on a figure as a</w:t>
      </w:r>
      <w:r w:rsidR="00FF5A3D">
        <w:t>n increased or decreased</w:t>
      </w:r>
      <w:r w:rsidR="00E50338">
        <w:t xml:space="preserve"> </w:t>
      </w:r>
      <w:r w:rsidR="009856E7">
        <w:t>probability</w:t>
      </w:r>
      <w:r w:rsidR="00E50338">
        <w:t xml:space="preserve"> of </w:t>
      </w:r>
      <w:r w:rsidR="00FF5A3D">
        <w:t>the</w:t>
      </w:r>
      <w:r w:rsidR="00E50338">
        <w:t xml:space="preserve"> outcome occurring.</w:t>
      </w:r>
    </w:p>
    <w:p w14:paraId="2FA10CB8" w14:textId="275C8F22" w:rsidR="000F60FA" w:rsidRDefault="00032C03" w:rsidP="00EB3D5D">
      <w:pPr>
        <w:pStyle w:val="Heading2"/>
        <w:numPr>
          <w:ilvl w:val="0"/>
          <w:numId w:val="0"/>
        </w:numPr>
        <w:ind w:left="1134" w:hanging="1134"/>
      </w:pPr>
      <w:bookmarkStart w:id="192" w:name="_Toc135394740"/>
      <w:bookmarkStart w:id="193" w:name="_Toc142918628"/>
      <w:r>
        <w:lastRenderedPageBreak/>
        <w:t>Appendix</w:t>
      </w:r>
      <w:r w:rsidR="00D57A89">
        <w:t xml:space="preserve"> </w:t>
      </w:r>
      <w:r w:rsidR="00B074D3">
        <w:t>F</w:t>
      </w:r>
      <w:r w:rsidR="00D57A89">
        <w:t xml:space="preserve">: </w:t>
      </w:r>
      <w:r w:rsidR="000F60FA">
        <w:t>Qualitative coding frames</w:t>
      </w:r>
      <w:bookmarkEnd w:id="192"/>
      <w:bookmarkEnd w:id="193"/>
    </w:p>
    <w:p w14:paraId="5071CC47" w14:textId="77777777" w:rsidR="000F60FA" w:rsidRPr="00F0175C" w:rsidRDefault="000F60FA" w:rsidP="000F60FA">
      <w:r>
        <w:t>The sections below present the final coding frames for qualitative interview and survey responses from each stakeholder group.</w:t>
      </w:r>
    </w:p>
    <w:p w14:paraId="38B6AD0A" w14:textId="77777777" w:rsidR="000F60FA" w:rsidRDefault="000F60FA" w:rsidP="00EB3D5D">
      <w:pPr>
        <w:pStyle w:val="Heading3"/>
        <w:numPr>
          <w:ilvl w:val="0"/>
          <w:numId w:val="0"/>
        </w:numPr>
        <w:ind w:left="1134" w:hanging="1134"/>
      </w:pPr>
      <w:bookmarkStart w:id="194" w:name="_Toc140146269"/>
      <w:bookmarkStart w:id="195" w:name="_Toc140148938"/>
      <w:bookmarkStart w:id="196" w:name="_Toc140157522"/>
      <w:bookmarkStart w:id="197" w:name="_Toc142483300"/>
      <w:bookmarkStart w:id="198" w:name="_Toc142918629"/>
      <w:r>
        <w:t>Participant representatives</w:t>
      </w:r>
      <w:bookmarkEnd w:id="194"/>
      <w:bookmarkEnd w:id="195"/>
      <w:bookmarkEnd w:id="196"/>
      <w:bookmarkEnd w:id="197"/>
      <w:bookmarkEnd w:id="198"/>
    </w:p>
    <w:p w14:paraId="53192C07" w14:textId="77777777" w:rsidR="000F60FA" w:rsidRDefault="000F60FA" w:rsidP="00157F82">
      <w:pPr>
        <w:pStyle w:val="AppendixH4"/>
      </w:pPr>
      <w:r>
        <w:t>DCRO familiarity with NDIS and disability sector</w:t>
      </w:r>
    </w:p>
    <w:p w14:paraId="07BAE8C1" w14:textId="4C14A49D" w:rsidR="000F60FA" w:rsidRDefault="000F60FA" w:rsidP="000705FE">
      <w:pPr>
        <w:pStyle w:val="ListParagraph"/>
        <w:numPr>
          <w:ilvl w:val="0"/>
          <w:numId w:val="46"/>
        </w:numPr>
        <w:spacing w:before="0" w:after="0"/>
        <w:contextualSpacing/>
      </w:pPr>
      <w:r>
        <w:t xml:space="preserve">Low – under five years’ experience </w:t>
      </w:r>
    </w:p>
    <w:p w14:paraId="287FF048" w14:textId="4EFC0775" w:rsidR="000F60FA" w:rsidRDefault="000F60FA" w:rsidP="000705FE">
      <w:pPr>
        <w:pStyle w:val="ListParagraph"/>
        <w:numPr>
          <w:ilvl w:val="0"/>
          <w:numId w:val="46"/>
        </w:numPr>
        <w:spacing w:before="0" w:after="0"/>
        <w:contextualSpacing/>
      </w:pPr>
      <w:r>
        <w:t xml:space="preserve">Moderate – 5-10 years’ experience </w:t>
      </w:r>
    </w:p>
    <w:p w14:paraId="4F31CE86" w14:textId="77777777" w:rsidR="000F60FA" w:rsidRDefault="000F60FA" w:rsidP="000705FE">
      <w:pPr>
        <w:pStyle w:val="ListParagraph"/>
        <w:numPr>
          <w:ilvl w:val="0"/>
          <w:numId w:val="46"/>
        </w:numPr>
        <w:spacing w:before="0" w:after="0"/>
        <w:contextualSpacing/>
      </w:pPr>
      <w:r>
        <w:t xml:space="preserve">High – more than 10 years’ experience. </w:t>
      </w:r>
    </w:p>
    <w:p w14:paraId="44CCD8C0" w14:textId="77777777" w:rsidR="000F60FA" w:rsidRDefault="000F60FA" w:rsidP="00157F82">
      <w:pPr>
        <w:pStyle w:val="AppendixH4"/>
      </w:pPr>
      <w:r>
        <w:t>AAT process</w:t>
      </w:r>
    </w:p>
    <w:p w14:paraId="01A41113" w14:textId="35B6E6FA" w:rsidR="000F60FA" w:rsidRDefault="000F60FA" w:rsidP="000705FE">
      <w:pPr>
        <w:pStyle w:val="ListParagraph"/>
        <w:numPr>
          <w:ilvl w:val="0"/>
          <w:numId w:val="46"/>
        </w:numPr>
        <w:spacing w:before="0" w:after="0"/>
        <w:contextualSpacing/>
      </w:pPr>
      <w:r>
        <w:t>Types of AAT matters, many are complex or unprecedented</w:t>
      </w:r>
    </w:p>
    <w:p w14:paraId="0E2FB8C8" w14:textId="44C7C5A2" w:rsidR="000F60FA" w:rsidRDefault="000F60FA" w:rsidP="000705FE">
      <w:pPr>
        <w:pStyle w:val="ListParagraph"/>
        <w:numPr>
          <w:ilvl w:val="0"/>
          <w:numId w:val="46"/>
        </w:numPr>
        <w:spacing w:before="0" w:after="0"/>
        <w:contextualSpacing/>
      </w:pPr>
      <w:r>
        <w:t xml:space="preserve">Negative aspects of the AAT process including arduous, time consuming and adversarial nature of process </w:t>
      </w:r>
    </w:p>
    <w:p w14:paraId="57D090F2" w14:textId="66CC5FAD" w:rsidR="000F60FA" w:rsidRDefault="000F60FA" w:rsidP="000705FE">
      <w:pPr>
        <w:pStyle w:val="ListParagraph"/>
        <w:numPr>
          <w:ilvl w:val="0"/>
          <w:numId w:val="46"/>
        </w:numPr>
        <w:spacing w:before="0" w:after="0"/>
        <w:contextualSpacing/>
      </w:pPr>
      <w:r>
        <w:t xml:space="preserve">General AAT process </w:t>
      </w:r>
    </w:p>
    <w:p w14:paraId="77557368" w14:textId="77777777" w:rsidR="000F60FA" w:rsidRDefault="000F60FA" w:rsidP="000705FE">
      <w:pPr>
        <w:pStyle w:val="ListParagraph"/>
        <w:numPr>
          <w:ilvl w:val="0"/>
          <w:numId w:val="46"/>
        </w:numPr>
        <w:spacing w:before="0" w:after="0"/>
        <w:contextualSpacing/>
        <w:rPr>
          <w:b/>
          <w:bCs/>
        </w:rPr>
      </w:pPr>
      <w:r>
        <w:t xml:space="preserve">Barriers to accessing AAT including financial and time limitations, psychological and emotional toll on participants and families involved and limitations of legal experience. </w:t>
      </w:r>
    </w:p>
    <w:p w14:paraId="24395D0F" w14:textId="77777777" w:rsidR="000F60FA" w:rsidRDefault="000F60FA" w:rsidP="00157F82">
      <w:pPr>
        <w:pStyle w:val="AppendixH4"/>
      </w:pPr>
      <w:r>
        <w:t>Planning process</w:t>
      </w:r>
    </w:p>
    <w:p w14:paraId="47B3E117" w14:textId="3776BDE5" w:rsidR="000F60FA" w:rsidRDefault="000F60FA" w:rsidP="000705FE">
      <w:pPr>
        <w:pStyle w:val="ListParagraph"/>
        <w:numPr>
          <w:ilvl w:val="0"/>
          <w:numId w:val="46"/>
        </w:numPr>
        <w:spacing w:before="0" w:after="0"/>
        <w:contextualSpacing/>
      </w:pPr>
      <w:r>
        <w:t>Perceived negative aspects of planning process including unfair decisions, lack of planner training, communication style</w:t>
      </w:r>
    </w:p>
    <w:p w14:paraId="5ACF049F" w14:textId="1FFC56BC" w:rsidR="000F60FA" w:rsidRDefault="000F60FA" w:rsidP="000705FE">
      <w:pPr>
        <w:pStyle w:val="ListParagraph"/>
        <w:numPr>
          <w:ilvl w:val="0"/>
          <w:numId w:val="46"/>
        </w:numPr>
        <w:spacing w:before="0" w:after="0"/>
        <w:contextualSpacing/>
      </w:pPr>
      <w:r>
        <w:t xml:space="preserve">Communication of planning decisions </w:t>
      </w:r>
    </w:p>
    <w:p w14:paraId="52F13CB9" w14:textId="6BF13FD4" w:rsidR="000F60FA" w:rsidRDefault="000F60FA" w:rsidP="000705FE">
      <w:pPr>
        <w:pStyle w:val="ListParagraph"/>
        <w:numPr>
          <w:ilvl w:val="0"/>
          <w:numId w:val="46"/>
        </w:numPr>
        <w:spacing w:before="0" w:after="0"/>
        <w:contextualSpacing/>
      </w:pPr>
      <w:r>
        <w:t>Improvements that could be made to the planning process</w:t>
      </w:r>
    </w:p>
    <w:p w14:paraId="0BB373CE" w14:textId="3EF5B643" w:rsidR="000F60FA" w:rsidRDefault="000F60FA" w:rsidP="000705FE">
      <w:pPr>
        <w:pStyle w:val="ListParagraph"/>
        <w:numPr>
          <w:ilvl w:val="0"/>
          <w:numId w:val="46"/>
        </w:numPr>
        <w:spacing w:before="0" w:after="0"/>
        <w:contextualSpacing/>
      </w:pPr>
      <w:r>
        <w:t>Negative aspects of information gathering requests from planners</w:t>
      </w:r>
    </w:p>
    <w:p w14:paraId="7E6E5D34" w14:textId="392F7AC3" w:rsidR="000F60FA" w:rsidRDefault="000F60FA" w:rsidP="000705FE">
      <w:pPr>
        <w:pStyle w:val="ListParagraph"/>
        <w:numPr>
          <w:ilvl w:val="0"/>
          <w:numId w:val="46"/>
        </w:numPr>
        <w:spacing w:before="0" w:after="0"/>
        <w:contextualSpacing/>
      </w:pPr>
      <w:r>
        <w:t xml:space="preserve">Previous AAT decisions could </w:t>
      </w:r>
      <w:r w:rsidR="00650D6B">
        <w:t xml:space="preserve">be fed back to </w:t>
      </w:r>
      <w:r>
        <w:t xml:space="preserve">improve planning stage </w:t>
      </w:r>
    </w:p>
    <w:p w14:paraId="6AFA9D02" w14:textId="77777777" w:rsidR="000F60FA" w:rsidRDefault="000F60FA" w:rsidP="000705FE">
      <w:pPr>
        <w:pStyle w:val="ListParagraph"/>
        <w:numPr>
          <w:ilvl w:val="0"/>
          <w:numId w:val="46"/>
        </w:numPr>
        <w:spacing w:before="0" w:after="0"/>
        <w:contextualSpacing/>
      </w:pPr>
      <w:r>
        <w:t xml:space="preserve">Factors leading to an internal review during planning stages. </w:t>
      </w:r>
    </w:p>
    <w:p w14:paraId="2B663F27" w14:textId="77777777" w:rsidR="000F60FA" w:rsidRDefault="000F60FA" w:rsidP="00157F82">
      <w:pPr>
        <w:pStyle w:val="AppendixH4"/>
      </w:pPr>
      <w:r>
        <w:t>S100 reviews</w:t>
      </w:r>
    </w:p>
    <w:p w14:paraId="0C918487" w14:textId="735DFD15" w:rsidR="000F60FA" w:rsidRDefault="000F60FA" w:rsidP="000705FE">
      <w:pPr>
        <w:pStyle w:val="ListParagraph"/>
        <w:numPr>
          <w:ilvl w:val="0"/>
          <w:numId w:val="46"/>
        </w:numPr>
        <w:spacing w:before="0" w:after="0"/>
        <w:contextualSpacing/>
      </w:pPr>
      <w:r>
        <w:t xml:space="preserve">Explanation of the internal review process </w:t>
      </w:r>
    </w:p>
    <w:p w14:paraId="4595DBDA" w14:textId="56567FF4" w:rsidR="000F60FA" w:rsidRDefault="000F60FA" w:rsidP="000705FE">
      <w:pPr>
        <w:pStyle w:val="ListParagraph"/>
        <w:numPr>
          <w:ilvl w:val="0"/>
          <w:numId w:val="46"/>
        </w:numPr>
        <w:spacing w:before="0" w:after="0"/>
        <w:contextualSpacing/>
      </w:pPr>
      <w:r>
        <w:t xml:space="preserve">Processes and experiences of communication during </w:t>
      </w:r>
      <w:r w:rsidR="00FA5A33">
        <w:t>s</w:t>
      </w:r>
      <w:r>
        <w:t>100 review processes</w:t>
      </w:r>
    </w:p>
    <w:p w14:paraId="21200580" w14:textId="77C2F92D" w:rsidR="000F60FA" w:rsidRDefault="000F60FA" w:rsidP="000705FE">
      <w:pPr>
        <w:pStyle w:val="ListParagraph"/>
        <w:numPr>
          <w:ilvl w:val="0"/>
          <w:numId w:val="46"/>
        </w:numPr>
        <w:spacing w:before="0" w:after="0"/>
        <w:contextualSpacing/>
      </w:pPr>
      <w:r>
        <w:lastRenderedPageBreak/>
        <w:t xml:space="preserve">Perceived negative aspects of planning process </w:t>
      </w:r>
      <w:r w:rsidR="006C65AA">
        <w:t xml:space="preserve">leading to s100, </w:t>
      </w:r>
      <w:r>
        <w:t xml:space="preserve">including unfair decisions, lack of planner training, communication style </w:t>
      </w:r>
    </w:p>
    <w:p w14:paraId="647FC807" w14:textId="77777777" w:rsidR="000F60FA" w:rsidRDefault="000F60FA" w:rsidP="000705FE">
      <w:pPr>
        <w:pStyle w:val="ListParagraph"/>
        <w:numPr>
          <w:ilvl w:val="0"/>
          <w:numId w:val="46"/>
        </w:numPr>
        <w:spacing w:before="0" w:after="0"/>
        <w:contextualSpacing/>
      </w:pPr>
      <w:r>
        <w:t xml:space="preserve">Factors contributing to S100 reviews escalating to AAT </w:t>
      </w:r>
    </w:p>
    <w:p w14:paraId="1529AE28" w14:textId="77777777" w:rsidR="000F60FA" w:rsidRDefault="000F60FA" w:rsidP="000705FE">
      <w:pPr>
        <w:pStyle w:val="ListParagraph"/>
        <w:numPr>
          <w:ilvl w:val="0"/>
          <w:numId w:val="46"/>
        </w:numPr>
        <w:spacing w:before="0" w:after="0"/>
        <w:contextualSpacing/>
      </w:pPr>
      <w:r>
        <w:t>Possible improvements to internal reviews</w:t>
      </w:r>
    </w:p>
    <w:p w14:paraId="7B0AE070" w14:textId="760ED4A7" w:rsidR="000F60FA" w:rsidRDefault="000F60FA" w:rsidP="000705FE">
      <w:pPr>
        <w:pStyle w:val="ListParagraph"/>
        <w:numPr>
          <w:ilvl w:val="0"/>
          <w:numId w:val="46"/>
        </w:numPr>
        <w:spacing w:before="0" w:after="0"/>
        <w:contextualSpacing/>
      </w:pPr>
      <w:r>
        <w:t>Barriers to participants’ engagement in the review process</w:t>
      </w:r>
      <w:r w:rsidR="00DE50AA">
        <w:t>.</w:t>
      </w:r>
    </w:p>
    <w:p w14:paraId="6B511375" w14:textId="77777777" w:rsidR="000F60FA" w:rsidRDefault="000F60FA" w:rsidP="000F60FA">
      <w:pPr>
        <w:spacing w:before="0" w:after="200" w:line="276" w:lineRule="auto"/>
      </w:pPr>
      <w:r>
        <w:br w:type="page"/>
      </w:r>
    </w:p>
    <w:p w14:paraId="20646990" w14:textId="77777777" w:rsidR="000F60FA" w:rsidRDefault="000F60FA" w:rsidP="00157F82">
      <w:pPr>
        <w:pStyle w:val="AppendixH4"/>
      </w:pPr>
      <w:r>
        <w:lastRenderedPageBreak/>
        <w:t>IERP / ADR</w:t>
      </w:r>
    </w:p>
    <w:p w14:paraId="47328F1B" w14:textId="77777777" w:rsidR="000F60FA" w:rsidRDefault="000F60FA" w:rsidP="000705FE">
      <w:pPr>
        <w:pStyle w:val="ListParagraph"/>
        <w:numPr>
          <w:ilvl w:val="0"/>
          <w:numId w:val="46"/>
        </w:numPr>
        <w:spacing w:before="0" w:after="0"/>
        <w:contextualSpacing/>
      </w:pPr>
      <w:r>
        <w:t xml:space="preserve">Benefits of the IERP </w:t>
      </w:r>
    </w:p>
    <w:p w14:paraId="79A8D7D2" w14:textId="77777777" w:rsidR="000F60FA" w:rsidRDefault="000F60FA" w:rsidP="000705FE">
      <w:pPr>
        <w:pStyle w:val="ListParagraph"/>
        <w:numPr>
          <w:ilvl w:val="0"/>
          <w:numId w:val="46"/>
        </w:numPr>
        <w:spacing w:before="0" w:after="0"/>
        <w:contextualSpacing/>
      </w:pPr>
      <w:r>
        <w:t>Desirable qualities of the independent experts</w:t>
      </w:r>
    </w:p>
    <w:p w14:paraId="5D6C8B66" w14:textId="77777777" w:rsidR="000F60FA" w:rsidRDefault="000F60FA" w:rsidP="000705FE">
      <w:pPr>
        <w:pStyle w:val="ListParagraph"/>
        <w:numPr>
          <w:ilvl w:val="0"/>
          <w:numId w:val="46"/>
        </w:numPr>
        <w:spacing w:before="0" w:after="0"/>
        <w:contextualSpacing/>
      </w:pPr>
      <w:r>
        <w:t>Essential and proposed features of the IER process</w:t>
      </w:r>
    </w:p>
    <w:p w14:paraId="282CA87D" w14:textId="17000599" w:rsidR="000F60FA" w:rsidRDefault="000F60FA" w:rsidP="000705FE">
      <w:pPr>
        <w:pStyle w:val="ListParagraph"/>
        <w:numPr>
          <w:ilvl w:val="0"/>
          <w:numId w:val="46"/>
        </w:numPr>
        <w:spacing w:before="0" w:after="0"/>
        <w:contextualSpacing/>
      </w:pPr>
      <w:r>
        <w:t>Negative aspects of the IERP</w:t>
      </w:r>
      <w:r w:rsidR="00DE50AA">
        <w:t>.</w:t>
      </w:r>
      <w:r>
        <w:t xml:space="preserve">  </w:t>
      </w:r>
    </w:p>
    <w:p w14:paraId="5448947B" w14:textId="77777777" w:rsidR="000F60FA" w:rsidRDefault="000F60FA" w:rsidP="00157F82">
      <w:pPr>
        <w:pStyle w:val="AppendixH4"/>
      </w:pPr>
      <w:r>
        <w:t xml:space="preserve">Satisfaction with IERP </w:t>
      </w:r>
    </w:p>
    <w:p w14:paraId="7F75210D" w14:textId="77777777" w:rsidR="000F60FA" w:rsidRDefault="000F60FA" w:rsidP="000705FE">
      <w:pPr>
        <w:pStyle w:val="ListParagraph"/>
        <w:numPr>
          <w:ilvl w:val="0"/>
          <w:numId w:val="46"/>
        </w:numPr>
        <w:spacing w:before="0" w:after="0"/>
        <w:contextualSpacing/>
      </w:pPr>
      <w:r>
        <w:t xml:space="preserve">Low </w:t>
      </w:r>
    </w:p>
    <w:p w14:paraId="4B81DEEA" w14:textId="77777777" w:rsidR="000F60FA" w:rsidRDefault="000F60FA" w:rsidP="000705FE">
      <w:pPr>
        <w:pStyle w:val="ListParagraph"/>
        <w:numPr>
          <w:ilvl w:val="0"/>
          <w:numId w:val="46"/>
        </w:numPr>
        <w:spacing w:before="0" w:after="0"/>
        <w:contextualSpacing/>
      </w:pPr>
      <w:r>
        <w:t>Medium</w:t>
      </w:r>
    </w:p>
    <w:p w14:paraId="5051A620" w14:textId="0BFCDAF0" w:rsidR="000F60FA" w:rsidRDefault="000F60FA" w:rsidP="000705FE">
      <w:pPr>
        <w:pStyle w:val="ListParagraph"/>
        <w:numPr>
          <w:ilvl w:val="0"/>
          <w:numId w:val="46"/>
        </w:numPr>
        <w:spacing w:before="0" w:after="0"/>
        <w:contextualSpacing/>
      </w:pPr>
      <w:r>
        <w:t>High</w:t>
      </w:r>
      <w:r w:rsidR="00DE50AA">
        <w:t>.</w:t>
      </w:r>
    </w:p>
    <w:p w14:paraId="675F01C6" w14:textId="77777777" w:rsidR="000F60FA" w:rsidRDefault="000F60FA" w:rsidP="00157F82">
      <w:pPr>
        <w:pStyle w:val="AppendixH4"/>
      </w:pPr>
      <w:r>
        <w:t xml:space="preserve">Should the IERP continue? </w:t>
      </w:r>
    </w:p>
    <w:p w14:paraId="42D3F534" w14:textId="77777777" w:rsidR="000F60FA" w:rsidRDefault="000F60FA" w:rsidP="000705FE">
      <w:pPr>
        <w:pStyle w:val="ListParagraph"/>
        <w:numPr>
          <w:ilvl w:val="0"/>
          <w:numId w:val="46"/>
        </w:numPr>
        <w:spacing w:before="0" w:after="0"/>
        <w:contextualSpacing/>
      </w:pPr>
      <w:r>
        <w:t>Yes</w:t>
      </w:r>
    </w:p>
    <w:p w14:paraId="5872916C" w14:textId="77777777" w:rsidR="000F60FA" w:rsidRDefault="000F60FA" w:rsidP="000705FE">
      <w:pPr>
        <w:pStyle w:val="ListParagraph"/>
        <w:numPr>
          <w:ilvl w:val="0"/>
          <w:numId w:val="46"/>
        </w:numPr>
        <w:spacing w:before="0" w:after="0"/>
        <w:contextualSpacing/>
      </w:pPr>
      <w:r>
        <w:t>No</w:t>
      </w:r>
    </w:p>
    <w:p w14:paraId="3E41CBA7" w14:textId="1FBD752A" w:rsidR="000F60FA" w:rsidRDefault="000F60FA" w:rsidP="000705FE">
      <w:pPr>
        <w:pStyle w:val="ListParagraph"/>
        <w:numPr>
          <w:ilvl w:val="0"/>
          <w:numId w:val="46"/>
        </w:numPr>
        <w:spacing w:before="0" w:after="0"/>
        <w:contextualSpacing/>
      </w:pPr>
      <w:r>
        <w:t>Impartial or yes, but with improvements</w:t>
      </w:r>
      <w:r w:rsidR="00DE50AA">
        <w:t>.</w:t>
      </w:r>
    </w:p>
    <w:p w14:paraId="7D2EA353" w14:textId="77777777" w:rsidR="000F60FA" w:rsidRDefault="000F60FA" w:rsidP="00157F82">
      <w:pPr>
        <w:pStyle w:val="AppendixH4"/>
      </w:pPr>
      <w:r>
        <w:t>General comments about the NDIA</w:t>
      </w:r>
    </w:p>
    <w:p w14:paraId="013CA94F" w14:textId="43E6122E" w:rsidR="000F60FA" w:rsidRDefault="000F60FA" w:rsidP="000705FE">
      <w:pPr>
        <w:pStyle w:val="ListParagraph"/>
        <w:numPr>
          <w:ilvl w:val="0"/>
          <w:numId w:val="46"/>
        </w:numPr>
        <w:spacing w:before="0" w:after="0"/>
        <w:contextualSpacing/>
      </w:pPr>
      <w:r>
        <w:t xml:space="preserve">Improvements needed including adopting a precedent model so participants can benefit from previous AAT decisions, culture of </w:t>
      </w:r>
      <w:r w:rsidR="00A57A7A">
        <w:t>A</w:t>
      </w:r>
      <w:r>
        <w:t xml:space="preserve">gency, improvements to ensure CALD groups are </w:t>
      </w:r>
      <w:r w:rsidR="00A57A7A">
        <w:t xml:space="preserve">better </w:t>
      </w:r>
      <w:r>
        <w:t xml:space="preserve">able to </w:t>
      </w:r>
      <w:r w:rsidR="00A57A7A">
        <w:t>dispute decisions</w:t>
      </w:r>
    </w:p>
    <w:p w14:paraId="0F37DC72" w14:textId="5B9DE090" w:rsidR="000F60FA" w:rsidRDefault="000F60FA" w:rsidP="000705FE">
      <w:pPr>
        <w:pStyle w:val="ListParagraph"/>
        <w:numPr>
          <w:ilvl w:val="0"/>
          <w:numId w:val="46"/>
        </w:numPr>
        <w:spacing w:before="0" w:after="0"/>
        <w:contextualSpacing/>
      </w:pPr>
      <w:r>
        <w:t>Barriers to NDIS access</w:t>
      </w:r>
    </w:p>
    <w:p w14:paraId="6D10C35A" w14:textId="77777777" w:rsidR="000F60FA" w:rsidRDefault="000F60FA" w:rsidP="000705FE">
      <w:pPr>
        <w:pStyle w:val="ListParagraph"/>
        <w:numPr>
          <w:ilvl w:val="0"/>
          <w:numId w:val="46"/>
        </w:numPr>
        <w:spacing w:before="0" w:after="0"/>
        <w:contextualSpacing/>
      </w:pPr>
      <w:r>
        <w:t>Challenges around navigating the NDIS.</w:t>
      </w:r>
    </w:p>
    <w:p w14:paraId="3723330B" w14:textId="52BCD173" w:rsidR="000F60FA" w:rsidRDefault="000F60FA" w:rsidP="000705FE">
      <w:pPr>
        <w:pStyle w:val="ListParagraph"/>
        <w:numPr>
          <w:ilvl w:val="0"/>
          <w:numId w:val="46"/>
        </w:numPr>
        <w:spacing w:before="0" w:after="0"/>
        <w:contextualSpacing/>
      </w:pPr>
      <w:r>
        <w:t>Access to advocacy services and the role of advocates</w:t>
      </w:r>
    </w:p>
    <w:p w14:paraId="5C69F90C" w14:textId="77777777" w:rsidR="000F60FA" w:rsidRDefault="000F60FA" w:rsidP="000705FE">
      <w:pPr>
        <w:pStyle w:val="ListParagraph"/>
        <w:numPr>
          <w:ilvl w:val="0"/>
          <w:numId w:val="46"/>
        </w:numPr>
        <w:spacing w:before="0" w:after="0"/>
        <w:contextualSpacing/>
      </w:pPr>
      <w:r>
        <w:t>Role of providers.</w:t>
      </w:r>
    </w:p>
    <w:p w14:paraId="68842935" w14:textId="77777777" w:rsidR="000F60FA" w:rsidRDefault="000F60FA" w:rsidP="000F60FA"/>
    <w:p w14:paraId="312DCD04" w14:textId="77777777" w:rsidR="000F60FA" w:rsidRDefault="000F60FA" w:rsidP="000F60FA">
      <w:pPr>
        <w:spacing w:before="0" w:after="200" w:line="276" w:lineRule="auto"/>
      </w:pPr>
      <w:r>
        <w:br w:type="page"/>
      </w:r>
    </w:p>
    <w:p w14:paraId="451EE879" w14:textId="77777777" w:rsidR="000F60FA" w:rsidRDefault="000F60FA" w:rsidP="00EB3D5D">
      <w:pPr>
        <w:pStyle w:val="Heading3"/>
        <w:numPr>
          <w:ilvl w:val="0"/>
          <w:numId w:val="0"/>
        </w:numPr>
        <w:ind w:left="1134" w:hanging="1134"/>
      </w:pPr>
      <w:bookmarkStart w:id="199" w:name="_Toc140146270"/>
      <w:bookmarkStart w:id="200" w:name="_Toc140148939"/>
      <w:bookmarkStart w:id="201" w:name="_Toc140157523"/>
      <w:bookmarkStart w:id="202" w:name="_Toc142483301"/>
      <w:bookmarkStart w:id="203" w:name="_Toc142918630"/>
      <w:r>
        <w:lastRenderedPageBreak/>
        <w:t>Independent experts</w:t>
      </w:r>
      <w:bookmarkEnd w:id="199"/>
      <w:bookmarkEnd w:id="200"/>
      <w:bookmarkEnd w:id="201"/>
      <w:bookmarkEnd w:id="202"/>
      <w:bookmarkEnd w:id="203"/>
    </w:p>
    <w:p w14:paraId="4DC93183" w14:textId="77777777" w:rsidR="000F60FA" w:rsidRPr="002D78D4" w:rsidRDefault="000F60FA" w:rsidP="00157F82">
      <w:pPr>
        <w:pStyle w:val="AppendixH4"/>
      </w:pPr>
      <w:r>
        <w:t>Familiarity working with NDIS</w:t>
      </w:r>
    </w:p>
    <w:p w14:paraId="3A7D5A56" w14:textId="77777777" w:rsidR="000F60FA" w:rsidRDefault="000F60FA" w:rsidP="000705FE">
      <w:pPr>
        <w:pStyle w:val="BodyText1"/>
        <w:numPr>
          <w:ilvl w:val="6"/>
          <w:numId w:val="40"/>
        </w:numPr>
        <w:spacing w:before="60" w:after="60"/>
        <w:ind w:left="709" w:hanging="709"/>
        <w:rPr>
          <w:lang w:eastAsia="ja-JP"/>
        </w:rPr>
      </w:pPr>
      <w:r>
        <w:rPr>
          <w:lang w:eastAsia="ja-JP"/>
        </w:rPr>
        <w:t xml:space="preserve">Low familiarity </w:t>
      </w:r>
    </w:p>
    <w:p w14:paraId="75FF76B9" w14:textId="77777777" w:rsidR="000F60FA" w:rsidRDefault="000F60FA" w:rsidP="000705FE">
      <w:pPr>
        <w:pStyle w:val="BodyText1"/>
        <w:numPr>
          <w:ilvl w:val="6"/>
          <w:numId w:val="40"/>
        </w:numPr>
        <w:spacing w:before="60" w:after="60"/>
        <w:ind w:left="709" w:hanging="709"/>
        <w:rPr>
          <w:lang w:eastAsia="ja-JP"/>
        </w:rPr>
      </w:pPr>
      <w:r>
        <w:rPr>
          <w:lang w:eastAsia="ja-JP"/>
        </w:rPr>
        <w:t>Moderate familiarity</w:t>
      </w:r>
    </w:p>
    <w:p w14:paraId="647A7D1C" w14:textId="5D5DCAA7" w:rsidR="000F60FA" w:rsidRDefault="000F60FA" w:rsidP="000705FE">
      <w:pPr>
        <w:pStyle w:val="BodyText1"/>
        <w:numPr>
          <w:ilvl w:val="6"/>
          <w:numId w:val="40"/>
        </w:numPr>
        <w:spacing w:before="60" w:after="60"/>
        <w:ind w:left="709" w:hanging="709"/>
        <w:rPr>
          <w:lang w:eastAsia="ja-JP"/>
        </w:rPr>
      </w:pPr>
      <w:r>
        <w:rPr>
          <w:lang w:eastAsia="ja-JP"/>
        </w:rPr>
        <w:t>High familiarity</w:t>
      </w:r>
      <w:r w:rsidR="00DE50AA">
        <w:rPr>
          <w:lang w:eastAsia="ja-JP"/>
        </w:rPr>
        <w:t>.</w:t>
      </w:r>
    </w:p>
    <w:p w14:paraId="4A1E7636" w14:textId="77777777" w:rsidR="000F60FA" w:rsidRPr="002D78D4" w:rsidRDefault="000F60FA" w:rsidP="00157F82">
      <w:pPr>
        <w:pStyle w:val="AppendixH4"/>
      </w:pPr>
      <w:r>
        <w:t>Experience in disability sector</w:t>
      </w:r>
    </w:p>
    <w:p w14:paraId="0DA9C3B2" w14:textId="77777777" w:rsidR="000F60FA" w:rsidRDefault="000F60FA" w:rsidP="000705FE">
      <w:pPr>
        <w:pStyle w:val="BodyText1"/>
        <w:numPr>
          <w:ilvl w:val="6"/>
          <w:numId w:val="40"/>
        </w:numPr>
        <w:spacing w:before="60" w:after="60"/>
        <w:ind w:left="709" w:hanging="709"/>
        <w:rPr>
          <w:lang w:eastAsia="ja-JP"/>
        </w:rPr>
      </w:pPr>
      <w:r>
        <w:rPr>
          <w:lang w:eastAsia="ja-JP"/>
        </w:rPr>
        <w:t>Low experience</w:t>
      </w:r>
    </w:p>
    <w:p w14:paraId="44C5417B" w14:textId="77777777" w:rsidR="000F60FA" w:rsidRDefault="000F60FA" w:rsidP="000705FE">
      <w:pPr>
        <w:pStyle w:val="BodyText1"/>
        <w:numPr>
          <w:ilvl w:val="6"/>
          <w:numId w:val="40"/>
        </w:numPr>
        <w:spacing w:before="60" w:after="60"/>
        <w:ind w:left="709" w:hanging="709"/>
        <w:rPr>
          <w:lang w:eastAsia="ja-JP"/>
        </w:rPr>
      </w:pPr>
      <w:r>
        <w:rPr>
          <w:lang w:eastAsia="ja-JP"/>
        </w:rPr>
        <w:t>Moderate experience</w:t>
      </w:r>
    </w:p>
    <w:p w14:paraId="5E6DDFE7" w14:textId="2BB8F1EA" w:rsidR="000F60FA" w:rsidRDefault="000F60FA" w:rsidP="000705FE">
      <w:pPr>
        <w:pStyle w:val="BodyText1"/>
        <w:numPr>
          <w:ilvl w:val="6"/>
          <w:numId w:val="40"/>
        </w:numPr>
        <w:spacing w:before="60" w:after="60"/>
        <w:ind w:left="709" w:hanging="709"/>
        <w:rPr>
          <w:lang w:eastAsia="ja-JP"/>
        </w:rPr>
      </w:pPr>
      <w:r>
        <w:rPr>
          <w:lang w:eastAsia="ja-JP"/>
        </w:rPr>
        <w:t>High experience</w:t>
      </w:r>
      <w:r w:rsidR="00DE50AA">
        <w:rPr>
          <w:lang w:eastAsia="ja-JP"/>
        </w:rPr>
        <w:t>.</w:t>
      </w:r>
    </w:p>
    <w:p w14:paraId="3833810D" w14:textId="77777777" w:rsidR="000F60FA" w:rsidRPr="002D78D4" w:rsidRDefault="000F60FA" w:rsidP="00157F82">
      <w:pPr>
        <w:pStyle w:val="AppendixH4"/>
      </w:pPr>
      <w:r>
        <w:t>Satisfaction with the IERP</w:t>
      </w:r>
    </w:p>
    <w:p w14:paraId="2AEAAB49" w14:textId="77777777" w:rsidR="000F60FA" w:rsidRDefault="000F60FA" w:rsidP="000705FE">
      <w:pPr>
        <w:pStyle w:val="BodyText1"/>
        <w:numPr>
          <w:ilvl w:val="6"/>
          <w:numId w:val="40"/>
        </w:numPr>
        <w:spacing w:before="60" w:after="60"/>
        <w:ind w:left="709" w:hanging="709"/>
        <w:rPr>
          <w:lang w:eastAsia="ja-JP"/>
        </w:rPr>
      </w:pPr>
      <w:r>
        <w:rPr>
          <w:lang w:eastAsia="ja-JP"/>
        </w:rPr>
        <w:t>Low satisfaction</w:t>
      </w:r>
    </w:p>
    <w:p w14:paraId="07B9E803" w14:textId="77777777" w:rsidR="000F60FA" w:rsidRDefault="000F60FA" w:rsidP="000705FE">
      <w:pPr>
        <w:pStyle w:val="BodyText1"/>
        <w:numPr>
          <w:ilvl w:val="6"/>
          <w:numId w:val="40"/>
        </w:numPr>
        <w:spacing w:before="60" w:after="60"/>
        <w:ind w:left="709" w:hanging="709"/>
        <w:rPr>
          <w:lang w:eastAsia="ja-JP"/>
        </w:rPr>
      </w:pPr>
      <w:r>
        <w:rPr>
          <w:lang w:eastAsia="ja-JP"/>
        </w:rPr>
        <w:t>Moderate satisfaction</w:t>
      </w:r>
    </w:p>
    <w:p w14:paraId="0206826D" w14:textId="4A2A4873" w:rsidR="000F60FA" w:rsidRDefault="000F60FA" w:rsidP="000705FE">
      <w:pPr>
        <w:pStyle w:val="BodyText1"/>
        <w:numPr>
          <w:ilvl w:val="6"/>
          <w:numId w:val="40"/>
        </w:numPr>
        <w:spacing w:before="60" w:after="60"/>
        <w:ind w:left="709" w:hanging="709"/>
        <w:rPr>
          <w:lang w:eastAsia="ja-JP"/>
        </w:rPr>
      </w:pPr>
      <w:r>
        <w:rPr>
          <w:lang w:eastAsia="ja-JP"/>
        </w:rPr>
        <w:t>High satisfaction</w:t>
      </w:r>
      <w:r w:rsidR="00DE50AA">
        <w:rPr>
          <w:lang w:eastAsia="ja-JP"/>
        </w:rPr>
        <w:t>.</w:t>
      </w:r>
    </w:p>
    <w:p w14:paraId="4EC64013" w14:textId="77777777" w:rsidR="000F60FA" w:rsidRPr="002D78D4" w:rsidRDefault="000F60FA" w:rsidP="00157F82">
      <w:pPr>
        <w:pStyle w:val="AppendixH4"/>
      </w:pPr>
      <w:r>
        <w:t>Current dispute resolution process issues</w:t>
      </w:r>
    </w:p>
    <w:p w14:paraId="269506C0" w14:textId="0DDE1894" w:rsidR="000F60FA" w:rsidRDefault="000F60FA" w:rsidP="000705FE">
      <w:pPr>
        <w:pStyle w:val="BodyText1"/>
        <w:numPr>
          <w:ilvl w:val="6"/>
          <w:numId w:val="40"/>
        </w:numPr>
        <w:spacing w:before="60" w:after="60"/>
        <w:ind w:left="709" w:hanging="709"/>
        <w:rPr>
          <w:lang w:eastAsia="ja-JP"/>
        </w:rPr>
      </w:pPr>
      <w:r>
        <w:rPr>
          <w:lang w:eastAsia="ja-JP"/>
        </w:rPr>
        <w:t xml:space="preserve">Participant not being heard through lack of engagement </w:t>
      </w:r>
    </w:p>
    <w:p w14:paraId="3E30C92B" w14:textId="1C61A887" w:rsidR="000F60FA" w:rsidRDefault="000F60FA" w:rsidP="000705FE">
      <w:pPr>
        <w:pStyle w:val="BodyText1"/>
        <w:numPr>
          <w:ilvl w:val="6"/>
          <w:numId w:val="40"/>
        </w:numPr>
        <w:spacing w:before="60" w:after="60"/>
        <w:ind w:left="709" w:hanging="709"/>
        <w:rPr>
          <w:lang w:eastAsia="ja-JP"/>
        </w:rPr>
      </w:pPr>
      <w:r>
        <w:rPr>
          <w:lang w:eastAsia="ja-JP"/>
        </w:rPr>
        <w:t xml:space="preserve">Language use too complex for participants to </w:t>
      </w:r>
      <w:r w:rsidR="003C35A5">
        <w:rPr>
          <w:lang w:eastAsia="ja-JP"/>
        </w:rPr>
        <w:t>understand</w:t>
      </w:r>
      <w:r>
        <w:rPr>
          <w:lang w:eastAsia="ja-JP"/>
        </w:rPr>
        <w:t xml:space="preserve"> </w:t>
      </w:r>
    </w:p>
    <w:p w14:paraId="70A25328" w14:textId="698B16D0" w:rsidR="000F60FA" w:rsidRDefault="000F60FA" w:rsidP="000705FE">
      <w:pPr>
        <w:pStyle w:val="BodyText1"/>
        <w:numPr>
          <w:ilvl w:val="6"/>
          <w:numId w:val="40"/>
        </w:numPr>
        <w:spacing w:before="60" w:after="60"/>
        <w:ind w:left="709" w:hanging="709"/>
        <w:rPr>
          <w:lang w:eastAsia="ja-JP"/>
        </w:rPr>
      </w:pPr>
      <w:r>
        <w:rPr>
          <w:lang w:eastAsia="ja-JP"/>
        </w:rPr>
        <w:t>Too much administration required and duplication of content in documents</w:t>
      </w:r>
    </w:p>
    <w:p w14:paraId="1E5D0BE3" w14:textId="17F70640" w:rsidR="000F60FA" w:rsidRDefault="000F60FA" w:rsidP="000705FE">
      <w:pPr>
        <w:pStyle w:val="BodyText1"/>
        <w:numPr>
          <w:ilvl w:val="6"/>
          <w:numId w:val="40"/>
        </w:numPr>
        <w:spacing w:before="60" w:after="60"/>
        <w:ind w:left="709" w:hanging="709"/>
        <w:rPr>
          <w:lang w:eastAsia="ja-JP"/>
        </w:rPr>
      </w:pPr>
      <w:r>
        <w:rPr>
          <w:lang w:eastAsia="ja-JP"/>
        </w:rPr>
        <w:t xml:space="preserve">Financial pressure on the Scheme </w:t>
      </w:r>
    </w:p>
    <w:p w14:paraId="729DBBBC" w14:textId="6797E389" w:rsidR="000F60FA" w:rsidRDefault="000F60FA" w:rsidP="000705FE">
      <w:pPr>
        <w:pStyle w:val="BodyText1"/>
        <w:numPr>
          <w:ilvl w:val="6"/>
          <w:numId w:val="40"/>
        </w:numPr>
        <w:spacing w:before="60" w:after="60"/>
        <w:ind w:left="709" w:hanging="709"/>
        <w:rPr>
          <w:lang w:eastAsia="ja-JP"/>
        </w:rPr>
      </w:pPr>
      <w:r>
        <w:rPr>
          <w:lang w:eastAsia="ja-JP"/>
        </w:rPr>
        <w:t xml:space="preserve">Inconsistency </w:t>
      </w:r>
      <w:r w:rsidR="00D74358">
        <w:rPr>
          <w:lang w:eastAsia="ja-JP"/>
        </w:rPr>
        <w:t>makes</w:t>
      </w:r>
      <w:r>
        <w:rPr>
          <w:lang w:eastAsia="ja-JP"/>
        </w:rPr>
        <w:t xml:space="preserve"> some cohorts more or less likely to object to plan decisions.</w:t>
      </w:r>
    </w:p>
    <w:p w14:paraId="283804F3" w14:textId="77777777" w:rsidR="000F60FA" w:rsidRPr="002D78D4" w:rsidRDefault="000F60FA" w:rsidP="00157F82">
      <w:pPr>
        <w:pStyle w:val="AppendixH4"/>
      </w:pPr>
      <w:r>
        <w:t>Challenges faced by independent experts</w:t>
      </w:r>
    </w:p>
    <w:p w14:paraId="08229641" w14:textId="7AB7932C" w:rsidR="000F60FA" w:rsidRDefault="000F60FA" w:rsidP="000705FE">
      <w:pPr>
        <w:pStyle w:val="BodyText1"/>
        <w:numPr>
          <w:ilvl w:val="6"/>
          <w:numId w:val="40"/>
        </w:numPr>
        <w:spacing w:before="60" w:after="60"/>
        <w:ind w:left="709" w:hanging="709"/>
        <w:rPr>
          <w:lang w:eastAsia="ja-JP"/>
        </w:rPr>
      </w:pPr>
      <w:r>
        <w:rPr>
          <w:lang w:eastAsia="ja-JP"/>
        </w:rPr>
        <w:t xml:space="preserve">Protracted process due to scheduling issues or independent expert taking longer than expected to submit recommendations </w:t>
      </w:r>
    </w:p>
    <w:p w14:paraId="31EAE307" w14:textId="77777777" w:rsidR="000F60FA" w:rsidRDefault="000F60FA" w:rsidP="000705FE">
      <w:pPr>
        <w:pStyle w:val="BodyText1"/>
        <w:numPr>
          <w:ilvl w:val="6"/>
          <w:numId w:val="40"/>
        </w:numPr>
        <w:spacing w:before="60" w:after="60"/>
        <w:ind w:left="709" w:hanging="709"/>
        <w:rPr>
          <w:lang w:eastAsia="ja-JP"/>
        </w:rPr>
      </w:pPr>
      <w:r>
        <w:rPr>
          <w:lang w:eastAsia="ja-JP"/>
        </w:rPr>
        <w:t xml:space="preserve">Quality of independent experts lacking in legal experience </w:t>
      </w:r>
    </w:p>
    <w:p w14:paraId="1B144BDA" w14:textId="6F95FB96" w:rsidR="000F60FA" w:rsidRDefault="000F60FA" w:rsidP="000705FE">
      <w:pPr>
        <w:pStyle w:val="BodyText1"/>
        <w:numPr>
          <w:ilvl w:val="6"/>
          <w:numId w:val="40"/>
        </w:numPr>
        <w:spacing w:before="60" w:after="60"/>
        <w:ind w:left="709" w:hanging="709"/>
        <w:rPr>
          <w:lang w:eastAsia="ja-JP"/>
        </w:rPr>
      </w:pPr>
      <w:r>
        <w:rPr>
          <w:lang w:eastAsia="ja-JP"/>
        </w:rPr>
        <w:t>Independent experts wanting to consult with each other or seeking mentorship</w:t>
      </w:r>
    </w:p>
    <w:p w14:paraId="74AEA888" w14:textId="08E7E30A" w:rsidR="000F60FA" w:rsidRDefault="000F60FA" w:rsidP="000705FE">
      <w:pPr>
        <w:pStyle w:val="BodyText1"/>
        <w:numPr>
          <w:ilvl w:val="6"/>
          <w:numId w:val="40"/>
        </w:numPr>
        <w:spacing w:before="60" w:after="60"/>
        <w:ind w:left="709" w:hanging="709"/>
        <w:rPr>
          <w:lang w:eastAsia="ja-JP"/>
        </w:rPr>
      </w:pPr>
      <w:r>
        <w:rPr>
          <w:lang w:eastAsia="ja-JP"/>
        </w:rPr>
        <w:t xml:space="preserve">Concerns around </w:t>
      </w:r>
      <w:r w:rsidR="0017060E">
        <w:rPr>
          <w:lang w:eastAsia="ja-JP"/>
        </w:rPr>
        <w:t>correct process -</w:t>
      </w:r>
      <w:r w:rsidR="00DE50AA">
        <w:rPr>
          <w:lang w:eastAsia="ja-JP"/>
        </w:rPr>
        <w:t xml:space="preserve"> </w:t>
      </w:r>
      <w:r w:rsidR="004216B8">
        <w:rPr>
          <w:lang w:eastAsia="ja-JP"/>
        </w:rPr>
        <w:t>independence</w:t>
      </w:r>
      <w:r>
        <w:rPr>
          <w:lang w:eastAsia="ja-JP"/>
        </w:rPr>
        <w:t xml:space="preserve"> when independent experts want to discuss cases externally</w:t>
      </w:r>
      <w:r w:rsidR="00397D16">
        <w:rPr>
          <w:lang w:eastAsia="ja-JP"/>
        </w:rPr>
        <w:t xml:space="preserve">, </w:t>
      </w:r>
      <w:r w:rsidR="00B7237D">
        <w:rPr>
          <w:lang w:eastAsia="ja-JP"/>
        </w:rPr>
        <w:t xml:space="preserve">no capacity to </w:t>
      </w:r>
      <w:r>
        <w:rPr>
          <w:lang w:eastAsia="ja-JP"/>
        </w:rPr>
        <w:t>test evidence</w:t>
      </w:r>
      <w:r w:rsidR="00B7237D">
        <w:rPr>
          <w:lang w:eastAsia="ja-JP"/>
        </w:rPr>
        <w:t>, procedural fairness</w:t>
      </w:r>
      <w:r>
        <w:rPr>
          <w:lang w:eastAsia="ja-JP"/>
        </w:rPr>
        <w:t>.</w:t>
      </w:r>
    </w:p>
    <w:p w14:paraId="6B846E67" w14:textId="77777777" w:rsidR="000F60FA" w:rsidRPr="002D78D4" w:rsidRDefault="000F60FA" w:rsidP="00157F82">
      <w:pPr>
        <w:pStyle w:val="AppendixH4"/>
      </w:pPr>
      <w:r>
        <w:lastRenderedPageBreak/>
        <w:t xml:space="preserve">Recommendations for improving IERP </w:t>
      </w:r>
    </w:p>
    <w:p w14:paraId="528C4F24" w14:textId="77777777" w:rsidR="000F60FA" w:rsidRDefault="000F60FA" w:rsidP="000705FE">
      <w:pPr>
        <w:pStyle w:val="BodyText1"/>
        <w:numPr>
          <w:ilvl w:val="6"/>
          <w:numId w:val="40"/>
        </w:numPr>
        <w:spacing w:before="60" w:after="60"/>
        <w:ind w:left="709" w:hanging="709"/>
        <w:rPr>
          <w:lang w:eastAsia="ja-JP"/>
        </w:rPr>
      </w:pPr>
      <w:r>
        <w:rPr>
          <w:lang w:eastAsia="ja-JP"/>
        </w:rPr>
        <w:t>Mediation between Agency, independent expert, advocate and participant a good idea</w:t>
      </w:r>
    </w:p>
    <w:p w14:paraId="6BC4FD4E" w14:textId="77777777" w:rsidR="000F60FA" w:rsidRDefault="000F60FA" w:rsidP="000705FE">
      <w:pPr>
        <w:pStyle w:val="BodyText1"/>
        <w:numPr>
          <w:ilvl w:val="6"/>
          <w:numId w:val="40"/>
        </w:numPr>
        <w:spacing w:before="60" w:after="60"/>
        <w:ind w:left="709" w:hanging="709"/>
        <w:rPr>
          <w:lang w:eastAsia="ja-JP"/>
        </w:rPr>
      </w:pPr>
      <w:r>
        <w:rPr>
          <w:lang w:eastAsia="ja-JP"/>
        </w:rPr>
        <w:t>Mediation between Agency, independent expert, advocate and participant not a good idea</w:t>
      </w:r>
    </w:p>
    <w:p w14:paraId="7F368262" w14:textId="77777777" w:rsidR="000F60FA" w:rsidRDefault="000F60FA" w:rsidP="000705FE">
      <w:pPr>
        <w:pStyle w:val="BodyText1"/>
        <w:numPr>
          <w:ilvl w:val="6"/>
          <w:numId w:val="40"/>
        </w:numPr>
        <w:spacing w:before="60" w:after="60"/>
        <w:ind w:left="709" w:hanging="709"/>
        <w:rPr>
          <w:lang w:eastAsia="ja-JP"/>
        </w:rPr>
      </w:pPr>
      <w:r>
        <w:rPr>
          <w:lang w:eastAsia="ja-JP"/>
        </w:rPr>
        <w:t>Feedback loop where results of cases are shared with independent experts for transparency and continuous learning.</w:t>
      </w:r>
    </w:p>
    <w:p w14:paraId="0E8024DA" w14:textId="77777777" w:rsidR="005E2AC4" w:rsidRDefault="005E2AC4" w:rsidP="005E2AC4">
      <w:pPr>
        <w:pStyle w:val="BodyText1"/>
        <w:spacing w:before="60" w:after="60"/>
        <w:ind w:left="709"/>
        <w:rPr>
          <w:lang w:eastAsia="ja-JP"/>
        </w:rPr>
      </w:pPr>
    </w:p>
    <w:p w14:paraId="6934DCEA" w14:textId="77777777" w:rsidR="000F60FA" w:rsidRPr="002D78D4" w:rsidRDefault="000F60FA" w:rsidP="00157F82">
      <w:pPr>
        <w:pStyle w:val="AppendixH4"/>
      </w:pPr>
      <w:r>
        <w:t>Guidelines and the NDIS provided to independent experts</w:t>
      </w:r>
    </w:p>
    <w:p w14:paraId="2C0BEBD4" w14:textId="67E1AC64" w:rsidR="000F60FA" w:rsidRDefault="000F60FA" w:rsidP="000705FE">
      <w:pPr>
        <w:pStyle w:val="BodyText1"/>
        <w:numPr>
          <w:ilvl w:val="6"/>
          <w:numId w:val="40"/>
        </w:numPr>
        <w:spacing w:before="60" w:after="60"/>
        <w:ind w:left="709" w:hanging="709"/>
        <w:rPr>
          <w:lang w:eastAsia="ja-JP"/>
        </w:rPr>
      </w:pPr>
      <w:r>
        <w:rPr>
          <w:lang w:eastAsia="ja-JP"/>
        </w:rPr>
        <w:t xml:space="preserve">Not specific or too complicated, allowing for inconsistent interpretation and difficult to apply </w:t>
      </w:r>
    </w:p>
    <w:p w14:paraId="6062F04A" w14:textId="579F5EC1" w:rsidR="000F60FA" w:rsidRDefault="000F60FA" w:rsidP="000705FE">
      <w:pPr>
        <w:pStyle w:val="BodyText1"/>
        <w:numPr>
          <w:ilvl w:val="6"/>
          <w:numId w:val="40"/>
        </w:numPr>
        <w:spacing w:before="60" w:after="60"/>
        <w:ind w:left="709" w:hanging="709"/>
        <w:rPr>
          <w:lang w:eastAsia="ja-JP"/>
        </w:rPr>
      </w:pPr>
      <w:r>
        <w:rPr>
          <w:lang w:eastAsia="ja-JP"/>
        </w:rPr>
        <w:t>Guidelines were specific enough and appropriate</w:t>
      </w:r>
    </w:p>
    <w:p w14:paraId="4EA943A3" w14:textId="77777777" w:rsidR="000F60FA" w:rsidRDefault="000F60FA" w:rsidP="000705FE">
      <w:pPr>
        <w:pStyle w:val="BodyText1"/>
        <w:numPr>
          <w:ilvl w:val="6"/>
          <w:numId w:val="40"/>
        </w:numPr>
        <w:spacing w:before="60" w:after="60"/>
        <w:ind w:left="709" w:hanging="709"/>
        <w:rPr>
          <w:lang w:eastAsia="ja-JP"/>
        </w:rPr>
      </w:pPr>
      <w:r>
        <w:rPr>
          <w:lang w:eastAsia="ja-JP"/>
        </w:rPr>
        <w:t>Concerns around clinicians’ interpretation of legislation</w:t>
      </w:r>
    </w:p>
    <w:p w14:paraId="4E94AE9D" w14:textId="77777777" w:rsidR="000F60FA" w:rsidRPr="003F002C" w:rsidRDefault="000F60FA" w:rsidP="000705FE">
      <w:pPr>
        <w:pStyle w:val="BodyText1"/>
        <w:numPr>
          <w:ilvl w:val="6"/>
          <w:numId w:val="40"/>
        </w:numPr>
        <w:spacing w:before="60" w:after="60"/>
        <w:ind w:left="709" w:hanging="709"/>
        <w:rPr>
          <w:lang w:eastAsia="ja-JP"/>
        </w:rPr>
      </w:pPr>
      <w:r w:rsidRPr="003F002C">
        <w:rPr>
          <w:lang w:eastAsia="ja-JP"/>
        </w:rPr>
        <w:t xml:space="preserve">Concerns around balancing Scheme sustainability and financial impact </w:t>
      </w:r>
    </w:p>
    <w:p w14:paraId="38FB942D" w14:textId="207F9C19" w:rsidR="000F60FA" w:rsidRPr="00704AE4" w:rsidRDefault="000F60FA" w:rsidP="000705FE">
      <w:pPr>
        <w:pStyle w:val="BodyText1"/>
        <w:numPr>
          <w:ilvl w:val="6"/>
          <w:numId w:val="40"/>
        </w:numPr>
        <w:spacing w:before="60" w:after="60"/>
        <w:ind w:left="709" w:hanging="709"/>
        <w:rPr>
          <w:color w:val="FF0000"/>
          <w:lang w:eastAsia="ja-JP"/>
        </w:rPr>
      </w:pPr>
      <w:r w:rsidRPr="00704AE4">
        <w:rPr>
          <w:lang w:eastAsia="ja-JP"/>
        </w:rPr>
        <w:t>Exampl</w:t>
      </w:r>
      <w:r>
        <w:rPr>
          <w:lang w:eastAsia="ja-JP"/>
        </w:rPr>
        <w:t xml:space="preserve">es of previous cases were helpful </w:t>
      </w:r>
    </w:p>
    <w:p w14:paraId="267065B4" w14:textId="28D80D3B" w:rsidR="000F60FA" w:rsidRDefault="000F60FA" w:rsidP="000705FE">
      <w:pPr>
        <w:pStyle w:val="BodyText1"/>
        <w:numPr>
          <w:ilvl w:val="6"/>
          <w:numId w:val="40"/>
        </w:numPr>
        <w:spacing w:before="60" w:after="60"/>
        <w:ind w:left="709" w:hanging="709"/>
        <w:rPr>
          <w:lang w:eastAsia="ja-JP"/>
        </w:rPr>
      </w:pPr>
      <w:r w:rsidRPr="00704AE4">
        <w:rPr>
          <w:lang w:eastAsia="ja-JP"/>
        </w:rPr>
        <w:t xml:space="preserve">Independent </w:t>
      </w:r>
      <w:r>
        <w:rPr>
          <w:lang w:eastAsia="ja-JP"/>
        </w:rPr>
        <w:t>expert made decision outside of guidelines with reasoning</w:t>
      </w:r>
    </w:p>
    <w:p w14:paraId="40FA7EAF" w14:textId="175D77FD" w:rsidR="000F60FA" w:rsidRDefault="000F60FA" w:rsidP="000705FE">
      <w:pPr>
        <w:pStyle w:val="BodyText1"/>
        <w:numPr>
          <w:ilvl w:val="6"/>
          <w:numId w:val="40"/>
        </w:numPr>
        <w:spacing w:before="60" w:after="60"/>
        <w:ind w:left="709" w:hanging="709"/>
        <w:rPr>
          <w:lang w:eastAsia="ja-JP"/>
        </w:rPr>
      </w:pPr>
      <w:r>
        <w:rPr>
          <w:lang w:eastAsia="ja-JP"/>
        </w:rPr>
        <w:t>Guidance materials were inconsistent</w:t>
      </w:r>
      <w:r w:rsidR="00DE50AA">
        <w:rPr>
          <w:lang w:eastAsia="ja-JP"/>
        </w:rPr>
        <w:t>.</w:t>
      </w:r>
    </w:p>
    <w:p w14:paraId="64DAE6AC" w14:textId="77777777" w:rsidR="000F60FA" w:rsidRPr="002D78D4" w:rsidRDefault="000F60FA" w:rsidP="00157F82">
      <w:pPr>
        <w:pStyle w:val="AppendixH4"/>
      </w:pPr>
      <w:r>
        <w:t>Issues at planning stages</w:t>
      </w:r>
    </w:p>
    <w:p w14:paraId="3CD0524A" w14:textId="1802F792" w:rsidR="000F60FA" w:rsidRDefault="000F60FA" w:rsidP="000705FE">
      <w:pPr>
        <w:pStyle w:val="BodyText1"/>
        <w:numPr>
          <w:ilvl w:val="6"/>
          <w:numId w:val="40"/>
        </w:numPr>
        <w:spacing w:before="60" w:after="60"/>
        <w:ind w:left="709" w:hanging="709"/>
        <w:rPr>
          <w:lang w:eastAsia="ja-JP"/>
        </w:rPr>
      </w:pPr>
      <w:r>
        <w:rPr>
          <w:lang w:eastAsia="ja-JP"/>
        </w:rPr>
        <w:t xml:space="preserve">Poor consistency over time of participant’s life </w:t>
      </w:r>
    </w:p>
    <w:p w14:paraId="1EF1B9C0" w14:textId="5B5608F4" w:rsidR="000F60FA" w:rsidRDefault="000F60FA" w:rsidP="000705FE">
      <w:pPr>
        <w:pStyle w:val="BodyText1"/>
        <w:numPr>
          <w:ilvl w:val="6"/>
          <w:numId w:val="40"/>
        </w:numPr>
        <w:spacing w:before="60" w:after="60"/>
        <w:ind w:left="709" w:hanging="709"/>
        <w:rPr>
          <w:lang w:eastAsia="ja-JP"/>
        </w:rPr>
      </w:pPr>
      <w:r>
        <w:rPr>
          <w:lang w:eastAsia="ja-JP"/>
        </w:rPr>
        <w:t>Limited explanation around decisions provided to participants</w:t>
      </w:r>
    </w:p>
    <w:p w14:paraId="3A6FBE90" w14:textId="50B44B18" w:rsidR="000F60FA" w:rsidRDefault="000F60FA" w:rsidP="000705FE">
      <w:pPr>
        <w:pStyle w:val="BodyText1"/>
        <w:numPr>
          <w:ilvl w:val="6"/>
          <w:numId w:val="40"/>
        </w:numPr>
        <w:spacing w:before="60" w:after="60"/>
        <w:ind w:left="709" w:hanging="709"/>
        <w:rPr>
          <w:lang w:eastAsia="ja-JP"/>
        </w:rPr>
      </w:pPr>
      <w:r>
        <w:rPr>
          <w:lang w:eastAsia="ja-JP"/>
        </w:rPr>
        <w:t xml:space="preserve">Limited opportunity for participants to be heard due to limited engagement </w:t>
      </w:r>
    </w:p>
    <w:p w14:paraId="6BEE5C8C" w14:textId="59FCAB9D" w:rsidR="000F60FA" w:rsidRDefault="000F60FA" w:rsidP="000705FE">
      <w:pPr>
        <w:pStyle w:val="BodyText1"/>
        <w:numPr>
          <w:ilvl w:val="6"/>
          <w:numId w:val="40"/>
        </w:numPr>
        <w:spacing w:before="60" w:after="60"/>
        <w:ind w:left="709" w:hanging="709"/>
        <w:rPr>
          <w:lang w:eastAsia="ja-JP"/>
        </w:rPr>
      </w:pPr>
      <w:r>
        <w:rPr>
          <w:lang w:eastAsia="ja-JP"/>
        </w:rPr>
        <w:t>Lack of understanding among planners for participants with deteriorating conditions</w:t>
      </w:r>
      <w:r w:rsidR="00DE50AA">
        <w:rPr>
          <w:lang w:eastAsia="ja-JP"/>
        </w:rPr>
        <w:t>.</w:t>
      </w:r>
    </w:p>
    <w:p w14:paraId="32615694" w14:textId="77777777" w:rsidR="000F60FA" w:rsidRPr="002D78D4" w:rsidRDefault="000F60FA" w:rsidP="00157F82">
      <w:pPr>
        <w:pStyle w:val="AppendixH4"/>
      </w:pPr>
      <w:r>
        <w:t>Internal review (S100) issues</w:t>
      </w:r>
    </w:p>
    <w:p w14:paraId="5B433F02" w14:textId="2FB1BFF2" w:rsidR="000F60FA" w:rsidRDefault="000F60FA" w:rsidP="000705FE">
      <w:pPr>
        <w:pStyle w:val="BodyText1"/>
        <w:numPr>
          <w:ilvl w:val="6"/>
          <w:numId w:val="40"/>
        </w:numPr>
        <w:spacing w:before="60" w:after="60"/>
        <w:ind w:left="709" w:hanging="709"/>
        <w:rPr>
          <w:lang w:eastAsia="ja-JP"/>
        </w:rPr>
      </w:pPr>
      <w:r>
        <w:rPr>
          <w:lang w:eastAsia="ja-JP"/>
        </w:rPr>
        <w:t>Process too brief resulting in poor decisions made</w:t>
      </w:r>
    </w:p>
    <w:p w14:paraId="3DD5285D" w14:textId="511D73CA" w:rsidR="000F60FA" w:rsidRDefault="000F60FA" w:rsidP="000705FE">
      <w:pPr>
        <w:pStyle w:val="BodyText1"/>
        <w:numPr>
          <w:ilvl w:val="6"/>
          <w:numId w:val="40"/>
        </w:numPr>
        <w:spacing w:before="60" w:after="60"/>
        <w:ind w:left="709" w:hanging="709"/>
        <w:rPr>
          <w:lang w:eastAsia="ja-JP"/>
        </w:rPr>
      </w:pPr>
      <w:r>
        <w:rPr>
          <w:lang w:eastAsia="ja-JP"/>
        </w:rPr>
        <w:t>Limited explanation around decisions provided to participants</w:t>
      </w:r>
    </w:p>
    <w:p w14:paraId="357A3C32" w14:textId="77777777" w:rsidR="000F60FA" w:rsidRDefault="000F60FA" w:rsidP="000705FE">
      <w:pPr>
        <w:pStyle w:val="BodyText1"/>
        <w:numPr>
          <w:ilvl w:val="6"/>
          <w:numId w:val="40"/>
        </w:numPr>
        <w:spacing w:before="60" w:after="60"/>
        <w:ind w:left="709" w:hanging="709"/>
        <w:rPr>
          <w:lang w:eastAsia="ja-JP"/>
        </w:rPr>
      </w:pPr>
      <w:r>
        <w:rPr>
          <w:lang w:eastAsia="ja-JP"/>
        </w:rPr>
        <w:t>Financial motivation behind decisions due to financial pressures on the Scheme</w:t>
      </w:r>
    </w:p>
    <w:p w14:paraId="2D641DC9" w14:textId="0C9C7A5D" w:rsidR="000F60FA" w:rsidRDefault="000F60FA" w:rsidP="000705FE">
      <w:pPr>
        <w:pStyle w:val="BodyText1"/>
        <w:numPr>
          <w:ilvl w:val="6"/>
          <w:numId w:val="40"/>
        </w:numPr>
        <w:spacing w:before="60" w:after="60"/>
        <w:ind w:left="709" w:hanging="709"/>
        <w:rPr>
          <w:lang w:eastAsia="ja-JP"/>
        </w:rPr>
      </w:pPr>
      <w:r>
        <w:rPr>
          <w:lang w:eastAsia="ja-JP"/>
        </w:rPr>
        <w:t xml:space="preserve">Limited opportunity for participants to be heard due to limited engagement </w:t>
      </w:r>
    </w:p>
    <w:p w14:paraId="74D776C4" w14:textId="77777777" w:rsidR="000F60FA" w:rsidRDefault="000F60FA" w:rsidP="000705FE">
      <w:pPr>
        <w:pStyle w:val="BodyText1"/>
        <w:numPr>
          <w:ilvl w:val="6"/>
          <w:numId w:val="40"/>
        </w:numPr>
        <w:spacing w:before="60" w:after="60"/>
        <w:ind w:left="709" w:hanging="709"/>
        <w:rPr>
          <w:lang w:eastAsia="ja-JP"/>
        </w:rPr>
      </w:pPr>
      <w:r>
        <w:rPr>
          <w:lang w:eastAsia="ja-JP"/>
        </w:rPr>
        <w:t>Pressure on reviewers due to volume of cases</w:t>
      </w:r>
    </w:p>
    <w:p w14:paraId="08F439BD" w14:textId="77777777" w:rsidR="000F60FA" w:rsidRDefault="000F60FA" w:rsidP="000705FE">
      <w:pPr>
        <w:pStyle w:val="BodyText1"/>
        <w:numPr>
          <w:ilvl w:val="6"/>
          <w:numId w:val="40"/>
        </w:numPr>
        <w:spacing w:before="60" w:after="60"/>
        <w:ind w:left="709" w:hanging="709"/>
        <w:rPr>
          <w:lang w:eastAsia="ja-JP"/>
        </w:rPr>
      </w:pPr>
      <w:r>
        <w:rPr>
          <w:lang w:eastAsia="ja-JP"/>
        </w:rPr>
        <w:lastRenderedPageBreak/>
        <w:t>Limited training and qualifications of reviewers</w:t>
      </w:r>
    </w:p>
    <w:p w14:paraId="1C57B6F1" w14:textId="77777777" w:rsidR="000F60FA" w:rsidRDefault="000F60FA" w:rsidP="000705FE">
      <w:pPr>
        <w:pStyle w:val="BodyText1"/>
        <w:numPr>
          <w:ilvl w:val="6"/>
          <w:numId w:val="40"/>
        </w:numPr>
        <w:spacing w:before="60" w:after="60"/>
        <w:ind w:left="709" w:hanging="709"/>
        <w:rPr>
          <w:lang w:eastAsia="ja-JP"/>
        </w:rPr>
      </w:pPr>
      <w:r>
        <w:rPr>
          <w:lang w:eastAsia="ja-JP"/>
        </w:rPr>
        <w:t>Poor decisions made that are illogical or inconsistent with the evidence provided</w:t>
      </w:r>
    </w:p>
    <w:p w14:paraId="6C1206A0" w14:textId="77777777" w:rsidR="000F60FA" w:rsidRDefault="000F60FA" w:rsidP="000705FE">
      <w:pPr>
        <w:pStyle w:val="BodyText1"/>
        <w:numPr>
          <w:ilvl w:val="6"/>
          <w:numId w:val="40"/>
        </w:numPr>
        <w:spacing w:before="60" w:after="60"/>
        <w:ind w:left="709" w:hanging="709"/>
        <w:rPr>
          <w:lang w:eastAsia="ja-JP"/>
        </w:rPr>
      </w:pPr>
      <w:r>
        <w:rPr>
          <w:lang w:eastAsia="ja-JP"/>
        </w:rPr>
        <w:t>Participants feel internal reviewer is not impartial</w:t>
      </w:r>
    </w:p>
    <w:p w14:paraId="0A95287B" w14:textId="77777777" w:rsidR="000F60FA" w:rsidRDefault="000F60FA" w:rsidP="000705FE">
      <w:pPr>
        <w:pStyle w:val="BodyText1"/>
        <w:numPr>
          <w:ilvl w:val="6"/>
          <w:numId w:val="40"/>
        </w:numPr>
        <w:spacing w:before="60" w:after="60"/>
        <w:ind w:left="709" w:hanging="709"/>
        <w:rPr>
          <w:lang w:eastAsia="ja-JP"/>
        </w:rPr>
      </w:pPr>
      <w:r>
        <w:rPr>
          <w:lang w:eastAsia="ja-JP"/>
        </w:rPr>
        <w:t>Participant lacks trust in the review process</w:t>
      </w:r>
    </w:p>
    <w:p w14:paraId="173EB002" w14:textId="44885C1A" w:rsidR="000F60FA" w:rsidRDefault="000F60FA" w:rsidP="000705FE">
      <w:pPr>
        <w:pStyle w:val="BodyText1"/>
        <w:numPr>
          <w:ilvl w:val="6"/>
          <w:numId w:val="40"/>
        </w:numPr>
        <w:spacing w:before="60" w:after="60"/>
        <w:ind w:left="709" w:hanging="709"/>
        <w:rPr>
          <w:lang w:eastAsia="ja-JP"/>
        </w:rPr>
      </w:pPr>
      <w:r>
        <w:rPr>
          <w:lang w:eastAsia="ja-JP"/>
        </w:rPr>
        <w:t>Evidence reviewed by reviewer is low in quality and could be more nuanced or updated</w:t>
      </w:r>
      <w:r w:rsidR="00DE50AA">
        <w:rPr>
          <w:lang w:eastAsia="ja-JP"/>
        </w:rPr>
        <w:t>.</w:t>
      </w:r>
    </w:p>
    <w:p w14:paraId="5AF2EE7A" w14:textId="77777777" w:rsidR="000F60FA" w:rsidRDefault="000F60FA" w:rsidP="000F60FA">
      <w:pPr>
        <w:spacing w:before="0" w:after="200" w:line="276" w:lineRule="auto"/>
        <w:rPr>
          <w:rFonts w:eastAsia="MS Mincho" w:cs="FSMe-Bold"/>
          <w:spacing w:val="-2"/>
          <w:szCs w:val="20"/>
        </w:rPr>
      </w:pPr>
      <w:r>
        <w:br w:type="page"/>
      </w:r>
    </w:p>
    <w:p w14:paraId="34B3AF8A" w14:textId="77777777" w:rsidR="000F60FA" w:rsidRDefault="000F60FA" w:rsidP="00EB3D5D">
      <w:pPr>
        <w:pStyle w:val="Heading3"/>
        <w:numPr>
          <w:ilvl w:val="0"/>
          <w:numId w:val="0"/>
        </w:numPr>
        <w:ind w:left="1134" w:hanging="1134"/>
      </w:pPr>
      <w:bookmarkStart w:id="204" w:name="_Toc140146271"/>
      <w:bookmarkStart w:id="205" w:name="_Toc140148940"/>
      <w:bookmarkStart w:id="206" w:name="_Toc140157524"/>
      <w:bookmarkStart w:id="207" w:name="_Toc142483302"/>
      <w:bookmarkStart w:id="208" w:name="_Toc142918631"/>
      <w:r>
        <w:lastRenderedPageBreak/>
        <w:t>DRCOs</w:t>
      </w:r>
      <w:bookmarkEnd w:id="204"/>
      <w:bookmarkEnd w:id="205"/>
      <w:bookmarkEnd w:id="206"/>
      <w:bookmarkEnd w:id="207"/>
      <w:bookmarkEnd w:id="208"/>
    </w:p>
    <w:p w14:paraId="6C620637" w14:textId="77777777" w:rsidR="000F60FA" w:rsidRDefault="000F60FA" w:rsidP="00157F82">
      <w:pPr>
        <w:pStyle w:val="AppendixH4"/>
      </w:pPr>
      <w:r>
        <w:t>DCRO familiarity with NDIS and disability sector</w:t>
      </w:r>
    </w:p>
    <w:p w14:paraId="079557F5" w14:textId="44E04D44" w:rsidR="000F60FA" w:rsidRDefault="000F60FA" w:rsidP="000705FE">
      <w:pPr>
        <w:pStyle w:val="ListParagraph"/>
        <w:numPr>
          <w:ilvl w:val="0"/>
          <w:numId w:val="48"/>
        </w:numPr>
        <w:spacing w:before="0" w:after="0"/>
        <w:contextualSpacing/>
      </w:pPr>
      <w:r>
        <w:t xml:space="preserve">Low – under five years’ experience </w:t>
      </w:r>
    </w:p>
    <w:p w14:paraId="075BFBBE" w14:textId="6C011081" w:rsidR="000F60FA" w:rsidRDefault="000F60FA" w:rsidP="000705FE">
      <w:pPr>
        <w:pStyle w:val="ListParagraph"/>
        <w:numPr>
          <w:ilvl w:val="0"/>
          <w:numId w:val="48"/>
        </w:numPr>
        <w:spacing w:before="0" w:after="0"/>
        <w:contextualSpacing/>
      </w:pPr>
      <w:r>
        <w:t xml:space="preserve">Moderate – 5-10 years’ experience </w:t>
      </w:r>
    </w:p>
    <w:p w14:paraId="6ED5622A" w14:textId="77777777" w:rsidR="000F60FA" w:rsidRDefault="000F60FA" w:rsidP="000705FE">
      <w:pPr>
        <w:pStyle w:val="ListParagraph"/>
        <w:numPr>
          <w:ilvl w:val="0"/>
          <w:numId w:val="48"/>
        </w:numPr>
        <w:spacing w:before="0" w:after="0"/>
        <w:contextualSpacing/>
      </w:pPr>
      <w:r>
        <w:t xml:space="preserve">High – more than 10 years’ experience. </w:t>
      </w:r>
    </w:p>
    <w:p w14:paraId="0B23E3AA" w14:textId="77777777" w:rsidR="000F60FA" w:rsidRDefault="000F60FA" w:rsidP="00157F82">
      <w:pPr>
        <w:pStyle w:val="AppendixH4"/>
      </w:pPr>
      <w:r>
        <w:t>AAT process</w:t>
      </w:r>
    </w:p>
    <w:p w14:paraId="7AE1B4B7" w14:textId="7FE306CA" w:rsidR="000F60FA" w:rsidRDefault="000F60FA" w:rsidP="000705FE">
      <w:pPr>
        <w:pStyle w:val="ListParagraph"/>
        <w:numPr>
          <w:ilvl w:val="0"/>
          <w:numId w:val="48"/>
        </w:numPr>
        <w:spacing w:before="0" w:after="0"/>
        <w:contextualSpacing/>
      </w:pPr>
      <w:r>
        <w:t>Types of AAT matters, many are complex or unprecedented</w:t>
      </w:r>
    </w:p>
    <w:p w14:paraId="3FDEC704" w14:textId="4388832C" w:rsidR="000F60FA" w:rsidRDefault="000F60FA" w:rsidP="000705FE">
      <w:pPr>
        <w:pStyle w:val="ListParagraph"/>
        <w:numPr>
          <w:ilvl w:val="0"/>
          <w:numId w:val="48"/>
        </w:numPr>
        <w:spacing w:before="0" w:after="0"/>
        <w:contextualSpacing/>
      </w:pPr>
      <w:r>
        <w:t xml:space="preserve">Negative aspects of the AAT process including arduous, time consuming and adversarial nature of process </w:t>
      </w:r>
    </w:p>
    <w:p w14:paraId="6085CC14" w14:textId="700EEF90" w:rsidR="000F60FA" w:rsidRDefault="000F60FA" w:rsidP="000705FE">
      <w:pPr>
        <w:pStyle w:val="ListParagraph"/>
        <w:numPr>
          <w:ilvl w:val="0"/>
          <w:numId w:val="48"/>
        </w:numPr>
        <w:spacing w:before="0" w:after="0"/>
        <w:contextualSpacing/>
      </w:pPr>
      <w:r>
        <w:t xml:space="preserve">General AAT process </w:t>
      </w:r>
      <w:r w:rsidR="001075A7">
        <w:t>NOS</w:t>
      </w:r>
    </w:p>
    <w:p w14:paraId="07F2FD20" w14:textId="77777777" w:rsidR="000F60FA" w:rsidRDefault="000F60FA" w:rsidP="000705FE">
      <w:pPr>
        <w:pStyle w:val="ListParagraph"/>
        <w:numPr>
          <w:ilvl w:val="0"/>
          <w:numId w:val="48"/>
        </w:numPr>
        <w:spacing w:before="0" w:after="0"/>
        <w:contextualSpacing/>
        <w:rPr>
          <w:b/>
          <w:bCs/>
        </w:rPr>
      </w:pPr>
      <w:r>
        <w:t xml:space="preserve">Barriers to accessing AAT including financial and time limitations, psychological and emotional toll on participants and families involved and limitations of legal experience. </w:t>
      </w:r>
    </w:p>
    <w:p w14:paraId="0FE570A5" w14:textId="77777777" w:rsidR="000F60FA" w:rsidRDefault="000F60FA" w:rsidP="00157F82">
      <w:pPr>
        <w:pStyle w:val="AppendixH4"/>
      </w:pPr>
      <w:r>
        <w:t>Planning process</w:t>
      </w:r>
    </w:p>
    <w:p w14:paraId="701F305F" w14:textId="408A3177" w:rsidR="000F60FA" w:rsidRDefault="000F60FA" w:rsidP="000705FE">
      <w:pPr>
        <w:pStyle w:val="ListParagraph"/>
        <w:numPr>
          <w:ilvl w:val="0"/>
          <w:numId w:val="48"/>
        </w:numPr>
        <w:spacing w:before="0" w:after="0"/>
        <w:contextualSpacing/>
      </w:pPr>
      <w:r>
        <w:t>Perceived negative aspects of planning process including unfair decisions, lack of planner training, communication style</w:t>
      </w:r>
    </w:p>
    <w:p w14:paraId="778FA2D2" w14:textId="77777777" w:rsidR="000F60FA" w:rsidRDefault="000F60FA" w:rsidP="000705FE">
      <w:pPr>
        <w:pStyle w:val="ListParagraph"/>
        <w:numPr>
          <w:ilvl w:val="0"/>
          <w:numId w:val="48"/>
        </w:numPr>
        <w:spacing w:before="0" w:after="0"/>
        <w:contextualSpacing/>
      </w:pPr>
      <w:r>
        <w:t xml:space="preserve">Communication of planning decisions </w:t>
      </w:r>
    </w:p>
    <w:p w14:paraId="5C664B4C" w14:textId="42E866B7" w:rsidR="000F60FA" w:rsidRDefault="000F60FA" w:rsidP="000705FE">
      <w:pPr>
        <w:pStyle w:val="ListParagraph"/>
        <w:numPr>
          <w:ilvl w:val="0"/>
          <w:numId w:val="48"/>
        </w:numPr>
        <w:spacing w:before="0" w:after="0"/>
        <w:contextualSpacing/>
      </w:pPr>
      <w:r>
        <w:t>Improvements that could be made to the planning process</w:t>
      </w:r>
    </w:p>
    <w:p w14:paraId="5B6389EF" w14:textId="77777777" w:rsidR="000F60FA" w:rsidRDefault="000F60FA" w:rsidP="000705FE">
      <w:pPr>
        <w:pStyle w:val="ListParagraph"/>
        <w:numPr>
          <w:ilvl w:val="0"/>
          <w:numId w:val="48"/>
        </w:numPr>
        <w:spacing w:before="0" w:after="0"/>
        <w:contextualSpacing/>
      </w:pPr>
      <w:r>
        <w:t xml:space="preserve">Negative aspects of information gathering requests from planners </w:t>
      </w:r>
    </w:p>
    <w:p w14:paraId="14AF822C" w14:textId="2127645B" w:rsidR="000F60FA" w:rsidRDefault="000F60FA" w:rsidP="000705FE">
      <w:pPr>
        <w:pStyle w:val="ListParagraph"/>
        <w:numPr>
          <w:ilvl w:val="0"/>
          <w:numId w:val="48"/>
        </w:numPr>
        <w:spacing w:before="0" w:after="0"/>
        <w:contextualSpacing/>
      </w:pPr>
      <w:r>
        <w:t>Previous AAT decisions could improve planning stage</w:t>
      </w:r>
    </w:p>
    <w:p w14:paraId="2C219E7D" w14:textId="21455ABB" w:rsidR="000F60FA" w:rsidRDefault="000F60FA" w:rsidP="000705FE">
      <w:pPr>
        <w:pStyle w:val="ListParagraph"/>
        <w:numPr>
          <w:ilvl w:val="0"/>
          <w:numId w:val="48"/>
        </w:numPr>
        <w:spacing w:before="0" w:after="0"/>
        <w:contextualSpacing/>
      </w:pPr>
      <w:r>
        <w:t>Factors leading to an internal review during planning stages</w:t>
      </w:r>
      <w:r w:rsidR="00DE50AA">
        <w:t>.</w:t>
      </w:r>
    </w:p>
    <w:p w14:paraId="20C9E659" w14:textId="77777777" w:rsidR="000F60FA" w:rsidRDefault="000F60FA" w:rsidP="00157F82">
      <w:pPr>
        <w:pStyle w:val="AppendixH4"/>
      </w:pPr>
      <w:r>
        <w:t>S100 reviews</w:t>
      </w:r>
    </w:p>
    <w:p w14:paraId="7C969C00" w14:textId="711C9C37" w:rsidR="000F60FA" w:rsidRDefault="000F60FA" w:rsidP="000705FE">
      <w:pPr>
        <w:pStyle w:val="ListParagraph"/>
        <w:numPr>
          <w:ilvl w:val="0"/>
          <w:numId w:val="48"/>
        </w:numPr>
        <w:spacing w:before="0" w:after="0"/>
        <w:contextualSpacing/>
      </w:pPr>
      <w:r>
        <w:t xml:space="preserve">Explanation of the internal review process </w:t>
      </w:r>
    </w:p>
    <w:p w14:paraId="38EBAAA1" w14:textId="6C11F9DA" w:rsidR="000F60FA" w:rsidRDefault="000F60FA" w:rsidP="000705FE">
      <w:pPr>
        <w:pStyle w:val="ListParagraph"/>
        <w:numPr>
          <w:ilvl w:val="0"/>
          <w:numId w:val="48"/>
        </w:numPr>
        <w:spacing w:before="0" w:after="0"/>
        <w:contextualSpacing/>
      </w:pPr>
      <w:r>
        <w:t xml:space="preserve">Processes and experiences of communication during </w:t>
      </w:r>
      <w:r w:rsidR="00184A2D">
        <w:t>s</w:t>
      </w:r>
      <w:r>
        <w:t>100 review processes</w:t>
      </w:r>
    </w:p>
    <w:p w14:paraId="43FDBB6E" w14:textId="671CF856" w:rsidR="000F60FA" w:rsidRDefault="000F60FA" w:rsidP="000705FE">
      <w:pPr>
        <w:pStyle w:val="ListParagraph"/>
        <w:numPr>
          <w:ilvl w:val="0"/>
          <w:numId w:val="48"/>
        </w:numPr>
        <w:spacing w:before="0" w:after="0"/>
        <w:contextualSpacing/>
      </w:pPr>
      <w:r>
        <w:t xml:space="preserve">Perceived negative aspects of planning process including unfair decisions, lack of planner training, communication style </w:t>
      </w:r>
    </w:p>
    <w:p w14:paraId="780C35BC" w14:textId="7A35AE05" w:rsidR="000F60FA" w:rsidRDefault="000F60FA" w:rsidP="000705FE">
      <w:pPr>
        <w:pStyle w:val="ListParagraph"/>
        <w:numPr>
          <w:ilvl w:val="0"/>
          <w:numId w:val="48"/>
        </w:numPr>
        <w:spacing w:before="0" w:after="0"/>
        <w:contextualSpacing/>
      </w:pPr>
      <w:r>
        <w:t xml:space="preserve">Factors contributing to </w:t>
      </w:r>
      <w:r w:rsidR="00FC4AA7">
        <w:t>s</w:t>
      </w:r>
      <w:r>
        <w:t xml:space="preserve">100 reviews escalating to AAT </w:t>
      </w:r>
    </w:p>
    <w:p w14:paraId="07767825" w14:textId="77777777" w:rsidR="000F60FA" w:rsidRDefault="000F60FA" w:rsidP="000705FE">
      <w:pPr>
        <w:pStyle w:val="ListParagraph"/>
        <w:numPr>
          <w:ilvl w:val="0"/>
          <w:numId w:val="48"/>
        </w:numPr>
        <w:spacing w:before="0" w:after="0"/>
        <w:contextualSpacing/>
      </w:pPr>
      <w:r>
        <w:t>Possible improvements to internal reviews</w:t>
      </w:r>
    </w:p>
    <w:p w14:paraId="66EBC6E1" w14:textId="1D403AC9" w:rsidR="000F60FA" w:rsidRDefault="000F60FA" w:rsidP="000705FE">
      <w:pPr>
        <w:pStyle w:val="ListParagraph"/>
        <w:numPr>
          <w:ilvl w:val="0"/>
          <w:numId w:val="48"/>
        </w:numPr>
        <w:spacing w:before="0" w:after="0"/>
        <w:contextualSpacing/>
      </w:pPr>
      <w:r>
        <w:t>Barriers to participants’ engagement in the review process</w:t>
      </w:r>
      <w:r w:rsidR="00DE50AA">
        <w:t>.</w:t>
      </w:r>
    </w:p>
    <w:p w14:paraId="7E39A2B7" w14:textId="77777777" w:rsidR="000F60FA" w:rsidRDefault="000F60FA" w:rsidP="00157F82">
      <w:pPr>
        <w:pStyle w:val="AppendixH4"/>
      </w:pPr>
      <w:r>
        <w:t>IERP / ADR</w:t>
      </w:r>
    </w:p>
    <w:p w14:paraId="042445CA" w14:textId="77777777" w:rsidR="000F60FA" w:rsidRDefault="000F60FA" w:rsidP="000705FE">
      <w:pPr>
        <w:pStyle w:val="ListParagraph"/>
        <w:numPr>
          <w:ilvl w:val="0"/>
          <w:numId w:val="48"/>
        </w:numPr>
        <w:spacing w:before="0" w:after="0"/>
        <w:contextualSpacing/>
      </w:pPr>
      <w:r>
        <w:lastRenderedPageBreak/>
        <w:t xml:space="preserve">Benefits of the IERP </w:t>
      </w:r>
    </w:p>
    <w:p w14:paraId="7E95FADF" w14:textId="77777777" w:rsidR="000F60FA" w:rsidRDefault="000F60FA" w:rsidP="000705FE">
      <w:pPr>
        <w:pStyle w:val="ListParagraph"/>
        <w:numPr>
          <w:ilvl w:val="0"/>
          <w:numId w:val="48"/>
        </w:numPr>
        <w:spacing w:before="0" w:after="0"/>
        <w:contextualSpacing/>
      </w:pPr>
      <w:r>
        <w:t>Desirable qualities of the independent experts</w:t>
      </w:r>
    </w:p>
    <w:p w14:paraId="5AC62875" w14:textId="77777777" w:rsidR="000F60FA" w:rsidRDefault="000F60FA" w:rsidP="000705FE">
      <w:pPr>
        <w:pStyle w:val="ListParagraph"/>
        <w:numPr>
          <w:ilvl w:val="0"/>
          <w:numId w:val="48"/>
        </w:numPr>
        <w:spacing w:before="0" w:after="0"/>
        <w:contextualSpacing/>
      </w:pPr>
      <w:r>
        <w:t>Essential and proposed features of the IER process</w:t>
      </w:r>
    </w:p>
    <w:p w14:paraId="7F0AFC9F" w14:textId="77CAE3C2" w:rsidR="000F60FA" w:rsidRDefault="000F60FA" w:rsidP="000705FE">
      <w:pPr>
        <w:pStyle w:val="ListParagraph"/>
        <w:numPr>
          <w:ilvl w:val="0"/>
          <w:numId w:val="48"/>
        </w:numPr>
        <w:spacing w:before="0" w:after="0"/>
        <w:contextualSpacing/>
      </w:pPr>
      <w:r>
        <w:t>Negative aspects of the IERP</w:t>
      </w:r>
      <w:r w:rsidR="00DE50AA">
        <w:t>.</w:t>
      </w:r>
      <w:r>
        <w:t xml:space="preserve">  </w:t>
      </w:r>
    </w:p>
    <w:p w14:paraId="638A6415" w14:textId="77777777" w:rsidR="000F60FA" w:rsidRDefault="000F60FA" w:rsidP="00157F82">
      <w:pPr>
        <w:pStyle w:val="AppendixH4"/>
      </w:pPr>
      <w:r>
        <w:t xml:space="preserve">Satisfaction with IERP </w:t>
      </w:r>
    </w:p>
    <w:p w14:paraId="4F2E7170" w14:textId="77777777" w:rsidR="000F60FA" w:rsidRDefault="000F60FA" w:rsidP="000705FE">
      <w:pPr>
        <w:pStyle w:val="ListParagraph"/>
        <w:numPr>
          <w:ilvl w:val="0"/>
          <w:numId w:val="48"/>
        </w:numPr>
        <w:spacing w:before="0" w:after="0"/>
        <w:contextualSpacing/>
      </w:pPr>
      <w:r>
        <w:t xml:space="preserve">Low </w:t>
      </w:r>
    </w:p>
    <w:p w14:paraId="43C2C089" w14:textId="77777777" w:rsidR="000F60FA" w:rsidRDefault="000F60FA" w:rsidP="000705FE">
      <w:pPr>
        <w:pStyle w:val="ListParagraph"/>
        <w:numPr>
          <w:ilvl w:val="0"/>
          <w:numId w:val="48"/>
        </w:numPr>
        <w:spacing w:before="0" w:after="0"/>
        <w:contextualSpacing/>
      </w:pPr>
      <w:r>
        <w:t>Medium</w:t>
      </w:r>
    </w:p>
    <w:p w14:paraId="2161225C" w14:textId="6BEAE80E" w:rsidR="000F60FA" w:rsidRDefault="000F60FA" w:rsidP="000705FE">
      <w:pPr>
        <w:pStyle w:val="ListParagraph"/>
        <w:numPr>
          <w:ilvl w:val="0"/>
          <w:numId w:val="48"/>
        </w:numPr>
        <w:spacing w:before="0" w:after="0"/>
        <w:contextualSpacing/>
      </w:pPr>
      <w:r>
        <w:t>High</w:t>
      </w:r>
      <w:r w:rsidR="00DE50AA">
        <w:t>.</w:t>
      </w:r>
    </w:p>
    <w:p w14:paraId="0225BC3C" w14:textId="77777777" w:rsidR="00FC4AA7" w:rsidRDefault="00FC4AA7" w:rsidP="00FC4AA7">
      <w:pPr>
        <w:pStyle w:val="ListParagraph"/>
        <w:numPr>
          <w:ilvl w:val="0"/>
          <w:numId w:val="0"/>
        </w:numPr>
        <w:spacing w:before="0" w:after="0"/>
        <w:ind w:left="360"/>
        <w:contextualSpacing/>
      </w:pPr>
    </w:p>
    <w:p w14:paraId="266FEE0D" w14:textId="77777777" w:rsidR="000F60FA" w:rsidRDefault="000F60FA" w:rsidP="00157F82">
      <w:pPr>
        <w:pStyle w:val="AppendixH4"/>
      </w:pPr>
      <w:r>
        <w:t xml:space="preserve">Should the IERP continue? </w:t>
      </w:r>
    </w:p>
    <w:p w14:paraId="2F0C3F44" w14:textId="77777777" w:rsidR="000F60FA" w:rsidRDefault="000F60FA" w:rsidP="000705FE">
      <w:pPr>
        <w:pStyle w:val="ListParagraph"/>
        <w:numPr>
          <w:ilvl w:val="0"/>
          <w:numId w:val="48"/>
        </w:numPr>
        <w:spacing w:before="0" w:after="0"/>
        <w:contextualSpacing/>
      </w:pPr>
      <w:r>
        <w:t>Yes</w:t>
      </w:r>
    </w:p>
    <w:p w14:paraId="03E3E5AE" w14:textId="77777777" w:rsidR="000F60FA" w:rsidRDefault="000F60FA" w:rsidP="000705FE">
      <w:pPr>
        <w:pStyle w:val="ListParagraph"/>
        <w:numPr>
          <w:ilvl w:val="0"/>
          <w:numId w:val="48"/>
        </w:numPr>
        <w:spacing w:before="0" w:after="0"/>
        <w:contextualSpacing/>
      </w:pPr>
      <w:r>
        <w:t>No</w:t>
      </w:r>
    </w:p>
    <w:p w14:paraId="58EEECBF" w14:textId="7FA0D1A2" w:rsidR="000F60FA" w:rsidRDefault="000F60FA" w:rsidP="000705FE">
      <w:pPr>
        <w:pStyle w:val="ListParagraph"/>
        <w:numPr>
          <w:ilvl w:val="0"/>
          <w:numId w:val="48"/>
        </w:numPr>
        <w:spacing w:before="0" w:after="0"/>
        <w:contextualSpacing/>
      </w:pPr>
      <w:r>
        <w:t>Impartial or yes, but with improvements</w:t>
      </w:r>
      <w:r w:rsidR="00DE50AA">
        <w:t>.</w:t>
      </w:r>
    </w:p>
    <w:p w14:paraId="60FD3F7D" w14:textId="77777777" w:rsidR="000F60FA" w:rsidRDefault="000F60FA" w:rsidP="00157F82">
      <w:pPr>
        <w:pStyle w:val="AppendixH4"/>
      </w:pPr>
      <w:r>
        <w:t>General comments about the NDIA</w:t>
      </w:r>
    </w:p>
    <w:p w14:paraId="6E799206" w14:textId="6C54494C" w:rsidR="000F60FA" w:rsidRDefault="000F60FA" w:rsidP="000705FE">
      <w:pPr>
        <w:pStyle w:val="ListParagraph"/>
        <w:numPr>
          <w:ilvl w:val="0"/>
          <w:numId w:val="48"/>
        </w:numPr>
        <w:spacing w:before="0" w:after="0"/>
        <w:contextualSpacing/>
      </w:pPr>
      <w:r>
        <w:t>Improvements needed including participants benefit</w:t>
      </w:r>
      <w:r w:rsidR="00222163">
        <w:t>ing</w:t>
      </w:r>
      <w:r>
        <w:t xml:space="preserve"> from previous AAT decisions, culture of </w:t>
      </w:r>
      <w:r w:rsidR="00222163">
        <w:t>A</w:t>
      </w:r>
      <w:r>
        <w:t>gency, improvements to ensure CALD groups are able to access the Scheme</w:t>
      </w:r>
    </w:p>
    <w:p w14:paraId="48E3D46F" w14:textId="5E042247" w:rsidR="000F60FA" w:rsidRDefault="000F60FA" w:rsidP="000705FE">
      <w:pPr>
        <w:pStyle w:val="ListParagraph"/>
        <w:numPr>
          <w:ilvl w:val="0"/>
          <w:numId w:val="48"/>
        </w:numPr>
        <w:spacing w:before="0" w:after="0"/>
        <w:contextualSpacing/>
      </w:pPr>
      <w:r>
        <w:t>Barriers to NDIS access</w:t>
      </w:r>
    </w:p>
    <w:p w14:paraId="675981A9" w14:textId="5D6FF4C6" w:rsidR="000F60FA" w:rsidRDefault="000F60FA" w:rsidP="000705FE">
      <w:pPr>
        <w:pStyle w:val="ListParagraph"/>
        <w:numPr>
          <w:ilvl w:val="0"/>
          <w:numId w:val="48"/>
        </w:numPr>
        <w:spacing w:before="0" w:after="0"/>
        <w:contextualSpacing/>
      </w:pPr>
      <w:r>
        <w:t>Challenges around navigating the NDIS</w:t>
      </w:r>
    </w:p>
    <w:p w14:paraId="6FD01A57" w14:textId="3CE2A5EC" w:rsidR="000F60FA" w:rsidRDefault="000F60FA" w:rsidP="000705FE">
      <w:pPr>
        <w:pStyle w:val="ListParagraph"/>
        <w:numPr>
          <w:ilvl w:val="0"/>
          <w:numId w:val="48"/>
        </w:numPr>
        <w:spacing w:before="0" w:after="0"/>
        <w:contextualSpacing/>
      </w:pPr>
      <w:r>
        <w:t>Access to advocacy services and the role of advocates</w:t>
      </w:r>
    </w:p>
    <w:p w14:paraId="1D8F75AB" w14:textId="77777777" w:rsidR="000F60FA" w:rsidRDefault="000F60FA" w:rsidP="000705FE">
      <w:pPr>
        <w:pStyle w:val="ListParagraph"/>
        <w:numPr>
          <w:ilvl w:val="0"/>
          <w:numId w:val="48"/>
        </w:numPr>
        <w:spacing w:before="0" w:after="0"/>
        <w:contextualSpacing/>
      </w:pPr>
      <w:r>
        <w:t>Role of providers.</w:t>
      </w:r>
    </w:p>
    <w:p w14:paraId="23A1D08E" w14:textId="77777777" w:rsidR="000F60FA" w:rsidRDefault="000F60FA" w:rsidP="000F60FA"/>
    <w:p w14:paraId="0E2127BD" w14:textId="76414077" w:rsidR="003A0CA4" w:rsidRDefault="001A1CB6" w:rsidP="00CF5B98">
      <w:pPr>
        <w:pStyle w:val="Heading2"/>
        <w:numPr>
          <w:ilvl w:val="0"/>
          <w:numId w:val="0"/>
        </w:numPr>
        <w:spacing w:line="240" w:lineRule="auto"/>
      </w:pPr>
      <w:bookmarkStart w:id="209" w:name="_Toc142918632"/>
      <w:bookmarkEnd w:id="134"/>
      <w:bookmarkEnd w:id="135"/>
      <w:bookmarkEnd w:id="136"/>
      <w:r>
        <w:lastRenderedPageBreak/>
        <w:t xml:space="preserve">Appendix </w:t>
      </w:r>
      <w:r w:rsidR="006D647A">
        <w:t>G</w:t>
      </w:r>
      <w:r>
        <w:t xml:space="preserve">: </w:t>
      </w:r>
      <w:r w:rsidR="00372798">
        <w:t>Feedback from Independent Experts and NDIA stakeholders</w:t>
      </w:r>
      <w:bookmarkEnd w:id="209"/>
    </w:p>
    <w:p w14:paraId="172CE43F" w14:textId="7240992F" w:rsidR="005C121B" w:rsidRDefault="005C121B" w:rsidP="005C121B">
      <w:pPr>
        <w:spacing w:before="160"/>
      </w:pPr>
      <w:r>
        <w:t>Appendix G presents findings related to the experience of independent experts and IERP managers with the IERP’s implementation.</w:t>
      </w:r>
    </w:p>
    <w:tbl>
      <w:tblPr>
        <w:tblStyle w:val="TableGrid"/>
        <w:tblW w:w="0" w:type="auto"/>
        <w:tblLook w:val="04A0" w:firstRow="1" w:lastRow="0" w:firstColumn="1" w:lastColumn="0" w:noHBand="0" w:noVBand="1"/>
      </w:tblPr>
      <w:tblGrid>
        <w:gridCol w:w="9016"/>
      </w:tblGrid>
      <w:tr w:rsidR="005C121B" w14:paraId="1E88D379" w14:textId="77777777">
        <w:tc>
          <w:tcPr>
            <w:tcW w:w="9016" w:type="dxa"/>
          </w:tcPr>
          <w:p w14:paraId="303CFC8F" w14:textId="4C982115" w:rsidR="005C121B" w:rsidRPr="00157F82" w:rsidRDefault="005C121B" w:rsidP="00157F82">
            <w:pPr>
              <w:pStyle w:val="KeyfindingsH3"/>
            </w:pPr>
            <w:r w:rsidRPr="00FB61B6">
              <w:t>Key find</w:t>
            </w:r>
            <w:r w:rsidRPr="00157F82">
              <w:t>ings</w:t>
            </w:r>
          </w:p>
          <w:p w14:paraId="2EB1D237" w14:textId="77777777" w:rsidR="005C121B" w:rsidRDefault="005C121B" w:rsidP="000705FE">
            <w:pPr>
              <w:pStyle w:val="ListParagraph"/>
              <w:numPr>
                <w:ilvl w:val="0"/>
                <w:numId w:val="23"/>
              </w:numPr>
              <w:spacing w:before="120" w:after="120"/>
              <w:ind w:left="357" w:hanging="357"/>
            </w:pPr>
            <w:r>
              <w:t>Independent experts reported high levels of satisfaction with their training and induction, the referrals they have received, the Agency’s management of the program and the support they have received from IERP managers.</w:t>
            </w:r>
          </w:p>
          <w:p w14:paraId="76DA60C4" w14:textId="77777777" w:rsidR="005C121B" w:rsidRDefault="005C121B" w:rsidP="000705FE">
            <w:pPr>
              <w:pStyle w:val="ListParagraph"/>
              <w:numPr>
                <w:ilvl w:val="0"/>
                <w:numId w:val="23"/>
              </w:numPr>
              <w:spacing w:before="120" w:after="120"/>
              <w:ind w:left="357" w:hanging="357"/>
            </w:pPr>
            <w:r>
              <w:t>However, the referrals have been more complex than independent experts anticipated which has led to reviews taking longer than expected.</w:t>
            </w:r>
          </w:p>
          <w:p w14:paraId="32BF48C6" w14:textId="20086D61" w:rsidR="005C121B" w:rsidRDefault="005C121B" w:rsidP="000705FE">
            <w:pPr>
              <w:pStyle w:val="ListParagraph"/>
              <w:numPr>
                <w:ilvl w:val="0"/>
                <w:numId w:val="23"/>
              </w:numPr>
              <w:spacing w:before="120" w:after="120"/>
              <w:ind w:left="357" w:hanging="357"/>
            </w:pPr>
            <w:r>
              <w:t>IERP managers commented the process was more legalistic than first conceptualised which has contributed to the lower-than-expected number of cases reviewed</w:t>
            </w:r>
            <w:r w:rsidR="00553603">
              <w:t>.</w:t>
            </w:r>
          </w:p>
          <w:p w14:paraId="6F579A49" w14:textId="6EB139EF" w:rsidR="005C121B" w:rsidRDefault="005C121B" w:rsidP="000705FE">
            <w:pPr>
              <w:pStyle w:val="ListParagraph"/>
              <w:numPr>
                <w:ilvl w:val="0"/>
                <w:numId w:val="23"/>
              </w:numPr>
              <w:spacing w:before="120" w:after="120"/>
              <w:ind w:left="357" w:hanging="357"/>
            </w:pPr>
            <w:r>
              <w:t>Independent experts wanted ongoing training, using actual cases and exemplars and a quality assurance process to ensure consistency in the interpretation of legislation between experts</w:t>
            </w:r>
            <w:r w:rsidR="00553603">
              <w:t>.</w:t>
            </w:r>
          </w:p>
          <w:p w14:paraId="0EC6D1DE" w14:textId="7E58D6E9" w:rsidR="005C121B" w:rsidRDefault="005C121B" w:rsidP="000705FE">
            <w:pPr>
              <w:pStyle w:val="ListParagraph"/>
              <w:numPr>
                <w:ilvl w:val="0"/>
                <w:numId w:val="23"/>
              </w:numPr>
              <w:spacing w:before="120" w:after="120"/>
              <w:ind w:left="357" w:hanging="357"/>
            </w:pPr>
            <w:r>
              <w:t>Representatives from NDIS business areas were supportive of a less adversarial process than the AAT, although raised concern about whether the recommendations align with current operational guidelines and the lack of a feedback loop from the IERP (and AAT) back into operational guidelines.</w:t>
            </w:r>
          </w:p>
          <w:p w14:paraId="7C6DE220" w14:textId="77777777" w:rsidR="005C121B" w:rsidRDefault="005C121B" w:rsidP="000705FE">
            <w:pPr>
              <w:pStyle w:val="ListParagraph"/>
              <w:numPr>
                <w:ilvl w:val="0"/>
                <w:numId w:val="23"/>
              </w:numPr>
              <w:spacing w:before="120" w:after="120"/>
              <w:ind w:left="357" w:hanging="357"/>
            </w:pPr>
            <w:r w:rsidRPr="00F20675">
              <w:t>Independent experts found engagement with the participant valuable, both in understanding the nuances of the matter and in providing the participant an opportunity to be heard, which built trust and confidence in the process.</w:t>
            </w:r>
          </w:p>
        </w:tc>
      </w:tr>
    </w:tbl>
    <w:p w14:paraId="02258787" w14:textId="77777777" w:rsidR="005C121B" w:rsidRDefault="005C121B" w:rsidP="00EB3D5D">
      <w:pPr>
        <w:pStyle w:val="Heading3"/>
        <w:numPr>
          <w:ilvl w:val="0"/>
          <w:numId w:val="0"/>
        </w:numPr>
        <w:ind w:left="1134" w:hanging="1134"/>
      </w:pPr>
      <w:bookmarkStart w:id="210" w:name="_Toc140146276"/>
      <w:bookmarkStart w:id="211" w:name="_Toc140148945"/>
      <w:bookmarkStart w:id="212" w:name="_Toc140157526"/>
      <w:bookmarkStart w:id="213" w:name="_Toc142483304"/>
      <w:bookmarkStart w:id="214" w:name="_Toc142918633"/>
      <w:r>
        <w:t>Independent expert satisfaction and experience</w:t>
      </w:r>
      <w:bookmarkEnd w:id="210"/>
      <w:bookmarkEnd w:id="211"/>
      <w:bookmarkEnd w:id="212"/>
      <w:bookmarkEnd w:id="213"/>
      <w:bookmarkEnd w:id="214"/>
    </w:p>
    <w:p w14:paraId="74CCECDA" w14:textId="3093D209" w:rsidR="005C121B" w:rsidRDefault="005C121B" w:rsidP="005C121B">
      <w:pPr>
        <w:spacing w:before="160"/>
        <w:rPr>
          <w:rFonts w:cstheme="minorHAnsi"/>
        </w:rPr>
      </w:pPr>
      <w:r w:rsidRPr="00D05880">
        <w:rPr>
          <w:rFonts w:cstheme="minorHAnsi"/>
        </w:rPr>
        <w:t xml:space="preserve">This section uses </w:t>
      </w:r>
      <w:r>
        <w:rPr>
          <w:rFonts w:cstheme="minorHAnsi"/>
        </w:rPr>
        <w:t>information</w:t>
      </w:r>
      <w:r w:rsidRPr="00D05880">
        <w:rPr>
          <w:rFonts w:cstheme="minorHAnsi"/>
        </w:rPr>
        <w:t xml:space="preserve"> from the independent expert survey</w:t>
      </w:r>
      <w:r>
        <w:rPr>
          <w:rFonts w:cstheme="minorHAnsi"/>
        </w:rPr>
        <w:t xml:space="preserve"> and interviews</w:t>
      </w:r>
      <w:r w:rsidRPr="00D05880">
        <w:rPr>
          <w:rFonts w:cstheme="minorHAnsi"/>
        </w:rPr>
        <w:t xml:space="preserve">. </w:t>
      </w:r>
      <w:r>
        <w:rPr>
          <w:rFonts w:cstheme="minorHAnsi"/>
        </w:rPr>
        <w:t xml:space="preserve">The Evaluation Team invited all 17 </w:t>
      </w:r>
      <w:r w:rsidRPr="00D05880">
        <w:rPr>
          <w:rFonts w:cstheme="minorHAnsi"/>
        </w:rPr>
        <w:t xml:space="preserve">independent experts </w:t>
      </w:r>
      <w:r>
        <w:rPr>
          <w:rFonts w:cstheme="minorHAnsi"/>
        </w:rPr>
        <w:t xml:space="preserve">who had reviewed matters </w:t>
      </w:r>
      <w:r w:rsidR="00BD0562">
        <w:rPr>
          <w:rFonts w:cstheme="minorHAnsi"/>
        </w:rPr>
        <w:t>as of</w:t>
      </w:r>
      <w:r w:rsidR="00AA0F0C">
        <w:rPr>
          <w:rFonts w:cstheme="minorHAnsi"/>
        </w:rPr>
        <w:t xml:space="preserve"> 31 January 2023</w:t>
      </w:r>
      <w:r>
        <w:rPr>
          <w:rFonts w:cstheme="minorHAnsi"/>
        </w:rPr>
        <w:t xml:space="preserve"> to participate in an interview and complete the survey. In total, 13 experts responded to the survey and 12 participated in an interview.</w:t>
      </w:r>
    </w:p>
    <w:p w14:paraId="74A76AD8" w14:textId="66B2A5A1" w:rsidR="005C121B" w:rsidRPr="00EB3D5D" w:rsidRDefault="005C121B" w:rsidP="0031204C">
      <w:pPr>
        <w:pStyle w:val="Heading4"/>
        <w:numPr>
          <w:ilvl w:val="0"/>
          <w:numId w:val="0"/>
        </w:numPr>
        <w:ind w:left="1134" w:hanging="1134"/>
        <w:rPr>
          <w:color w:val="6B2976" w:themeColor="background2"/>
        </w:rPr>
      </w:pPr>
      <w:r w:rsidRPr="00EB3D5D">
        <w:rPr>
          <w:color w:val="6B2976" w:themeColor="background2"/>
        </w:rPr>
        <w:lastRenderedPageBreak/>
        <w:t>Overall satisfaction</w:t>
      </w:r>
    </w:p>
    <w:p w14:paraId="55BAD6C8" w14:textId="1D4283B5" w:rsidR="005C121B" w:rsidRDefault="00D01C01" w:rsidP="005C121B">
      <w:pPr>
        <w:spacing w:before="160"/>
        <w:rPr>
          <w:rFonts w:cstheme="minorHAnsi"/>
        </w:rPr>
      </w:pPr>
      <w:r>
        <w:rPr>
          <w:rFonts w:cstheme="minorHAnsi"/>
        </w:rPr>
        <w:fldChar w:fldCharType="begin"/>
      </w:r>
      <w:r>
        <w:rPr>
          <w:rFonts w:cstheme="minorHAnsi"/>
        </w:rPr>
        <w:instrText xml:space="preserve"> REF _Ref137800188 \h </w:instrText>
      </w:r>
      <w:r>
        <w:rPr>
          <w:rFonts w:cstheme="minorHAnsi"/>
        </w:rPr>
      </w:r>
      <w:r>
        <w:rPr>
          <w:rFonts w:cstheme="minorHAnsi"/>
        </w:rPr>
        <w:fldChar w:fldCharType="separate"/>
      </w:r>
      <w:r w:rsidR="000F1876" w:rsidRPr="00EB3D5D">
        <w:t xml:space="preserve">Figure </w:t>
      </w:r>
      <w:r w:rsidR="000F1876">
        <w:rPr>
          <w:noProof/>
        </w:rPr>
        <w:t>16</w:t>
      </w:r>
      <w:r>
        <w:rPr>
          <w:rFonts w:cstheme="minorHAnsi"/>
        </w:rPr>
        <w:fldChar w:fldCharType="end"/>
      </w:r>
      <w:r>
        <w:rPr>
          <w:rFonts w:cstheme="minorHAnsi"/>
        </w:rPr>
        <w:t xml:space="preserve"> </w:t>
      </w:r>
      <w:r w:rsidR="005C121B">
        <w:rPr>
          <w:rFonts w:cstheme="minorHAnsi"/>
        </w:rPr>
        <w:t>shows the independent experts who responded to the survey were satisfied with most aspects of the IERP, especially:</w:t>
      </w:r>
    </w:p>
    <w:p w14:paraId="7BCE894D" w14:textId="77777777" w:rsidR="005C121B" w:rsidRDefault="005C121B" w:rsidP="000705FE">
      <w:pPr>
        <w:pStyle w:val="ListParagraph"/>
        <w:numPr>
          <w:ilvl w:val="0"/>
          <w:numId w:val="11"/>
        </w:numPr>
        <w:ind w:left="777" w:hanging="357"/>
        <w:rPr>
          <w:rFonts w:cstheme="minorHAnsi"/>
        </w:rPr>
      </w:pPr>
      <w:r>
        <w:rPr>
          <w:rFonts w:cstheme="minorHAnsi"/>
        </w:rPr>
        <w:t>The framework to make a recommendation</w:t>
      </w:r>
    </w:p>
    <w:p w14:paraId="3D763639" w14:textId="77777777" w:rsidR="005C121B" w:rsidRDefault="005C121B" w:rsidP="000705FE">
      <w:pPr>
        <w:pStyle w:val="ListParagraph"/>
        <w:numPr>
          <w:ilvl w:val="0"/>
          <w:numId w:val="11"/>
        </w:numPr>
        <w:ind w:left="777" w:hanging="357"/>
        <w:rPr>
          <w:rFonts w:cstheme="minorHAnsi"/>
        </w:rPr>
      </w:pPr>
      <w:r>
        <w:rPr>
          <w:rFonts w:cstheme="minorHAnsi"/>
        </w:rPr>
        <w:t>The NDIA’s follow up with them at the conclusion of the IER process</w:t>
      </w:r>
    </w:p>
    <w:p w14:paraId="7B0B0E3B" w14:textId="77777777" w:rsidR="005C121B" w:rsidRPr="00CF3B4A" w:rsidRDefault="005C121B" w:rsidP="000705FE">
      <w:pPr>
        <w:pStyle w:val="ListParagraph"/>
        <w:numPr>
          <w:ilvl w:val="0"/>
          <w:numId w:val="11"/>
        </w:numPr>
        <w:ind w:left="777" w:hanging="357"/>
        <w:rPr>
          <w:rFonts w:cstheme="minorHAnsi"/>
        </w:rPr>
      </w:pPr>
      <w:r>
        <w:rPr>
          <w:rFonts w:cstheme="minorHAnsi"/>
        </w:rPr>
        <w:t>The types of matters the Agency asked them to review</w:t>
      </w:r>
    </w:p>
    <w:p w14:paraId="722DF25B" w14:textId="49D27197" w:rsidR="005C121B" w:rsidRDefault="005C121B" w:rsidP="000705FE">
      <w:pPr>
        <w:pStyle w:val="ListParagraph"/>
        <w:numPr>
          <w:ilvl w:val="0"/>
          <w:numId w:val="11"/>
        </w:numPr>
        <w:ind w:left="777" w:hanging="357"/>
        <w:rPr>
          <w:rFonts w:cstheme="minorHAnsi"/>
        </w:rPr>
      </w:pPr>
      <w:r w:rsidRPr="00E319AF">
        <w:rPr>
          <w:rFonts w:cstheme="minorHAnsi"/>
        </w:rPr>
        <w:t>The process for receiving material via GovTeams</w:t>
      </w:r>
      <w:r w:rsidR="00EA4AC4">
        <w:rPr>
          <w:rFonts w:cstheme="minorHAnsi"/>
        </w:rPr>
        <w:t>.</w:t>
      </w:r>
    </w:p>
    <w:p w14:paraId="67B76FE3" w14:textId="77777777" w:rsidR="005C121B" w:rsidRPr="00C75F5D" w:rsidRDefault="005C121B" w:rsidP="005C121B">
      <w:pPr>
        <w:rPr>
          <w:rFonts w:cstheme="minorHAnsi"/>
        </w:rPr>
      </w:pPr>
      <w:r>
        <w:rPr>
          <w:rFonts w:cstheme="minorHAnsi"/>
        </w:rPr>
        <w:t>Independent experts reported lower satisfaction with the papers/documents referred to them to make a recommendation and the way the NDIA managed the program.</w:t>
      </w:r>
    </w:p>
    <w:p w14:paraId="034C47C9" w14:textId="53CAAD00" w:rsidR="005C121B" w:rsidRPr="00EB3D5D" w:rsidRDefault="005C121B" w:rsidP="00A86241">
      <w:pPr>
        <w:pStyle w:val="Caption"/>
        <w:rPr>
          <w:rFonts w:cstheme="minorHAnsi"/>
        </w:rPr>
      </w:pPr>
      <w:bookmarkStart w:id="215" w:name="_Ref137800188"/>
      <w:bookmarkStart w:id="216" w:name="_Ref139532619"/>
      <w:r w:rsidRPr="00EB3D5D">
        <w:t xml:space="preserve">Figure </w:t>
      </w:r>
      <w:r w:rsidRPr="00EB3D5D">
        <w:fldChar w:fldCharType="begin"/>
      </w:r>
      <w:r w:rsidRPr="00EB3D5D">
        <w:instrText>SEQ Figure \* ARABIC</w:instrText>
      </w:r>
      <w:r w:rsidRPr="00EB3D5D">
        <w:fldChar w:fldCharType="separate"/>
      </w:r>
      <w:r w:rsidR="000F1876">
        <w:rPr>
          <w:noProof/>
        </w:rPr>
        <w:t>16</w:t>
      </w:r>
      <w:r w:rsidRPr="00EB3D5D">
        <w:fldChar w:fldCharType="end"/>
      </w:r>
      <w:bookmarkEnd w:id="215"/>
      <w:bookmarkEnd w:id="216"/>
      <w:r w:rsidRPr="00EB3D5D">
        <w:t>: Independent expert satisfaction with aspects of the IERP</w:t>
      </w:r>
    </w:p>
    <w:p w14:paraId="206AA836" w14:textId="77777777" w:rsidR="005C121B" w:rsidRDefault="005C121B" w:rsidP="005C121B">
      <w:pPr>
        <w:spacing w:before="0" w:after="0"/>
        <w:rPr>
          <w:rFonts w:cstheme="minorHAnsi"/>
        </w:rPr>
      </w:pPr>
      <w:r>
        <w:rPr>
          <w:rFonts w:cstheme="minorHAnsi"/>
          <w:noProof/>
        </w:rPr>
        <w:drawing>
          <wp:inline distT="0" distB="0" distL="0" distR="0" wp14:anchorId="402C7F5F" wp14:editId="42F0046A">
            <wp:extent cx="5724525" cy="3152775"/>
            <wp:effectExtent l="0" t="0" r="0" b="0"/>
            <wp:docPr id="7" name="Chart 7" descr="Figure shows survey results from independent expert satisfaction with aspects of the IERP. &#10;It is a vertical stacked bar graph.&#10;Items across the horizontal include: framework to make a recommendation, follow-up at the conclusion of the IER process, types of matters referred, process for receiving material via GovTeams, management of IERP, the material referred to IEX to make a recommendation.&#10;&#10;For each item, independent experts (n=13) gave their satisfaction rating ranging from completely satisfied to not satisfied at all. &#10; The large majority of responses were &quot;completely satisfied&quot; or &quot;mostly satisfied&quot; with the items.&#10;Results:&#10;How satisfied are you with the IER Program in the following areas:&#10;Framework to make a recommendation:&#10;Completely satisfied, 5.&#10;Mostly satisfied, 4.&#10;Somewhat satisfied, 2.&#10;Only a little bit satisfied, 2.&#10;Not at all satisfied, 0.&#10;&#10;NDIA follow-up at the conclusion of IER process:&#10;Completely satisfied, 4.&#10;Mostly satisfied, 6.&#10;Somewhat satisfied, 1.&#10;Only a little bit satisfied, 2.&#10;Not at all satisfied, 0.&#10;&#10;Types of matters referred:&#10;Completely satisfied, 3.&#10;Mostly satisfied, 7.&#10;Somewhat satisfied, 2.&#10;Only a little bit satisfied, 0.&#10;Not at all satisfied, 0.&#10;Process for receiving material via GovTeams:&#10;Completely satisfied, 3.&#10;Mostly satisfied, 6.&#10;Somewhat satisfied, 4.&#10;Only a little bit satisfied, 0.&#10;Not at all satisfied, 0.&#10;&#10;NDIA management of IERP:&#10;Completely satisfied, 2.&#10;Mostly satisfied, 7.&#10;Somewhat satisfied, 1.&#10;Only a little bit satisfied, 3.&#10;Not at all satisfied, 0.&#10;&#10;The material referred to you to make a recommendation:&#10;Completely satisfied, 0.&#10;Mostly satisfied, 6.&#10;Somewhat satisfied, 2.&#10;Only a little bit satisfied, 5.&#10;Not at all satisfied, 0.&#1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6C3F051" w14:textId="77777777" w:rsidR="005C121B" w:rsidRPr="00EB3D5D" w:rsidRDefault="005C121B" w:rsidP="005C121B">
      <w:pPr>
        <w:spacing w:before="0"/>
        <w:rPr>
          <w:szCs w:val="22"/>
        </w:rPr>
      </w:pPr>
      <w:r w:rsidRPr="00EB3D5D">
        <w:rPr>
          <w:szCs w:val="22"/>
        </w:rPr>
        <w:t>Source: Online survey of independent experts (n=13)</w:t>
      </w:r>
    </w:p>
    <w:p w14:paraId="15E735F6" w14:textId="77777777" w:rsidR="005C121B" w:rsidRDefault="005C121B" w:rsidP="005C121B">
      <w:pPr>
        <w:spacing w:before="160"/>
        <w:rPr>
          <w:rFonts w:cstheme="minorHAnsi"/>
        </w:rPr>
      </w:pPr>
      <w:r>
        <w:rPr>
          <w:rFonts w:cstheme="minorHAnsi"/>
        </w:rPr>
        <w:t>The following sections discuss independent expert’s satisfaction and experience with different aspects of the IERP in more detail.</w:t>
      </w:r>
    </w:p>
    <w:p w14:paraId="620DCC5F" w14:textId="6E88F7C3" w:rsidR="005C121B" w:rsidRPr="00EB3D5D" w:rsidRDefault="005C121B" w:rsidP="0031204C">
      <w:pPr>
        <w:pStyle w:val="Heading4"/>
        <w:numPr>
          <w:ilvl w:val="0"/>
          <w:numId w:val="0"/>
        </w:numPr>
        <w:ind w:left="1134" w:hanging="1134"/>
        <w:rPr>
          <w:color w:val="6B2976" w:themeColor="background2"/>
        </w:rPr>
      </w:pPr>
      <w:r w:rsidRPr="00EB3D5D">
        <w:rPr>
          <w:color w:val="6B2976" w:themeColor="background2"/>
        </w:rPr>
        <w:lastRenderedPageBreak/>
        <w:t>Training and induction</w:t>
      </w:r>
    </w:p>
    <w:p w14:paraId="46664695" w14:textId="77777777" w:rsidR="005C121B" w:rsidRPr="008D2EA7" w:rsidRDefault="005C121B" w:rsidP="005C121B">
      <w:pPr>
        <w:pStyle w:val="Heading5"/>
      </w:pPr>
      <w:r>
        <w:t>Initial training and induction</w:t>
      </w:r>
    </w:p>
    <w:p w14:paraId="5CAE9573" w14:textId="77777777" w:rsidR="005C121B" w:rsidRDefault="005C121B" w:rsidP="005C121B">
      <w:r>
        <w:t>In the survey, independent experts overwhelmingly reported the NDIA induction training as either “Very useful” or “Useful” (92%), a sentiment they reinforced during interviews.</w:t>
      </w:r>
    </w:p>
    <w:p w14:paraId="30A83605" w14:textId="77777777" w:rsidR="005C121B" w:rsidRPr="00B13F7F" w:rsidRDefault="005C121B" w:rsidP="005C121B">
      <w:pPr>
        <w:ind w:left="357" w:right="720"/>
        <w:jc w:val="both"/>
        <w:rPr>
          <w:i/>
          <w:color w:val="6B2976"/>
        </w:rPr>
      </w:pPr>
      <w:r>
        <w:rPr>
          <w:i/>
          <w:color w:val="6B2976"/>
        </w:rPr>
        <w:t>“The A</w:t>
      </w:r>
      <w:r w:rsidRPr="00B13F7F">
        <w:rPr>
          <w:i/>
          <w:color w:val="6B2976"/>
        </w:rPr>
        <w:t xml:space="preserve">gency has </w:t>
      </w:r>
      <w:r>
        <w:rPr>
          <w:i/>
          <w:color w:val="6B2976"/>
        </w:rPr>
        <w:t>ensured</w:t>
      </w:r>
      <w:r w:rsidRPr="00B13F7F">
        <w:rPr>
          <w:i/>
          <w:color w:val="6B2976"/>
        </w:rPr>
        <w:t xml:space="preserve"> that reviewers are trained and have resources to do their role</w:t>
      </w:r>
      <w:r>
        <w:rPr>
          <w:i/>
          <w:color w:val="6B2976"/>
        </w:rPr>
        <w:t>.”</w:t>
      </w:r>
      <w:r w:rsidRPr="00B13F7F">
        <w:rPr>
          <w:i/>
          <w:color w:val="6B2976"/>
        </w:rPr>
        <w:t xml:space="preserve"> </w:t>
      </w:r>
      <w:r w:rsidRPr="00DE1108">
        <w:rPr>
          <w:b/>
          <w:bCs/>
          <w:iCs/>
          <w:color w:val="6B2976"/>
        </w:rPr>
        <w:t>Independent expert, interview</w:t>
      </w:r>
      <w:r>
        <w:rPr>
          <w:b/>
          <w:bCs/>
          <w:iCs/>
          <w:color w:val="6B2976"/>
        </w:rPr>
        <w:t>.</w:t>
      </w:r>
    </w:p>
    <w:p w14:paraId="61B26EDA" w14:textId="76F8F1F3" w:rsidR="00C340EF" w:rsidRDefault="005C121B" w:rsidP="005C121B">
      <w:r>
        <w:t>Although independent experts were generally positive about the training and induction, several indicated they would benefit from additional examples in their training. These examples include actual cases, case law and/or an annotated exemplar. This was commonly requested by independent experts with a non-legal background as they would help to interpret legislation and improve the consistency of recommendations.</w:t>
      </w:r>
    </w:p>
    <w:p w14:paraId="02D78AEA" w14:textId="77777777" w:rsidR="00464267" w:rsidRDefault="00464267" w:rsidP="00464267">
      <w:pPr>
        <w:ind w:left="357" w:right="720"/>
        <w:jc w:val="both"/>
        <w:rPr>
          <w:b/>
          <w:bCs/>
          <w:iCs/>
          <w:color w:val="6B2976"/>
        </w:rPr>
      </w:pPr>
      <w:r>
        <w:rPr>
          <w:i/>
          <w:color w:val="6B2976"/>
        </w:rPr>
        <w:t>“</w:t>
      </w:r>
      <w:r w:rsidRPr="007412D4">
        <w:rPr>
          <w:i/>
          <w:color w:val="6B2976"/>
        </w:rPr>
        <w:t xml:space="preserve">They sent through some de-identified reports and recommendations that some people </w:t>
      </w:r>
      <w:r>
        <w:rPr>
          <w:i/>
          <w:color w:val="6B2976"/>
        </w:rPr>
        <w:t xml:space="preserve">did at </w:t>
      </w:r>
      <w:r w:rsidRPr="007412D4">
        <w:rPr>
          <w:i/>
          <w:color w:val="6B2976"/>
        </w:rPr>
        <w:t xml:space="preserve">the trial stage. I found them very useful largely to see how people had structured the report. Some were different and that was useful. But also, there were some key phrases in there that I found very helpful and I sort of copied all of them into a useful phrase </w:t>
      </w:r>
      <w:r>
        <w:rPr>
          <w:i/>
          <w:color w:val="6B2976"/>
        </w:rPr>
        <w:t>reference</w:t>
      </w:r>
      <w:r w:rsidRPr="007412D4">
        <w:rPr>
          <w:i/>
          <w:color w:val="6B2976"/>
        </w:rPr>
        <w:t xml:space="preserve">. </w:t>
      </w:r>
      <w:r>
        <w:rPr>
          <w:i/>
          <w:color w:val="6B2976"/>
        </w:rPr>
        <w:t xml:space="preserve">It </w:t>
      </w:r>
      <w:r w:rsidRPr="007412D4">
        <w:rPr>
          <w:i/>
          <w:color w:val="6B2976"/>
        </w:rPr>
        <w:t xml:space="preserve">included the links to </w:t>
      </w:r>
      <w:r>
        <w:rPr>
          <w:i/>
          <w:color w:val="6B2976"/>
        </w:rPr>
        <w:t>parts</w:t>
      </w:r>
      <w:r w:rsidRPr="007412D4">
        <w:rPr>
          <w:i/>
          <w:color w:val="6B2976"/>
        </w:rPr>
        <w:t xml:space="preserve"> of the legislation which was a good shortcut to see the phrasing linking as clearly as it was. So, I feel that's particularly helpful.</w:t>
      </w:r>
      <w:r>
        <w:rPr>
          <w:i/>
          <w:color w:val="6B2976"/>
        </w:rPr>
        <w:t>”</w:t>
      </w:r>
      <w:r w:rsidRPr="007412D4">
        <w:rPr>
          <w:i/>
          <w:color w:val="6B2976"/>
        </w:rPr>
        <w:t xml:space="preserve"> </w:t>
      </w:r>
      <w:r w:rsidRPr="00C54A0B">
        <w:rPr>
          <w:b/>
          <w:bCs/>
          <w:iCs/>
          <w:color w:val="6B2976"/>
        </w:rPr>
        <w:t>Independent expert, interview</w:t>
      </w:r>
      <w:r>
        <w:rPr>
          <w:b/>
          <w:bCs/>
          <w:iCs/>
          <w:color w:val="6B2976"/>
        </w:rPr>
        <w:t>.</w:t>
      </w:r>
    </w:p>
    <w:p w14:paraId="05F93B11" w14:textId="77777777" w:rsidR="005C121B" w:rsidRDefault="005C121B" w:rsidP="005C121B">
      <w:r>
        <w:t xml:space="preserve">Some independent experts with a legal background indicated that the training and induction should also include guidance on legal principles and standards such as procedural fairness. </w:t>
      </w:r>
    </w:p>
    <w:p w14:paraId="455BBCBD" w14:textId="77777777" w:rsidR="005C121B" w:rsidRDefault="005C121B" w:rsidP="005C121B">
      <w:pPr>
        <w:ind w:left="357" w:right="720"/>
        <w:jc w:val="both"/>
        <w:rPr>
          <w:b/>
          <w:bCs/>
          <w:i/>
          <w:iCs/>
          <w:color w:val="6B2976"/>
        </w:rPr>
      </w:pPr>
      <w:r w:rsidRPr="00630812">
        <w:rPr>
          <w:i/>
          <w:iCs/>
          <w:color w:val="6B2976"/>
        </w:rPr>
        <w:t>“</w:t>
      </w:r>
      <w:r w:rsidRPr="00B87FFD">
        <w:rPr>
          <w:i/>
          <w:iCs/>
          <w:color w:val="6B2976"/>
        </w:rPr>
        <w:t>I'm aware of one reviewer who called up a doctor they knew to get some advice. And I thought- You can't do that</w:t>
      </w:r>
      <w:r>
        <w:rPr>
          <w:i/>
          <w:iCs/>
          <w:color w:val="6B2976"/>
        </w:rPr>
        <w:t>.</w:t>
      </w:r>
      <w:r w:rsidRPr="00B87FFD">
        <w:rPr>
          <w:i/>
          <w:iCs/>
          <w:color w:val="6B2976"/>
        </w:rPr>
        <w:t xml:space="preserve"> </w:t>
      </w:r>
      <w:r>
        <w:rPr>
          <w:i/>
          <w:iCs/>
          <w:color w:val="6B2976"/>
        </w:rPr>
        <w:t>Y</w:t>
      </w:r>
      <w:r w:rsidRPr="00B87FFD">
        <w:rPr>
          <w:i/>
          <w:iCs/>
          <w:color w:val="6B2976"/>
        </w:rPr>
        <w:t>ou're charged with making a recommendation and the rules of procedural fairness apply to you. If you want to go and talk to a friend and that friend gives you a view and you don't put it to either the Agency or the party, you're breaching procedural fairness</w:t>
      </w:r>
      <w:r>
        <w:rPr>
          <w:i/>
          <w:iCs/>
          <w:color w:val="6B2976"/>
        </w:rPr>
        <w:t>. We</w:t>
      </w:r>
      <w:r w:rsidRPr="00B87FFD">
        <w:rPr>
          <w:i/>
          <w:iCs/>
          <w:color w:val="6B2976"/>
        </w:rPr>
        <w:t xml:space="preserve"> are charged with making a fair decision and fairness connotes that all </w:t>
      </w:r>
      <w:r w:rsidRPr="00B87FFD">
        <w:rPr>
          <w:i/>
          <w:iCs/>
          <w:color w:val="6B2976"/>
        </w:rPr>
        <w:lastRenderedPageBreak/>
        <w:t xml:space="preserve">parties should be privy to any </w:t>
      </w:r>
      <w:r>
        <w:rPr>
          <w:i/>
          <w:iCs/>
          <w:color w:val="6B2976"/>
        </w:rPr>
        <w:t xml:space="preserve">new </w:t>
      </w:r>
      <w:r w:rsidRPr="00B87FFD">
        <w:rPr>
          <w:i/>
          <w:iCs/>
          <w:color w:val="6B2976"/>
        </w:rPr>
        <w:t>information.</w:t>
      </w:r>
      <w:r w:rsidRPr="00630812">
        <w:rPr>
          <w:i/>
          <w:iCs/>
          <w:color w:val="6B2976"/>
        </w:rPr>
        <w:t>”</w:t>
      </w:r>
      <w:r>
        <w:rPr>
          <w:i/>
          <w:iCs/>
          <w:color w:val="6B2976"/>
        </w:rPr>
        <w:t xml:space="preserve"> </w:t>
      </w:r>
      <w:r w:rsidRPr="0060343C">
        <w:rPr>
          <w:b/>
          <w:bCs/>
          <w:color w:val="6B2976"/>
        </w:rPr>
        <w:t xml:space="preserve">Independent </w:t>
      </w:r>
      <w:r>
        <w:rPr>
          <w:b/>
          <w:bCs/>
          <w:color w:val="6B2976"/>
        </w:rPr>
        <w:t>e</w:t>
      </w:r>
      <w:r w:rsidRPr="0060343C">
        <w:rPr>
          <w:b/>
          <w:bCs/>
          <w:color w:val="6B2976"/>
        </w:rPr>
        <w:t>xpert interview</w:t>
      </w:r>
      <w:r>
        <w:rPr>
          <w:b/>
          <w:bCs/>
          <w:color w:val="6B2976"/>
        </w:rPr>
        <w:t>.</w:t>
      </w:r>
    </w:p>
    <w:p w14:paraId="6B647606" w14:textId="77777777" w:rsidR="005C121B" w:rsidRDefault="005C121B" w:rsidP="005C121B">
      <w:r w:rsidRPr="00280841">
        <w:t>During interviews,</w:t>
      </w:r>
      <w:r>
        <w:t xml:space="preserve"> independent experts suggested the following other enhancements to the training and induction: </w:t>
      </w:r>
    </w:p>
    <w:p w14:paraId="0810BC71" w14:textId="77777777" w:rsidR="005C121B" w:rsidRDefault="005C121B" w:rsidP="000705FE">
      <w:pPr>
        <w:pStyle w:val="HeadingH6New"/>
      </w:pPr>
      <w:r>
        <w:t>Practical skills:</w:t>
      </w:r>
    </w:p>
    <w:p w14:paraId="051A0310" w14:textId="77777777" w:rsidR="005C121B" w:rsidRDefault="005C121B" w:rsidP="000705FE">
      <w:pPr>
        <w:pStyle w:val="ListParagraph"/>
        <w:numPr>
          <w:ilvl w:val="0"/>
          <w:numId w:val="42"/>
        </w:numPr>
        <w:ind w:left="1077" w:hanging="357"/>
      </w:pPr>
      <w:r>
        <w:t>N</w:t>
      </w:r>
      <w:r w:rsidRPr="000B3233">
        <w:t xml:space="preserve">avigating the </w:t>
      </w:r>
      <w:r>
        <w:t xml:space="preserve">NDIA </w:t>
      </w:r>
      <w:r w:rsidRPr="000B3233">
        <w:t>on-line system</w:t>
      </w:r>
      <w:r>
        <w:t xml:space="preserve"> and how to access documents.</w:t>
      </w:r>
    </w:p>
    <w:p w14:paraId="51F41F47" w14:textId="77777777" w:rsidR="005C121B" w:rsidRDefault="005C121B" w:rsidP="000705FE">
      <w:pPr>
        <w:pStyle w:val="ListParagraph"/>
        <w:numPr>
          <w:ilvl w:val="0"/>
          <w:numId w:val="42"/>
        </w:numPr>
        <w:ind w:left="1077" w:hanging="357"/>
      </w:pPr>
      <w:r>
        <w:t>An outline of a preferred report format, templates that include standard information, for example, section 34 of the Act and the associated references, and standard email formats to invite the participant and/or representative to meet.</w:t>
      </w:r>
    </w:p>
    <w:p w14:paraId="1D60D5EA" w14:textId="77777777" w:rsidR="005C121B" w:rsidRDefault="005C121B" w:rsidP="000705FE">
      <w:pPr>
        <w:pStyle w:val="HeadingH6New"/>
      </w:pPr>
      <w:r>
        <w:t>Process standards:</w:t>
      </w:r>
    </w:p>
    <w:p w14:paraId="26FB33CC" w14:textId="77777777" w:rsidR="005C121B" w:rsidRPr="00D4094C" w:rsidRDefault="005C121B" w:rsidP="000705FE">
      <w:pPr>
        <w:pStyle w:val="ListParagraph"/>
        <w:numPr>
          <w:ilvl w:val="0"/>
          <w:numId w:val="42"/>
        </w:numPr>
        <w:ind w:left="1077" w:hanging="357"/>
      </w:pPr>
      <w:r>
        <w:t>A</w:t>
      </w:r>
      <w:r w:rsidRPr="00D4094C">
        <w:t xml:space="preserve"> framework to follow </w:t>
      </w:r>
      <w:r>
        <w:t xml:space="preserve">with </w:t>
      </w:r>
      <w:r w:rsidRPr="00D4094C">
        <w:t>the</w:t>
      </w:r>
      <w:r>
        <w:t>ir</w:t>
      </w:r>
      <w:r w:rsidRPr="00D4094C">
        <w:t xml:space="preserve"> first few </w:t>
      </w:r>
      <w:r>
        <w:t>cases that gives guidance on what</w:t>
      </w:r>
      <w:r w:rsidRPr="00D4094C">
        <w:t xml:space="preserve"> </w:t>
      </w:r>
      <w:r>
        <w:t xml:space="preserve">order to consider </w:t>
      </w:r>
      <w:r w:rsidRPr="00D4094C">
        <w:t xml:space="preserve">information as they worked through the </w:t>
      </w:r>
      <w:r>
        <w:t>case material.</w:t>
      </w:r>
    </w:p>
    <w:p w14:paraId="0DFEDF05" w14:textId="77777777" w:rsidR="005C121B" w:rsidRPr="00D4094C" w:rsidRDefault="005C121B" w:rsidP="000705FE">
      <w:pPr>
        <w:pStyle w:val="ListParagraph"/>
        <w:numPr>
          <w:ilvl w:val="0"/>
          <w:numId w:val="42"/>
        </w:numPr>
        <w:ind w:left="1077" w:hanging="357"/>
      </w:pPr>
      <w:r>
        <w:t>P</w:t>
      </w:r>
      <w:r w:rsidRPr="00D4094C">
        <w:t>rocedures for interacting with participants and their families</w:t>
      </w:r>
      <w:r>
        <w:t>, including</w:t>
      </w:r>
      <w:r w:rsidRPr="00D4094C">
        <w:t xml:space="preserve"> </w:t>
      </w:r>
      <w:r>
        <w:t xml:space="preserve">the process </w:t>
      </w:r>
      <w:r w:rsidRPr="00D4094C">
        <w:t>when a participant reports factual errors in the information</w:t>
      </w:r>
      <w:r>
        <w:t>, wants extended amounts of contact and/or when contact is made after a recommendation has been provided</w:t>
      </w:r>
      <w:r w:rsidRPr="00D4094C">
        <w:t>.</w:t>
      </w:r>
    </w:p>
    <w:p w14:paraId="05BE885B" w14:textId="652F468B" w:rsidR="005C121B" w:rsidRDefault="005C121B" w:rsidP="000705FE">
      <w:pPr>
        <w:pStyle w:val="HeadingH6New"/>
      </w:pPr>
      <w:r>
        <w:t>Decision making</w:t>
      </w:r>
      <w:r w:rsidR="00404984">
        <w:t>:</w:t>
      </w:r>
    </w:p>
    <w:p w14:paraId="7981ADBF" w14:textId="77777777" w:rsidR="005C121B" w:rsidRDefault="005C121B" w:rsidP="000705FE">
      <w:pPr>
        <w:pStyle w:val="ListParagraph"/>
        <w:numPr>
          <w:ilvl w:val="0"/>
          <w:numId w:val="42"/>
        </w:numPr>
        <w:ind w:left="1077" w:hanging="357"/>
      </w:pPr>
      <w:r>
        <w:t xml:space="preserve">Information on how the Agency makes </w:t>
      </w:r>
      <w:r w:rsidRPr="000B3233">
        <w:t xml:space="preserve">and </w:t>
      </w:r>
      <w:r>
        <w:t>reviews decisions internally.</w:t>
      </w:r>
    </w:p>
    <w:p w14:paraId="7EF37C68" w14:textId="77777777" w:rsidR="005C121B" w:rsidRDefault="005C121B" w:rsidP="000705FE">
      <w:pPr>
        <w:pStyle w:val="ListParagraph"/>
        <w:numPr>
          <w:ilvl w:val="0"/>
          <w:numId w:val="42"/>
        </w:numPr>
        <w:ind w:left="1077" w:hanging="357"/>
      </w:pPr>
      <w:r>
        <w:t>Guidance on interpreting legislation in complex cases.</w:t>
      </w:r>
    </w:p>
    <w:p w14:paraId="5DF8A414" w14:textId="392D0C51" w:rsidR="005C121B" w:rsidRDefault="005C121B" w:rsidP="005C121B">
      <w:pPr>
        <w:pStyle w:val="Heading5"/>
        <w:rPr>
          <w:noProof/>
        </w:rPr>
      </w:pPr>
      <w:r>
        <w:rPr>
          <w:noProof/>
        </w:rPr>
        <w:t>Ongoing training  and quality assurance</w:t>
      </w:r>
    </w:p>
    <w:p w14:paraId="26BB8EAD" w14:textId="77777777" w:rsidR="005C121B" w:rsidRDefault="005C121B" w:rsidP="005C121B">
      <w:pPr>
        <w:ind w:right="521"/>
      </w:pPr>
      <w:r>
        <w:t xml:space="preserve">Independent experts stressed the importance of maintaining consistency in the quality of recommendations both over time and between each expert, particularly if the Agency scales up the IERP. In addition to ongoing training, several independent experts proposed a </w:t>
      </w:r>
      <w:r w:rsidRPr="0000057F">
        <w:t>quality assurance process</w:t>
      </w:r>
      <w:r>
        <w:t xml:space="preserve">. </w:t>
      </w:r>
      <w:r w:rsidRPr="002B2771">
        <w:t>This may include having complex matters addressed by multi-expert panels, with these recommendations then available for use as guidance.</w:t>
      </w:r>
      <w:r>
        <w:t xml:space="preserve"> Several experts commented that receiving feedback on their recommendations would be useful, </w:t>
      </w:r>
      <w:r>
        <w:lastRenderedPageBreak/>
        <w:t>although they recognised this may compromise their independence and participant consent</w:t>
      </w:r>
      <w:r>
        <w:rPr>
          <w:rStyle w:val="FootnoteReference"/>
        </w:rPr>
        <w:footnoteReference w:id="41"/>
      </w:r>
      <w:r>
        <w:t xml:space="preserve">. There was also a suggestion to highlight certain cases as exemplars to give further guidance on interpretating relevant legislation and operational guidelines. </w:t>
      </w:r>
    </w:p>
    <w:p w14:paraId="045D3C8C" w14:textId="77777777" w:rsidR="005C121B" w:rsidRDefault="005C121B" w:rsidP="005C121B">
      <w:pPr>
        <w:ind w:left="357" w:right="720"/>
        <w:jc w:val="both"/>
        <w:rPr>
          <w:b/>
          <w:bCs/>
          <w:color w:val="6B2976"/>
        </w:rPr>
      </w:pPr>
      <w:r>
        <w:rPr>
          <w:i/>
          <w:iCs/>
          <w:color w:val="6B2976"/>
        </w:rPr>
        <w:t>“</w:t>
      </w:r>
      <w:r w:rsidRPr="0030736D">
        <w:rPr>
          <w:i/>
          <w:iCs/>
          <w:color w:val="6B2976"/>
        </w:rPr>
        <w:t xml:space="preserve">The major challenge is achieving comparability of outcomes in a context of multiple independent reviewers and decision-makers. This aspect of the program does not seem to have been attended to and </w:t>
      </w:r>
      <w:r>
        <w:rPr>
          <w:i/>
          <w:iCs/>
          <w:color w:val="6B2976"/>
        </w:rPr>
        <w:t xml:space="preserve">is </w:t>
      </w:r>
      <w:r w:rsidRPr="0030736D">
        <w:rPr>
          <w:i/>
          <w:iCs/>
          <w:color w:val="6B2976"/>
        </w:rPr>
        <w:t>certainly not within the IER process</w:t>
      </w:r>
      <w:r>
        <w:rPr>
          <w:i/>
          <w:iCs/>
          <w:color w:val="6B2976"/>
        </w:rPr>
        <w:t>. We</w:t>
      </w:r>
      <w:r w:rsidRPr="0030736D">
        <w:rPr>
          <w:i/>
          <w:iCs/>
          <w:color w:val="6B2976"/>
        </w:rPr>
        <w:t xml:space="preserve"> are each meant to grapple </w:t>
      </w:r>
      <w:r>
        <w:rPr>
          <w:i/>
          <w:iCs/>
          <w:color w:val="6B2976"/>
        </w:rPr>
        <w:t>alone</w:t>
      </w:r>
      <w:r w:rsidRPr="0030736D">
        <w:rPr>
          <w:i/>
          <w:iCs/>
          <w:color w:val="6B2976"/>
        </w:rPr>
        <w:t xml:space="preserve"> with similar matters</w:t>
      </w:r>
      <w:r>
        <w:rPr>
          <w:i/>
          <w:iCs/>
          <w:color w:val="6B2976"/>
        </w:rPr>
        <w:t xml:space="preserve"> </w:t>
      </w:r>
      <w:r w:rsidRPr="0030736D">
        <w:rPr>
          <w:i/>
          <w:iCs/>
          <w:color w:val="6B2976"/>
        </w:rPr>
        <w:t xml:space="preserve">and make similar judgements about what is reasonable/necessary privately and solely. I have never been involved in a multi-reviewer process which does not have comparability mechanisms such as exemplars of best practice; opportunities for expert mentoring/advice; some sort of collaborative/group check-in process so that standards of decision-making are </w:t>
      </w:r>
      <w:r>
        <w:rPr>
          <w:i/>
          <w:iCs/>
          <w:color w:val="6B2976"/>
        </w:rPr>
        <w:t>consistent</w:t>
      </w:r>
      <w:r w:rsidRPr="0030736D">
        <w:rPr>
          <w:i/>
          <w:iCs/>
          <w:color w:val="6B2976"/>
        </w:rPr>
        <w:t>.</w:t>
      </w:r>
      <w:r>
        <w:rPr>
          <w:i/>
          <w:iCs/>
          <w:color w:val="6B2976"/>
        </w:rPr>
        <w:t>”</w:t>
      </w:r>
      <w:r w:rsidRPr="0030736D">
        <w:rPr>
          <w:i/>
          <w:iCs/>
          <w:color w:val="6B2976"/>
        </w:rPr>
        <w:t xml:space="preserve"> </w:t>
      </w:r>
      <w:r w:rsidRPr="00DC052B">
        <w:rPr>
          <w:b/>
          <w:bCs/>
          <w:color w:val="6B2976"/>
        </w:rPr>
        <w:t>Independent Expert</w:t>
      </w:r>
      <w:r>
        <w:rPr>
          <w:b/>
          <w:bCs/>
          <w:color w:val="6B2976"/>
        </w:rPr>
        <w:t>, interview.</w:t>
      </w:r>
    </w:p>
    <w:p w14:paraId="558EDA91" w14:textId="5C62D078" w:rsidR="00CA4DD7" w:rsidRDefault="00CA4DD7" w:rsidP="00CA4DD7">
      <w:pPr>
        <w:ind w:right="521"/>
      </w:pPr>
      <w:r w:rsidRPr="00DF790F">
        <w:t>It is noted that the IERP team intentionally limited training and feedback to independent experts to ensure independence, minimise the perception of agenda setting, test the boundaries of the model and to safeguard participant privacy</w:t>
      </w:r>
      <w:r w:rsidR="00B04E06" w:rsidRPr="00DF790F">
        <w:t xml:space="preserve">. Furthermore, </w:t>
      </w:r>
      <w:r w:rsidR="00852985" w:rsidRPr="00DF790F">
        <w:t xml:space="preserve">it is recognised that additional training </w:t>
      </w:r>
      <w:r w:rsidR="008A2FB6" w:rsidRPr="00DF790F">
        <w:t>has been introduced</w:t>
      </w:r>
      <w:r w:rsidR="0092514D">
        <w:t xml:space="preserve"> to address </w:t>
      </w:r>
      <w:r w:rsidR="000A5018">
        <w:t>frequently occurring issues</w:t>
      </w:r>
      <w:r w:rsidR="00E353B3">
        <w:t xml:space="preserve">, such as SDA </w:t>
      </w:r>
      <w:r w:rsidR="00C6651E">
        <w:t>and conflicts in evidence.</w:t>
      </w:r>
    </w:p>
    <w:p w14:paraId="07E87518" w14:textId="77777777" w:rsidR="005C121B" w:rsidRPr="00EB3D5D" w:rsidRDefault="005C121B" w:rsidP="0031204C">
      <w:pPr>
        <w:pStyle w:val="Heading4"/>
        <w:numPr>
          <w:ilvl w:val="0"/>
          <w:numId w:val="0"/>
        </w:numPr>
        <w:ind w:left="1134" w:hanging="1134"/>
        <w:rPr>
          <w:color w:val="6B2976" w:themeColor="background2"/>
        </w:rPr>
      </w:pPr>
      <w:r w:rsidRPr="00EB3D5D">
        <w:rPr>
          <w:color w:val="6B2976" w:themeColor="background2"/>
        </w:rPr>
        <w:t>Referrals and materials</w:t>
      </w:r>
    </w:p>
    <w:p w14:paraId="7BE0CFF7" w14:textId="77777777" w:rsidR="005C121B" w:rsidRDefault="005C121B" w:rsidP="005C121B">
      <w:pPr>
        <w:pStyle w:val="Heading5"/>
        <w:rPr>
          <w:noProof/>
        </w:rPr>
      </w:pPr>
      <w:r>
        <w:rPr>
          <w:noProof/>
        </w:rPr>
        <w:t>Referrals</w:t>
      </w:r>
    </w:p>
    <w:p w14:paraId="7A97240C" w14:textId="77777777" w:rsidR="005C121B" w:rsidRDefault="005C121B" w:rsidP="005C121B">
      <w:pPr>
        <w:rPr>
          <w:noProof/>
        </w:rPr>
      </w:pPr>
      <w:r>
        <w:rPr>
          <w:noProof/>
        </w:rPr>
        <w:t>Most independent experts reported in the online survey being completely or mostly satisfied (83%) with the types of matters referred to them for review. This was largely reinforced during interviews. However, the complexity of the cases and the nature of the IERP process raised issues for some experts, who indicated not all matters were necessarily appropriate for the IERP and may need to be tested for evidentiary reasons.</w:t>
      </w:r>
    </w:p>
    <w:p w14:paraId="134EE12A" w14:textId="77777777" w:rsidR="005C121B" w:rsidRPr="00C84429" w:rsidRDefault="005C121B" w:rsidP="005C121B">
      <w:pPr>
        <w:ind w:left="357" w:right="720"/>
        <w:jc w:val="both"/>
        <w:rPr>
          <w:b/>
          <w:bCs/>
          <w:i/>
          <w:iCs/>
          <w:color w:val="6B2976"/>
        </w:rPr>
      </w:pPr>
      <w:r>
        <w:rPr>
          <w:i/>
          <w:iCs/>
          <w:color w:val="6B2976"/>
        </w:rPr>
        <w:lastRenderedPageBreak/>
        <w:t>“</w:t>
      </w:r>
      <w:r w:rsidRPr="008E3F82">
        <w:rPr>
          <w:i/>
          <w:iCs/>
          <w:color w:val="6B2976"/>
        </w:rPr>
        <w:t>There was one that I thought I could make some recommendations, but there was conflicting evidence, and I wasn't undertaking an inquisitorial process.</w:t>
      </w:r>
      <w:r>
        <w:rPr>
          <w:i/>
          <w:iCs/>
          <w:color w:val="6B2976"/>
        </w:rPr>
        <w:t xml:space="preserve"> </w:t>
      </w:r>
      <w:r w:rsidRPr="008E3F82">
        <w:rPr>
          <w:i/>
          <w:iCs/>
          <w:color w:val="6B2976"/>
        </w:rPr>
        <w:t>I had no capacity to cross-examine where there was conflicting evidence. And I said some of these things better go to the tribunal.</w:t>
      </w:r>
      <w:r>
        <w:rPr>
          <w:i/>
          <w:iCs/>
          <w:color w:val="6B2976"/>
        </w:rPr>
        <w:t>”</w:t>
      </w:r>
      <w:r w:rsidRPr="008E3F82">
        <w:rPr>
          <w:i/>
          <w:iCs/>
          <w:color w:val="6B2976"/>
        </w:rPr>
        <w:t xml:space="preserve"> </w:t>
      </w:r>
      <w:r w:rsidRPr="004472A2">
        <w:rPr>
          <w:b/>
          <w:color w:val="6B2976"/>
        </w:rPr>
        <w:t>Independent Expert</w:t>
      </w:r>
      <w:r w:rsidRPr="004472A2">
        <w:rPr>
          <w:b/>
          <w:bCs/>
          <w:color w:val="6B2976"/>
        </w:rPr>
        <w:t>, interview</w:t>
      </w:r>
      <w:r>
        <w:rPr>
          <w:b/>
          <w:bCs/>
          <w:color w:val="6B2976"/>
        </w:rPr>
        <w:t>.</w:t>
      </w:r>
    </w:p>
    <w:p w14:paraId="5420C506" w14:textId="0EDA83A2" w:rsidR="005C121B" w:rsidRDefault="005C121B" w:rsidP="005C121B">
      <w:pPr>
        <w:rPr>
          <w:noProof/>
        </w:rPr>
      </w:pPr>
      <w:r>
        <w:t xml:space="preserve">Originally, the Agency did not earmark the IERP to only deal with highly complex cases. </w:t>
      </w:r>
      <w:r>
        <w:rPr>
          <w:noProof/>
        </w:rPr>
        <w:t>However, due to the success of other initiatives in resolving the backlog of less complex AAT matters, such as Early Assessment Teams, the decision was made for the IERP to focus on highly complex matters.</w:t>
      </w:r>
    </w:p>
    <w:p w14:paraId="08335CF0" w14:textId="77777777" w:rsidR="005C121B" w:rsidRDefault="005C121B" w:rsidP="005C121B">
      <w:pPr>
        <w:pStyle w:val="Heading5"/>
        <w:rPr>
          <w:noProof/>
        </w:rPr>
      </w:pPr>
      <w:r>
        <w:rPr>
          <w:noProof/>
        </w:rPr>
        <w:t>Case materials</w:t>
      </w:r>
    </w:p>
    <w:p w14:paraId="358109ED" w14:textId="77777777" w:rsidR="005C121B" w:rsidRDefault="005C121B" w:rsidP="005C121B">
      <w:r>
        <w:t xml:space="preserve">In the survey, more than half of the experts (54%) reported they were only somewhat, or a little bit satisfied with the papers/documents received to review matters. During interviews independent experts almost unanimously commented that the volume of documents sent to them was far greater than they expected and there was substantial duplication in the information contained. The documentation included all submissions and evidence accumulated during the minimum nine months the matters have been in the AAT process. </w:t>
      </w:r>
    </w:p>
    <w:p w14:paraId="32669F6B" w14:textId="77777777" w:rsidR="005C121B" w:rsidRDefault="005C121B" w:rsidP="005C121B">
      <w:r>
        <w:t>While independent experts recognised the importance of ensuring they receive all information related to the case, most suggested that chronological ordering, indexing, page numbering and bundling of specialist report evidence would make it easier for them to navigate the plethora of information and improve the efficiency of their reviews.</w:t>
      </w:r>
    </w:p>
    <w:p w14:paraId="25FE88F1" w14:textId="77777777" w:rsidR="005C121B" w:rsidRPr="00180306" w:rsidRDefault="005C121B" w:rsidP="005C121B">
      <w:pPr>
        <w:pStyle w:val="Heading5"/>
      </w:pPr>
      <w:r w:rsidRPr="00180306">
        <w:t>Participant</w:t>
      </w:r>
      <w:r>
        <w:t xml:space="preserve"> and</w:t>
      </w:r>
      <w:r w:rsidRPr="00180306">
        <w:t xml:space="preserve"> legal representative </w:t>
      </w:r>
      <w:r>
        <w:t>contact</w:t>
      </w:r>
    </w:p>
    <w:p w14:paraId="30D83A74" w14:textId="77777777" w:rsidR="005C121B" w:rsidRPr="002F57B7" w:rsidRDefault="005C121B" w:rsidP="005C121B">
      <w:r>
        <w:t>Independent experts generally met with the participant and/or their legal representative as part of their review. This served to provide contextual information related to the participant’s current level of supports and needs. Most independent experts spoke positively about this contact as part of the review process, noting it is an opportunity to engage with the participant and give them some confidence in the process.</w:t>
      </w:r>
    </w:p>
    <w:p w14:paraId="724730C1" w14:textId="77777777" w:rsidR="005C121B" w:rsidRDefault="005C121B" w:rsidP="005C121B">
      <w:pPr>
        <w:ind w:left="357" w:right="720"/>
        <w:jc w:val="both"/>
        <w:rPr>
          <w:b/>
          <w:bCs/>
          <w:color w:val="6B2976"/>
        </w:rPr>
      </w:pPr>
      <w:r>
        <w:rPr>
          <w:i/>
          <w:iCs/>
          <w:color w:val="6B2976"/>
        </w:rPr>
        <w:lastRenderedPageBreak/>
        <w:t>“</w:t>
      </w:r>
      <w:r w:rsidRPr="00521F70">
        <w:rPr>
          <w:i/>
          <w:iCs/>
          <w:color w:val="6B2976"/>
        </w:rPr>
        <w:t>The rules say that you can get information from the family, the carers, the participants about how they experience the outcomes of those supports, of those interventions. So I got some more information that supported me to make a decision around effective and beneficial for one of the supports…Hearing directly from the participant about some of the impacts that the support has had on them, I feel like listening to them in that process… was potentially quite healing for the participants in terms of a relationship with the scheme that will need to support them or they perceive will need to support them into the future.</w:t>
      </w:r>
      <w:r>
        <w:rPr>
          <w:i/>
          <w:iCs/>
          <w:color w:val="6B2976"/>
        </w:rPr>
        <w:t>”</w:t>
      </w:r>
      <w:r>
        <w:rPr>
          <w:color w:val="6B2976"/>
        </w:rPr>
        <w:t xml:space="preserve"> </w:t>
      </w:r>
      <w:r w:rsidRPr="00521F70">
        <w:rPr>
          <w:b/>
          <w:bCs/>
          <w:color w:val="6B2976"/>
        </w:rPr>
        <w:t>Independent expert, interview</w:t>
      </w:r>
      <w:r>
        <w:rPr>
          <w:b/>
          <w:bCs/>
          <w:color w:val="6B2976"/>
        </w:rPr>
        <w:t>.</w:t>
      </w:r>
    </w:p>
    <w:p w14:paraId="30265A4B" w14:textId="77777777" w:rsidR="005C121B" w:rsidRPr="00CC78A3" w:rsidRDefault="005C121B" w:rsidP="005C121B">
      <w:r w:rsidRPr="00CC78A3">
        <w:t>Although there were clear benefits associated with direct participant contact, some independent experts noted there was a balance between being empathetic and ensuring they did not become a source of emotional support</w:t>
      </w:r>
      <w:r>
        <w:t xml:space="preserve"> for the participant</w:t>
      </w:r>
      <w:r w:rsidRPr="00CC78A3">
        <w:t xml:space="preserve">. </w:t>
      </w:r>
    </w:p>
    <w:p w14:paraId="4A62C497" w14:textId="77777777" w:rsidR="005C121B" w:rsidRPr="00EB3D5D" w:rsidRDefault="005C121B" w:rsidP="0031204C">
      <w:pPr>
        <w:pStyle w:val="Heading4"/>
        <w:numPr>
          <w:ilvl w:val="0"/>
          <w:numId w:val="0"/>
        </w:numPr>
        <w:ind w:left="1134" w:hanging="1134"/>
        <w:rPr>
          <w:color w:val="6B2976" w:themeColor="background2"/>
        </w:rPr>
      </w:pPr>
      <w:r w:rsidRPr="00EB3D5D">
        <w:rPr>
          <w:color w:val="6B2976" w:themeColor="background2"/>
        </w:rPr>
        <w:t>Program management by the NDIA</w:t>
      </w:r>
    </w:p>
    <w:p w14:paraId="4A1CAA6C" w14:textId="77777777" w:rsidR="005C121B" w:rsidRDefault="005C121B" w:rsidP="005C121B">
      <w:r>
        <w:t>Based on survey responses, the majority (69%) of independent experts were completely or mostly satisfied with the NDIA’s management of the IERP. Several noted the Agency appears to have given a lot of consideration on how best to provide experts with support.</w:t>
      </w:r>
    </w:p>
    <w:p w14:paraId="48C2DBB5" w14:textId="77777777" w:rsidR="005C121B" w:rsidRPr="00B13F7F" w:rsidRDefault="005C121B" w:rsidP="005C121B">
      <w:pPr>
        <w:ind w:left="357" w:right="720"/>
        <w:jc w:val="both"/>
        <w:rPr>
          <w:i/>
          <w:color w:val="6B2976"/>
        </w:rPr>
      </w:pPr>
      <w:r w:rsidRPr="00FE40A6">
        <w:rPr>
          <w:i/>
          <w:color w:val="6B2976"/>
        </w:rPr>
        <w:t>“</w:t>
      </w:r>
      <w:r>
        <w:rPr>
          <w:i/>
          <w:color w:val="6B2976"/>
        </w:rPr>
        <w:t>T</w:t>
      </w:r>
      <w:r w:rsidRPr="00FE40A6">
        <w:rPr>
          <w:i/>
          <w:color w:val="6B2976"/>
        </w:rPr>
        <w:t xml:space="preserve">he agency has put a lot of effort into supporting reviewers. I found the Agency to be very personable, responsive and helpful. Generally, I think that part of their role has been great. Absolutely.” </w:t>
      </w:r>
      <w:r w:rsidRPr="00FE40A6">
        <w:rPr>
          <w:b/>
          <w:bCs/>
          <w:iCs/>
          <w:color w:val="6B2976"/>
        </w:rPr>
        <w:t>Independent expert, interview.</w:t>
      </w:r>
    </w:p>
    <w:p w14:paraId="76738CDC" w14:textId="77777777" w:rsidR="005C121B" w:rsidRDefault="005C121B" w:rsidP="005C121B">
      <w:r>
        <w:t>During interviews, independent experts described the Agency staff managing the IERP as professional in all exchanges. However, most did comment that the timeliness of receiving referrals and associated materials could improve. Some also requested four to six weeks to complete a review due to the complexity of matters, compared to the current two-week turnaround timeframe.</w:t>
      </w:r>
    </w:p>
    <w:p w14:paraId="49EFD985" w14:textId="77777777" w:rsidR="005C121B" w:rsidRDefault="005C121B" w:rsidP="005C121B">
      <w:r>
        <w:t xml:space="preserve">Survey results also indicated that most independent experts (77%) were completely or mostly satisfied with the NDIA follow-up at the conclusion of the review process. However, during interviews, some independent experts said they would like feedback on the quality and outcome of their recommendations. While participant </w:t>
      </w:r>
      <w:r>
        <w:lastRenderedPageBreak/>
        <w:t>confidentiality may not allow disclosure of whether the participant and Agency accepted recommendations, the experts would still value feedback on their reasoning, presentation of information, level of detail and suggestions for improvement.</w:t>
      </w:r>
    </w:p>
    <w:p w14:paraId="11789810" w14:textId="77777777" w:rsidR="005C121B" w:rsidRDefault="005C121B" w:rsidP="00EB3D5D">
      <w:pPr>
        <w:pStyle w:val="Heading3"/>
        <w:numPr>
          <w:ilvl w:val="0"/>
          <w:numId w:val="0"/>
        </w:numPr>
        <w:ind w:left="1134" w:hanging="1134"/>
      </w:pPr>
      <w:bookmarkStart w:id="217" w:name="_Toc140146277"/>
      <w:bookmarkStart w:id="218" w:name="_Toc140148946"/>
      <w:bookmarkStart w:id="219" w:name="_Toc140157527"/>
      <w:bookmarkStart w:id="220" w:name="_Toc142483305"/>
      <w:bookmarkStart w:id="221" w:name="_Toc142918634"/>
      <w:r>
        <w:t>Satisfaction with the IERP within the NDIA</w:t>
      </w:r>
      <w:bookmarkEnd w:id="217"/>
      <w:bookmarkEnd w:id="218"/>
      <w:bookmarkEnd w:id="219"/>
      <w:bookmarkEnd w:id="220"/>
      <w:bookmarkEnd w:id="221"/>
    </w:p>
    <w:p w14:paraId="5A6E61FF" w14:textId="77777777" w:rsidR="005C121B" w:rsidRDefault="005C121B" w:rsidP="005C121B">
      <w:r>
        <w:t>Representatives from within the NDIA had mixed views about</w:t>
      </w:r>
      <w:r w:rsidRPr="006E4DAD">
        <w:t xml:space="preserve"> IER</w:t>
      </w:r>
      <w:r>
        <w:t>P, although those interviewed from outside of the IERP team acknowledged they have had little visibility of the program or recommendations.</w:t>
      </w:r>
    </w:p>
    <w:p w14:paraId="57B258B7" w14:textId="77777777" w:rsidR="005C121B" w:rsidRPr="00EB3D5D" w:rsidRDefault="005C121B" w:rsidP="0031204C">
      <w:pPr>
        <w:pStyle w:val="Heading4"/>
        <w:numPr>
          <w:ilvl w:val="0"/>
          <w:numId w:val="0"/>
        </w:numPr>
        <w:ind w:left="1134" w:hanging="1134"/>
        <w:rPr>
          <w:color w:val="6B2976" w:themeColor="background2"/>
        </w:rPr>
      </w:pPr>
      <w:r w:rsidRPr="00EB3D5D">
        <w:rPr>
          <w:color w:val="6B2976" w:themeColor="background2"/>
        </w:rPr>
        <w:t>IERP Managers</w:t>
      </w:r>
    </w:p>
    <w:p w14:paraId="70023F97" w14:textId="62E573A0" w:rsidR="005C121B" w:rsidRPr="007F0F66" w:rsidRDefault="005C121B" w:rsidP="005C121B">
      <w:r w:rsidRPr="00EC27F6">
        <w:t xml:space="preserve">NDIA stakeholders </w:t>
      </w:r>
      <w:r>
        <w:t xml:space="preserve">said </w:t>
      </w:r>
      <w:r w:rsidRPr="00EC27F6">
        <w:t xml:space="preserve">recruitment </w:t>
      </w:r>
      <w:r>
        <w:t xml:space="preserve">of case managers </w:t>
      </w:r>
      <w:r w:rsidRPr="00EC27F6">
        <w:t>during the initial stages of the IERP</w:t>
      </w:r>
      <w:r>
        <w:t xml:space="preserve"> was difficult, which may have been the result of short recruitment </w:t>
      </w:r>
      <w:r w:rsidRPr="00EC27F6">
        <w:t>time frame</w:t>
      </w:r>
      <w:r>
        <w:t xml:space="preserve">s. </w:t>
      </w:r>
      <w:r w:rsidRPr="007F0F66">
        <w:t xml:space="preserve">Law firms were engaged to support with compiling and indexing </w:t>
      </w:r>
      <w:r>
        <w:t xml:space="preserve">the </w:t>
      </w:r>
      <w:r w:rsidRPr="007F0F66">
        <w:t>large volumes of case documents</w:t>
      </w:r>
      <w:r>
        <w:t>.</w:t>
      </w:r>
      <w:r w:rsidRPr="007F0F66">
        <w:t xml:space="preserve"> One stakeholder reported the engagement of law firms, combined with the lack of legal experience of case managers, slowed down the commencement of the program. The additional demand on case managers was </w:t>
      </w:r>
      <w:r>
        <w:t xml:space="preserve">also </w:t>
      </w:r>
      <w:r w:rsidRPr="007F0F66">
        <w:t xml:space="preserve">exacerbated by the pressure placed on them to address all feedback </w:t>
      </w:r>
      <w:r>
        <w:t>from advocacy and stakeholder groups. Staff members did not however</w:t>
      </w:r>
      <w:r w:rsidRPr="007F0F66">
        <w:t xml:space="preserve">, have sufficient capacity </w:t>
      </w:r>
      <w:r>
        <w:t>to address the larger than expected volume of feedback</w:t>
      </w:r>
      <w:r w:rsidRPr="007F0F66">
        <w:t xml:space="preserve">. </w:t>
      </w:r>
    </w:p>
    <w:p w14:paraId="214E7F44" w14:textId="77777777" w:rsidR="005C121B" w:rsidRDefault="005C121B" w:rsidP="005C121B">
      <w:r>
        <w:t xml:space="preserve">Those interviewed unanimously noted that the </w:t>
      </w:r>
      <w:r w:rsidRPr="006E4DAD">
        <w:t xml:space="preserve">participant experience </w:t>
      </w:r>
      <w:r>
        <w:t xml:space="preserve">in the IERP was far more positive compared to the AAT as it is less legalistic, with an emphasis on giving participants a chance to explain their situation. </w:t>
      </w:r>
    </w:p>
    <w:p w14:paraId="5B750D79" w14:textId="77777777" w:rsidR="005C121B" w:rsidRPr="00491ADC" w:rsidRDefault="005C121B" w:rsidP="005C121B">
      <w:pPr>
        <w:ind w:left="357" w:right="720"/>
        <w:jc w:val="both"/>
        <w:rPr>
          <w:i/>
          <w:iCs/>
          <w:color w:val="6B2976"/>
        </w:rPr>
      </w:pPr>
      <w:r>
        <w:rPr>
          <w:i/>
          <w:iCs/>
          <w:color w:val="6B2976"/>
        </w:rPr>
        <w:t>“</w:t>
      </w:r>
      <w:r w:rsidRPr="00491ADC">
        <w:rPr>
          <w:i/>
          <w:iCs/>
          <w:color w:val="6B2976"/>
        </w:rPr>
        <w:t>I can say that I've actually listen</w:t>
      </w:r>
      <w:r>
        <w:rPr>
          <w:i/>
          <w:iCs/>
          <w:color w:val="6B2976"/>
        </w:rPr>
        <w:t>ed</w:t>
      </w:r>
      <w:r w:rsidRPr="00491ADC">
        <w:rPr>
          <w:i/>
          <w:iCs/>
          <w:color w:val="6B2976"/>
        </w:rPr>
        <w:t xml:space="preserve"> to what they're saying, </w:t>
      </w:r>
      <w:r>
        <w:rPr>
          <w:i/>
          <w:iCs/>
          <w:color w:val="6B2976"/>
        </w:rPr>
        <w:t xml:space="preserve">and </w:t>
      </w:r>
      <w:r w:rsidRPr="00491ADC">
        <w:rPr>
          <w:i/>
          <w:iCs/>
          <w:color w:val="6B2976"/>
        </w:rPr>
        <w:t>really consider that in the same way that you would consider a report because</w:t>
      </w:r>
      <w:r>
        <w:rPr>
          <w:i/>
          <w:iCs/>
          <w:color w:val="6B2976"/>
        </w:rPr>
        <w:t>,</w:t>
      </w:r>
      <w:r w:rsidRPr="00491ADC">
        <w:rPr>
          <w:i/>
          <w:iCs/>
          <w:color w:val="6B2976"/>
        </w:rPr>
        <w:t xml:space="preserve"> for me</w:t>
      </w:r>
      <w:r>
        <w:rPr>
          <w:i/>
          <w:iCs/>
          <w:color w:val="6B2976"/>
        </w:rPr>
        <w:t>,</w:t>
      </w:r>
      <w:r w:rsidRPr="00491ADC">
        <w:rPr>
          <w:i/>
          <w:iCs/>
          <w:color w:val="6B2976"/>
        </w:rPr>
        <w:t xml:space="preserve"> you can only get so much from reports </w:t>
      </w:r>
      <w:r>
        <w:rPr>
          <w:i/>
          <w:iCs/>
          <w:color w:val="6B2976"/>
        </w:rPr>
        <w:t xml:space="preserve">and </w:t>
      </w:r>
      <w:r w:rsidRPr="00491ADC">
        <w:rPr>
          <w:i/>
          <w:iCs/>
          <w:color w:val="6B2976"/>
        </w:rPr>
        <w:t>when you actually speak to a person you get so much more context and you understand.</w:t>
      </w:r>
      <w:r>
        <w:rPr>
          <w:i/>
          <w:iCs/>
          <w:color w:val="6B2976"/>
        </w:rPr>
        <w:t xml:space="preserve">” </w:t>
      </w:r>
      <w:r>
        <w:rPr>
          <w:b/>
          <w:bCs/>
          <w:color w:val="6B2976"/>
        </w:rPr>
        <w:t>IERP management</w:t>
      </w:r>
      <w:r w:rsidRPr="00E80429">
        <w:rPr>
          <w:b/>
          <w:bCs/>
          <w:color w:val="6B2976"/>
        </w:rPr>
        <w:t>, interview</w:t>
      </w:r>
      <w:r>
        <w:rPr>
          <w:b/>
          <w:bCs/>
          <w:color w:val="6B2976"/>
        </w:rPr>
        <w:t>.</w:t>
      </w:r>
    </w:p>
    <w:p w14:paraId="3492B685" w14:textId="77777777" w:rsidR="005C121B" w:rsidRDefault="005C121B" w:rsidP="005C121B">
      <w:r w:rsidRPr="006E4DAD">
        <w:t xml:space="preserve">Stakeholders observed </w:t>
      </w:r>
      <w:r>
        <w:t xml:space="preserve">that recommendations tended to be better set out with clearer reasoning </w:t>
      </w:r>
      <w:r w:rsidRPr="006E4DAD">
        <w:t xml:space="preserve">when independent experts </w:t>
      </w:r>
      <w:r>
        <w:t xml:space="preserve">held </w:t>
      </w:r>
      <w:r w:rsidRPr="006E4DAD">
        <w:t>legal qualifications</w:t>
      </w:r>
      <w:r>
        <w:t xml:space="preserve">, which is not </w:t>
      </w:r>
      <w:r>
        <w:lastRenderedPageBreak/>
        <w:t>surprising given their training</w:t>
      </w:r>
      <w:r w:rsidRPr="006E4DAD">
        <w:t xml:space="preserve">. It was acknowledged that while most independent experts in the program </w:t>
      </w:r>
      <w:r>
        <w:t xml:space="preserve">held </w:t>
      </w:r>
      <w:r w:rsidRPr="006E4DAD">
        <w:t xml:space="preserve">legal qualifications, this </w:t>
      </w:r>
      <w:r>
        <w:t>wa</w:t>
      </w:r>
      <w:r w:rsidRPr="006E4DAD">
        <w:t>s not a requirement.</w:t>
      </w:r>
    </w:p>
    <w:p w14:paraId="7B70E4CE" w14:textId="77777777" w:rsidR="005C121B" w:rsidRPr="00EB3D5D" w:rsidRDefault="005C121B" w:rsidP="0031204C">
      <w:pPr>
        <w:pStyle w:val="Heading4"/>
        <w:numPr>
          <w:ilvl w:val="0"/>
          <w:numId w:val="0"/>
        </w:numPr>
        <w:ind w:left="1134" w:hanging="1134"/>
        <w:rPr>
          <w:color w:val="6B2976" w:themeColor="background2"/>
        </w:rPr>
      </w:pPr>
      <w:r w:rsidRPr="00EB3D5D">
        <w:rPr>
          <w:color w:val="6B2976" w:themeColor="background2"/>
        </w:rPr>
        <w:t>Broader NDIA feedback</w:t>
      </w:r>
    </w:p>
    <w:p w14:paraId="3506A088" w14:textId="77777777" w:rsidR="005C121B" w:rsidRDefault="005C121B" w:rsidP="005C121B">
      <w:r>
        <w:t>During interviews, representatives from various NDIA business areas were supportive of introducing a process that improved the participant experience. They supported introducing independence into this process only if the</w:t>
      </w:r>
      <w:r w:rsidRPr="006E4DAD">
        <w:t xml:space="preserve"> independent experts have </w:t>
      </w:r>
      <w:r>
        <w:t xml:space="preserve">a </w:t>
      </w:r>
      <w:r w:rsidRPr="006E4DAD">
        <w:t xml:space="preserve">comprehensive understanding of </w:t>
      </w:r>
      <w:r>
        <w:t xml:space="preserve">the NDIS legislation, </w:t>
      </w:r>
      <w:r w:rsidRPr="006E4DAD">
        <w:t>NDIA processes</w:t>
      </w:r>
      <w:r>
        <w:t xml:space="preserve"> and</w:t>
      </w:r>
      <w:r w:rsidRPr="006E4DAD">
        <w:t xml:space="preserve"> </w:t>
      </w:r>
      <w:r>
        <w:t xml:space="preserve">the specific </w:t>
      </w:r>
      <w:r w:rsidRPr="006E4DAD">
        <w:t xml:space="preserve">disability </w:t>
      </w:r>
      <w:r>
        <w:t>relevant to the case they are reviewing.</w:t>
      </w:r>
    </w:p>
    <w:p w14:paraId="5A49583F" w14:textId="74636323" w:rsidR="005C121B" w:rsidRDefault="005C121B" w:rsidP="005C121B">
      <w:r>
        <w:t>However, concerns were raised about the alignment of the independent experts’ recommendations with</w:t>
      </w:r>
      <w:r w:rsidRPr="000F28D6">
        <w:t xml:space="preserve"> the NDI</w:t>
      </w:r>
      <w:r>
        <w:t>A’s OGs</w:t>
      </w:r>
      <w:r w:rsidRPr="000F28D6">
        <w:t>.</w:t>
      </w:r>
      <w:r>
        <w:t xml:space="preserve"> </w:t>
      </w:r>
      <w:r w:rsidRPr="003404FB">
        <w:t xml:space="preserve">They were concerned that if </w:t>
      </w:r>
      <w:r>
        <w:t xml:space="preserve">independent expert </w:t>
      </w:r>
      <w:r w:rsidRPr="003404FB">
        <w:t>recommendations d</w:t>
      </w:r>
      <w:r>
        <w:t xml:space="preserve">id </w:t>
      </w:r>
      <w:r w:rsidRPr="003404FB">
        <w:t xml:space="preserve">not adhere to </w:t>
      </w:r>
      <w:r>
        <w:t>the NDIS operational guidelines</w:t>
      </w:r>
      <w:r w:rsidRPr="003404FB">
        <w:t xml:space="preserve">, </w:t>
      </w:r>
      <w:r>
        <w:t>the</w:t>
      </w:r>
      <w:r w:rsidRPr="003404FB">
        <w:t xml:space="preserve">re </w:t>
      </w:r>
      <w:r>
        <w:t>would be a source of inconsistency in the Agency’s decision-making processes.</w:t>
      </w:r>
    </w:p>
    <w:p w14:paraId="4ACB56BB" w14:textId="2AD228DA" w:rsidR="005C121B" w:rsidRDefault="005C121B" w:rsidP="005C121B">
      <w:r>
        <w:t>Those interviewed were also concerned that there was no feedback loop from the independent experts’ recommendations (and AAT outcomes) into operational guidelines to avoid future disputes about similar matters and create clarity for planners.</w:t>
      </w:r>
    </w:p>
    <w:p w14:paraId="2734299B" w14:textId="1B93BC0E" w:rsidR="005C121B" w:rsidRPr="00EA4AC4" w:rsidRDefault="005C121B" w:rsidP="00EA4AC4">
      <w:pPr>
        <w:ind w:left="357" w:right="720"/>
        <w:jc w:val="both"/>
        <w:rPr>
          <w:color w:val="6B2976"/>
        </w:rPr>
      </w:pPr>
      <w:r>
        <w:rPr>
          <w:i/>
          <w:iCs/>
          <w:color w:val="6B2976"/>
        </w:rPr>
        <w:t>“</w:t>
      </w:r>
      <w:r w:rsidRPr="002D3AF8">
        <w:rPr>
          <w:i/>
          <w:iCs/>
          <w:color w:val="6B2976"/>
        </w:rPr>
        <w:t xml:space="preserve">If we have recommendations from independent experts and settlements from the AAT that are lawful and factual but they’re not feeding back. We should be considering, if this is what the law says, we should change the </w:t>
      </w:r>
      <w:r>
        <w:rPr>
          <w:i/>
          <w:iCs/>
          <w:color w:val="6B2976"/>
        </w:rPr>
        <w:t>operational guideline</w:t>
      </w:r>
      <w:r w:rsidRPr="002D3AF8">
        <w:rPr>
          <w:i/>
          <w:iCs/>
          <w:color w:val="6B2976"/>
        </w:rPr>
        <w:t>s and what we [the NDIS] fund.</w:t>
      </w:r>
      <w:r>
        <w:rPr>
          <w:i/>
          <w:iCs/>
          <w:color w:val="6B2976"/>
        </w:rPr>
        <w:t>”</w:t>
      </w:r>
      <w:r w:rsidRPr="002D3AF8">
        <w:rPr>
          <w:i/>
          <w:iCs/>
          <w:color w:val="6B2976"/>
        </w:rPr>
        <w:t xml:space="preserve"> </w:t>
      </w:r>
      <w:r w:rsidRPr="00E80429">
        <w:rPr>
          <w:b/>
          <w:bCs/>
          <w:color w:val="6B2976"/>
        </w:rPr>
        <w:t>NDIS stakeholder, interview</w:t>
      </w:r>
      <w:r>
        <w:rPr>
          <w:b/>
          <w:bCs/>
          <w:color w:val="6B2976"/>
        </w:rPr>
        <w:t>.</w:t>
      </w:r>
    </w:p>
    <w:sectPr w:rsidR="005C121B" w:rsidRPr="00EA4AC4" w:rsidSect="00AB59C0">
      <w:footerReference w:type="default" r:id="rId41"/>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EB33" w14:textId="77777777" w:rsidR="004A6FDE" w:rsidRDefault="004A6FDE" w:rsidP="007219F1">
      <w:pPr>
        <w:spacing w:after="0" w:line="240" w:lineRule="auto"/>
      </w:pPr>
      <w:r>
        <w:separator/>
      </w:r>
    </w:p>
    <w:p w14:paraId="1388DFEB" w14:textId="77777777" w:rsidR="004A6FDE" w:rsidRDefault="004A6FDE"/>
    <w:p w14:paraId="0502EC6D" w14:textId="77777777" w:rsidR="004A6FDE" w:rsidRDefault="004A6FDE"/>
    <w:p w14:paraId="5C34D1F6" w14:textId="77777777" w:rsidR="004A6FDE" w:rsidRDefault="004A6FDE"/>
    <w:p w14:paraId="7167A554" w14:textId="77777777" w:rsidR="004A6FDE" w:rsidRDefault="004A6FDE"/>
    <w:p w14:paraId="303E74FD" w14:textId="77777777" w:rsidR="004A6FDE" w:rsidRDefault="004A6FDE"/>
  </w:endnote>
  <w:endnote w:type="continuationSeparator" w:id="0">
    <w:p w14:paraId="0AA76B8D" w14:textId="77777777" w:rsidR="004A6FDE" w:rsidRDefault="004A6FDE" w:rsidP="007219F1">
      <w:pPr>
        <w:spacing w:after="0" w:line="240" w:lineRule="auto"/>
      </w:pPr>
      <w:r>
        <w:continuationSeparator/>
      </w:r>
    </w:p>
    <w:p w14:paraId="53D5B964" w14:textId="77777777" w:rsidR="004A6FDE" w:rsidRDefault="004A6FDE"/>
    <w:p w14:paraId="493621DF" w14:textId="77777777" w:rsidR="004A6FDE" w:rsidRDefault="004A6FDE"/>
    <w:p w14:paraId="3CBE3B1C" w14:textId="77777777" w:rsidR="004A6FDE" w:rsidRDefault="004A6FDE"/>
    <w:p w14:paraId="68EE6581" w14:textId="77777777" w:rsidR="004A6FDE" w:rsidRDefault="004A6FDE"/>
    <w:p w14:paraId="1CB8F8E1" w14:textId="77777777" w:rsidR="004A6FDE" w:rsidRDefault="004A6FDE"/>
  </w:endnote>
  <w:endnote w:type="continuationNotice" w:id="1">
    <w:p w14:paraId="07DB1078" w14:textId="77777777" w:rsidR="004A6FDE" w:rsidRDefault="004A6F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ource Sans Pro">
    <w:altName w:val="Arial"/>
    <w:charset w:val="00"/>
    <w:family w:val="swiss"/>
    <w:pitch w:val="variable"/>
    <w:sig w:usb0="600002F7" w:usb1="02000001"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ACC1" w14:textId="59DBFEF6" w:rsidR="00FD3674" w:rsidRPr="00081223" w:rsidRDefault="00FD3674" w:rsidP="00AB4CC5">
    <w:pPr>
      <w:jc w:val="center"/>
      <w:rPr>
        <w:b/>
        <w:color w:val="C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604500"/>
      <w:docPartObj>
        <w:docPartGallery w:val="Page Numbers (Bottom of Page)"/>
        <w:docPartUnique/>
      </w:docPartObj>
    </w:sdtPr>
    <w:sdtEndPr>
      <w:rPr>
        <w:noProof/>
      </w:rPr>
    </w:sdtEndPr>
    <w:sdtContent>
      <w:p w14:paraId="2EE2B3FD" w14:textId="77777777" w:rsidR="00937EA8" w:rsidRPr="0038674A" w:rsidRDefault="00937EA8" w:rsidP="0038674A">
        <w:pPr>
          <w:pStyle w:val="Footer"/>
          <w:tabs>
            <w:tab w:val="clear" w:pos="9026"/>
          </w:tabs>
          <w:spacing w:after="480"/>
          <w:rPr>
            <w:sz w:val="22"/>
            <w:szCs w:val="22"/>
          </w:rPr>
        </w:pPr>
        <w:r w:rsidRPr="00FA334F">
          <w:rPr>
            <w:b/>
            <w:bCs/>
            <w:sz w:val="22"/>
            <w:szCs w:val="22"/>
          </w:rPr>
          <w:t>ndis.gov.au</w:t>
        </w:r>
        <w:r>
          <w:rPr>
            <w:sz w:val="22"/>
            <w:szCs w:val="22"/>
          </w:rPr>
          <w:tab/>
          <w:t>Independent Expert Review Program - Evaluation Report</w:t>
        </w:r>
        <w:sdt>
          <w:sdtPr>
            <w:rPr>
              <w:color w:val="2B579A"/>
              <w:sz w:val="22"/>
              <w:szCs w:val="22"/>
              <w:shd w:val="clear" w:color="auto" w:fill="E6E6E6"/>
            </w:rPr>
            <w:id w:val="-975911357"/>
            <w:docPartObj>
              <w:docPartGallery w:val="Page Numbers (Bottom of Page)"/>
              <w:docPartUnique/>
            </w:docPartObj>
          </w:sdtPr>
          <w:sdtContent>
            <w:r w:rsidRPr="00584C36">
              <w:rPr>
                <w:sz w:val="22"/>
                <w:szCs w:val="22"/>
              </w:rPr>
              <w:tab/>
            </w:r>
            <w:r w:rsidRPr="00584C36">
              <w:rPr>
                <w:sz w:val="22"/>
                <w:szCs w:val="22"/>
              </w:rPr>
              <w:tab/>
            </w:r>
          </w:sdtContent>
        </w:sdt>
        <w:r>
          <w:fldChar w:fldCharType="begin"/>
        </w:r>
        <w:r>
          <w:instrText xml:space="preserve"> PAGE   \* MERGEFORMAT </w:instrText>
        </w:r>
        <w:r>
          <w:fldChar w:fldCharType="separate"/>
        </w:r>
        <w:r>
          <w:rPr>
            <w:noProof/>
          </w:rPr>
          <w:t>2</w:t>
        </w:r>
        <w:r>
          <w:rPr>
            <w:noProof/>
          </w:rPr>
          <w:fldChar w:fldCharType="end"/>
        </w:r>
      </w:p>
    </w:sdtContent>
  </w:sdt>
  <w:p w14:paraId="4A1FAECD" w14:textId="67D115DB" w:rsidR="00937EA8" w:rsidRPr="00081223" w:rsidRDefault="00937EA8" w:rsidP="00AB4CC5">
    <w:pPr>
      <w:jc w:val="center"/>
      <w:rPr>
        <w:b/>
        <w:color w:val="C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7E2C0" w14:textId="5D52E4F5" w:rsidR="004A3976" w:rsidRDefault="004A3976" w:rsidP="004A3976">
    <w:pPr>
      <w:pStyle w:val="Footer"/>
      <w:spacing w:after="480"/>
      <w:rPr>
        <w:sz w:val="22"/>
        <w:szCs w:val="22"/>
      </w:rPr>
    </w:pPr>
    <w:r w:rsidRPr="00FA334F">
      <w:rPr>
        <w:b/>
        <w:bCs/>
        <w:sz w:val="22"/>
        <w:szCs w:val="22"/>
      </w:rPr>
      <w:t>ndis.gov.au</w:t>
    </w:r>
    <w:r>
      <w:rPr>
        <w:sz w:val="22"/>
        <w:szCs w:val="22"/>
      </w:rPr>
      <w:tab/>
    </w:r>
    <w:r w:rsidR="00CE7C22">
      <w:rPr>
        <w:sz w:val="22"/>
        <w:szCs w:val="22"/>
      </w:rPr>
      <w:t>Independent Expert Review Program Evaluation Report</w:t>
    </w:r>
    <w:r>
      <w:rPr>
        <w:sz w:val="22"/>
        <w:szCs w:val="22"/>
      </w:rPr>
      <w:tab/>
    </w:r>
    <w:sdt>
      <w:sdtPr>
        <w:rPr>
          <w:sz w:val="22"/>
          <w:szCs w:val="22"/>
        </w:rPr>
        <w:id w:val="-2024849305"/>
        <w:docPartObj>
          <w:docPartGallery w:val="Page Numbers (Bottom of Page)"/>
          <w:docPartUnique/>
        </w:docPartObj>
      </w:sdt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Pr>
            <w:sz w:val="22"/>
            <w:szCs w:val="22"/>
          </w:rPr>
          <w:t>68</w:t>
        </w:r>
        <w:r w:rsidRPr="00FA334F">
          <w:rPr>
            <w:sz w:val="22"/>
            <w:szCs w:val="22"/>
          </w:rPr>
          <w:fldChar w:fldCharType="end"/>
        </w:r>
      </w:sdtContent>
    </w:sdt>
  </w:p>
  <w:p w14:paraId="54B5916D" w14:textId="2857C960" w:rsidR="00597855" w:rsidRPr="00081223" w:rsidRDefault="00597855" w:rsidP="00AB4CC5">
    <w:pPr>
      <w:jc w:val="center"/>
      <w:rPr>
        <w:b/>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B634" w14:textId="77777777" w:rsidR="004A6FDE" w:rsidRDefault="004A6FDE" w:rsidP="00B614B6">
      <w:pPr>
        <w:spacing w:after="0" w:line="240" w:lineRule="auto"/>
      </w:pPr>
      <w:r>
        <w:separator/>
      </w:r>
    </w:p>
  </w:footnote>
  <w:footnote w:type="continuationSeparator" w:id="0">
    <w:p w14:paraId="014C3BE2" w14:textId="77777777" w:rsidR="004A6FDE" w:rsidRDefault="004A6FDE" w:rsidP="007219F1">
      <w:pPr>
        <w:spacing w:after="0" w:line="240" w:lineRule="auto"/>
      </w:pPr>
      <w:r>
        <w:continuationSeparator/>
      </w:r>
    </w:p>
    <w:p w14:paraId="64A1FE54" w14:textId="77777777" w:rsidR="004A6FDE" w:rsidRDefault="004A6FDE"/>
    <w:p w14:paraId="35A6C352" w14:textId="77777777" w:rsidR="004A6FDE" w:rsidRDefault="004A6FDE"/>
    <w:p w14:paraId="599FE7D2" w14:textId="77777777" w:rsidR="004A6FDE" w:rsidRDefault="004A6FDE"/>
    <w:p w14:paraId="668D449E" w14:textId="77777777" w:rsidR="004A6FDE" w:rsidRDefault="004A6FDE"/>
    <w:p w14:paraId="548E5FBA" w14:textId="77777777" w:rsidR="004A6FDE" w:rsidRDefault="004A6FDE"/>
  </w:footnote>
  <w:footnote w:type="continuationNotice" w:id="1">
    <w:p w14:paraId="66B38985" w14:textId="77777777" w:rsidR="004A6FDE" w:rsidRDefault="004A6FDE">
      <w:pPr>
        <w:spacing w:after="0" w:line="240" w:lineRule="auto"/>
      </w:pPr>
    </w:p>
  </w:footnote>
  <w:footnote w:id="2">
    <w:p w14:paraId="68EDC6EB" w14:textId="53DD5E73" w:rsidR="00F2238C" w:rsidRPr="00C16CF0" w:rsidRDefault="00F2238C" w:rsidP="007F5624">
      <w:pPr>
        <w:pStyle w:val="FootnoteText"/>
        <w:spacing w:before="0" w:after="0"/>
        <w:rPr>
          <w:sz w:val="18"/>
          <w:szCs w:val="18"/>
        </w:rPr>
      </w:pPr>
      <w:r w:rsidRPr="00C16CF0">
        <w:rPr>
          <w:rStyle w:val="FootnoteReference"/>
          <w:sz w:val="18"/>
          <w:szCs w:val="18"/>
        </w:rPr>
        <w:footnoteRef/>
      </w:r>
      <w:r w:rsidRPr="00C16CF0">
        <w:rPr>
          <w:sz w:val="18"/>
          <w:szCs w:val="18"/>
        </w:rPr>
        <w:t xml:space="preserve"> Data source</w:t>
      </w:r>
      <w:r w:rsidR="00A75FB5">
        <w:rPr>
          <w:sz w:val="18"/>
          <w:szCs w:val="18"/>
        </w:rPr>
        <w:t xml:space="preserve">: </w:t>
      </w:r>
      <w:r w:rsidRPr="00C16CF0">
        <w:rPr>
          <w:sz w:val="18"/>
          <w:szCs w:val="18"/>
        </w:rPr>
        <w:t>LEX reporting</w:t>
      </w:r>
      <w:r w:rsidR="00216ACB">
        <w:rPr>
          <w:sz w:val="18"/>
          <w:szCs w:val="18"/>
        </w:rPr>
        <w:t>-</w:t>
      </w:r>
      <w:r w:rsidRPr="00C16CF0">
        <w:rPr>
          <w:sz w:val="18"/>
          <w:szCs w:val="18"/>
        </w:rPr>
        <w:t xml:space="preserve"> NDIS Chief Council Division</w:t>
      </w:r>
    </w:p>
  </w:footnote>
  <w:footnote w:id="3">
    <w:p w14:paraId="4411196F" w14:textId="3915B6AE" w:rsidR="005B2D8F" w:rsidRPr="008C6158" w:rsidRDefault="005B2D8F" w:rsidP="005B2D8F">
      <w:pPr>
        <w:pStyle w:val="FootnoteText"/>
        <w:rPr>
          <w:sz w:val="18"/>
          <w:szCs w:val="18"/>
        </w:rPr>
      </w:pPr>
      <w:r w:rsidRPr="007A299C">
        <w:rPr>
          <w:rStyle w:val="FootnoteReference"/>
          <w:sz w:val="18"/>
          <w:szCs w:val="18"/>
        </w:rPr>
        <w:footnoteRef/>
      </w:r>
      <w:r w:rsidRPr="007A299C">
        <w:rPr>
          <w:sz w:val="18"/>
          <w:szCs w:val="18"/>
        </w:rPr>
        <w:t xml:space="preserve"> </w:t>
      </w:r>
      <w:r w:rsidR="003B0A14" w:rsidRPr="007A299C">
        <w:rPr>
          <w:sz w:val="18"/>
          <w:szCs w:val="18"/>
        </w:rPr>
        <w:t>While these cases</w:t>
      </w:r>
      <w:r w:rsidR="006366EF" w:rsidRPr="007A299C">
        <w:rPr>
          <w:sz w:val="18"/>
          <w:szCs w:val="18"/>
        </w:rPr>
        <w:t xml:space="preserve"> </w:t>
      </w:r>
      <w:r w:rsidR="00E51C31" w:rsidRPr="007A299C">
        <w:rPr>
          <w:sz w:val="18"/>
          <w:szCs w:val="18"/>
        </w:rPr>
        <w:t xml:space="preserve">were </w:t>
      </w:r>
      <w:r w:rsidR="003B0A14" w:rsidRPr="007A299C">
        <w:rPr>
          <w:sz w:val="18"/>
          <w:szCs w:val="18"/>
        </w:rPr>
        <w:t xml:space="preserve">a </w:t>
      </w:r>
      <w:r w:rsidR="00E51C31" w:rsidRPr="007A299C">
        <w:rPr>
          <w:sz w:val="18"/>
          <w:szCs w:val="18"/>
        </w:rPr>
        <w:t>priority</w:t>
      </w:r>
      <w:r w:rsidR="003B0A14" w:rsidRPr="007A299C">
        <w:rPr>
          <w:sz w:val="18"/>
          <w:szCs w:val="18"/>
        </w:rPr>
        <w:t xml:space="preserve">, </w:t>
      </w:r>
      <w:r w:rsidR="00BB2CD4" w:rsidRPr="007A299C">
        <w:rPr>
          <w:sz w:val="18"/>
          <w:szCs w:val="18"/>
        </w:rPr>
        <w:t>meeting these</w:t>
      </w:r>
      <w:r w:rsidR="00E51C31" w:rsidRPr="007A299C">
        <w:rPr>
          <w:sz w:val="18"/>
          <w:szCs w:val="18"/>
        </w:rPr>
        <w:t xml:space="preserve"> </w:t>
      </w:r>
      <w:r w:rsidR="006366EF" w:rsidRPr="007A299C">
        <w:rPr>
          <w:sz w:val="18"/>
          <w:szCs w:val="18"/>
        </w:rPr>
        <w:t xml:space="preserve">criteria </w:t>
      </w:r>
      <w:r w:rsidR="00BB2CD4" w:rsidRPr="007A299C">
        <w:rPr>
          <w:sz w:val="18"/>
          <w:szCs w:val="18"/>
        </w:rPr>
        <w:t>w</w:t>
      </w:r>
      <w:r w:rsidR="00AE46A0" w:rsidRPr="007A299C">
        <w:rPr>
          <w:sz w:val="18"/>
          <w:szCs w:val="18"/>
        </w:rPr>
        <w:t>as</w:t>
      </w:r>
      <w:r w:rsidR="00BB2CD4" w:rsidRPr="007A299C">
        <w:rPr>
          <w:sz w:val="18"/>
          <w:szCs w:val="18"/>
        </w:rPr>
        <w:t xml:space="preserve"> </w:t>
      </w:r>
      <w:r w:rsidR="00E51C31" w:rsidRPr="007A299C">
        <w:rPr>
          <w:sz w:val="18"/>
          <w:szCs w:val="18"/>
        </w:rPr>
        <w:t xml:space="preserve">not </w:t>
      </w:r>
      <w:r w:rsidR="00AE46A0" w:rsidRPr="007A299C">
        <w:rPr>
          <w:sz w:val="18"/>
          <w:szCs w:val="18"/>
        </w:rPr>
        <w:t xml:space="preserve">necessary </w:t>
      </w:r>
      <w:r w:rsidR="00BB2910" w:rsidRPr="007A299C">
        <w:rPr>
          <w:sz w:val="18"/>
          <w:szCs w:val="18"/>
        </w:rPr>
        <w:t xml:space="preserve">for </w:t>
      </w:r>
      <w:r w:rsidR="00E51C31" w:rsidRPr="007A299C">
        <w:rPr>
          <w:sz w:val="18"/>
          <w:szCs w:val="18"/>
        </w:rPr>
        <w:t>eligibility</w:t>
      </w:r>
      <w:r w:rsidR="006366EF" w:rsidRPr="007A299C">
        <w:rPr>
          <w:sz w:val="18"/>
          <w:szCs w:val="18"/>
        </w:rPr>
        <w:t xml:space="preserve"> </w:t>
      </w:r>
      <w:r w:rsidR="00B61DDA" w:rsidRPr="007A299C">
        <w:rPr>
          <w:sz w:val="18"/>
          <w:szCs w:val="18"/>
        </w:rPr>
        <w:t xml:space="preserve">to participate </w:t>
      </w:r>
      <w:r w:rsidR="00914AA9" w:rsidRPr="007A299C">
        <w:rPr>
          <w:sz w:val="18"/>
          <w:szCs w:val="18"/>
        </w:rPr>
        <w:t xml:space="preserve">in the </w:t>
      </w:r>
      <w:r w:rsidR="00E31EA8" w:rsidRPr="007A299C">
        <w:rPr>
          <w:sz w:val="18"/>
          <w:szCs w:val="18"/>
        </w:rPr>
        <w:t>IER</w:t>
      </w:r>
      <w:r w:rsidR="00E14CDB" w:rsidRPr="007A299C">
        <w:rPr>
          <w:sz w:val="18"/>
          <w:szCs w:val="18"/>
        </w:rPr>
        <w:t>P</w:t>
      </w:r>
      <w:r w:rsidRPr="007A299C">
        <w:rPr>
          <w:sz w:val="18"/>
          <w:szCs w:val="18"/>
        </w:rPr>
        <w:t xml:space="preserve">. The 20+% plan budget reduction criterion was </w:t>
      </w:r>
      <w:r w:rsidR="00DF3C67" w:rsidRPr="007A299C">
        <w:rPr>
          <w:sz w:val="18"/>
          <w:szCs w:val="18"/>
        </w:rPr>
        <w:t xml:space="preserve">formally </w:t>
      </w:r>
      <w:r w:rsidRPr="007A299C">
        <w:rPr>
          <w:sz w:val="18"/>
          <w:szCs w:val="18"/>
        </w:rPr>
        <w:t>removed from March 2023.</w:t>
      </w:r>
      <w:r>
        <w:rPr>
          <w:sz w:val="18"/>
          <w:szCs w:val="18"/>
        </w:rPr>
        <w:t xml:space="preserve"> </w:t>
      </w:r>
    </w:p>
  </w:footnote>
  <w:footnote w:id="4">
    <w:p w14:paraId="7D0FF0F9" w14:textId="559222FC" w:rsidR="007D6F9A" w:rsidRPr="0058787A" w:rsidRDefault="007D6F9A">
      <w:pPr>
        <w:pStyle w:val="FootnoteText"/>
        <w:rPr>
          <w:sz w:val="18"/>
          <w:szCs w:val="18"/>
        </w:rPr>
      </w:pPr>
      <w:r w:rsidRPr="0058787A">
        <w:rPr>
          <w:rStyle w:val="FootnoteReference"/>
          <w:sz w:val="18"/>
          <w:szCs w:val="18"/>
        </w:rPr>
        <w:footnoteRef/>
      </w:r>
      <w:r w:rsidRPr="0058787A">
        <w:rPr>
          <w:sz w:val="18"/>
          <w:szCs w:val="18"/>
        </w:rPr>
        <w:t xml:space="preserve"> </w:t>
      </w:r>
      <w:r w:rsidR="006104F5" w:rsidRPr="0058787A">
        <w:rPr>
          <w:sz w:val="18"/>
          <w:szCs w:val="18"/>
        </w:rPr>
        <w:t xml:space="preserve">All </w:t>
      </w:r>
      <w:r w:rsidR="00DF1BB5" w:rsidRPr="0058787A">
        <w:rPr>
          <w:sz w:val="18"/>
          <w:szCs w:val="18"/>
        </w:rPr>
        <w:t>invitations</w:t>
      </w:r>
      <w:r w:rsidR="00875403" w:rsidRPr="0058787A">
        <w:rPr>
          <w:sz w:val="18"/>
          <w:szCs w:val="18"/>
        </w:rPr>
        <w:t xml:space="preserve"> sent to </w:t>
      </w:r>
      <w:r w:rsidR="00656251" w:rsidRPr="0058787A">
        <w:rPr>
          <w:sz w:val="18"/>
          <w:szCs w:val="18"/>
        </w:rPr>
        <w:t>31</w:t>
      </w:r>
      <w:r w:rsidR="009C0F02" w:rsidRPr="0058787A">
        <w:rPr>
          <w:sz w:val="18"/>
          <w:szCs w:val="18"/>
        </w:rPr>
        <w:t xml:space="preserve"> March 2023</w:t>
      </w:r>
      <w:r w:rsidR="0058787A">
        <w:rPr>
          <w:sz w:val="18"/>
          <w:szCs w:val="18"/>
        </w:rPr>
        <w:t>,</w:t>
      </w:r>
      <w:r w:rsidR="00286430" w:rsidRPr="0058787A">
        <w:rPr>
          <w:sz w:val="18"/>
          <w:szCs w:val="18"/>
        </w:rPr>
        <w:t xml:space="preserve"> e</w:t>
      </w:r>
      <w:r w:rsidR="00040A05" w:rsidRPr="0058787A">
        <w:rPr>
          <w:sz w:val="18"/>
          <w:szCs w:val="18"/>
        </w:rPr>
        <w:t>x</w:t>
      </w:r>
      <w:r w:rsidR="00286430" w:rsidRPr="0058787A">
        <w:rPr>
          <w:sz w:val="18"/>
          <w:szCs w:val="18"/>
        </w:rPr>
        <w:t>cluding any ma</w:t>
      </w:r>
      <w:r w:rsidR="00A511F2" w:rsidRPr="0058787A">
        <w:rPr>
          <w:sz w:val="18"/>
          <w:szCs w:val="18"/>
        </w:rPr>
        <w:t xml:space="preserve">tters </w:t>
      </w:r>
      <w:r w:rsidR="007054A6" w:rsidRPr="0058787A">
        <w:rPr>
          <w:sz w:val="18"/>
          <w:szCs w:val="18"/>
        </w:rPr>
        <w:t xml:space="preserve">that were </w:t>
      </w:r>
      <w:r w:rsidR="002747CB">
        <w:rPr>
          <w:sz w:val="18"/>
          <w:szCs w:val="18"/>
        </w:rPr>
        <w:t xml:space="preserve">subsequently </w:t>
      </w:r>
      <w:r w:rsidR="007054A6" w:rsidRPr="0058787A">
        <w:rPr>
          <w:sz w:val="18"/>
          <w:szCs w:val="18"/>
        </w:rPr>
        <w:t xml:space="preserve">settled or </w:t>
      </w:r>
      <w:r w:rsidR="0058787A" w:rsidRPr="0058787A">
        <w:rPr>
          <w:sz w:val="18"/>
          <w:szCs w:val="18"/>
        </w:rPr>
        <w:t>p</w:t>
      </w:r>
      <w:r w:rsidR="0040698B">
        <w:rPr>
          <w:sz w:val="18"/>
          <w:szCs w:val="18"/>
        </w:rPr>
        <w:t>laced</w:t>
      </w:r>
      <w:r w:rsidR="0058787A" w:rsidRPr="0058787A">
        <w:rPr>
          <w:sz w:val="18"/>
          <w:szCs w:val="18"/>
        </w:rPr>
        <w:t xml:space="preserve"> on hold.</w:t>
      </w:r>
    </w:p>
  </w:footnote>
  <w:footnote w:id="5">
    <w:p w14:paraId="61585443" w14:textId="52C57B88" w:rsidR="003F26A4" w:rsidRPr="008B43F0" w:rsidRDefault="003F26A4">
      <w:pPr>
        <w:pStyle w:val="FootnoteText"/>
        <w:rPr>
          <w:sz w:val="18"/>
          <w:szCs w:val="18"/>
        </w:rPr>
      </w:pPr>
      <w:r w:rsidRPr="008B43F0">
        <w:rPr>
          <w:rStyle w:val="FootnoteReference"/>
          <w:sz w:val="18"/>
          <w:szCs w:val="18"/>
        </w:rPr>
        <w:footnoteRef/>
      </w:r>
      <w:r w:rsidRPr="008B43F0">
        <w:rPr>
          <w:sz w:val="18"/>
          <w:szCs w:val="18"/>
        </w:rPr>
        <w:t xml:space="preserve"> </w:t>
      </w:r>
      <w:r w:rsidR="00C36999" w:rsidRPr="008B43F0">
        <w:rPr>
          <w:sz w:val="18"/>
          <w:szCs w:val="18"/>
        </w:rPr>
        <w:t>National Disability In</w:t>
      </w:r>
      <w:r w:rsidR="009D4E03" w:rsidRPr="008B43F0">
        <w:rPr>
          <w:sz w:val="18"/>
          <w:szCs w:val="18"/>
        </w:rPr>
        <w:t xml:space="preserve">surance Agency v WRMF </w:t>
      </w:r>
      <w:r w:rsidR="00E11246" w:rsidRPr="008B43F0">
        <w:rPr>
          <w:sz w:val="18"/>
          <w:szCs w:val="18"/>
        </w:rPr>
        <w:t>[2020] FCAFC 79 (12 Ma</w:t>
      </w:r>
      <w:r w:rsidR="00D33B16" w:rsidRPr="008B43F0">
        <w:rPr>
          <w:sz w:val="18"/>
          <w:szCs w:val="18"/>
        </w:rPr>
        <w:t>y 2020)</w:t>
      </w:r>
      <w:r w:rsidR="009D0C5C">
        <w:rPr>
          <w:sz w:val="18"/>
          <w:szCs w:val="18"/>
        </w:rPr>
        <w:t>.</w:t>
      </w:r>
    </w:p>
  </w:footnote>
  <w:footnote w:id="6">
    <w:p w14:paraId="07735B34" w14:textId="70FF1E90" w:rsidR="00EB1144" w:rsidRPr="00B85D06" w:rsidRDefault="00EB1144">
      <w:pPr>
        <w:pStyle w:val="FootnoteText"/>
      </w:pPr>
      <w:r w:rsidRPr="00B85D06">
        <w:rPr>
          <w:rStyle w:val="FootnoteReference"/>
        </w:rPr>
        <w:footnoteRef/>
      </w:r>
      <w:r w:rsidRPr="00B85D06">
        <w:t xml:space="preserve"> Although TAB agreement with IERP recommendations is high at this late stage of ADR, </w:t>
      </w:r>
      <w:r w:rsidR="004E1248" w:rsidRPr="00B85D06">
        <w:t xml:space="preserve">this </w:t>
      </w:r>
      <w:r w:rsidRPr="00B85D06">
        <w:t>is likely th</w:t>
      </w:r>
      <w:r w:rsidR="004E1248" w:rsidRPr="00B85D06">
        <w:t>rough the provision of additional, settled evidence/information</w:t>
      </w:r>
      <w:r w:rsidR="00122F1C" w:rsidRPr="00B85D06">
        <w:t xml:space="preserve"> that was not available at the time of the original decision</w:t>
      </w:r>
      <w:r w:rsidR="004E1248" w:rsidRPr="00B85D06">
        <w:t>.</w:t>
      </w:r>
    </w:p>
  </w:footnote>
  <w:footnote w:id="7">
    <w:p w14:paraId="325F062E" w14:textId="3C86C00F" w:rsidR="00504065" w:rsidRDefault="00504065">
      <w:pPr>
        <w:pStyle w:val="FootnoteText"/>
      </w:pPr>
      <w:r w:rsidRPr="00B85D06">
        <w:rPr>
          <w:rStyle w:val="FootnoteReference"/>
        </w:rPr>
        <w:footnoteRef/>
      </w:r>
      <w:r w:rsidRPr="00B85D06">
        <w:t xml:space="preserve"> Cost of the AAT hearing days only (estimated 2.5 days)</w:t>
      </w:r>
      <w:r w:rsidR="00B54DCC" w:rsidRPr="00B85D06">
        <w:t>.</w:t>
      </w:r>
    </w:p>
  </w:footnote>
  <w:footnote w:id="8">
    <w:p w14:paraId="52CC3398" w14:textId="77777777" w:rsidR="00C1538B" w:rsidRPr="000F5A99" w:rsidRDefault="00C1538B" w:rsidP="00C1538B">
      <w:pPr>
        <w:spacing w:before="0" w:after="0" w:line="240" w:lineRule="auto"/>
        <w:rPr>
          <w:rFonts w:ascii="Calibri" w:eastAsia="Times New Roman" w:hAnsi="Calibri"/>
          <w:szCs w:val="22"/>
          <w:lang w:eastAsia="en-US"/>
        </w:rPr>
      </w:pPr>
      <w:r>
        <w:rPr>
          <w:rStyle w:val="FootnoteReference"/>
        </w:rPr>
        <w:footnoteRef/>
      </w:r>
      <w:r>
        <w:t xml:space="preserve"> </w:t>
      </w:r>
      <w:r w:rsidRPr="00C469EA">
        <w:rPr>
          <w:rFonts w:eastAsia="Times New Roman"/>
          <w:i/>
          <w:iCs/>
          <w:sz w:val="18"/>
          <w:szCs w:val="18"/>
        </w:rPr>
        <w:t>Drake v Minister for Immigration and Ethnic Affairs (No 2)</w:t>
      </w:r>
      <w:r w:rsidRPr="00C469EA">
        <w:rPr>
          <w:rFonts w:eastAsia="Times New Roman"/>
          <w:sz w:val="18"/>
          <w:szCs w:val="18"/>
        </w:rPr>
        <w:t xml:space="preserve"> (1979) 2 ALD 634</w:t>
      </w:r>
      <w:r>
        <w:rPr>
          <w:rFonts w:eastAsia="Times New Roman"/>
          <w:sz w:val="18"/>
          <w:szCs w:val="18"/>
        </w:rPr>
        <w:t>.</w:t>
      </w:r>
    </w:p>
  </w:footnote>
  <w:footnote w:id="9">
    <w:p w14:paraId="17AC2EED" w14:textId="77777777" w:rsidR="00294F36" w:rsidRPr="00452746" w:rsidRDefault="00294F36" w:rsidP="00294F36">
      <w:pPr>
        <w:pStyle w:val="FootnoteText"/>
        <w:spacing w:before="0" w:after="0"/>
        <w:rPr>
          <w:sz w:val="16"/>
          <w:szCs w:val="16"/>
        </w:rPr>
      </w:pPr>
      <w:r w:rsidRPr="00452746">
        <w:rPr>
          <w:rStyle w:val="FootnoteReference"/>
          <w:sz w:val="16"/>
          <w:szCs w:val="16"/>
        </w:rPr>
        <w:footnoteRef/>
      </w:r>
      <w:r w:rsidRPr="00452746">
        <w:rPr>
          <w:sz w:val="16"/>
          <w:szCs w:val="16"/>
        </w:rPr>
        <w:t xml:space="preserve"> </w:t>
      </w:r>
      <w:r w:rsidRPr="00DD3CA9">
        <w:rPr>
          <w:sz w:val="18"/>
          <w:szCs w:val="18"/>
        </w:rPr>
        <w:t>This evaluation relates to planning disputes only. Disputes related to access are out of scope.</w:t>
      </w:r>
      <w:r w:rsidRPr="00452746">
        <w:rPr>
          <w:sz w:val="16"/>
          <w:szCs w:val="16"/>
        </w:rPr>
        <w:t xml:space="preserve"> </w:t>
      </w:r>
    </w:p>
  </w:footnote>
  <w:footnote w:id="10">
    <w:p w14:paraId="45176A2E" w14:textId="2F438AD5" w:rsidR="00015933" w:rsidRPr="00225F0D" w:rsidRDefault="00015933" w:rsidP="00365131">
      <w:pPr>
        <w:pStyle w:val="FootnoteText"/>
        <w:spacing w:before="0" w:after="0"/>
        <w:rPr>
          <w:sz w:val="18"/>
          <w:szCs w:val="18"/>
        </w:rPr>
      </w:pPr>
      <w:r>
        <w:rPr>
          <w:rStyle w:val="FootnoteReference"/>
        </w:rPr>
        <w:footnoteRef/>
      </w:r>
      <w:r>
        <w:t xml:space="preserve"> </w:t>
      </w:r>
      <w:r w:rsidRPr="00225F0D">
        <w:rPr>
          <w:sz w:val="18"/>
          <w:szCs w:val="18"/>
        </w:rPr>
        <w:t xml:space="preserve">Review must be completed within 60 days of the request </w:t>
      </w:r>
      <w:r w:rsidR="00225F0D" w:rsidRPr="00225F0D">
        <w:rPr>
          <w:sz w:val="18"/>
          <w:szCs w:val="18"/>
        </w:rPr>
        <w:t>in accordance with the NDIA’s Participant Service Guarantee (PSG)</w:t>
      </w:r>
    </w:p>
  </w:footnote>
  <w:footnote w:id="11">
    <w:p w14:paraId="1F35D554" w14:textId="184982F6" w:rsidR="00722FB2" w:rsidRPr="009E322F" w:rsidRDefault="00722FB2" w:rsidP="00A630FA">
      <w:pPr>
        <w:pStyle w:val="FootnoteText"/>
        <w:spacing w:before="40" w:after="40"/>
        <w:rPr>
          <w:sz w:val="18"/>
          <w:szCs w:val="18"/>
        </w:rPr>
      </w:pPr>
      <w:r w:rsidRPr="000B6669">
        <w:rPr>
          <w:rStyle w:val="FootnoteReference"/>
          <w:sz w:val="18"/>
          <w:szCs w:val="18"/>
        </w:rPr>
        <w:footnoteRef/>
      </w:r>
      <w:r w:rsidRPr="000B6669">
        <w:rPr>
          <w:sz w:val="18"/>
          <w:szCs w:val="18"/>
        </w:rPr>
        <w:t xml:space="preserve"> </w:t>
      </w:r>
      <w:r w:rsidRPr="009E322F">
        <w:rPr>
          <w:sz w:val="18"/>
          <w:szCs w:val="18"/>
        </w:rPr>
        <w:t xml:space="preserve">Introduced 1 July 2022 in accordance with </w:t>
      </w:r>
      <w:r w:rsidRPr="009E322F">
        <w:rPr>
          <w:i/>
          <w:iCs/>
          <w:sz w:val="18"/>
          <w:szCs w:val="18"/>
        </w:rPr>
        <w:t xml:space="preserve">National Disability Insurance Scheme Amendment (Participant Service Guarantee and Other Measures) Act </w:t>
      </w:r>
      <w:r w:rsidRPr="009E322F">
        <w:rPr>
          <w:sz w:val="18"/>
          <w:szCs w:val="18"/>
        </w:rPr>
        <w:t>2022</w:t>
      </w:r>
    </w:p>
  </w:footnote>
  <w:footnote w:id="12">
    <w:p w14:paraId="10FB85B6" w14:textId="0A58D4AF" w:rsidR="000F1228" w:rsidRPr="009E322F" w:rsidRDefault="000F1228" w:rsidP="00A630FA">
      <w:pPr>
        <w:pStyle w:val="FootnoteText"/>
        <w:spacing w:before="40" w:after="40"/>
        <w:rPr>
          <w:sz w:val="18"/>
          <w:szCs w:val="18"/>
        </w:rPr>
      </w:pPr>
      <w:r w:rsidRPr="009E322F">
        <w:rPr>
          <w:rStyle w:val="FootnoteReference"/>
          <w:sz w:val="18"/>
          <w:szCs w:val="18"/>
        </w:rPr>
        <w:footnoteRef/>
      </w:r>
      <w:r w:rsidRPr="009E322F">
        <w:rPr>
          <w:sz w:val="18"/>
          <w:szCs w:val="18"/>
        </w:rPr>
        <w:t xml:space="preserve"> The full selection criteria endorsed by the Oversight Committee for the appointment of Independent Experts is provided</w:t>
      </w:r>
      <w:r w:rsidR="00B6065B" w:rsidRPr="009E322F">
        <w:rPr>
          <w:sz w:val="18"/>
          <w:szCs w:val="18"/>
        </w:rPr>
        <w:t xml:space="preserve"> in</w:t>
      </w:r>
      <w:r w:rsidRPr="009E322F">
        <w:rPr>
          <w:sz w:val="18"/>
          <w:szCs w:val="18"/>
        </w:rPr>
        <w:t xml:space="preserve">: NDIS Independent Expert Review Oversight Committee communique- November 2022. Available at: </w:t>
      </w:r>
      <w:hyperlink r:id="rId1" w:history="1">
        <w:r w:rsidRPr="009E322F">
          <w:rPr>
            <w:rStyle w:val="Hyperlink"/>
            <w:sz w:val="18"/>
            <w:szCs w:val="18"/>
          </w:rPr>
          <w:t>Independent Expert Review Oversight Committee communique – November 2022 | NDIS</w:t>
        </w:r>
      </w:hyperlink>
    </w:p>
  </w:footnote>
  <w:footnote w:id="13">
    <w:p w14:paraId="05FD73F6" w14:textId="2B660758" w:rsidR="00C1361D" w:rsidRPr="000B6669" w:rsidRDefault="00C1361D" w:rsidP="00A630FA">
      <w:pPr>
        <w:pStyle w:val="FootnoteText"/>
        <w:spacing w:before="40" w:after="40"/>
        <w:rPr>
          <w:sz w:val="18"/>
          <w:szCs w:val="18"/>
        </w:rPr>
      </w:pPr>
      <w:r w:rsidRPr="00124EB8">
        <w:rPr>
          <w:rStyle w:val="FootnoteReference"/>
          <w:sz w:val="18"/>
          <w:szCs w:val="18"/>
        </w:rPr>
        <w:footnoteRef/>
      </w:r>
      <w:r w:rsidRPr="00124EB8">
        <w:rPr>
          <w:sz w:val="18"/>
          <w:szCs w:val="18"/>
        </w:rPr>
        <w:t xml:space="preserve"> While these case</w:t>
      </w:r>
      <w:r w:rsidR="000B6669" w:rsidRPr="00124EB8">
        <w:rPr>
          <w:sz w:val="18"/>
          <w:szCs w:val="18"/>
        </w:rPr>
        <w:t>s</w:t>
      </w:r>
      <w:r w:rsidRPr="00124EB8">
        <w:rPr>
          <w:sz w:val="18"/>
          <w:szCs w:val="18"/>
        </w:rPr>
        <w:t xml:space="preserve"> </w:t>
      </w:r>
      <w:r w:rsidR="00135528" w:rsidRPr="00124EB8">
        <w:rPr>
          <w:sz w:val="18"/>
          <w:szCs w:val="18"/>
        </w:rPr>
        <w:t>were a priority, meeting these criteria was not necessary for eligibility to participate in the IERP. The 20%</w:t>
      </w:r>
      <w:r w:rsidR="00567ACA" w:rsidRPr="00124EB8">
        <w:rPr>
          <w:sz w:val="18"/>
          <w:szCs w:val="18"/>
        </w:rPr>
        <w:t xml:space="preserve"> plan reduction criterion was formally removed from </w:t>
      </w:r>
      <w:r w:rsidR="006C6674" w:rsidRPr="00124EB8">
        <w:rPr>
          <w:sz w:val="18"/>
          <w:szCs w:val="18"/>
        </w:rPr>
        <w:t>March</w:t>
      </w:r>
      <w:r w:rsidR="00567ACA" w:rsidRPr="00124EB8">
        <w:rPr>
          <w:sz w:val="18"/>
          <w:szCs w:val="18"/>
        </w:rPr>
        <w:t xml:space="preserve"> 2023.</w:t>
      </w:r>
    </w:p>
  </w:footnote>
  <w:footnote w:id="14">
    <w:p w14:paraId="0516B805" w14:textId="40F50D59" w:rsidR="005524EB" w:rsidRPr="009E322F" w:rsidRDefault="005524EB" w:rsidP="000B6669">
      <w:pPr>
        <w:pStyle w:val="FootnoteText"/>
        <w:spacing w:before="0" w:after="0"/>
        <w:rPr>
          <w:sz w:val="18"/>
          <w:szCs w:val="18"/>
        </w:rPr>
      </w:pPr>
      <w:r w:rsidRPr="009E322F">
        <w:rPr>
          <w:rStyle w:val="FootnoteReference"/>
          <w:sz w:val="18"/>
          <w:szCs w:val="18"/>
        </w:rPr>
        <w:footnoteRef/>
      </w:r>
      <w:r w:rsidRPr="009E322F">
        <w:rPr>
          <w:sz w:val="18"/>
          <w:szCs w:val="18"/>
        </w:rPr>
        <w:t xml:space="preserve"> Chaired by Mr Graeme Innes AM. The Oversight Committee includes eight independent members and three government members representing the </w:t>
      </w:r>
      <w:r w:rsidR="00EA1C69" w:rsidRPr="009E322F">
        <w:rPr>
          <w:sz w:val="18"/>
          <w:szCs w:val="18"/>
        </w:rPr>
        <w:t>NDIA</w:t>
      </w:r>
      <w:r w:rsidRPr="009E322F">
        <w:rPr>
          <w:sz w:val="18"/>
          <w:szCs w:val="18"/>
        </w:rPr>
        <w:t xml:space="preserve"> and the Department of Social Services (government members only observe meetings). </w:t>
      </w:r>
      <w:r w:rsidRPr="009E322F">
        <w:rPr>
          <w:sz w:val="18"/>
          <w:szCs w:val="18"/>
          <w:lang w:val="pt-BR"/>
        </w:rPr>
        <w:t>Other members include repres</w:t>
      </w:r>
      <w:r w:rsidR="006607F0" w:rsidRPr="009E322F">
        <w:rPr>
          <w:sz w:val="18"/>
          <w:szCs w:val="18"/>
          <w:lang w:val="pt-BR"/>
        </w:rPr>
        <w:t>e</w:t>
      </w:r>
      <w:r w:rsidRPr="009E322F">
        <w:rPr>
          <w:sz w:val="18"/>
          <w:szCs w:val="18"/>
          <w:lang w:val="pt-BR"/>
        </w:rPr>
        <w:t xml:space="preserve">ntatives from the legal aid commissions, advocacy agencies and people with lived experience. </w:t>
      </w:r>
    </w:p>
  </w:footnote>
  <w:footnote w:id="15">
    <w:p w14:paraId="628F836E" w14:textId="69C4B9A6" w:rsidR="002C0694" w:rsidRPr="00937EA8" w:rsidRDefault="002C0694">
      <w:pPr>
        <w:pStyle w:val="FootnoteText"/>
        <w:rPr>
          <w:sz w:val="18"/>
          <w:szCs w:val="18"/>
        </w:rPr>
      </w:pPr>
      <w:r w:rsidRPr="00937EA8">
        <w:rPr>
          <w:rStyle w:val="FootnoteReference"/>
          <w:sz w:val="18"/>
          <w:szCs w:val="18"/>
        </w:rPr>
        <w:footnoteRef/>
      </w:r>
      <w:r w:rsidRPr="00937EA8">
        <w:rPr>
          <w:sz w:val="18"/>
          <w:szCs w:val="18"/>
        </w:rPr>
        <w:t xml:space="preserve"> Interim </w:t>
      </w:r>
      <w:r w:rsidR="00AF3227" w:rsidRPr="00937EA8">
        <w:rPr>
          <w:sz w:val="18"/>
          <w:szCs w:val="18"/>
        </w:rPr>
        <w:t xml:space="preserve">report on long term options </w:t>
      </w:r>
      <w:r w:rsidR="00156679" w:rsidRPr="00937EA8">
        <w:rPr>
          <w:sz w:val="18"/>
          <w:szCs w:val="18"/>
        </w:rPr>
        <w:t xml:space="preserve">for dispute resolution under the National Disability Insurance </w:t>
      </w:r>
      <w:r w:rsidR="002D3D8C" w:rsidRPr="00937EA8">
        <w:rPr>
          <w:sz w:val="18"/>
          <w:szCs w:val="18"/>
        </w:rPr>
        <w:t>Scheme</w:t>
      </w:r>
      <w:r w:rsidR="00DC2BD4" w:rsidRPr="00937EA8">
        <w:rPr>
          <w:sz w:val="18"/>
          <w:szCs w:val="18"/>
        </w:rPr>
        <w:t xml:space="preserve"> (2022)</w:t>
      </w:r>
      <w:r w:rsidR="002D3D8C" w:rsidRPr="00937EA8">
        <w:rPr>
          <w:sz w:val="18"/>
          <w:szCs w:val="18"/>
        </w:rPr>
        <w:t xml:space="preserve">. </w:t>
      </w:r>
      <w:r w:rsidR="00F83C48" w:rsidRPr="00937EA8">
        <w:rPr>
          <w:sz w:val="18"/>
          <w:szCs w:val="18"/>
        </w:rPr>
        <w:t xml:space="preserve">Available at: </w:t>
      </w:r>
      <w:hyperlink r:id="rId2" w:history="1">
        <w:r w:rsidR="00BF03FE" w:rsidRPr="00937EA8">
          <w:rPr>
            <w:rStyle w:val="Hyperlink"/>
            <w:sz w:val="18"/>
            <w:szCs w:val="18"/>
          </w:rPr>
          <w:t>Interim Report on Long Term Options for Dispute Resolution under the National Disability Insurance Scheme | Department of Social Services, Australian Government (dss.gov.au)</w:t>
        </w:r>
      </w:hyperlink>
      <w:r w:rsidR="00937EA8">
        <w:rPr>
          <w:rStyle w:val="Hyperlink"/>
          <w:sz w:val="18"/>
          <w:szCs w:val="18"/>
        </w:rPr>
        <w:t>.</w:t>
      </w:r>
    </w:p>
  </w:footnote>
  <w:footnote w:id="16">
    <w:p w14:paraId="11A3B77C" w14:textId="0B14EC3A" w:rsidR="00937EA8" w:rsidRPr="00937EA8" w:rsidRDefault="00937EA8" w:rsidP="00937EA8">
      <w:pPr>
        <w:pStyle w:val="FootnoteText"/>
        <w:rPr>
          <w:sz w:val="18"/>
          <w:szCs w:val="18"/>
        </w:rPr>
      </w:pPr>
      <w:r w:rsidRPr="00937EA8">
        <w:rPr>
          <w:rStyle w:val="FootnoteReference"/>
          <w:sz w:val="18"/>
          <w:szCs w:val="18"/>
        </w:rPr>
        <w:footnoteRef/>
      </w:r>
      <w:r w:rsidRPr="00937EA8">
        <w:rPr>
          <w:sz w:val="18"/>
          <w:szCs w:val="18"/>
        </w:rPr>
        <w:t xml:space="preserve"> Data provided by NDIS Chief Council Division</w:t>
      </w:r>
      <w:r>
        <w:rPr>
          <w:sz w:val="18"/>
          <w:szCs w:val="18"/>
        </w:rPr>
        <w:t>.</w:t>
      </w:r>
    </w:p>
  </w:footnote>
  <w:footnote w:id="17">
    <w:p w14:paraId="4F5BC62F" w14:textId="7187A3B0" w:rsidR="00D06EC9" w:rsidRPr="0075113A" w:rsidRDefault="00D06EC9" w:rsidP="0075113A">
      <w:pPr>
        <w:pStyle w:val="FootnoteText"/>
        <w:spacing w:before="0" w:after="0"/>
        <w:rPr>
          <w:sz w:val="18"/>
          <w:szCs w:val="18"/>
        </w:rPr>
      </w:pPr>
      <w:r>
        <w:rPr>
          <w:rStyle w:val="FootnoteReference"/>
        </w:rPr>
        <w:footnoteRef/>
      </w:r>
      <w:r>
        <w:t xml:space="preserve"> </w:t>
      </w:r>
      <w:r w:rsidR="008935DB" w:rsidRPr="0075113A">
        <w:rPr>
          <w:sz w:val="18"/>
          <w:szCs w:val="18"/>
        </w:rPr>
        <w:t>This was a</w:t>
      </w:r>
      <w:r w:rsidR="005068E9" w:rsidRPr="0075113A">
        <w:rPr>
          <w:sz w:val="18"/>
          <w:szCs w:val="18"/>
        </w:rPr>
        <w:t>n IERP</w:t>
      </w:r>
      <w:r w:rsidR="008935DB" w:rsidRPr="0075113A">
        <w:rPr>
          <w:sz w:val="18"/>
          <w:szCs w:val="18"/>
        </w:rPr>
        <w:t xml:space="preserve"> case priority criterion</w:t>
      </w:r>
      <w:r w:rsidR="007A1C3A" w:rsidRPr="0075113A">
        <w:rPr>
          <w:sz w:val="18"/>
          <w:szCs w:val="18"/>
        </w:rPr>
        <w:t>, but not an eligibility requirement.</w:t>
      </w:r>
      <w:r w:rsidR="008935DB" w:rsidRPr="0075113A">
        <w:rPr>
          <w:sz w:val="18"/>
          <w:szCs w:val="18"/>
        </w:rPr>
        <w:t xml:space="preserve"> </w:t>
      </w:r>
      <w:r w:rsidR="00F33A2E" w:rsidRPr="0075113A">
        <w:rPr>
          <w:sz w:val="18"/>
          <w:szCs w:val="18"/>
        </w:rPr>
        <w:t xml:space="preserve">The extended time in the AAT </w:t>
      </w:r>
      <w:r w:rsidR="002D5C18" w:rsidRPr="0075113A">
        <w:rPr>
          <w:sz w:val="18"/>
          <w:szCs w:val="18"/>
        </w:rPr>
        <w:t xml:space="preserve">has been used </w:t>
      </w:r>
      <w:r w:rsidR="0075113A">
        <w:rPr>
          <w:sz w:val="18"/>
          <w:szCs w:val="18"/>
        </w:rPr>
        <w:t>to identify</w:t>
      </w:r>
      <w:r w:rsidR="0073776F" w:rsidRPr="0075113A">
        <w:rPr>
          <w:sz w:val="18"/>
          <w:szCs w:val="18"/>
        </w:rPr>
        <w:t xml:space="preserve"> matter</w:t>
      </w:r>
      <w:r w:rsidR="0075113A">
        <w:rPr>
          <w:sz w:val="18"/>
          <w:szCs w:val="18"/>
        </w:rPr>
        <w:t>s</w:t>
      </w:r>
      <w:r w:rsidR="0073776F" w:rsidRPr="0075113A">
        <w:rPr>
          <w:sz w:val="18"/>
          <w:szCs w:val="18"/>
        </w:rPr>
        <w:t xml:space="preserve"> with entrenched </w:t>
      </w:r>
      <w:r w:rsidR="0075113A" w:rsidRPr="0075113A">
        <w:rPr>
          <w:sz w:val="18"/>
          <w:szCs w:val="18"/>
        </w:rPr>
        <w:t>views.</w:t>
      </w:r>
      <w:r w:rsidR="008935DB" w:rsidRPr="0075113A">
        <w:rPr>
          <w:sz w:val="18"/>
          <w:szCs w:val="18"/>
        </w:rPr>
        <w:t xml:space="preserve"> </w:t>
      </w:r>
    </w:p>
  </w:footnote>
  <w:footnote w:id="18">
    <w:p w14:paraId="5D534B29" w14:textId="7E88A8F8" w:rsidR="00FD26AE" w:rsidRPr="00D06EC9" w:rsidRDefault="00FD26AE">
      <w:pPr>
        <w:pStyle w:val="FootnoteText"/>
        <w:rPr>
          <w:sz w:val="18"/>
          <w:szCs w:val="18"/>
        </w:rPr>
      </w:pPr>
      <w:r>
        <w:rPr>
          <w:rStyle w:val="FootnoteReference"/>
        </w:rPr>
        <w:footnoteRef/>
      </w:r>
      <w:r>
        <w:t xml:space="preserve"> </w:t>
      </w:r>
      <w:r w:rsidRPr="00D06EC9">
        <w:rPr>
          <w:sz w:val="18"/>
          <w:szCs w:val="18"/>
        </w:rPr>
        <w:t>Although this was a</w:t>
      </w:r>
      <w:r w:rsidR="00CE2581" w:rsidRPr="00D06EC9">
        <w:rPr>
          <w:sz w:val="18"/>
          <w:szCs w:val="18"/>
        </w:rPr>
        <w:t>n initial</w:t>
      </w:r>
      <w:r w:rsidR="00214B86" w:rsidRPr="00D06EC9">
        <w:rPr>
          <w:sz w:val="18"/>
          <w:szCs w:val="18"/>
        </w:rPr>
        <w:t xml:space="preserve"> </w:t>
      </w:r>
      <w:r w:rsidR="005068E9">
        <w:rPr>
          <w:sz w:val="18"/>
          <w:szCs w:val="18"/>
        </w:rPr>
        <w:t xml:space="preserve">IERP </w:t>
      </w:r>
      <w:r w:rsidR="00214B86" w:rsidRPr="00D06EC9">
        <w:rPr>
          <w:sz w:val="18"/>
          <w:szCs w:val="18"/>
        </w:rPr>
        <w:t>case priority criterion</w:t>
      </w:r>
      <w:r w:rsidR="005621A5" w:rsidRPr="00D06EC9">
        <w:rPr>
          <w:sz w:val="18"/>
          <w:szCs w:val="18"/>
        </w:rPr>
        <w:t xml:space="preserve">, </w:t>
      </w:r>
      <w:r w:rsidR="00D06EC9" w:rsidRPr="00D06EC9">
        <w:rPr>
          <w:sz w:val="18"/>
          <w:szCs w:val="18"/>
        </w:rPr>
        <w:t xml:space="preserve">it was removed </w:t>
      </w:r>
      <w:r w:rsidR="008A273E">
        <w:rPr>
          <w:sz w:val="18"/>
          <w:szCs w:val="18"/>
        </w:rPr>
        <w:t xml:space="preserve">from March </w:t>
      </w:r>
      <w:r w:rsidR="00D06EC9" w:rsidRPr="00D06EC9">
        <w:rPr>
          <w:sz w:val="18"/>
          <w:szCs w:val="18"/>
        </w:rPr>
        <w:t>2023. N</w:t>
      </w:r>
      <w:r w:rsidR="005621A5" w:rsidRPr="00D06EC9">
        <w:rPr>
          <w:sz w:val="18"/>
          <w:szCs w:val="18"/>
        </w:rPr>
        <w:t xml:space="preserve">ot all IERP </w:t>
      </w:r>
      <w:r w:rsidR="00777058" w:rsidRPr="00D06EC9">
        <w:rPr>
          <w:sz w:val="18"/>
          <w:szCs w:val="18"/>
        </w:rPr>
        <w:t xml:space="preserve">cases </w:t>
      </w:r>
      <w:r w:rsidR="00A71E84" w:rsidRPr="00D06EC9">
        <w:rPr>
          <w:sz w:val="18"/>
          <w:szCs w:val="18"/>
        </w:rPr>
        <w:t>had a 20% plan reduction</w:t>
      </w:r>
      <w:r w:rsidR="005068E9">
        <w:rPr>
          <w:sz w:val="18"/>
          <w:szCs w:val="18"/>
        </w:rPr>
        <w:t>.</w:t>
      </w:r>
    </w:p>
  </w:footnote>
  <w:footnote w:id="19">
    <w:p w14:paraId="10838868" w14:textId="77777777" w:rsidR="00180BF3" w:rsidRPr="00952E11" w:rsidRDefault="00180BF3" w:rsidP="00180BF3">
      <w:pPr>
        <w:pStyle w:val="FootnoteText"/>
        <w:rPr>
          <w:sz w:val="18"/>
          <w:szCs w:val="18"/>
        </w:rPr>
      </w:pPr>
      <w:r w:rsidRPr="00952E11">
        <w:rPr>
          <w:rStyle w:val="FootnoteReference"/>
          <w:sz w:val="18"/>
          <w:szCs w:val="18"/>
        </w:rPr>
        <w:footnoteRef/>
      </w:r>
      <w:r w:rsidRPr="00952E11">
        <w:rPr>
          <w:sz w:val="18"/>
          <w:szCs w:val="18"/>
        </w:rPr>
        <w:t xml:space="preserve"> Ethical Considerations in Quality Assurance and Evaluation Activities (NHMRC 2014). Available at: </w:t>
      </w:r>
      <w:hyperlink r:id="rId3" w:history="1">
        <w:r w:rsidRPr="00952E11">
          <w:rPr>
            <w:rStyle w:val="Hyperlink"/>
            <w:sz w:val="18"/>
            <w:szCs w:val="18"/>
          </w:rPr>
          <w:t>Ethical considerations in quality assurance and evaluation activities | NHMRC</w:t>
        </w:r>
      </w:hyperlink>
      <w:r w:rsidRPr="00952E11">
        <w:rPr>
          <w:sz w:val="18"/>
          <w:szCs w:val="18"/>
        </w:rPr>
        <w:t xml:space="preserve"> </w:t>
      </w:r>
    </w:p>
  </w:footnote>
  <w:footnote w:id="20">
    <w:p w14:paraId="4829CB88" w14:textId="0D2870B7" w:rsidR="003F019D" w:rsidRPr="003D19B7" w:rsidRDefault="003F019D">
      <w:pPr>
        <w:pStyle w:val="FootnoteText"/>
        <w:rPr>
          <w:sz w:val="18"/>
          <w:szCs w:val="18"/>
        </w:rPr>
      </w:pPr>
      <w:r w:rsidRPr="007D5F1A">
        <w:rPr>
          <w:rStyle w:val="FootnoteReference"/>
          <w:sz w:val="18"/>
          <w:szCs w:val="18"/>
        </w:rPr>
        <w:footnoteRef/>
      </w:r>
      <w:r w:rsidRPr="007D5F1A">
        <w:rPr>
          <w:sz w:val="18"/>
          <w:szCs w:val="18"/>
        </w:rPr>
        <w:t xml:space="preserve"> </w:t>
      </w:r>
      <w:r w:rsidR="002560DD" w:rsidRPr="007D5F1A">
        <w:rPr>
          <w:sz w:val="18"/>
          <w:szCs w:val="18"/>
        </w:rPr>
        <w:t xml:space="preserve">As </w:t>
      </w:r>
      <w:r w:rsidR="00E213D0" w:rsidRPr="007D5F1A">
        <w:rPr>
          <w:sz w:val="18"/>
          <w:szCs w:val="18"/>
        </w:rPr>
        <w:t>of</w:t>
      </w:r>
      <w:r w:rsidR="002560DD" w:rsidRPr="007D5F1A">
        <w:rPr>
          <w:sz w:val="18"/>
          <w:szCs w:val="18"/>
        </w:rPr>
        <w:t xml:space="preserve"> </w:t>
      </w:r>
      <w:r w:rsidR="00305524" w:rsidRPr="007D5F1A">
        <w:rPr>
          <w:sz w:val="18"/>
          <w:szCs w:val="18"/>
        </w:rPr>
        <w:t>31</w:t>
      </w:r>
      <w:r w:rsidR="00366285" w:rsidRPr="007D5F1A">
        <w:rPr>
          <w:sz w:val="18"/>
          <w:szCs w:val="18"/>
        </w:rPr>
        <w:t xml:space="preserve"> </w:t>
      </w:r>
      <w:r w:rsidR="007A2E3B" w:rsidRPr="007D5F1A">
        <w:rPr>
          <w:sz w:val="18"/>
          <w:szCs w:val="18"/>
        </w:rPr>
        <w:t>July</w:t>
      </w:r>
      <w:r w:rsidR="00AC294A" w:rsidRPr="007D5F1A">
        <w:rPr>
          <w:sz w:val="18"/>
          <w:szCs w:val="18"/>
        </w:rPr>
        <w:t xml:space="preserve"> 2023</w:t>
      </w:r>
      <w:r w:rsidR="008512AD" w:rsidRPr="007D5F1A">
        <w:rPr>
          <w:sz w:val="18"/>
          <w:szCs w:val="18"/>
        </w:rPr>
        <w:t>,</w:t>
      </w:r>
      <w:r w:rsidR="00AC294A" w:rsidRPr="007D5F1A">
        <w:rPr>
          <w:sz w:val="18"/>
          <w:szCs w:val="18"/>
        </w:rPr>
        <w:t xml:space="preserve"> </w:t>
      </w:r>
      <w:r w:rsidR="0035178F" w:rsidRPr="007D5F1A">
        <w:rPr>
          <w:sz w:val="18"/>
          <w:szCs w:val="18"/>
        </w:rPr>
        <w:t>the Agency had not accepted 4% of recommendations from independent experts.</w:t>
      </w:r>
    </w:p>
  </w:footnote>
  <w:footnote w:id="21">
    <w:p w14:paraId="2DCA5BA1" w14:textId="77777777" w:rsidR="00547D40" w:rsidRDefault="00547D40" w:rsidP="00547D40">
      <w:pPr>
        <w:pStyle w:val="FootnoteText"/>
        <w:spacing w:before="60" w:after="60"/>
      </w:pPr>
      <w:r>
        <w:rPr>
          <w:rStyle w:val="FootnoteReference"/>
        </w:rPr>
        <w:footnoteRef/>
      </w:r>
      <w:r>
        <w:t xml:space="preserve"> Established to support participants with information about the IERP.</w:t>
      </w:r>
    </w:p>
  </w:footnote>
  <w:footnote w:id="22">
    <w:p w14:paraId="472A03A2" w14:textId="77777777" w:rsidR="00547D40" w:rsidRDefault="00547D40" w:rsidP="00547D40">
      <w:pPr>
        <w:pStyle w:val="FootnoteText"/>
        <w:spacing w:before="60" w:after="60"/>
      </w:pPr>
      <w:r>
        <w:rPr>
          <w:rStyle w:val="FootnoteReference"/>
        </w:rPr>
        <w:footnoteRef/>
      </w:r>
      <w:r>
        <w:t xml:space="preserve"> Frequently Asked Questions available at:  </w:t>
      </w:r>
      <w:hyperlink r:id="rId4" w:history="1">
        <w:r w:rsidRPr="00B177B3">
          <w:rPr>
            <w:rStyle w:val="Hyperlink"/>
          </w:rPr>
          <w:t>https://www.ndis.gov.au/media/5195/download?attachment</w:t>
        </w:r>
      </w:hyperlink>
    </w:p>
    <w:p w14:paraId="31DA3704" w14:textId="77777777" w:rsidR="00547D40" w:rsidRDefault="00547D40" w:rsidP="00547D40">
      <w:pPr>
        <w:pStyle w:val="FootnoteText"/>
      </w:pPr>
    </w:p>
  </w:footnote>
  <w:footnote w:id="23">
    <w:p w14:paraId="011F7F62" w14:textId="297F57E7" w:rsidR="00212E69" w:rsidRPr="005853D4" w:rsidRDefault="00212E69" w:rsidP="0042540E">
      <w:pPr>
        <w:pStyle w:val="FootnoteText"/>
        <w:spacing w:before="40" w:after="40"/>
        <w:rPr>
          <w:sz w:val="18"/>
          <w:szCs w:val="18"/>
        </w:rPr>
      </w:pPr>
      <w:r w:rsidRPr="005853D4">
        <w:rPr>
          <w:rStyle w:val="FootnoteReference"/>
          <w:sz w:val="18"/>
          <w:szCs w:val="18"/>
        </w:rPr>
        <w:footnoteRef/>
      </w:r>
      <w:r w:rsidRPr="005853D4">
        <w:rPr>
          <w:sz w:val="18"/>
          <w:szCs w:val="18"/>
        </w:rPr>
        <w:t xml:space="preserve"> Independent experts </w:t>
      </w:r>
      <w:r w:rsidR="001876E1">
        <w:rPr>
          <w:sz w:val="18"/>
          <w:szCs w:val="18"/>
        </w:rPr>
        <w:t xml:space="preserve">had </w:t>
      </w:r>
      <w:r w:rsidRPr="005853D4">
        <w:rPr>
          <w:sz w:val="18"/>
          <w:szCs w:val="18"/>
        </w:rPr>
        <w:t xml:space="preserve">reviewed </w:t>
      </w:r>
      <w:r w:rsidR="00441B61" w:rsidRPr="005853D4">
        <w:rPr>
          <w:sz w:val="18"/>
          <w:szCs w:val="18"/>
        </w:rPr>
        <w:t>2</w:t>
      </w:r>
      <w:r w:rsidR="00225F40" w:rsidRPr="005853D4">
        <w:rPr>
          <w:sz w:val="18"/>
          <w:szCs w:val="18"/>
        </w:rPr>
        <w:t xml:space="preserve">3 NDIS-plan related cases that met the referral criteria. These cases contained a total of </w:t>
      </w:r>
      <w:r w:rsidR="000C2264">
        <w:rPr>
          <w:sz w:val="18"/>
          <w:szCs w:val="18"/>
        </w:rPr>
        <w:t>114</w:t>
      </w:r>
      <w:r w:rsidR="00225F40" w:rsidRPr="005853D4">
        <w:rPr>
          <w:sz w:val="18"/>
          <w:szCs w:val="18"/>
        </w:rPr>
        <w:t xml:space="preserve"> separate matters for review.</w:t>
      </w:r>
    </w:p>
  </w:footnote>
  <w:footnote w:id="24">
    <w:p w14:paraId="07520B9C" w14:textId="77777777" w:rsidR="00AA6649" w:rsidRPr="000F5A99" w:rsidRDefault="00AA6649" w:rsidP="0042540E">
      <w:pPr>
        <w:spacing w:before="40" w:after="40" w:line="240" w:lineRule="auto"/>
        <w:rPr>
          <w:rFonts w:ascii="Calibri" w:eastAsia="Times New Roman" w:hAnsi="Calibri"/>
          <w:szCs w:val="22"/>
          <w:lang w:eastAsia="en-US"/>
        </w:rPr>
      </w:pPr>
      <w:r>
        <w:rPr>
          <w:rStyle w:val="FootnoteReference"/>
        </w:rPr>
        <w:footnoteRef/>
      </w:r>
      <w:r>
        <w:t xml:space="preserve"> </w:t>
      </w:r>
      <w:r w:rsidRPr="00C469EA">
        <w:rPr>
          <w:rFonts w:eastAsia="Times New Roman"/>
          <w:i/>
          <w:iCs/>
          <w:sz w:val="18"/>
          <w:szCs w:val="18"/>
        </w:rPr>
        <w:t>Drake v Minister for Immigration and Ethnic Affairs (No 2)</w:t>
      </w:r>
      <w:r w:rsidRPr="00C469EA">
        <w:rPr>
          <w:rFonts w:eastAsia="Times New Roman"/>
          <w:sz w:val="18"/>
          <w:szCs w:val="18"/>
        </w:rPr>
        <w:t xml:space="preserve"> (1979) 2 ALD 634</w:t>
      </w:r>
      <w:r>
        <w:rPr>
          <w:rFonts w:eastAsia="Times New Roman"/>
          <w:sz w:val="18"/>
          <w:szCs w:val="18"/>
        </w:rPr>
        <w:t>.</w:t>
      </w:r>
    </w:p>
  </w:footnote>
  <w:footnote w:id="25">
    <w:p w14:paraId="6B2712D3" w14:textId="6D4444A6" w:rsidR="00F1156A" w:rsidRDefault="00F1156A">
      <w:pPr>
        <w:pStyle w:val="FootnoteText"/>
      </w:pPr>
      <w:r w:rsidRPr="00FA1FF2">
        <w:rPr>
          <w:rStyle w:val="FootnoteReference"/>
          <w:sz w:val="18"/>
          <w:szCs w:val="18"/>
        </w:rPr>
        <w:footnoteRef/>
      </w:r>
      <w:r w:rsidRPr="00FA1FF2">
        <w:rPr>
          <w:sz w:val="18"/>
          <w:szCs w:val="18"/>
        </w:rPr>
        <w:t xml:space="preserve"> </w:t>
      </w:r>
      <w:r w:rsidR="00C81709" w:rsidRPr="00FA1FF2">
        <w:rPr>
          <w:sz w:val="18"/>
          <w:szCs w:val="18"/>
        </w:rPr>
        <w:t xml:space="preserve">Between </w:t>
      </w:r>
      <w:r w:rsidR="00A94B5A" w:rsidRPr="00FA1FF2">
        <w:rPr>
          <w:sz w:val="18"/>
          <w:szCs w:val="18"/>
        </w:rPr>
        <w:t>Jul 2022 and Jan 2023, 83%</w:t>
      </w:r>
      <w:r w:rsidRPr="00FA1FF2">
        <w:rPr>
          <w:sz w:val="18"/>
          <w:szCs w:val="18"/>
        </w:rPr>
        <w:t xml:space="preserve"> </w:t>
      </w:r>
      <w:r w:rsidR="00993FF4" w:rsidRPr="00FA1FF2">
        <w:rPr>
          <w:sz w:val="18"/>
          <w:szCs w:val="18"/>
        </w:rPr>
        <w:t xml:space="preserve">of </w:t>
      </w:r>
      <w:r w:rsidRPr="00FA1FF2">
        <w:rPr>
          <w:sz w:val="18"/>
          <w:szCs w:val="18"/>
        </w:rPr>
        <w:t xml:space="preserve">AAT </w:t>
      </w:r>
      <w:r w:rsidR="00C81709" w:rsidRPr="00FA1FF2">
        <w:rPr>
          <w:sz w:val="18"/>
          <w:szCs w:val="18"/>
        </w:rPr>
        <w:t>cases comparable to IERP cases</w:t>
      </w:r>
      <w:r w:rsidRPr="00FA1FF2">
        <w:rPr>
          <w:sz w:val="18"/>
          <w:szCs w:val="18"/>
        </w:rPr>
        <w:t xml:space="preserve"> were resolved by consent. However, the information </w:t>
      </w:r>
      <w:r w:rsidR="00D27625" w:rsidRPr="00FA1FF2">
        <w:rPr>
          <w:sz w:val="18"/>
          <w:szCs w:val="18"/>
        </w:rPr>
        <w:t>available for the</w:t>
      </w:r>
      <w:r w:rsidRPr="00FA1FF2">
        <w:rPr>
          <w:sz w:val="18"/>
          <w:szCs w:val="18"/>
        </w:rPr>
        <w:t xml:space="preserve"> evaluation </w:t>
      </w:r>
      <w:r w:rsidR="00D27625" w:rsidRPr="00FA1FF2">
        <w:rPr>
          <w:sz w:val="18"/>
          <w:szCs w:val="18"/>
        </w:rPr>
        <w:t>i</w:t>
      </w:r>
      <w:r w:rsidRPr="00FA1FF2">
        <w:rPr>
          <w:sz w:val="18"/>
          <w:szCs w:val="18"/>
        </w:rPr>
        <w:t xml:space="preserve">s insufficient to understand </w:t>
      </w:r>
      <w:r w:rsidR="00D27625" w:rsidRPr="00FA1FF2">
        <w:rPr>
          <w:sz w:val="18"/>
          <w:szCs w:val="18"/>
        </w:rPr>
        <w:t>the extent</w:t>
      </w:r>
      <w:r w:rsidRPr="00FA1FF2">
        <w:rPr>
          <w:sz w:val="18"/>
          <w:szCs w:val="18"/>
        </w:rPr>
        <w:t xml:space="preserve"> the final </w:t>
      </w:r>
      <w:r w:rsidR="00D27625" w:rsidRPr="00FA1FF2">
        <w:rPr>
          <w:sz w:val="18"/>
          <w:szCs w:val="18"/>
        </w:rPr>
        <w:t>settlements</w:t>
      </w:r>
      <w:r w:rsidRPr="00FA1FF2">
        <w:rPr>
          <w:sz w:val="18"/>
          <w:szCs w:val="18"/>
        </w:rPr>
        <w:t xml:space="preserve"> reflect the original support requests</w:t>
      </w:r>
      <w:r w:rsidR="00D27625" w:rsidRPr="00FA1FF2">
        <w:rPr>
          <w:sz w:val="18"/>
          <w:szCs w:val="18"/>
        </w:rPr>
        <w:t>.</w:t>
      </w:r>
    </w:p>
  </w:footnote>
  <w:footnote w:id="26">
    <w:p w14:paraId="590D5F5C" w14:textId="246F942B" w:rsidR="00591DFC" w:rsidRDefault="00591DFC">
      <w:pPr>
        <w:pStyle w:val="FootnoteText"/>
      </w:pPr>
      <w:r>
        <w:rPr>
          <w:rStyle w:val="FootnoteReference"/>
        </w:rPr>
        <w:footnoteRef/>
      </w:r>
      <w:r>
        <w:t xml:space="preserve"> </w:t>
      </w:r>
      <w:r w:rsidR="007370AD" w:rsidRPr="00BD2639">
        <w:rPr>
          <w:sz w:val="18"/>
          <w:szCs w:val="18"/>
        </w:rPr>
        <w:t xml:space="preserve">TAB </w:t>
      </w:r>
      <w:r w:rsidR="008119E0" w:rsidRPr="00BD2639">
        <w:rPr>
          <w:sz w:val="18"/>
          <w:szCs w:val="18"/>
        </w:rPr>
        <w:t xml:space="preserve">were not provided with the details of each case and only considered whether </w:t>
      </w:r>
      <w:r w:rsidR="007246F1" w:rsidRPr="00BD2639">
        <w:rPr>
          <w:sz w:val="18"/>
          <w:szCs w:val="18"/>
        </w:rPr>
        <w:t xml:space="preserve">the </w:t>
      </w:r>
      <w:r w:rsidR="0049238F" w:rsidRPr="00BD2639">
        <w:rPr>
          <w:sz w:val="18"/>
          <w:szCs w:val="18"/>
        </w:rPr>
        <w:t xml:space="preserve">independent experts’ </w:t>
      </w:r>
      <w:r w:rsidR="007246F1" w:rsidRPr="00BD2639">
        <w:rPr>
          <w:sz w:val="18"/>
          <w:szCs w:val="18"/>
        </w:rPr>
        <w:t xml:space="preserve">recommendations aligned </w:t>
      </w:r>
      <w:r w:rsidR="0049238F" w:rsidRPr="00BD2639">
        <w:rPr>
          <w:sz w:val="18"/>
          <w:szCs w:val="18"/>
        </w:rPr>
        <w:t xml:space="preserve">with NDIS Act, </w:t>
      </w:r>
      <w:r w:rsidR="00DA259B" w:rsidRPr="00BD2639">
        <w:rPr>
          <w:sz w:val="18"/>
          <w:szCs w:val="18"/>
        </w:rPr>
        <w:t>Rules,</w:t>
      </w:r>
      <w:r w:rsidR="0049238F" w:rsidRPr="00BD2639">
        <w:rPr>
          <w:sz w:val="18"/>
          <w:szCs w:val="18"/>
        </w:rPr>
        <w:t xml:space="preserve"> and operational guidelines.</w:t>
      </w:r>
    </w:p>
  </w:footnote>
  <w:footnote w:id="27">
    <w:p w14:paraId="0D8935D9" w14:textId="0427D2A6" w:rsidR="007C7E66" w:rsidRPr="008677FD" w:rsidRDefault="007C7E66">
      <w:pPr>
        <w:pStyle w:val="FootnoteText"/>
        <w:rPr>
          <w:sz w:val="18"/>
          <w:szCs w:val="18"/>
        </w:rPr>
      </w:pPr>
      <w:r>
        <w:rPr>
          <w:rStyle w:val="FootnoteReference"/>
        </w:rPr>
        <w:footnoteRef/>
      </w:r>
      <w:r>
        <w:t xml:space="preserve"> </w:t>
      </w:r>
      <w:r w:rsidR="00492D0B" w:rsidRPr="008677FD">
        <w:rPr>
          <w:sz w:val="18"/>
          <w:szCs w:val="18"/>
        </w:rPr>
        <w:t>The</w:t>
      </w:r>
      <w:r w:rsidR="00A915F1" w:rsidRPr="008677FD">
        <w:rPr>
          <w:sz w:val="18"/>
          <w:szCs w:val="18"/>
        </w:rPr>
        <w:t xml:space="preserve"> two review groups</w:t>
      </w:r>
      <w:r w:rsidR="00492D0B" w:rsidRPr="008677FD">
        <w:rPr>
          <w:sz w:val="18"/>
          <w:szCs w:val="18"/>
        </w:rPr>
        <w:t xml:space="preserve"> considered 23 matters, </w:t>
      </w:r>
      <w:r w:rsidR="00A915F1" w:rsidRPr="008677FD">
        <w:rPr>
          <w:sz w:val="18"/>
          <w:szCs w:val="18"/>
        </w:rPr>
        <w:t>across</w:t>
      </w:r>
      <w:r w:rsidR="00492D0B" w:rsidRPr="008677FD">
        <w:rPr>
          <w:sz w:val="18"/>
          <w:szCs w:val="18"/>
        </w:rPr>
        <w:t xml:space="preserve"> 114</w:t>
      </w:r>
      <w:r w:rsidR="00A915F1" w:rsidRPr="008677FD">
        <w:rPr>
          <w:sz w:val="18"/>
          <w:szCs w:val="18"/>
        </w:rPr>
        <w:t xml:space="preserve"> individual</w:t>
      </w:r>
      <w:r w:rsidR="00492D0B" w:rsidRPr="008677FD">
        <w:rPr>
          <w:sz w:val="18"/>
          <w:szCs w:val="18"/>
        </w:rPr>
        <w:t xml:space="preserve"> issues. </w:t>
      </w:r>
      <w:r w:rsidR="00FF3100" w:rsidRPr="008677FD">
        <w:rPr>
          <w:sz w:val="18"/>
          <w:szCs w:val="18"/>
        </w:rPr>
        <w:t xml:space="preserve">Additional issues were removed </w:t>
      </w:r>
      <w:r w:rsidR="00A915F1" w:rsidRPr="008677FD">
        <w:rPr>
          <w:sz w:val="18"/>
          <w:szCs w:val="18"/>
        </w:rPr>
        <w:t>if</w:t>
      </w:r>
      <w:r w:rsidR="00FF3100" w:rsidRPr="008677FD">
        <w:rPr>
          <w:sz w:val="18"/>
          <w:szCs w:val="18"/>
        </w:rPr>
        <w:t xml:space="preserve"> una</w:t>
      </w:r>
      <w:r w:rsidR="00EA63D3" w:rsidRPr="008677FD">
        <w:rPr>
          <w:sz w:val="18"/>
          <w:szCs w:val="18"/>
        </w:rPr>
        <w:t>nimously assigned “</w:t>
      </w:r>
      <w:r w:rsidR="00A915F1" w:rsidRPr="008677FD">
        <w:rPr>
          <w:sz w:val="18"/>
          <w:szCs w:val="18"/>
        </w:rPr>
        <w:t>t</w:t>
      </w:r>
      <w:r w:rsidR="00EA63D3" w:rsidRPr="008677FD">
        <w:rPr>
          <w:sz w:val="18"/>
          <w:szCs w:val="18"/>
        </w:rPr>
        <w:t xml:space="preserve">o be reviewed after a significant time”, if </w:t>
      </w:r>
      <w:r w:rsidR="00C85B47" w:rsidRPr="008677FD">
        <w:rPr>
          <w:sz w:val="18"/>
          <w:szCs w:val="18"/>
        </w:rPr>
        <w:t>they</w:t>
      </w:r>
      <w:r w:rsidR="00BB3217" w:rsidRPr="008677FD">
        <w:rPr>
          <w:sz w:val="18"/>
          <w:szCs w:val="18"/>
        </w:rPr>
        <w:t xml:space="preserve"> related to</w:t>
      </w:r>
      <w:r w:rsidR="00EA63D3" w:rsidRPr="008677FD">
        <w:rPr>
          <w:sz w:val="18"/>
          <w:szCs w:val="18"/>
        </w:rPr>
        <w:t xml:space="preserve"> </w:t>
      </w:r>
      <w:r w:rsidR="003A2167" w:rsidRPr="008677FD">
        <w:rPr>
          <w:sz w:val="18"/>
          <w:szCs w:val="18"/>
        </w:rPr>
        <w:t>S</w:t>
      </w:r>
      <w:r w:rsidR="00EA63D3" w:rsidRPr="008677FD">
        <w:rPr>
          <w:sz w:val="18"/>
          <w:szCs w:val="18"/>
        </w:rPr>
        <w:t xml:space="preserve">cheme access, </w:t>
      </w:r>
      <w:r w:rsidR="00BB3217" w:rsidRPr="008677FD">
        <w:rPr>
          <w:sz w:val="18"/>
          <w:szCs w:val="18"/>
        </w:rPr>
        <w:t xml:space="preserve">or if </w:t>
      </w:r>
      <w:r w:rsidR="00271B05" w:rsidRPr="008677FD">
        <w:rPr>
          <w:sz w:val="18"/>
          <w:szCs w:val="18"/>
        </w:rPr>
        <w:t>the</w:t>
      </w:r>
      <w:r w:rsidR="00A915F1" w:rsidRPr="008677FD">
        <w:rPr>
          <w:sz w:val="18"/>
          <w:szCs w:val="18"/>
        </w:rPr>
        <w:t xml:space="preserve"> matters were subsequently withdrawn.</w:t>
      </w:r>
    </w:p>
  </w:footnote>
  <w:footnote w:id="28">
    <w:p w14:paraId="120487E0" w14:textId="4FBBE75A" w:rsidR="00327230" w:rsidRPr="008677FD" w:rsidRDefault="00327230">
      <w:pPr>
        <w:pStyle w:val="FootnoteText"/>
        <w:rPr>
          <w:sz w:val="18"/>
          <w:szCs w:val="18"/>
        </w:rPr>
      </w:pPr>
      <w:r w:rsidRPr="008677FD">
        <w:rPr>
          <w:rStyle w:val="FootnoteReference"/>
          <w:sz w:val="18"/>
          <w:szCs w:val="18"/>
        </w:rPr>
        <w:footnoteRef/>
      </w:r>
      <w:r w:rsidRPr="008677FD">
        <w:rPr>
          <w:sz w:val="18"/>
          <w:szCs w:val="18"/>
        </w:rPr>
        <w:t xml:space="preserve"> </w:t>
      </w:r>
      <w:r w:rsidR="00F94687" w:rsidRPr="008677FD">
        <w:rPr>
          <w:sz w:val="18"/>
          <w:szCs w:val="18"/>
        </w:rPr>
        <w:t>N=</w:t>
      </w:r>
      <w:r w:rsidR="00F3543D" w:rsidRPr="008677FD">
        <w:rPr>
          <w:sz w:val="18"/>
          <w:szCs w:val="18"/>
        </w:rPr>
        <w:t xml:space="preserve"> 3</w:t>
      </w:r>
      <w:r w:rsidR="005A4ADC" w:rsidRPr="008677FD">
        <w:rPr>
          <w:sz w:val="18"/>
          <w:szCs w:val="18"/>
        </w:rPr>
        <w:t>,</w:t>
      </w:r>
      <w:r w:rsidR="00F3543D" w:rsidRPr="008677FD">
        <w:rPr>
          <w:sz w:val="18"/>
          <w:szCs w:val="18"/>
        </w:rPr>
        <w:t>281</w:t>
      </w:r>
    </w:p>
  </w:footnote>
  <w:footnote w:id="29">
    <w:p w14:paraId="7EFC087E" w14:textId="1A7B091C" w:rsidR="000E518B" w:rsidRDefault="000E518B">
      <w:pPr>
        <w:pStyle w:val="FootnoteText"/>
      </w:pPr>
      <w:r w:rsidRPr="000C5E05">
        <w:rPr>
          <w:rStyle w:val="FootnoteReference"/>
        </w:rPr>
        <w:footnoteRef/>
      </w:r>
      <w:r w:rsidRPr="000C5E05">
        <w:t xml:space="preserve"> </w:t>
      </w:r>
      <w:r w:rsidRPr="000C5E05">
        <w:rPr>
          <w:sz w:val="18"/>
          <w:szCs w:val="18"/>
        </w:rPr>
        <w:t xml:space="preserve">Given that the </w:t>
      </w:r>
      <w:r w:rsidR="00D01C50" w:rsidRPr="000C5E05">
        <w:rPr>
          <w:sz w:val="18"/>
          <w:szCs w:val="18"/>
        </w:rPr>
        <w:t xml:space="preserve">IERP cases were invited </w:t>
      </w:r>
      <w:r w:rsidR="00197FF0" w:rsidRPr="000C5E05">
        <w:rPr>
          <w:sz w:val="18"/>
          <w:szCs w:val="18"/>
        </w:rPr>
        <w:t>from a sample of complex AAT cases,</w:t>
      </w:r>
      <w:r w:rsidR="00D01C50" w:rsidRPr="000C5E05">
        <w:rPr>
          <w:sz w:val="18"/>
          <w:szCs w:val="18"/>
        </w:rPr>
        <w:t xml:space="preserve"> </w:t>
      </w:r>
      <w:r w:rsidR="00583D9B" w:rsidRPr="000C5E05">
        <w:rPr>
          <w:sz w:val="18"/>
          <w:szCs w:val="18"/>
        </w:rPr>
        <w:t xml:space="preserve">any dispute resolution costs that </w:t>
      </w:r>
      <w:r w:rsidR="00013C81" w:rsidRPr="000C5E05">
        <w:rPr>
          <w:sz w:val="18"/>
          <w:szCs w:val="18"/>
        </w:rPr>
        <w:t>were</w:t>
      </w:r>
      <w:r w:rsidR="00583D9B" w:rsidRPr="000C5E05">
        <w:rPr>
          <w:sz w:val="18"/>
          <w:szCs w:val="18"/>
        </w:rPr>
        <w:t xml:space="preserve"> incurred before </w:t>
      </w:r>
      <w:r w:rsidR="005C0AF8" w:rsidRPr="000C5E05">
        <w:rPr>
          <w:sz w:val="18"/>
          <w:szCs w:val="18"/>
        </w:rPr>
        <w:t xml:space="preserve">proceeding to hearing </w:t>
      </w:r>
      <w:r w:rsidR="00245364" w:rsidRPr="000C5E05">
        <w:rPr>
          <w:sz w:val="18"/>
          <w:szCs w:val="18"/>
        </w:rPr>
        <w:t xml:space="preserve">have been removed. This is done because it is not possible to </w:t>
      </w:r>
      <w:r w:rsidR="009E4C90" w:rsidRPr="000C5E05">
        <w:rPr>
          <w:sz w:val="18"/>
          <w:szCs w:val="18"/>
        </w:rPr>
        <w:t>separate</w:t>
      </w:r>
      <w:r w:rsidR="00245364" w:rsidRPr="000C5E05">
        <w:rPr>
          <w:sz w:val="18"/>
          <w:szCs w:val="18"/>
        </w:rPr>
        <w:t xml:space="preserve"> the </w:t>
      </w:r>
      <w:r w:rsidR="004F463B" w:rsidRPr="000C5E05">
        <w:rPr>
          <w:sz w:val="18"/>
          <w:szCs w:val="18"/>
        </w:rPr>
        <w:t xml:space="preserve">AAT and IERP costs that would </w:t>
      </w:r>
      <w:r w:rsidR="00A16D35" w:rsidRPr="000C5E05">
        <w:rPr>
          <w:sz w:val="18"/>
          <w:szCs w:val="18"/>
        </w:rPr>
        <w:t xml:space="preserve">have </w:t>
      </w:r>
      <w:r w:rsidR="004F463B" w:rsidRPr="000C5E05">
        <w:rPr>
          <w:sz w:val="18"/>
          <w:szCs w:val="18"/>
        </w:rPr>
        <w:t>contribute</w:t>
      </w:r>
      <w:r w:rsidR="00A16D35" w:rsidRPr="000C5E05">
        <w:rPr>
          <w:sz w:val="18"/>
          <w:szCs w:val="18"/>
        </w:rPr>
        <w:t>d</w:t>
      </w:r>
      <w:r w:rsidR="004F463B" w:rsidRPr="000C5E05">
        <w:rPr>
          <w:sz w:val="18"/>
          <w:szCs w:val="18"/>
        </w:rPr>
        <w:t xml:space="preserve"> to resolving the matter. Net costs are therefore calculated on a</w:t>
      </w:r>
      <w:r w:rsidR="006754BB" w:rsidRPr="000C5E05">
        <w:rPr>
          <w:sz w:val="18"/>
          <w:szCs w:val="18"/>
        </w:rPr>
        <w:t xml:space="preserve">n exclusive basis </w:t>
      </w:r>
      <w:r w:rsidR="004D4480" w:rsidRPr="000C5E05">
        <w:rPr>
          <w:sz w:val="18"/>
          <w:szCs w:val="18"/>
        </w:rPr>
        <w:t xml:space="preserve">by identifying costs </w:t>
      </w:r>
      <w:r w:rsidR="002809A0" w:rsidRPr="000C5E05">
        <w:rPr>
          <w:sz w:val="18"/>
          <w:szCs w:val="18"/>
        </w:rPr>
        <w:t xml:space="preserve">that </w:t>
      </w:r>
      <w:r w:rsidR="00451C42" w:rsidRPr="000C5E05">
        <w:rPr>
          <w:sz w:val="18"/>
          <w:szCs w:val="18"/>
        </w:rPr>
        <w:t xml:space="preserve">can only be incurred by </w:t>
      </w:r>
      <w:r w:rsidR="000C19F8" w:rsidRPr="000C5E05">
        <w:rPr>
          <w:sz w:val="18"/>
          <w:szCs w:val="18"/>
        </w:rPr>
        <w:t>taking part in</w:t>
      </w:r>
      <w:r w:rsidR="00451C42" w:rsidRPr="000C5E05">
        <w:rPr>
          <w:sz w:val="18"/>
          <w:szCs w:val="18"/>
        </w:rPr>
        <w:t xml:space="preserve"> </w:t>
      </w:r>
      <w:r w:rsidR="009E4C90" w:rsidRPr="000C5E05">
        <w:rPr>
          <w:sz w:val="18"/>
          <w:szCs w:val="18"/>
        </w:rPr>
        <w:t xml:space="preserve">either </w:t>
      </w:r>
      <w:r w:rsidR="00451C42" w:rsidRPr="000C5E05">
        <w:rPr>
          <w:sz w:val="18"/>
          <w:szCs w:val="18"/>
        </w:rPr>
        <w:t>the IERP or AAT.</w:t>
      </w:r>
    </w:p>
  </w:footnote>
  <w:footnote w:id="30">
    <w:p w14:paraId="521A8364" w14:textId="1CA42C31" w:rsidR="00E46E7A" w:rsidRPr="00533612" w:rsidRDefault="00E46E7A">
      <w:pPr>
        <w:pStyle w:val="FootnoteText"/>
        <w:rPr>
          <w:sz w:val="18"/>
          <w:szCs w:val="18"/>
        </w:rPr>
      </w:pPr>
      <w:r>
        <w:rPr>
          <w:rStyle w:val="FootnoteReference"/>
        </w:rPr>
        <w:footnoteRef/>
      </w:r>
      <w:r>
        <w:t xml:space="preserve"> </w:t>
      </w:r>
      <w:r w:rsidRPr="00533612">
        <w:rPr>
          <w:sz w:val="18"/>
          <w:szCs w:val="18"/>
        </w:rPr>
        <w:t>The cost of an AAT hearing comprises attendance at the hearing by both a medical expert and counsel, law firms support</w:t>
      </w:r>
      <w:r w:rsidR="00755880">
        <w:rPr>
          <w:sz w:val="18"/>
          <w:szCs w:val="18"/>
        </w:rPr>
        <w:t>ing</w:t>
      </w:r>
      <w:r w:rsidRPr="00533612">
        <w:rPr>
          <w:sz w:val="18"/>
          <w:szCs w:val="18"/>
        </w:rPr>
        <w:t xml:space="preserve"> the hearing, internal NDIA lawyer support pre and at hearing and case manager support pre and at hearing.</w:t>
      </w:r>
    </w:p>
  </w:footnote>
  <w:footnote w:id="31">
    <w:p w14:paraId="5444937A" w14:textId="56C0710A" w:rsidR="009D1B78" w:rsidRDefault="009D1B78">
      <w:pPr>
        <w:pStyle w:val="FootnoteText"/>
      </w:pPr>
      <w:r w:rsidRPr="000C5E05">
        <w:rPr>
          <w:rStyle w:val="FootnoteReference"/>
        </w:rPr>
        <w:footnoteRef/>
      </w:r>
      <w:r w:rsidRPr="000C5E05">
        <w:t xml:space="preserve"> </w:t>
      </w:r>
      <w:r w:rsidRPr="000C5E05">
        <w:rPr>
          <w:sz w:val="18"/>
          <w:szCs w:val="18"/>
        </w:rPr>
        <w:t xml:space="preserve">The remaining </w:t>
      </w:r>
      <w:r w:rsidR="005C2873" w:rsidRPr="000C5E05">
        <w:rPr>
          <w:sz w:val="18"/>
          <w:szCs w:val="18"/>
        </w:rPr>
        <w:t xml:space="preserve">28 </w:t>
      </w:r>
      <w:r w:rsidR="00A646B4" w:rsidRPr="000C5E05">
        <w:rPr>
          <w:sz w:val="18"/>
          <w:szCs w:val="18"/>
        </w:rPr>
        <w:t>similar AAT</w:t>
      </w:r>
      <w:r w:rsidR="005C2873" w:rsidRPr="000C5E05">
        <w:rPr>
          <w:sz w:val="18"/>
          <w:szCs w:val="18"/>
        </w:rPr>
        <w:t xml:space="preserve"> </w:t>
      </w:r>
      <w:r w:rsidR="00A81043" w:rsidRPr="000C5E05">
        <w:rPr>
          <w:sz w:val="18"/>
          <w:szCs w:val="18"/>
        </w:rPr>
        <w:t>cases</w:t>
      </w:r>
      <w:r w:rsidR="005C2873" w:rsidRPr="000C5E05">
        <w:rPr>
          <w:sz w:val="18"/>
          <w:szCs w:val="18"/>
        </w:rPr>
        <w:t xml:space="preserve"> </w:t>
      </w:r>
      <w:r w:rsidR="00A1493A" w:rsidRPr="000C5E05">
        <w:rPr>
          <w:sz w:val="18"/>
          <w:szCs w:val="18"/>
        </w:rPr>
        <w:t>incurred</w:t>
      </w:r>
      <w:r w:rsidR="00AF0243" w:rsidRPr="000C5E05">
        <w:rPr>
          <w:sz w:val="18"/>
          <w:szCs w:val="18"/>
        </w:rPr>
        <w:t xml:space="preserve"> an average external cost </w:t>
      </w:r>
      <w:r w:rsidR="005C2873" w:rsidRPr="000C5E05">
        <w:rPr>
          <w:sz w:val="18"/>
          <w:szCs w:val="18"/>
        </w:rPr>
        <w:t xml:space="preserve">of </w:t>
      </w:r>
      <w:r w:rsidR="00AF0243" w:rsidRPr="000C5E05">
        <w:rPr>
          <w:sz w:val="18"/>
          <w:szCs w:val="18"/>
        </w:rPr>
        <w:t>$20,717</w:t>
      </w:r>
      <w:r w:rsidR="000646CB" w:rsidRPr="000C5E05">
        <w:rPr>
          <w:sz w:val="18"/>
          <w:szCs w:val="18"/>
        </w:rPr>
        <w:t xml:space="preserve"> per </w:t>
      </w:r>
      <w:r w:rsidR="00A81043" w:rsidRPr="000C5E05">
        <w:rPr>
          <w:sz w:val="18"/>
          <w:szCs w:val="18"/>
        </w:rPr>
        <w:t>case</w:t>
      </w:r>
      <w:r w:rsidR="000646CB" w:rsidRPr="000C5E05">
        <w:rPr>
          <w:sz w:val="18"/>
          <w:szCs w:val="18"/>
        </w:rPr>
        <w:t>.</w:t>
      </w:r>
      <w:r w:rsidR="0049409A" w:rsidRPr="000C5E05">
        <w:rPr>
          <w:sz w:val="18"/>
          <w:szCs w:val="18"/>
        </w:rPr>
        <w:t xml:space="preserve"> </w:t>
      </w:r>
      <w:r w:rsidR="00743653" w:rsidRPr="000C5E05">
        <w:rPr>
          <w:sz w:val="18"/>
          <w:szCs w:val="18"/>
        </w:rPr>
        <w:t xml:space="preserve">These costs are inclusive of </w:t>
      </w:r>
      <w:r w:rsidR="006E1187" w:rsidRPr="000C5E05">
        <w:rPr>
          <w:sz w:val="18"/>
          <w:szCs w:val="18"/>
        </w:rPr>
        <w:t>all</w:t>
      </w:r>
      <w:r w:rsidR="00743653" w:rsidRPr="000C5E05">
        <w:rPr>
          <w:sz w:val="18"/>
          <w:szCs w:val="18"/>
        </w:rPr>
        <w:t xml:space="preserve"> </w:t>
      </w:r>
      <w:r w:rsidR="00437411" w:rsidRPr="000C5E05">
        <w:rPr>
          <w:sz w:val="18"/>
          <w:szCs w:val="18"/>
        </w:rPr>
        <w:t xml:space="preserve">dispute resolution costs. </w:t>
      </w:r>
      <w:r w:rsidR="00A1493A" w:rsidRPr="000C5E05">
        <w:rPr>
          <w:sz w:val="18"/>
          <w:szCs w:val="18"/>
        </w:rPr>
        <w:t>T</w:t>
      </w:r>
      <w:r w:rsidR="00EF667D" w:rsidRPr="000C5E05">
        <w:rPr>
          <w:sz w:val="18"/>
          <w:szCs w:val="18"/>
        </w:rPr>
        <w:t xml:space="preserve">hese </w:t>
      </w:r>
      <w:r w:rsidR="00B15499" w:rsidRPr="000C5E05">
        <w:rPr>
          <w:sz w:val="18"/>
          <w:szCs w:val="18"/>
        </w:rPr>
        <w:t xml:space="preserve">AAT </w:t>
      </w:r>
      <w:r w:rsidR="00CF7A47" w:rsidRPr="000C5E05">
        <w:rPr>
          <w:sz w:val="18"/>
          <w:szCs w:val="18"/>
        </w:rPr>
        <w:t xml:space="preserve">resolution </w:t>
      </w:r>
      <w:r w:rsidR="00EF667D" w:rsidRPr="000C5E05">
        <w:rPr>
          <w:sz w:val="18"/>
          <w:szCs w:val="18"/>
        </w:rPr>
        <w:t xml:space="preserve">costs cannot be </w:t>
      </w:r>
      <w:r w:rsidR="00A1493A" w:rsidRPr="000C5E05">
        <w:rPr>
          <w:sz w:val="18"/>
          <w:szCs w:val="18"/>
        </w:rPr>
        <w:t>separated</w:t>
      </w:r>
      <w:r w:rsidR="00EF667D" w:rsidRPr="000C5E05">
        <w:rPr>
          <w:sz w:val="18"/>
          <w:szCs w:val="18"/>
        </w:rPr>
        <w:t xml:space="preserve"> from </w:t>
      </w:r>
      <w:r w:rsidR="00B15499" w:rsidRPr="000C5E05">
        <w:rPr>
          <w:sz w:val="18"/>
          <w:szCs w:val="18"/>
        </w:rPr>
        <w:t>IERP resolution c</w:t>
      </w:r>
      <w:r w:rsidR="007049AA" w:rsidRPr="000C5E05">
        <w:rPr>
          <w:sz w:val="18"/>
          <w:szCs w:val="18"/>
        </w:rPr>
        <w:t>osts</w:t>
      </w:r>
      <w:r w:rsidR="00B15499" w:rsidRPr="000C5E05">
        <w:rPr>
          <w:sz w:val="18"/>
          <w:szCs w:val="18"/>
        </w:rPr>
        <w:t xml:space="preserve"> given th</w:t>
      </w:r>
      <w:r w:rsidR="00371839" w:rsidRPr="000C5E05">
        <w:rPr>
          <w:sz w:val="18"/>
          <w:szCs w:val="18"/>
        </w:rPr>
        <w:t xml:space="preserve">at </w:t>
      </w:r>
      <w:r w:rsidR="00BA4021" w:rsidRPr="000C5E05">
        <w:rPr>
          <w:sz w:val="18"/>
          <w:szCs w:val="18"/>
        </w:rPr>
        <w:t>cases</w:t>
      </w:r>
      <w:r w:rsidR="00B15499" w:rsidRPr="000C5E05">
        <w:rPr>
          <w:sz w:val="18"/>
          <w:szCs w:val="18"/>
        </w:rPr>
        <w:t xml:space="preserve"> invited to take part in the IERP</w:t>
      </w:r>
      <w:r w:rsidR="00BA4021" w:rsidRPr="000C5E05">
        <w:rPr>
          <w:sz w:val="18"/>
          <w:szCs w:val="18"/>
        </w:rPr>
        <w:t xml:space="preserve"> came from a pool of complex AAT cases</w:t>
      </w:r>
      <w:r w:rsidR="001B151E" w:rsidRPr="000C5E05">
        <w:rPr>
          <w:sz w:val="18"/>
          <w:szCs w:val="18"/>
        </w:rPr>
        <w:t xml:space="preserve"> already embedded in the AAT process</w:t>
      </w:r>
      <w:r w:rsidR="00B15499" w:rsidRPr="000C5E05">
        <w:rPr>
          <w:sz w:val="18"/>
          <w:szCs w:val="18"/>
        </w:rPr>
        <w:t>.</w:t>
      </w:r>
    </w:p>
  </w:footnote>
  <w:footnote w:id="32">
    <w:p w14:paraId="09772CDC" w14:textId="562DCDF2" w:rsidR="00C3711E" w:rsidRPr="00034B23" w:rsidRDefault="00C3711E" w:rsidP="00C3711E">
      <w:pPr>
        <w:pStyle w:val="FootnoteText"/>
        <w:spacing w:before="40" w:after="40"/>
        <w:rPr>
          <w:sz w:val="18"/>
          <w:szCs w:val="18"/>
        </w:rPr>
      </w:pPr>
      <w:r w:rsidRPr="00034B23">
        <w:rPr>
          <w:rStyle w:val="FootnoteReference"/>
          <w:sz w:val="18"/>
          <w:szCs w:val="18"/>
        </w:rPr>
        <w:footnoteRef/>
      </w:r>
      <w:r w:rsidRPr="00034B23">
        <w:rPr>
          <w:sz w:val="18"/>
          <w:szCs w:val="18"/>
        </w:rPr>
        <w:t xml:space="preserve"> </w:t>
      </w:r>
      <w:r w:rsidR="00B87B01">
        <w:rPr>
          <w:sz w:val="18"/>
          <w:szCs w:val="18"/>
        </w:rPr>
        <w:t xml:space="preserve">Some of the 23 IERP cases matched to more than one of the 35 AAT cases. For </w:t>
      </w:r>
      <w:r w:rsidR="00FA34D3">
        <w:rPr>
          <w:sz w:val="18"/>
          <w:szCs w:val="18"/>
        </w:rPr>
        <w:t>all</w:t>
      </w:r>
      <w:r w:rsidR="00B87B01">
        <w:rPr>
          <w:sz w:val="18"/>
          <w:szCs w:val="18"/>
        </w:rPr>
        <w:t xml:space="preserve"> these</w:t>
      </w:r>
      <w:r w:rsidR="002F4E13">
        <w:rPr>
          <w:sz w:val="18"/>
          <w:szCs w:val="18"/>
        </w:rPr>
        <w:t xml:space="preserve"> instances</w:t>
      </w:r>
      <w:r w:rsidR="00B87B01">
        <w:rPr>
          <w:sz w:val="18"/>
          <w:szCs w:val="18"/>
        </w:rPr>
        <w:t xml:space="preserve">, at least one match </w:t>
      </w:r>
      <w:r w:rsidR="002F4E13">
        <w:rPr>
          <w:sz w:val="18"/>
          <w:szCs w:val="18"/>
        </w:rPr>
        <w:t>progressed to hearing. Therefore, we assumed that the comparison IERP case would have progressed to hearing in the absence of the IERP.</w:t>
      </w:r>
    </w:p>
  </w:footnote>
  <w:footnote w:id="33">
    <w:p w14:paraId="32E65741" w14:textId="77777777" w:rsidR="00986E15" w:rsidRPr="00234940" w:rsidRDefault="00986E15" w:rsidP="002E7C7C">
      <w:pPr>
        <w:pStyle w:val="FootnoteText"/>
        <w:spacing w:before="60" w:after="60"/>
        <w:rPr>
          <w:sz w:val="18"/>
          <w:szCs w:val="18"/>
        </w:rPr>
      </w:pPr>
      <w:r w:rsidRPr="00234940">
        <w:rPr>
          <w:rStyle w:val="FootnoteReference"/>
          <w:sz w:val="18"/>
          <w:szCs w:val="18"/>
        </w:rPr>
        <w:footnoteRef/>
      </w:r>
      <w:r w:rsidRPr="00234940">
        <w:rPr>
          <w:sz w:val="18"/>
          <w:szCs w:val="18"/>
        </w:rPr>
        <w:t xml:space="preserve"> Within 1.</w:t>
      </w:r>
      <w:r>
        <w:rPr>
          <w:sz w:val="18"/>
          <w:szCs w:val="18"/>
        </w:rPr>
        <w:t>2</w:t>
      </w:r>
      <w:r w:rsidRPr="00234940">
        <w:rPr>
          <w:sz w:val="18"/>
          <w:szCs w:val="18"/>
        </w:rPr>
        <w:t xml:space="preserve"> standard deviations of </w:t>
      </w:r>
      <w:r>
        <w:rPr>
          <w:sz w:val="18"/>
          <w:szCs w:val="18"/>
        </w:rPr>
        <w:t xml:space="preserve">the </w:t>
      </w:r>
      <w:r w:rsidRPr="00234940">
        <w:rPr>
          <w:sz w:val="18"/>
          <w:szCs w:val="18"/>
        </w:rPr>
        <w:t>average IERP case.</w:t>
      </w:r>
    </w:p>
  </w:footnote>
  <w:footnote w:id="34">
    <w:p w14:paraId="527F4D61" w14:textId="2FE751E1" w:rsidR="00D705AD" w:rsidRDefault="00D705AD" w:rsidP="00D705AD">
      <w:pPr>
        <w:pStyle w:val="FootnoteText"/>
      </w:pPr>
      <w:r>
        <w:rPr>
          <w:rStyle w:val="FootnoteReference"/>
        </w:rPr>
        <w:footnoteRef/>
      </w:r>
      <w:r>
        <w:t xml:space="preserve"> Activated NDIS plans are new baseline plans/budgets accepted by newly accessed participants.</w:t>
      </w:r>
    </w:p>
  </w:footnote>
  <w:footnote w:id="35">
    <w:p w14:paraId="1087463F" w14:textId="77777777" w:rsidR="00607410" w:rsidRPr="000A4FE1" w:rsidRDefault="00607410" w:rsidP="00A5320D">
      <w:pPr>
        <w:pStyle w:val="FootnoteText"/>
        <w:spacing w:before="60" w:after="60"/>
        <w:rPr>
          <w:sz w:val="18"/>
          <w:szCs w:val="18"/>
        </w:rPr>
      </w:pPr>
      <w:r w:rsidRPr="000A4FE1">
        <w:rPr>
          <w:rStyle w:val="FootnoteReference"/>
          <w:sz w:val="18"/>
          <w:szCs w:val="18"/>
        </w:rPr>
        <w:footnoteRef/>
      </w:r>
      <w:r w:rsidRPr="000A4FE1">
        <w:rPr>
          <w:sz w:val="18"/>
          <w:szCs w:val="18"/>
        </w:rPr>
        <w:t>Tune, D. (2019) Review of the National Disability Insurance Scheme Act 2013: Removing red tape and implementing the NDIS participant service guarantee. Refer Section 3.62 - 3.65.</w:t>
      </w:r>
    </w:p>
  </w:footnote>
  <w:footnote w:id="36">
    <w:p w14:paraId="21FD8C4A" w14:textId="31183B0F" w:rsidR="00224C76" w:rsidRPr="00C56B89" w:rsidRDefault="00224C76" w:rsidP="00A5320D">
      <w:pPr>
        <w:pStyle w:val="FootnoteText"/>
        <w:spacing w:before="60" w:after="60"/>
        <w:rPr>
          <w:sz w:val="18"/>
          <w:szCs w:val="18"/>
        </w:rPr>
      </w:pPr>
      <w:r w:rsidRPr="00C56B89">
        <w:rPr>
          <w:rStyle w:val="FootnoteReference"/>
          <w:sz w:val="18"/>
          <w:szCs w:val="18"/>
        </w:rPr>
        <w:footnoteRef/>
      </w:r>
      <w:r w:rsidRPr="00C56B89">
        <w:rPr>
          <w:sz w:val="18"/>
          <w:szCs w:val="18"/>
        </w:rPr>
        <w:t xml:space="preserve"> NDIS Internal Reviews and Complaints Quarterly Analytics and Insights Q2 FY22/23 (Oct – Dec 2022)</w:t>
      </w:r>
      <w:r w:rsidR="0066054D" w:rsidRPr="00C56B89">
        <w:rPr>
          <w:sz w:val="18"/>
          <w:szCs w:val="18"/>
        </w:rPr>
        <w:t>.</w:t>
      </w:r>
    </w:p>
  </w:footnote>
  <w:footnote w:id="37">
    <w:p w14:paraId="186222B0" w14:textId="0A860112" w:rsidR="003E0AEF" w:rsidRPr="003E0AEF" w:rsidRDefault="003E0AEF" w:rsidP="003E0AEF">
      <w:pPr>
        <w:pStyle w:val="FootnoteText"/>
        <w:spacing w:before="60" w:after="60"/>
        <w:rPr>
          <w:sz w:val="18"/>
          <w:szCs w:val="18"/>
        </w:rPr>
      </w:pPr>
      <w:r w:rsidRPr="003E0AEF">
        <w:rPr>
          <w:rStyle w:val="FootnoteReference"/>
          <w:sz w:val="18"/>
          <w:szCs w:val="18"/>
        </w:rPr>
        <w:footnoteRef/>
      </w:r>
      <w:r w:rsidRPr="003E0AEF">
        <w:rPr>
          <w:sz w:val="18"/>
          <w:szCs w:val="18"/>
        </w:rPr>
        <w:t xml:space="preserve"> Data provided by the Internal Reviews and Complaints Branch.</w:t>
      </w:r>
    </w:p>
  </w:footnote>
  <w:footnote w:id="38">
    <w:p w14:paraId="035D9274" w14:textId="08700FBC" w:rsidR="004B7A8B" w:rsidRPr="004B7A8B" w:rsidRDefault="004B7A8B" w:rsidP="004B7A8B">
      <w:pPr>
        <w:pStyle w:val="FootnoteText"/>
        <w:spacing w:before="0" w:after="0"/>
        <w:rPr>
          <w:rFonts w:ascii="Calibri" w:eastAsiaTheme="minorHAnsi" w:hAnsi="Calibri"/>
          <w:sz w:val="18"/>
          <w:szCs w:val="18"/>
          <w:lang w:eastAsia="en-US"/>
        </w:rPr>
      </w:pPr>
      <w:r>
        <w:rPr>
          <w:rStyle w:val="FootnoteReference"/>
        </w:rPr>
        <w:footnoteRef/>
      </w:r>
      <w:r>
        <w:t xml:space="preserve"> </w:t>
      </w:r>
      <w:r>
        <w:rPr>
          <w:sz w:val="18"/>
          <w:szCs w:val="18"/>
        </w:rPr>
        <w:t xml:space="preserve">The Harman obligation is also sometimes referred to as the ‘implied undertaking’  It is a common law doctrine established in </w:t>
      </w:r>
      <w:r>
        <w:rPr>
          <w:i/>
          <w:iCs/>
          <w:sz w:val="18"/>
          <w:szCs w:val="18"/>
        </w:rPr>
        <w:t>Harman v Secretary of State for Home Department [1983] 1 AC 280</w:t>
      </w:r>
      <w:r>
        <w:rPr>
          <w:sz w:val="18"/>
          <w:szCs w:val="18"/>
        </w:rPr>
        <w:t xml:space="preserve"> which has the effect that any person, who has obtained a document or information because another person was compelled  by a Court or Tribunal to provide it, cannot use that information for another purpose unless, for example, (i) it was received into evidence or (ii) the Court or Tribunal gives permission for that use or (iii) it is remitted by the Tribunal back to the Agency for review under the </w:t>
      </w:r>
      <w:hyperlink r:id="rId5" w:history="1">
        <w:r>
          <w:rPr>
            <w:rStyle w:val="Hyperlink"/>
            <w:i/>
            <w:iCs/>
            <w:color w:val="auto"/>
            <w:sz w:val="18"/>
            <w:szCs w:val="18"/>
          </w:rPr>
          <w:t>Administrative Appeals Tribunal Act 1975</w:t>
        </w:r>
      </w:hyperlink>
      <w:r>
        <w:rPr>
          <w:sz w:val="18"/>
          <w:szCs w:val="18"/>
        </w:rPr>
        <w:t xml:space="preserve"> (Cth). The Tribunal will only release a party from the Harman obligation if there are special circumstances. A breach of the Harman obligation may constitute a criminal offence under section 63 of the </w:t>
      </w:r>
      <w:hyperlink r:id="rId6" w:history="1">
        <w:r>
          <w:rPr>
            <w:rStyle w:val="Hyperlink"/>
            <w:i/>
            <w:iCs/>
            <w:color w:val="auto"/>
            <w:sz w:val="18"/>
            <w:szCs w:val="18"/>
          </w:rPr>
          <w:t>Administrative Appeals Tribunal Act 1975</w:t>
        </w:r>
      </w:hyperlink>
      <w:r>
        <w:rPr>
          <w:sz w:val="18"/>
          <w:szCs w:val="18"/>
        </w:rPr>
        <w:t> (Cth) on the basis it could be the equivalent of a contempt of Court. The Harman obligation continues even after an AAT application has been finalised.</w:t>
      </w:r>
    </w:p>
  </w:footnote>
  <w:footnote w:id="39">
    <w:p w14:paraId="07802898" w14:textId="5817615D" w:rsidR="004B7A8B" w:rsidRPr="00F010A7" w:rsidRDefault="004B7A8B" w:rsidP="00F010A7">
      <w:pPr>
        <w:spacing w:before="0" w:after="0" w:line="240" w:lineRule="auto"/>
        <w:rPr>
          <w:rFonts w:ascii="Calibri" w:eastAsiaTheme="minorHAnsi" w:hAnsi="Calibri"/>
          <w:szCs w:val="22"/>
          <w:lang w:eastAsia="en-US"/>
        </w:rPr>
      </w:pPr>
      <w:r>
        <w:rPr>
          <w:rStyle w:val="FootnoteReference"/>
        </w:rPr>
        <w:footnoteRef/>
      </w:r>
      <w:r>
        <w:t xml:space="preserve"> </w:t>
      </w:r>
      <w:r>
        <w:rPr>
          <w:rFonts w:ascii="Source Sans Pro" w:hAnsi="Source Sans Pro"/>
          <w:color w:val="333333"/>
          <w:sz w:val="29"/>
          <w:szCs w:val="29"/>
          <w:shd w:val="clear" w:color="auto" w:fill="FFFFFF"/>
        </w:rPr>
        <w:t>s</w:t>
      </w:r>
      <w:r>
        <w:rPr>
          <w:sz w:val="18"/>
          <w:szCs w:val="18"/>
        </w:rPr>
        <w:t xml:space="preserve">ee </w:t>
      </w:r>
      <w:hyperlink r:id="rId7" w:history="1">
        <w:r>
          <w:rPr>
            <w:rStyle w:val="Hyperlink"/>
            <w:color w:val="auto"/>
            <w:sz w:val="18"/>
            <w:szCs w:val="18"/>
          </w:rPr>
          <w:t>Part 5</w:t>
        </w:r>
      </w:hyperlink>
      <w:r>
        <w:rPr>
          <w:sz w:val="18"/>
          <w:szCs w:val="18"/>
        </w:rPr>
        <w:t> of the Administrative Appeals Tribunal: </w:t>
      </w:r>
      <w:r>
        <w:rPr>
          <w:i/>
          <w:iCs/>
          <w:sz w:val="18"/>
          <w:szCs w:val="18"/>
        </w:rPr>
        <w:t>General Practice Direction</w:t>
      </w:r>
      <w:r>
        <w:rPr>
          <w:sz w:val="18"/>
          <w:szCs w:val="18"/>
        </w:rPr>
        <w:t> given by the President under </w:t>
      </w:r>
      <w:hyperlink r:id="rId8" w:history="1">
        <w:r>
          <w:rPr>
            <w:rStyle w:val="Hyperlink"/>
            <w:color w:val="auto"/>
            <w:sz w:val="18"/>
            <w:szCs w:val="18"/>
          </w:rPr>
          <w:t>section 18B</w:t>
        </w:r>
      </w:hyperlink>
      <w:r>
        <w:rPr>
          <w:sz w:val="18"/>
          <w:szCs w:val="18"/>
        </w:rPr>
        <w:t> of the </w:t>
      </w:r>
      <w:hyperlink r:id="rId9" w:history="1">
        <w:r>
          <w:rPr>
            <w:rStyle w:val="Hyperlink"/>
            <w:i/>
            <w:iCs/>
            <w:color w:val="auto"/>
            <w:sz w:val="18"/>
            <w:szCs w:val="18"/>
          </w:rPr>
          <w:t>Administrative Appeals Tribunal Act 1975</w:t>
        </w:r>
      </w:hyperlink>
      <w:r>
        <w:rPr>
          <w:sz w:val="18"/>
          <w:szCs w:val="18"/>
        </w:rPr>
        <w:t> (Cth) on 28 February 2019</w:t>
      </w:r>
    </w:p>
  </w:footnote>
  <w:footnote w:id="40">
    <w:p w14:paraId="568FFC9F" w14:textId="6E5D281E" w:rsidR="00481C75" w:rsidRDefault="00481C75">
      <w:pPr>
        <w:pStyle w:val="FootnoteText"/>
      </w:pPr>
      <w:r>
        <w:rPr>
          <w:rStyle w:val="FootnoteReference"/>
        </w:rPr>
        <w:footnoteRef/>
      </w:r>
      <w:r>
        <w:t xml:space="preserve"> Between April and July 2023, independent experts reviewed 68 cases</w:t>
      </w:r>
    </w:p>
  </w:footnote>
  <w:footnote w:id="41">
    <w:p w14:paraId="779D1B37" w14:textId="77777777" w:rsidR="005C121B" w:rsidRPr="007F58A5" w:rsidRDefault="005C121B" w:rsidP="005C121B">
      <w:pPr>
        <w:pStyle w:val="FootnoteText"/>
        <w:rPr>
          <w:sz w:val="18"/>
          <w:szCs w:val="18"/>
        </w:rPr>
      </w:pPr>
      <w:r w:rsidRPr="007F58A5">
        <w:rPr>
          <w:rStyle w:val="FootnoteReference"/>
          <w:sz w:val="18"/>
          <w:szCs w:val="18"/>
        </w:rPr>
        <w:footnoteRef/>
      </w:r>
      <w:r w:rsidRPr="007F58A5">
        <w:rPr>
          <w:sz w:val="18"/>
          <w:szCs w:val="18"/>
        </w:rPr>
        <w:t xml:space="preserve"> Participant consent to share information with the independent expert ends on submission of the recommendation.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23B2" w14:textId="56A6BA6B" w:rsidR="00824C7F" w:rsidRDefault="00824C7F">
    <w:pPr>
      <w:pStyle w:val="Header"/>
    </w:pPr>
    <w:r w:rsidRPr="00081223">
      <w:rPr>
        <w:noProof/>
        <w:color w:val="C00000"/>
        <w:shd w:val="clear" w:color="auto" w:fill="E6E6E6"/>
        <w:lang w:eastAsia="en-AU"/>
      </w:rPr>
      <w:drawing>
        <wp:anchor distT="0" distB="0" distL="114300" distR="114300" simplePos="0" relativeHeight="251658240" behindDoc="1" locked="0" layoutInCell="1" allowOverlap="1" wp14:anchorId="554A7934" wp14:editId="222750C9">
          <wp:simplePos x="0" y="0"/>
          <wp:positionH relativeFrom="column">
            <wp:posOffset>-904875</wp:posOffset>
          </wp:positionH>
          <wp:positionV relativeFrom="paragraph">
            <wp:posOffset>-467360</wp:posOffset>
          </wp:positionV>
          <wp:extent cx="7124700" cy="9840075"/>
          <wp:effectExtent l="0" t="0" r="0" b="8890"/>
          <wp:wrapNone/>
          <wp:docPr id="4" name="Picture 4" title="Purple backgroun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AB96" w14:textId="77777777" w:rsidR="00824C7F" w:rsidRDefault="00824C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691"/>
    <w:multiLevelType w:val="hybridMultilevel"/>
    <w:tmpl w:val="D440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697C1A"/>
    <w:multiLevelType w:val="hybridMultilevel"/>
    <w:tmpl w:val="6D4EA6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72262D"/>
    <w:multiLevelType w:val="hybridMultilevel"/>
    <w:tmpl w:val="D59672B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477C59"/>
    <w:multiLevelType w:val="multilevel"/>
    <w:tmpl w:val="B1FE0C36"/>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decimal"/>
      <w:pStyle w:val="ESheading3"/>
      <w:lvlText w:val="ES%3"/>
      <w:lvlJc w:val="left"/>
      <w:pPr>
        <w:ind w:left="851" w:hanging="851"/>
      </w:pPr>
      <w:rPr>
        <w:rFonts w:hint="default"/>
      </w:rPr>
    </w:lvl>
    <w:lvl w:ilvl="3">
      <w:start w:val="1"/>
      <w:numFmt w:val="none"/>
      <w:pStyle w:val="ESheading4"/>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4BA7834"/>
    <w:multiLevelType w:val="hybridMultilevel"/>
    <w:tmpl w:val="B9CA2D3C"/>
    <w:lvl w:ilvl="0" w:tplc="C5443CF8">
      <w:start w:val="1"/>
      <w:numFmt w:val="decimal"/>
      <w:pStyle w:val="Q1Appendix"/>
      <w:lvlText w:val="Q%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D1404E"/>
    <w:multiLevelType w:val="hybridMultilevel"/>
    <w:tmpl w:val="61FEC17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7D22B31"/>
    <w:multiLevelType w:val="hybridMultilevel"/>
    <w:tmpl w:val="681C8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DE30ED"/>
    <w:multiLevelType w:val="multilevel"/>
    <w:tmpl w:val="A1305BA8"/>
    <w:lvl w:ilvl="0">
      <w:start w:val="1"/>
      <w:numFmt w:val="upperLetter"/>
      <w:pStyle w:val="Appendix1"/>
      <w:lvlText w:val="Appendix %1"/>
      <w:lvlJc w:val="left"/>
      <w:pPr>
        <w:ind w:left="1134" w:hanging="1134"/>
      </w:pPr>
    </w:lvl>
    <w:lvl w:ilvl="1">
      <w:start w:val="1"/>
      <w:numFmt w:val="decimal"/>
      <w:pStyle w:val="Appendix2"/>
      <w:lvlText w:val="%1.%2"/>
      <w:lvlJc w:val="left"/>
      <w:pPr>
        <w:ind w:left="1077" w:hanging="1077"/>
      </w:pPr>
      <w:rPr>
        <w:rFonts w:hint="default"/>
      </w:rPr>
    </w:lvl>
    <w:lvl w:ilvl="2">
      <w:start w:val="1"/>
      <w:numFmt w:val="decimal"/>
      <w:pStyle w:val="Appendix3"/>
      <w:lvlText w:val="%1.%2.%3"/>
      <w:lvlJc w:val="left"/>
      <w:pPr>
        <w:ind w:left="1080" w:hanging="1080"/>
      </w:pPr>
      <w:rPr>
        <w:rFonts w:hint="default"/>
      </w:rPr>
    </w:lvl>
    <w:lvl w:ilvl="3">
      <w:start w:val="1"/>
      <w:numFmt w:val="none"/>
      <w:isLgl/>
      <w:lvlText w:val=""/>
      <w:lvlJc w:val="left"/>
      <w:pPr>
        <w:ind w:left="1440" w:hanging="1080"/>
      </w:pPr>
      <w:rPr>
        <w:rFonts w:hint="default"/>
      </w:rPr>
    </w:lvl>
    <w:lvl w:ilvl="4">
      <w:start w:val="1"/>
      <w:numFmt w:val="none"/>
      <w:lvlText w:val=""/>
      <w:lvlJc w:val="left"/>
      <w:pPr>
        <w:ind w:left="1800" w:hanging="1440"/>
      </w:pPr>
      <w:rPr>
        <w:rFonts w:hint="default"/>
      </w:rPr>
    </w:lvl>
    <w:lvl w:ilvl="5">
      <w:start w:val="1"/>
      <w:numFmt w:val="none"/>
      <w:lvlText w:val=""/>
      <w:lvlJc w:val="left"/>
      <w:pPr>
        <w:ind w:left="1800" w:hanging="1440"/>
      </w:pPr>
      <w:rPr>
        <w:rFonts w:hint="default"/>
      </w:rPr>
    </w:lvl>
    <w:lvl w:ilvl="6">
      <w:start w:val="1"/>
      <w:numFmt w:val="none"/>
      <w:lvlText w:val=""/>
      <w:lvlJc w:val="left"/>
      <w:pPr>
        <w:ind w:left="2160" w:hanging="1800"/>
      </w:pPr>
      <w:rPr>
        <w:rFonts w:hint="default"/>
      </w:rPr>
    </w:lvl>
    <w:lvl w:ilvl="7">
      <w:start w:val="1"/>
      <w:numFmt w:val="none"/>
      <w:lvlText w:val=""/>
      <w:lvlJc w:val="left"/>
      <w:pPr>
        <w:ind w:left="2520" w:hanging="2160"/>
      </w:pPr>
      <w:rPr>
        <w:rFonts w:hint="default"/>
      </w:rPr>
    </w:lvl>
    <w:lvl w:ilvl="8">
      <w:start w:val="1"/>
      <w:numFmt w:val="none"/>
      <w:lvlText w:val=""/>
      <w:lvlJc w:val="left"/>
      <w:pPr>
        <w:ind w:left="2880" w:hanging="2520"/>
      </w:pPr>
      <w:rPr>
        <w:rFonts w:hint="default"/>
      </w:rPr>
    </w:lvl>
  </w:abstractNum>
  <w:abstractNum w:abstractNumId="8" w15:restartNumberingAfterBreak="0">
    <w:nsid w:val="0CC10155"/>
    <w:multiLevelType w:val="multilevel"/>
    <w:tmpl w:val="F5B01E1A"/>
    <w:lvl w:ilvl="0">
      <w:start w:val="1"/>
      <w:numFmt w:val="bullet"/>
      <w:lvlText w:val="□"/>
      <w:lvlJc w:val="left"/>
      <w:pPr>
        <w:ind w:left="0" w:firstLine="0"/>
      </w:pPr>
      <w:rPr>
        <w:rFonts w:ascii="Arial" w:hAnsi="Arial" w:hint="default"/>
        <w:color w:val="000000" w:themeColor="text1"/>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89493D"/>
    <w:multiLevelType w:val="hybridMultilevel"/>
    <w:tmpl w:val="C4E05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BCE577"/>
    <w:multiLevelType w:val="hybridMultilevel"/>
    <w:tmpl w:val="C950ACCE"/>
    <w:lvl w:ilvl="0" w:tplc="D0000FAE">
      <w:start w:val="1"/>
      <w:numFmt w:val="bullet"/>
      <w:lvlText w:val=""/>
      <w:lvlJc w:val="left"/>
      <w:pPr>
        <w:ind w:left="720" w:hanging="360"/>
      </w:pPr>
      <w:rPr>
        <w:rFonts w:ascii="Symbol" w:hAnsi="Symbol" w:hint="default"/>
      </w:rPr>
    </w:lvl>
    <w:lvl w:ilvl="1" w:tplc="F3CED40A">
      <w:start w:val="1"/>
      <w:numFmt w:val="bullet"/>
      <w:lvlText w:val="o"/>
      <w:lvlJc w:val="left"/>
      <w:pPr>
        <w:ind w:left="1440" w:hanging="360"/>
      </w:pPr>
      <w:rPr>
        <w:rFonts w:ascii="Courier New" w:hAnsi="Courier New" w:hint="default"/>
      </w:rPr>
    </w:lvl>
    <w:lvl w:ilvl="2" w:tplc="00089D34">
      <w:start w:val="1"/>
      <w:numFmt w:val="bullet"/>
      <w:lvlText w:val=""/>
      <w:lvlJc w:val="left"/>
      <w:pPr>
        <w:ind w:left="2160" w:hanging="360"/>
      </w:pPr>
      <w:rPr>
        <w:rFonts w:ascii="Wingdings" w:hAnsi="Wingdings" w:hint="default"/>
      </w:rPr>
    </w:lvl>
    <w:lvl w:ilvl="3" w:tplc="77E879B2">
      <w:start w:val="1"/>
      <w:numFmt w:val="bullet"/>
      <w:lvlText w:val=""/>
      <w:lvlJc w:val="left"/>
      <w:pPr>
        <w:ind w:left="2880" w:hanging="360"/>
      </w:pPr>
      <w:rPr>
        <w:rFonts w:ascii="Symbol" w:hAnsi="Symbol" w:hint="default"/>
      </w:rPr>
    </w:lvl>
    <w:lvl w:ilvl="4" w:tplc="3F7E41F2">
      <w:start w:val="1"/>
      <w:numFmt w:val="bullet"/>
      <w:lvlText w:val="o"/>
      <w:lvlJc w:val="left"/>
      <w:pPr>
        <w:ind w:left="3600" w:hanging="360"/>
      </w:pPr>
      <w:rPr>
        <w:rFonts w:ascii="Courier New" w:hAnsi="Courier New" w:hint="default"/>
      </w:rPr>
    </w:lvl>
    <w:lvl w:ilvl="5" w:tplc="31CE38B0">
      <w:start w:val="1"/>
      <w:numFmt w:val="bullet"/>
      <w:lvlText w:val=""/>
      <w:lvlJc w:val="left"/>
      <w:pPr>
        <w:ind w:left="4320" w:hanging="360"/>
      </w:pPr>
      <w:rPr>
        <w:rFonts w:ascii="Wingdings" w:hAnsi="Wingdings" w:hint="default"/>
      </w:rPr>
    </w:lvl>
    <w:lvl w:ilvl="6" w:tplc="08C4BB68">
      <w:start w:val="1"/>
      <w:numFmt w:val="bullet"/>
      <w:lvlText w:val=""/>
      <w:lvlJc w:val="left"/>
      <w:pPr>
        <w:ind w:left="5040" w:hanging="360"/>
      </w:pPr>
      <w:rPr>
        <w:rFonts w:ascii="Symbol" w:hAnsi="Symbol" w:hint="default"/>
      </w:rPr>
    </w:lvl>
    <w:lvl w:ilvl="7" w:tplc="2AF214A2">
      <w:start w:val="1"/>
      <w:numFmt w:val="bullet"/>
      <w:lvlText w:val="o"/>
      <w:lvlJc w:val="left"/>
      <w:pPr>
        <w:ind w:left="5760" w:hanging="360"/>
      </w:pPr>
      <w:rPr>
        <w:rFonts w:ascii="Courier New" w:hAnsi="Courier New" w:hint="default"/>
      </w:rPr>
    </w:lvl>
    <w:lvl w:ilvl="8" w:tplc="EC7CF3FA">
      <w:start w:val="1"/>
      <w:numFmt w:val="bullet"/>
      <w:lvlText w:val=""/>
      <w:lvlJc w:val="left"/>
      <w:pPr>
        <w:ind w:left="6480" w:hanging="360"/>
      </w:pPr>
      <w:rPr>
        <w:rFonts w:ascii="Wingdings" w:hAnsi="Wingdings" w:hint="default"/>
      </w:rPr>
    </w:lvl>
  </w:abstractNum>
  <w:abstractNum w:abstractNumId="11" w15:restartNumberingAfterBreak="0">
    <w:nsid w:val="14BC2DC8"/>
    <w:multiLevelType w:val="hybridMultilevel"/>
    <w:tmpl w:val="94668EAC"/>
    <w:lvl w:ilvl="0" w:tplc="9ADA09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0901AB"/>
    <w:multiLevelType w:val="hybridMultilevel"/>
    <w:tmpl w:val="B1A6D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C61995"/>
    <w:multiLevelType w:val="hybridMultilevel"/>
    <w:tmpl w:val="44F4C60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99D4A3B"/>
    <w:multiLevelType w:val="hybridMultilevel"/>
    <w:tmpl w:val="1D7A4B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BFC4773"/>
    <w:multiLevelType w:val="hybridMultilevel"/>
    <w:tmpl w:val="ABCA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7F65FC"/>
    <w:multiLevelType w:val="hybridMultilevel"/>
    <w:tmpl w:val="9E2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D7370EE"/>
    <w:multiLevelType w:val="hybridMultilevel"/>
    <w:tmpl w:val="3ADA40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1D9477D2"/>
    <w:multiLevelType w:val="hybridMultilevel"/>
    <w:tmpl w:val="12E8C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017B56"/>
    <w:multiLevelType w:val="hybridMultilevel"/>
    <w:tmpl w:val="415CB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A157F3"/>
    <w:multiLevelType w:val="hybridMultilevel"/>
    <w:tmpl w:val="0E8C6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5433BF"/>
    <w:multiLevelType w:val="hybridMultilevel"/>
    <w:tmpl w:val="3ADA40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22862F58"/>
    <w:multiLevelType w:val="hybridMultilevel"/>
    <w:tmpl w:val="874A8DA6"/>
    <w:styleLink w:val="Headings"/>
    <w:lvl w:ilvl="0" w:tplc="A69E63BE">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22D27953"/>
    <w:multiLevelType w:val="hybridMultilevel"/>
    <w:tmpl w:val="59C68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3215DE5"/>
    <w:multiLevelType w:val="hybridMultilevel"/>
    <w:tmpl w:val="E17E57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0351281"/>
    <w:multiLevelType w:val="hybridMultilevel"/>
    <w:tmpl w:val="3F364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210B2F"/>
    <w:multiLevelType w:val="multilevel"/>
    <w:tmpl w:val="5E5EBB80"/>
    <w:lvl w:ilvl="0">
      <w:start w:val="1"/>
      <w:numFmt w:val="decimal"/>
      <w:pStyle w:val="Heading2"/>
      <w:lvlText w:val="%1."/>
      <w:lvlJc w:val="left"/>
      <w:pPr>
        <w:ind w:left="1021" w:hanging="1021"/>
      </w:pPr>
      <w:rPr>
        <w:rFonts w:ascii="Arial" w:hAnsi="Arial" w:hint="default"/>
        <w:b/>
        <w:i w:val="0"/>
        <w:color w:val="6A2875"/>
      </w:rPr>
    </w:lvl>
    <w:lvl w:ilvl="1">
      <w:start w:val="1"/>
      <w:numFmt w:val="decimal"/>
      <w:pStyle w:val="Heading3"/>
      <w:lvlText w:val="%1.%2"/>
      <w:lvlJc w:val="left"/>
      <w:pPr>
        <w:ind w:left="1134" w:hanging="1134"/>
      </w:pPr>
      <w:rPr>
        <w:rFonts w:hint="default"/>
      </w:rPr>
    </w:lvl>
    <w:lvl w:ilvl="2">
      <w:start w:val="1"/>
      <w:numFmt w:val="decimal"/>
      <w:pStyle w:val="Heading4"/>
      <w:lvlText w:val="%1.%2.%3"/>
      <w:lvlJc w:val="left"/>
      <w:pPr>
        <w:ind w:left="1418" w:hanging="1134"/>
      </w:pPr>
    </w:lvl>
    <w:lvl w:ilvl="3">
      <w:start w:val="1"/>
      <w:numFmt w:val="none"/>
      <w:pStyle w:val="Heading5"/>
      <w:isLgl/>
      <w:lvlText w:val=""/>
      <w:lvlJc w:val="left"/>
      <w:pPr>
        <w:ind w:left="0" w:firstLine="0"/>
      </w:pPr>
      <w:rPr>
        <w:rFonts w:hint="default"/>
      </w:rPr>
    </w:lvl>
    <w:lvl w:ilvl="4">
      <w:start w:val="1"/>
      <w:numFmt w:val="none"/>
      <w:pStyle w:val="Heading6"/>
      <w:lvlText w:val=""/>
      <w:lvlJc w:val="left"/>
      <w:pPr>
        <w:ind w:left="0" w:firstLine="0"/>
      </w:pPr>
      <w:rPr>
        <w:rFonts w:hint="default"/>
      </w:rPr>
    </w:lvl>
    <w:lvl w:ilvl="5">
      <w:start w:val="1"/>
      <w:numFmt w:val="none"/>
      <w:lvlText w:val=""/>
      <w:lvlJc w:val="left"/>
      <w:pPr>
        <w:ind w:left="1021" w:hanging="1021"/>
      </w:pPr>
      <w:rPr>
        <w:rFonts w:hint="default"/>
      </w:rPr>
    </w:lvl>
    <w:lvl w:ilvl="6">
      <w:start w:val="1"/>
      <w:numFmt w:val="none"/>
      <w:lvlText w:val=""/>
      <w:lvlJc w:val="left"/>
      <w:pPr>
        <w:ind w:left="1021" w:hanging="1021"/>
      </w:pPr>
      <w:rPr>
        <w:rFonts w:hint="default"/>
      </w:rPr>
    </w:lvl>
    <w:lvl w:ilvl="7">
      <w:start w:val="1"/>
      <w:numFmt w:val="none"/>
      <w:lvlText w:val=""/>
      <w:lvlJc w:val="left"/>
      <w:pPr>
        <w:ind w:left="1021" w:hanging="1021"/>
      </w:pPr>
      <w:rPr>
        <w:rFonts w:hint="default"/>
      </w:rPr>
    </w:lvl>
    <w:lvl w:ilvl="8">
      <w:start w:val="1"/>
      <w:numFmt w:val="none"/>
      <w:lvlText w:val=""/>
      <w:lvlJc w:val="left"/>
      <w:pPr>
        <w:ind w:left="1021" w:hanging="1021"/>
      </w:pPr>
      <w:rPr>
        <w:rFonts w:hint="default"/>
      </w:rPr>
    </w:lvl>
  </w:abstractNum>
  <w:abstractNum w:abstractNumId="28" w15:restartNumberingAfterBreak="0">
    <w:nsid w:val="38EF7477"/>
    <w:multiLevelType w:val="hybridMultilevel"/>
    <w:tmpl w:val="546ACCD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9F07290"/>
    <w:multiLevelType w:val="hybridMultilevel"/>
    <w:tmpl w:val="B6F09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B1B3E0E"/>
    <w:multiLevelType w:val="hybridMultilevel"/>
    <w:tmpl w:val="2EAA863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3BAD176E"/>
    <w:multiLevelType w:val="hybridMultilevel"/>
    <w:tmpl w:val="29E21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F3A51F6"/>
    <w:multiLevelType w:val="hybridMultilevel"/>
    <w:tmpl w:val="E7DA1F9C"/>
    <w:lvl w:ilvl="0" w:tplc="09149038">
      <w:start w:val="1"/>
      <w:numFmt w:val="decimal"/>
      <w:pStyle w:val="Appendixheading4"/>
      <w:lvlText w:val="G.1.%1"/>
      <w:lvlJc w:val="left"/>
      <w:pPr>
        <w:ind w:left="50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11A4AEF"/>
    <w:multiLevelType w:val="hybridMultilevel"/>
    <w:tmpl w:val="DF464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522C72"/>
    <w:multiLevelType w:val="hybridMultilevel"/>
    <w:tmpl w:val="80826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3776283"/>
    <w:multiLevelType w:val="hybridMultilevel"/>
    <w:tmpl w:val="3E20E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4215972"/>
    <w:multiLevelType w:val="hybridMultilevel"/>
    <w:tmpl w:val="9838085A"/>
    <w:lvl w:ilvl="0" w:tplc="F050EA9C">
      <w:start w:val="1"/>
      <w:numFmt w:val="decimal"/>
      <w:pStyle w:val="H4Numbers"/>
      <w:lvlText w:val="%1."/>
      <w:lvlJc w:val="left"/>
      <w:pPr>
        <w:ind w:left="6598" w:hanging="360"/>
      </w:pPr>
      <w:rPr>
        <w:b/>
        <w:sz w:val="24"/>
        <w:szCs w:val="24"/>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7" w15:restartNumberingAfterBreak="0">
    <w:nsid w:val="4826D630"/>
    <w:multiLevelType w:val="hybridMultilevel"/>
    <w:tmpl w:val="9C7A903C"/>
    <w:lvl w:ilvl="0" w:tplc="D4207022">
      <w:start w:val="1"/>
      <w:numFmt w:val="bullet"/>
      <w:lvlText w:val=""/>
      <w:lvlJc w:val="left"/>
      <w:pPr>
        <w:ind w:left="720" w:hanging="360"/>
      </w:pPr>
      <w:rPr>
        <w:rFonts w:ascii="Symbol" w:hAnsi="Symbol" w:hint="default"/>
      </w:rPr>
    </w:lvl>
    <w:lvl w:ilvl="1" w:tplc="65E2FD32">
      <w:start w:val="1"/>
      <w:numFmt w:val="bullet"/>
      <w:lvlText w:val="o"/>
      <w:lvlJc w:val="left"/>
      <w:pPr>
        <w:ind w:left="1440" w:hanging="360"/>
      </w:pPr>
      <w:rPr>
        <w:rFonts w:ascii="Courier New" w:hAnsi="Courier New" w:hint="default"/>
      </w:rPr>
    </w:lvl>
    <w:lvl w:ilvl="2" w:tplc="EBFCE924">
      <w:start w:val="1"/>
      <w:numFmt w:val="bullet"/>
      <w:lvlText w:val=""/>
      <w:lvlJc w:val="left"/>
      <w:pPr>
        <w:ind w:left="2160" w:hanging="360"/>
      </w:pPr>
      <w:rPr>
        <w:rFonts w:ascii="Wingdings" w:hAnsi="Wingdings" w:hint="default"/>
      </w:rPr>
    </w:lvl>
    <w:lvl w:ilvl="3" w:tplc="95382822">
      <w:start w:val="1"/>
      <w:numFmt w:val="bullet"/>
      <w:lvlText w:val=""/>
      <w:lvlJc w:val="left"/>
      <w:pPr>
        <w:ind w:left="2880" w:hanging="360"/>
      </w:pPr>
      <w:rPr>
        <w:rFonts w:ascii="Symbol" w:hAnsi="Symbol" w:hint="default"/>
      </w:rPr>
    </w:lvl>
    <w:lvl w:ilvl="4" w:tplc="E67E0254">
      <w:start w:val="1"/>
      <w:numFmt w:val="bullet"/>
      <w:lvlText w:val="o"/>
      <w:lvlJc w:val="left"/>
      <w:pPr>
        <w:ind w:left="3600" w:hanging="360"/>
      </w:pPr>
      <w:rPr>
        <w:rFonts w:ascii="Courier New" w:hAnsi="Courier New" w:hint="default"/>
      </w:rPr>
    </w:lvl>
    <w:lvl w:ilvl="5" w:tplc="BB8672E2">
      <w:start w:val="1"/>
      <w:numFmt w:val="bullet"/>
      <w:lvlText w:val=""/>
      <w:lvlJc w:val="left"/>
      <w:pPr>
        <w:ind w:left="4320" w:hanging="360"/>
      </w:pPr>
      <w:rPr>
        <w:rFonts w:ascii="Wingdings" w:hAnsi="Wingdings" w:hint="default"/>
      </w:rPr>
    </w:lvl>
    <w:lvl w:ilvl="6" w:tplc="D58026F4">
      <w:start w:val="1"/>
      <w:numFmt w:val="bullet"/>
      <w:lvlText w:val=""/>
      <w:lvlJc w:val="left"/>
      <w:pPr>
        <w:ind w:left="5040" w:hanging="360"/>
      </w:pPr>
      <w:rPr>
        <w:rFonts w:ascii="Symbol" w:hAnsi="Symbol" w:hint="default"/>
      </w:rPr>
    </w:lvl>
    <w:lvl w:ilvl="7" w:tplc="E376B920">
      <w:start w:val="1"/>
      <w:numFmt w:val="bullet"/>
      <w:lvlText w:val="o"/>
      <w:lvlJc w:val="left"/>
      <w:pPr>
        <w:ind w:left="5760" w:hanging="360"/>
      </w:pPr>
      <w:rPr>
        <w:rFonts w:ascii="Courier New" w:hAnsi="Courier New" w:hint="default"/>
      </w:rPr>
    </w:lvl>
    <w:lvl w:ilvl="8" w:tplc="8478669A">
      <w:start w:val="1"/>
      <w:numFmt w:val="bullet"/>
      <w:lvlText w:val=""/>
      <w:lvlJc w:val="left"/>
      <w:pPr>
        <w:ind w:left="6480" w:hanging="360"/>
      </w:pPr>
      <w:rPr>
        <w:rFonts w:ascii="Wingdings" w:hAnsi="Wingdings" w:hint="default"/>
      </w:rPr>
    </w:lvl>
  </w:abstractNum>
  <w:abstractNum w:abstractNumId="38" w15:restartNumberingAfterBreak="0">
    <w:nsid w:val="4A1133C7"/>
    <w:multiLevelType w:val="hybridMultilevel"/>
    <w:tmpl w:val="DB4C8E4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0C090001">
      <w:start w:val="1"/>
      <w:numFmt w:val="bullet"/>
      <w:lvlText w:val=""/>
      <w:lvlJc w:val="left"/>
      <w:pPr>
        <w:ind w:left="720" w:hanging="360"/>
      </w:pPr>
      <w:rPr>
        <w:rFonts w:ascii="Symbol" w:hAnsi="Symbol"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3BC1006"/>
    <w:multiLevelType w:val="multilevel"/>
    <w:tmpl w:val="D1568312"/>
    <w:lvl w:ilvl="0">
      <w:start w:val="1"/>
      <w:numFmt w:val="decimal"/>
      <w:pStyle w:val="CEOBrief-Heading1"/>
      <w:lvlText w:val="%1."/>
      <w:lvlJc w:val="left"/>
      <w:pPr>
        <w:ind w:left="360" w:hanging="360"/>
      </w:pPr>
    </w:lvl>
    <w:lvl w:ilvl="1">
      <w:start w:val="1"/>
      <w:numFmt w:val="decimal"/>
      <w:pStyle w:val="CEOBrief-Paragraph1"/>
      <w:lvlText w:val="%1.%2."/>
      <w:lvlJc w:val="left"/>
      <w:pPr>
        <w:ind w:left="2559" w:hanging="432"/>
      </w:pPr>
      <w:rPr>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5B6680B"/>
    <w:multiLevelType w:val="hybridMultilevel"/>
    <w:tmpl w:val="5D9A62BA"/>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41" w15:restartNumberingAfterBreak="0">
    <w:nsid w:val="58AA4A83"/>
    <w:multiLevelType w:val="hybridMultilevel"/>
    <w:tmpl w:val="F9946CF6"/>
    <w:lvl w:ilvl="0" w:tplc="926A83AA">
      <w:start w:val="1"/>
      <w:numFmt w:val="bullet"/>
      <w:pStyle w:val="HeadingH6Ne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0934F0"/>
    <w:multiLevelType w:val="hybridMultilevel"/>
    <w:tmpl w:val="1FD459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0FA2AEE"/>
    <w:multiLevelType w:val="hybridMultilevel"/>
    <w:tmpl w:val="7BA4AB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77124ADE">
      <w:start w:val="1"/>
      <w:numFmt w:val="decimal"/>
      <w:lvlText w:val="%7."/>
      <w:lvlJc w:val="left"/>
      <w:pPr>
        <w:ind w:left="502" w:hanging="360"/>
      </w:pPr>
      <w:rPr>
        <w:color w:val="auto"/>
      </w:r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2FC3647"/>
    <w:multiLevelType w:val="hybridMultilevel"/>
    <w:tmpl w:val="E620E7B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65164EEA"/>
    <w:multiLevelType w:val="hybridMultilevel"/>
    <w:tmpl w:val="AA32B6A0"/>
    <w:lvl w:ilvl="0" w:tplc="98880496">
      <w:start w:val="1"/>
      <w:numFmt w:val="bullet"/>
      <w:pStyle w:val="ListParagraph"/>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56D5A57"/>
    <w:multiLevelType w:val="hybridMultilevel"/>
    <w:tmpl w:val="0F5697D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8041D78"/>
    <w:multiLevelType w:val="hybridMultilevel"/>
    <w:tmpl w:val="69DEE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9E4B7A"/>
    <w:multiLevelType w:val="hybridMultilevel"/>
    <w:tmpl w:val="7EFC0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A160E24"/>
    <w:multiLevelType w:val="hybridMultilevel"/>
    <w:tmpl w:val="7960B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2173BC0"/>
    <w:multiLevelType w:val="hybridMultilevel"/>
    <w:tmpl w:val="F7F623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6B383E"/>
    <w:multiLevelType w:val="hybridMultilevel"/>
    <w:tmpl w:val="AF5C0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534EB49"/>
    <w:multiLevelType w:val="hybridMultilevel"/>
    <w:tmpl w:val="3E3CDFD8"/>
    <w:lvl w:ilvl="0" w:tplc="F802FD56">
      <w:start w:val="1"/>
      <w:numFmt w:val="bullet"/>
      <w:lvlText w:val=""/>
      <w:lvlJc w:val="left"/>
      <w:pPr>
        <w:ind w:left="720" w:hanging="360"/>
      </w:pPr>
      <w:rPr>
        <w:rFonts w:ascii="Symbol" w:hAnsi="Symbol" w:hint="default"/>
      </w:rPr>
    </w:lvl>
    <w:lvl w:ilvl="1" w:tplc="68DAE176">
      <w:start w:val="1"/>
      <w:numFmt w:val="bullet"/>
      <w:lvlText w:val="o"/>
      <w:lvlJc w:val="left"/>
      <w:pPr>
        <w:ind w:left="1440" w:hanging="360"/>
      </w:pPr>
      <w:rPr>
        <w:rFonts w:ascii="Courier New" w:hAnsi="Courier New" w:hint="default"/>
      </w:rPr>
    </w:lvl>
    <w:lvl w:ilvl="2" w:tplc="1A0A397E">
      <w:start w:val="1"/>
      <w:numFmt w:val="bullet"/>
      <w:lvlText w:val=""/>
      <w:lvlJc w:val="left"/>
      <w:pPr>
        <w:ind w:left="2160" w:hanging="360"/>
      </w:pPr>
      <w:rPr>
        <w:rFonts w:ascii="Wingdings" w:hAnsi="Wingdings" w:hint="default"/>
      </w:rPr>
    </w:lvl>
    <w:lvl w:ilvl="3" w:tplc="F486646C">
      <w:start w:val="1"/>
      <w:numFmt w:val="bullet"/>
      <w:lvlText w:val=""/>
      <w:lvlJc w:val="left"/>
      <w:pPr>
        <w:ind w:left="2880" w:hanging="360"/>
      </w:pPr>
      <w:rPr>
        <w:rFonts w:ascii="Symbol" w:hAnsi="Symbol" w:hint="default"/>
      </w:rPr>
    </w:lvl>
    <w:lvl w:ilvl="4" w:tplc="12BAB7D0">
      <w:start w:val="1"/>
      <w:numFmt w:val="bullet"/>
      <w:lvlText w:val="o"/>
      <w:lvlJc w:val="left"/>
      <w:pPr>
        <w:ind w:left="3600" w:hanging="360"/>
      </w:pPr>
      <w:rPr>
        <w:rFonts w:ascii="Courier New" w:hAnsi="Courier New" w:hint="default"/>
      </w:rPr>
    </w:lvl>
    <w:lvl w:ilvl="5" w:tplc="4E4E6AEA">
      <w:start w:val="1"/>
      <w:numFmt w:val="bullet"/>
      <w:lvlText w:val=""/>
      <w:lvlJc w:val="left"/>
      <w:pPr>
        <w:ind w:left="4320" w:hanging="360"/>
      </w:pPr>
      <w:rPr>
        <w:rFonts w:ascii="Wingdings" w:hAnsi="Wingdings" w:hint="default"/>
      </w:rPr>
    </w:lvl>
    <w:lvl w:ilvl="6" w:tplc="283047FA">
      <w:start w:val="1"/>
      <w:numFmt w:val="bullet"/>
      <w:lvlText w:val=""/>
      <w:lvlJc w:val="left"/>
      <w:pPr>
        <w:ind w:left="5040" w:hanging="360"/>
      </w:pPr>
      <w:rPr>
        <w:rFonts w:ascii="Symbol" w:hAnsi="Symbol" w:hint="default"/>
      </w:rPr>
    </w:lvl>
    <w:lvl w:ilvl="7" w:tplc="C56E8E08">
      <w:start w:val="1"/>
      <w:numFmt w:val="bullet"/>
      <w:lvlText w:val="o"/>
      <w:lvlJc w:val="left"/>
      <w:pPr>
        <w:ind w:left="5760" w:hanging="360"/>
      </w:pPr>
      <w:rPr>
        <w:rFonts w:ascii="Courier New" w:hAnsi="Courier New" w:hint="default"/>
      </w:rPr>
    </w:lvl>
    <w:lvl w:ilvl="8" w:tplc="3E70B768">
      <w:start w:val="1"/>
      <w:numFmt w:val="bullet"/>
      <w:lvlText w:val=""/>
      <w:lvlJc w:val="left"/>
      <w:pPr>
        <w:ind w:left="6480" w:hanging="360"/>
      </w:pPr>
      <w:rPr>
        <w:rFonts w:ascii="Wingdings" w:hAnsi="Wingdings" w:hint="default"/>
      </w:rPr>
    </w:lvl>
  </w:abstractNum>
  <w:abstractNum w:abstractNumId="53" w15:restartNumberingAfterBreak="0">
    <w:nsid w:val="7DA15CB3"/>
    <w:multiLevelType w:val="hybridMultilevel"/>
    <w:tmpl w:val="1DC6B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A57E6C"/>
    <w:multiLevelType w:val="hybridMultilevel"/>
    <w:tmpl w:val="CFA2114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55" w15:restartNumberingAfterBreak="0">
    <w:nsid w:val="7E2523AC"/>
    <w:multiLevelType w:val="hybridMultilevel"/>
    <w:tmpl w:val="49DCF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2D63F0"/>
    <w:multiLevelType w:val="hybridMultilevel"/>
    <w:tmpl w:val="CFE2BD28"/>
    <w:lvl w:ilvl="0" w:tplc="3A94BA64">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378469">
    <w:abstractNumId w:val="26"/>
  </w:num>
  <w:num w:numId="2" w16cid:durableId="1378505519">
    <w:abstractNumId w:val="7"/>
  </w:num>
  <w:num w:numId="3" w16cid:durableId="1005133331">
    <w:abstractNumId w:val="45"/>
  </w:num>
  <w:num w:numId="4" w16cid:durableId="1089885683">
    <w:abstractNumId w:val="54"/>
  </w:num>
  <w:num w:numId="5" w16cid:durableId="938676941">
    <w:abstractNumId w:val="56"/>
  </w:num>
  <w:num w:numId="6" w16cid:durableId="1221552591">
    <w:abstractNumId w:val="3"/>
  </w:num>
  <w:num w:numId="7" w16cid:durableId="10791823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06753">
    <w:abstractNumId w:val="51"/>
  </w:num>
  <w:num w:numId="9" w16cid:durableId="1369375747">
    <w:abstractNumId w:val="27"/>
  </w:num>
  <w:num w:numId="10" w16cid:durableId="1671837241">
    <w:abstractNumId w:val="40"/>
  </w:num>
  <w:num w:numId="11" w16cid:durableId="1401758347">
    <w:abstractNumId w:val="22"/>
  </w:num>
  <w:num w:numId="12" w16cid:durableId="1965303961">
    <w:abstractNumId w:val="44"/>
  </w:num>
  <w:num w:numId="13" w16cid:durableId="1555043245">
    <w:abstractNumId w:val="9"/>
  </w:num>
  <w:num w:numId="14" w16cid:durableId="2001956570">
    <w:abstractNumId w:val="53"/>
  </w:num>
  <w:num w:numId="15" w16cid:durableId="753402908">
    <w:abstractNumId w:val="42"/>
  </w:num>
  <w:num w:numId="16" w16cid:durableId="217741653">
    <w:abstractNumId w:val="46"/>
  </w:num>
  <w:num w:numId="17" w16cid:durableId="1073311344">
    <w:abstractNumId w:val="1"/>
  </w:num>
  <w:num w:numId="18" w16cid:durableId="2080246610">
    <w:abstractNumId w:val="6"/>
  </w:num>
  <w:num w:numId="19" w16cid:durableId="1167817662">
    <w:abstractNumId w:val="0"/>
  </w:num>
  <w:num w:numId="20" w16cid:durableId="2016878770">
    <w:abstractNumId w:val="49"/>
  </w:num>
  <w:num w:numId="21" w16cid:durableId="1063992381">
    <w:abstractNumId w:val="23"/>
  </w:num>
  <w:num w:numId="22" w16cid:durableId="1075589978">
    <w:abstractNumId w:val="12"/>
  </w:num>
  <w:num w:numId="23" w16cid:durableId="1285890276">
    <w:abstractNumId w:val="29"/>
  </w:num>
  <w:num w:numId="24" w16cid:durableId="1313367868">
    <w:abstractNumId w:val="10"/>
  </w:num>
  <w:num w:numId="25" w16cid:durableId="649865105">
    <w:abstractNumId w:val="14"/>
  </w:num>
  <w:num w:numId="26" w16cid:durableId="1380131127">
    <w:abstractNumId w:val="36"/>
  </w:num>
  <w:num w:numId="27" w16cid:durableId="1735541291">
    <w:abstractNumId w:val="8"/>
  </w:num>
  <w:num w:numId="28" w16cid:durableId="876358385">
    <w:abstractNumId w:val="52"/>
  </w:num>
  <w:num w:numId="29" w16cid:durableId="476534520">
    <w:abstractNumId w:val="4"/>
  </w:num>
  <w:num w:numId="30" w16cid:durableId="849560406">
    <w:abstractNumId w:val="37"/>
  </w:num>
  <w:num w:numId="31" w16cid:durableId="892422713">
    <w:abstractNumId w:val="11"/>
  </w:num>
  <w:num w:numId="32" w16cid:durableId="1679770076">
    <w:abstractNumId w:val="30"/>
  </w:num>
  <w:num w:numId="33" w16cid:durableId="1744528865">
    <w:abstractNumId w:val="28"/>
  </w:num>
  <w:num w:numId="34" w16cid:durableId="1137336022">
    <w:abstractNumId w:val="13"/>
  </w:num>
  <w:num w:numId="35" w16cid:durableId="1198852287">
    <w:abstractNumId w:val="33"/>
  </w:num>
  <w:num w:numId="36" w16cid:durableId="570972143">
    <w:abstractNumId w:val="25"/>
  </w:num>
  <w:num w:numId="37" w16cid:durableId="1360934280">
    <w:abstractNumId w:val="2"/>
  </w:num>
  <w:num w:numId="38" w16cid:durableId="1846283094">
    <w:abstractNumId w:val="55"/>
  </w:num>
  <w:num w:numId="39" w16cid:durableId="870264496">
    <w:abstractNumId w:val="18"/>
  </w:num>
  <w:num w:numId="40" w16cid:durableId="1442455742">
    <w:abstractNumId w:val="43"/>
  </w:num>
  <w:num w:numId="41" w16cid:durableId="1063407956">
    <w:abstractNumId w:val="41"/>
  </w:num>
  <w:num w:numId="42" w16cid:durableId="1191526877">
    <w:abstractNumId w:val="5"/>
  </w:num>
  <w:num w:numId="43" w16cid:durableId="420444749">
    <w:abstractNumId w:val="20"/>
  </w:num>
  <w:num w:numId="44" w16cid:durableId="1465852303">
    <w:abstractNumId w:val="15"/>
  </w:num>
  <w:num w:numId="45" w16cid:durableId="592667281">
    <w:abstractNumId w:val="24"/>
  </w:num>
  <w:num w:numId="46" w16cid:durableId="344672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116300">
    <w:abstractNumId w:val="50"/>
  </w:num>
  <w:num w:numId="48" w16cid:durableId="1734233051">
    <w:abstractNumId w:val="21"/>
  </w:num>
  <w:num w:numId="49" w16cid:durableId="1250889712">
    <w:abstractNumId w:val="19"/>
  </w:num>
  <w:num w:numId="50" w16cid:durableId="852691521">
    <w:abstractNumId w:val="47"/>
  </w:num>
  <w:num w:numId="51" w16cid:durableId="1684822591">
    <w:abstractNumId w:val="38"/>
  </w:num>
  <w:num w:numId="52" w16cid:durableId="1954828053">
    <w:abstractNumId w:val="34"/>
  </w:num>
  <w:num w:numId="53" w16cid:durableId="1431702102">
    <w:abstractNumId w:val="31"/>
  </w:num>
  <w:num w:numId="54" w16cid:durableId="133180458">
    <w:abstractNumId w:val="48"/>
  </w:num>
  <w:num w:numId="55" w16cid:durableId="45841267">
    <w:abstractNumId w:val="32"/>
  </w:num>
  <w:num w:numId="56" w16cid:durableId="885602779">
    <w:abstractNumId w:val="35"/>
  </w:num>
  <w:num w:numId="57" w16cid:durableId="523403162">
    <w:abstractNumId w:val="16"/>
  </w:num>
  <w:num w:numId="58" w16cid:durableId="245654114">
    <w:abstractNumId w:val="39"/>
  </w:num>
  <w:num w:numId="59" w16cid:durableId="1766877594">
    <w:abstractNumId w:val="4"/>
    <w:lvlOverride w:ilvl="0">
      <w:startOverride w:val="1"/>
    </w:lvlOverride>
  </w:num>
  <w:num w:numId="60" w16cid:durableId="1751922192">
    <w:abstractNumId w:val="4"/>
    <w:lvlOverride w:ilvl="0">
      <w:startOverride w:val="1"/>
    </w:lvlOverride>
  </w:num>
  <w:num w:numId="61" w16cid:durableId="1843277847">
    <w:abstractNumId w:val="36"/>
  </w:num>
  <w:num w:numId="62" w16cid:durableId="1887519770">
    <w:abstractNumId w:val="36"/>
  </w:num>
  <w:num w:numId="63" w16cid:durableId="2023162164">
    <w:abstractNumId w:val="36"/>
  </w:num>
  <w:num w:numId="64" w16cid:durableId="1888957228">
    <w:abstractNumId w:val="36"/>
  </w:num>
  <w:num w:numId="65" w16cid:durableId="1573737637">
    <w:abstractNumId w:val="36"/>
  </w:num>
  <w:num w:numId="66" w16cid:durableId="1450005605">
    <w:abstractNumId w:val="36"/>
  </w:num>
  <w:num w:numId="67" w16cid:durableId="1728413239">
    <w:abstractNumId w:val="36"/>
  </w:num>
  <w:num w:numId="68" w16cid:durableId="50731936">
    <w:abstractNumId w:val="36"/>
  </w:num>
  <w:num w:numId="69" w16cid:durableId="304967190">
    <w:abstractNumId w:val="3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06"/>
    <w:rsid w:val="0000006B"/>
    <w:rsid w:val="000000A8"/>
    <w:rsid w:val="00000149"/>
    <w:rsid w:val="0000022B"/>
    <w:rsid w:val="0000043B"/>
    <w:rsid w:val="000004A2"/>
    <w:rsid w:val="0000054B"/>
    <w:rsid w:val="0000057F"/>
    <w:rsid w:val="00000826"/>
    <w:rsid w:val="0000096A"/>
    <w:rsid w:val="00000A5C"/>
    <w:rsid w:val="00000A84"/>
    <w:rsid w:val="00000D92"/>
    <w:rsid w:val="00000F70"/>
    <w:rsid w:val="00000F77"/>
    <w:rsid w:val="0000106B"/>
    <w:rsid w:val="000011BC"/>
    <w:rsid w:val="0000153A"/>
    <w:rsid w:val="0000168D"/>
    <w:rsid w:val="0000177A"/>
    <w:rsid w:val="000017C3"/>
    <w:rsid w:val="000018BC"/>
    <w:rsid w:val="000018E4"/>
    <w:rsid w:val="00001929"/>
    <w:rsid w:val="00001991"/>
    <w:rsid w:val="00001ADE"/>
    <w:rsid w:val="00001B19"/>
    <w:rsid w:val="00001B69"/>
    <w:rsid w:val="00001CAC"/>
    <w:rsid w:val="00001D02"/>
    <w:rsid w:val="00001D32"/>
    <w:rsid w:val="00001D40"/>
    <w:rsid w:val="00001DDD"/>
    <w:rsid w:val="00001DFD"/>
    <w:rsid w:val="00001E48"/>
    <w:rsid w:val="00001ED9"/>
    <w:rsid w:val="00001F5B"/>
    <w:rsid w:val="00001F89"/>
    <w:rsid w:val="000020B4"/>
    <w:rsid w:val="000020D6"/>
    <w:rsid w:val="000020F6"/>
    <w:rsid w:val="000021A0"/>
    <w:rsid w:val="000021A5"/>
    <w:rsid w:val="0000233B"/>
    <w:rsid w:val="000023B7"/>
    <w:rsid w:val="00002409"/>
    <w:rsid w:val="0000248B"/>
    <w:rsid w:val="0000260A"/>
    <w:rsid w:val="000027D6"/>
    <w:rsid w:val="00002949"/>
    <w:rsid w:val="00002ACC"/>
    <w:rsid w:val="00002AFD"/>
    <w:rsid w:val="00002BE5"/>
    <w:rsid w:val="00002C00"/>
    <w:rsid w:val="00002DD9"/>
    <w:rsid w:val="00002EA5"/>
    <w:rsid w:val="00002F13"/>
    <w:rsid w:val="00002F5A"/>
    <w:rsid w:val="000030E2"/>
    <w:rsid w:val="000030E7"/>
    <w:rsid w:val="0000318F"/>
    <w:rsid w:val="000031C4"/>
    <w:rsid w:val="0000329E"/>
    <w:rsid w:val="0000336E"/>
    <w:rsid w:val="00003499"/>
    <w:rsid w:val="00003541"/>
    <w:rsid w:val="000035D4"/>
    <w:rsid w:val="000036B8"/>
    <w:rsid w:val="000037C7"/>
    <w:rsid w:val="000039CE"/>
    <w:rsid w:val="00003A32"/>
    <w:rsid w:val="00003AD0"/>
    <w:rsid w:val="00003B4A"/>
    <w:rsid w:val="00003C3E"/>
    <w:rsid w:val="00003CFE"/>
    <w:rsid w:val="00003D0F"/>
    <w:rsid w:val="00003D85"/>
    <w:rsid w:val="00003F37"/>
    <w:rsid w:val="00003FEE"/>
    <w:rsid w:val="000041ED"/>
    <w:rsid w:val="00004259"/>
    <w:rsid w:val="0000433E"/>
    <w:rsid w:val="00004348"/>
    <w:rsid w:val="0000439D"/>
    <w:rsid w:val="00004434"/>
    <w:rsid w:val="0000449E"/>
    <w:rsid w:val="0000460D"/>
    <w:rsid w:val="0000462B"/>
    <w:rsid w:val="0000470C"/>
    <w:rsid w:val="0000477D"/>
    <w:rsid w:val="00004787"/>
    <w:rsid w:val="000047A2"/>
    <w:rsid w:val="00004802"/>
    <w:rsid w:val="00004883"/>
    <w:rsid w:val="0000491E"/>
    <w:rsid w:val="000049B6"/>
    <w:rsid w:val="00004B5D"/>
    <w:rsid w:val="00004B9A"/>
    <w:rsid w:val="00004C57"/>
    <w:rsid w:val="00004C6D"/>
    <w:rsid w:val="00004D17"/>
    <w:rsid w:val="00004D4D"/>
    <w:rsid w:val="00004D56"/>
    <w:rsid w:val="00004D92"/>
    <w:rsid w:val="00004E75"/>
    <w:rsid w:val="00004F38"/>
    <w:rsid w:val="00004F41"/>
    <w:rsid w:val="00004FC9"/>
    <w:rsid w:val="000051F9"/>
    <w:rsid w:val="0000522C"/>
    <w:rsid w:val="00005344"/>
    <w:rsid w:val="000053D3"/>
    <w:rsid w:val="0000547D"/>
    <w:rsid w:val="000054C2"/>
    <w:rsid w:val="00005538"/>
    <w:rsid w:val="000055BF"/>
    <w:rsid w:val="0000576C"/>
    <w:rsid w:val="000058D1"/>
    <w:rsid w:val="000058EA"/>
    <w:rsid w:val="00005A1B"/>
    <w:rsid w:val="00005BC1"/>
    <w:rsid w:val="00005BFB"/>
    <w:rsid w:val="00005C7D"/>
    <w:rsid w:val="00005F23"/>
    <w:rsid w:val="00005F25"/>
    <w:rsid w:val="00005F58"/>
    <w:rsid w:val="000060A2"/>
    <w:rsid w:val="000060B5"/>
    <w:rsid w:val="00006149"/>
    <w:rsid w:val="000064A0"/>
    <w:rsid w:val="00006550"/>
    <w:rsid w:val="0000655C"/>
    <w:rsid w:val="0000670B"/>
    <w:rsid w:val="0000673B"/>
    <w:rsid w:val="0000676E"/>
    <w:rsid w:val="00006897"/>
    <w:rsid w:val="00006921"/>
    <w:rsid w:val="00006CAC"/>
    <w:rsid w:val="00006CF3"/>
    <w:rsid w:val="00006E39"/>
    <w:rsid w:val="00006EDA"/>
    <w:rsid w:val="00006F79"/>
    <w:rsid w:val="0000757A"/>
    <w:rsid w:val="000075B0"/>
    <w:rsid w:val="000075D8"/>
    <w:rsid w:val="00007609"/>
    <w:rsid w:val="000076CC"/>
    <w:rsid w:val="00007777"/>
    <w:rsid w:val="00007818"/>
    <w:rsid w:val="000078BD"/>
    <w:rsid w:val="00007904"/>
    <w:rsid w:val="00007946"/>
    <w:rsid w:val="0000799E"/>
    <w:rsid w:val="00007A0F"/>
    <w:rsid w:val="00007ACE"/>
    <w:rsid w:val="00007BC3"/>
    <w:rsid w:val="00007DDC"/>
    <w:rsid w:val="00007E65"/>
    <w:rsid w:val="00007EC3"/>
    <w:rsid w:val="00007F66"/>
    <w:rsid w:val="00007FCC"/>
    <w:rsid w:val="00007FEE"/>
    <w:rsid w:val="000100A3"/>
    <w:rsid w:val="000101C3"/>
    <w:rsid w:val="000101EB"/>
    <w:rsid w:val="000102B6"/>
    <w:rsid w:val="0001071E"/>
    <w:rsid w:val="00010720"/>
    <w:rsid w:val="0001078B"/>
    <w:rsid w:val="00010AC7"/>
    <w:rsid w:val="00010BAB"/>
    <w:rsid w:val="00010C0B"/>
    <w:rsid w:val="00010C48"/>
    <w:rsid w:val="00010E2C"/>
    <w:rsid w:val="00010EB2"/>
    <w:rsid w:val="00010F3F"/>
    <w:rsid w:val="00010F5A"/>
    <w:rsid w:val="00010F60"/>
    <w:rsid w:val="00010F73"/>
    <w:rsid w:val="00010F7E"/>
    <w:rsid w:val="000110C3"/>
    <w:rsid w:val="00011357"/>
    <w:rsid w:val="00011380"/>
    <w:rsid w:val="00011492"/>
    <w:rsid w:val="00011540"/>
    <w:rsid w:val="0001157C"/>
    <w:rsid w:val="000115C3"/>
    <w:rsid w:val="0001161E"/>
    <w:rsid w:val="00011684"/>
    <w:rsid w:val="000117B1"/>
    <w:rsid w:val="0001182D"/>
    <w:rsid w:val="000118DD"/>
    <w:rsid w:val="00011921"/>
    <w:rsid w:val="000119EB"/>
    <w:rsid w:val="00011AB8"/>
    <w:rsid w:val="00011B0D"/>
    <w:rsid w:val="00011B7E"/>
    <w:rsid w:val="00011CE6"/>
    <w:rsid w:val="00011E12"/>
    <w:rsid w:val="00011E42"/>
    <w:rsid w:val="000120B8"/>
    <w:rsid w:val="000120EF"/>
    <w:rsid w:val="00012101"/>
    <w:rsid w:val="00012229"/>
    <w:rsid w:val="000123C8"/>
    <w:rsid w:val="000123D6"/>
    <w:rsid w:val="0001242C"/>
    <w:rsid w:val="0001245F"/>
    <w:rsid w:val="00012469"/>
    <w:rsid w:val="000124F0"/>
    <w:rsid w:val="00012585"/>
    <w:rsid w:val="000125DF"/>
    <w:rsid w:val="000126CA"/>
    <w:rsid w:val="00012863"/>
    <w:rsid w:val="0001289A"/>
    <w:rsid w:val="00012916"/>
    <w:rsid w:val="00012A27"/>
    <w:rsid w:val="00012A30"/>
    <w:rsid w:val="00012A62"/>
    <w:rsid w:val="00012A97"/>
    <w:rsid w:val="00012AC1"/>
    <w:rsid w:val="00012AD0"/>
    <w:rsid w:val="00012B5F"/>
    <w:rsid w:val="00012C32"/>
    <w:rsid w:val="00012C5E"/>
    <w:rsid w:val="00012C6F"/>
    <w:rsid w:val="00012DEE"/>
    <w:rsid w:val="00012DFE"/>
    <w:rsid w:val="00012E6A"/>
    <w:rsid w:val="00012E9B"/>
    <w:rsid w:val="00012F1A"/>
    <w:rsid w:val="0001300F"/>
    <w:rsid w:val="000130B6"/>
    <w:rsid w:val="000131F9"/>
    <w:rsid w:val="000132BD"/>
    <w:rsid w:val="000132C0"/>
    <w:rsid w:val="000132EC"/>
    <w:rsid w:val="00013317"/>
    <w:rsid w:val="000133CE"/>
    <w:rsid w:val="000133D1"/>
    <w:rsid w:val="00013435"/>
    <w:rsid w:val="00013466"/>
    <w:rsid w:val="0001354B"/>
    <w:rsid w:val="00013616"/>
    <w:rsid w:val="00013628"/>
    <w:rsid w:val="000137CA"/>
    <w:rsid w:val="000138AF"/>
    <w:rsid w:val="00013912"/>
    <w:rsid w:val="00013A4B"/>
    <w:rsid w:val="00013A62"/>
    <w:rsid w:val="00013A86"/>
    <w:rsid w:val="00013ABB"/>
    <w:rsid w:val="00013AC7"/>
    <w:rsid w:val="00013C81"/>
    <w:rsid w:val="00013C94"/>
    <w:rsid w:val="00013E99"/>
    <w:rsid w:val="00013F11"/>
    <w:rsid w:val="00013FD0"/>
    <w:rsid w:val="0001405A"/>
    <w:rsid w:val="0001405C"/>
    <w:rsid w:val="00014143"/>
    <w:rsid w:val="0001418C"/>
    <w:rsid w:val="0001418D"/>
    <w:rsid w:val="0001422F"/>
    <w:rsid w:val="00014298"/>
    <w:rsid w:val="00014304"/>
    <w:rsid w:val="00014392"/>
    <w:rsid w:val="00014440"/>
    <w:rsid w:val="000145BC"/>
    <w:rsid w:val="000147D5"/>
    <w:rsid w:val="00014A6F"/>
    <w:rsid w:val="00014AA7"/>
    <w:rsid w:val="00014CEE"/>
    <w:rsid w:val="00014D42"/>
    <w:rsid w:val="00014D8A"/>
    <w:rsid w:val="00014DBB"/>
    <w:rsid w:val="00014F1C"/>
    <w:rsid w:val="00014F49"/>
    <w:rsid w:val="00015106"/>
    <w:rsid w:val="0001515A"/>
    <w:rsid w:val="0001516F"/>
    <w:rsid w:val="000151BA"/>
    <w:rsid w:val="00015214"/>
    <w:rsid w:val="00015283"/>
    <w:rsid w:val="00015285"/>
    <w:rsid w:val="000154B8"/>
    <w:rsid w:val="000155A1"/>
    <w:rsid w:val="000155CA"/>
    <w:rsid w:val="0001563D"/>
    <w:rsid w:val="000156A3"/>
    <w:rsid w:val="0001573E"/>
    <w:rsid w:val="000157E6"/>
    <w:rsid w:val="00015879"/>
    <w:rsid w:val="00015933"/>
    <w:rsid w:val="00015A34"/>
    <w:rsid w:val="00015A3B"/>
    <w:rsid w:val="00015A89"/>
    <w:rsid w:val="00015B04"/>
    <w:rsid w:val="00015B06"/>
    <w:rsid w:val="00015B9C"/>
    <w:rsid w:val="00015BBC"/>
    <w:rsid w:val="00015C0C"/>
    <w:rsid w:val="00015C13"/>
    <w:rsid w:val="00015CDB"/>
    <w:rsid w:val="00015D48"/>
    <w:rsid w:val="00015D72"/>
    <w:rsid w:val="00015DF4"/>
    <w:rsid w:val="00015E73"/>
    <w:rsid w:val="00015E8E"/>
    <w:rsid w:val="00015EBB"/>
    <w:rsid w:val="00015F35"/>
    <w:rsid w:val="00015FD0"/>
    <w:rsid w:val="000160C0"/>
    <w:rsid w:val="000160CC"/>
    <w:rsid w:val="00016443"/>
    <w:rsid w:val="00016540"/>
    <w:rsid w:val="00016604"/>
    <w:rsid w:val="000166AA"/>
    <w:rsid w:val="000166E0"/>
    <w:rsid w:val="00016771"/>
    <w:rsid w:val="000169DD"/>
    <w:rsid w:val="00016AA0"/>
    <w:rsid w:val="00016ADA"/>
    <w:rsid w:val="00016AE9"/>
    <w:rsid w:val="00016C0B"/>
    <w:rsid w:val="00016CD3"/>
    <w:rsid w:val="00016E50"/>
    <w:rsid w:val="00016E5E"/>
    <w:rsid w:val="000170FD"/>
    <w:rsid w:val="000171DE"/>
    <w:rsid w:val="000172BA"/>
    <w:rsid w:val="000173F1"/>
    <w:rsid w:val="000174F9"/>
    <w:rsid w:val="000175C5"/>
    <w:rsid w:val="000175ED"/>
    <w:rsid w:val="0001761F"/>
    <w:rsid w:val="000177E8"/>
    <w:rsid w:val="0001799B"/>
    <w:rsid w:val="00017A2D"/>
    <w:rsid w:val="00017B0C"/>
    <w:rsid w:val="00017B41"/>
    <w:rsid w:val="00017B46"/>
    <w:rsid w:val="00017C32"/>
    <w:rsid w:val="00017D88"/>
    <w:rsid w:val="00017DB8"/>
    <w:rsid w:val="00017E55"/>
    <w:rsid w:val="00017EA7"/>
    <w:rsid w:val="00017EDF"/>
    <w:rsid w:val="00017EE8"/>
    <w:rsid w:val="00017FBA"/>
    <w:rsid w:val="00020062"/>
    <w:rsid w:val="000200FE"/>
    <w:rsid w:val="0002012B"/>
    <w:rsid w:val="00020284"/>
    <w:rsid w:val="00020315"/>
    <w:rsid w:val="000203BD"/>
    <w:rsid w:val="000203CF"/>
    <w:rsid w:val="00020479"/>
    <w:rsid w:val="0002083F"/>
    <w:rsid w:val="00020920"/>
    <w:rsid w:val="00020A04"/>
    <w:rsid w:val="00020A5A"/>
    <w:rsid w:val="00020A71"/>
    <w:rsid w:val="00020B5C"/>
    <w:rsid w:val="00020C4D"/>
    <w:rsid w:val="00020CC6"/>
    <w:rsid w:val="00020CD4"/>
    <w:rsid w:val="00020D05"/>
    <w:rsid w:val="00020D4F"/>
    <w:rsid w:val="00020E6D"/>
    <w:rsid w:val="00020E74"/>
    <w:rsid w:val="00021139"/>
    <w:rsid w:val="000211C8"/>
    <w:rsid w:val="000211F9"/>
    <w:rsid w:val="00021227"/>
    <w:rsid w:val="000214AB"/>
    <w:rsid w:val="000214DA"/>
    <w:rsid w:val="000214EB"/>
    <w:rsid w:val="0002164A"/>
    <w:rsid w:val="000216F5"/>
    <w:rsid w:val="000217CC"/>
    <w:rsid w:val="00021918"/>
    <w:rsid w:val="00021A9A"/>
    <w:rsid w:val="00021BD4"/>
    <w:rsid w:val="00021C31"/>
    <w:rsid w:val="00021CAC"/>
    <w:rsid w:val="00021D80"/>
    <w:rsid w:val="0002204B"/>
    <w:rsid w:val="00022075"/>
    <w:rsid w:val="000220D7"/>
    <w:rsid w:val="0002214A"/>
    <w:rsid w:val="0002215F"/>
    <w:rsid w:val="000222CD"/>
    <w:rsid w:val="000222D7"/>
    <w:rsid w:val="00022304"/>
    <w:rsid w:val="00022325"/>
    <w:rsid w:val="00022611"/>
    <w:rsid w:val="0002266B"/>
    <w:rsid w:val="000226A5"/>
    <w:rsid w:val="000226E2"/>
    <w:rsid w:val="000227C6"/>
    <w:rsid w:val="0002290D"/>
    <w:rsid w:val="00022ADA"/>
    <w:rsid w:val="00022AE1"/>
    <w:rsid w:val="00022AF7"/>
    <w:rsid w:val="00022C79"/>
    <w:rsid w:val="00022CCE"/>
    <w:rsid w:val="00022E66"/>
    <w:rsid w:val="00022F22"/>
    <w:rsid w:val="00022FE3"/>
    <w:rsid w:val="00022FEC"/>
    <w:rsid w:val="00023257"/>
    <w:rsid w:val="0002325A"/>
    <w:rsid w:val="0002326F"/>
    <w:rsid w:val="00023299"/>
    <w:rsid w:val="00023331"/>
    <w:rsid w:val="00023457"/>
    <w:rsid w:val="00023556"/>
    <w:rsid w:val="000235A9"/>
    <w:rsid w:val="00023660"/>
    <w:rsid w:val="000237FC"/>
    <w:rsid w:val="000238E6"/>
    <w:rsid w:val="00023A42"/>
    <w:rsid w:val="00023AC7"/>
    <w:rsid w:val="00023AEE"/>
    <w:rsid w:val="00023BE0"/>
    <w:rsid w:val="00023C31"/>
    <w:rsid w:val="00023C99"/>
    <w:rsid w:val="00023C9D"/>
    <w:rsid w:val="00023F5A"/>
    <w:rsid w:val="00024032"/>
    <w:rsid w:val="00024078"/>
    <w:rsid w:val="000240BB"/>
    <w:rsid w:val="0002411F"/>
    <w:rsid w:val="00024160"/>
    <w:rsid w:val="000241CA"/>
    <w:rsid w:val="00024235"/>
    <w:rsid w:val="0002424E"/>
    <w:rsid w:val="0002439C"/>
    <w:rsid w:val="00024412"/>
    <w:rsid w:val="00024510"/>
    <w:rsid w:val="0002471D"/>
    <w:rsid w:val="00024970"/>
    <w:rsid w:val="00024BC3"/>
    <w:rsid w:val="00024C54"/>
    <w:rsid w:val="00024D99"/>
    <w:rsid w:val="00024E2E"/>
    <w:rsid w:val="00024F7F"/>
    <w:rsid w:val="00024FB2"/>
    <w:rsid w:val="00025001"/>
    <w:rsid w:val="0002508E"/>
    <w:rsid w:val="000250C6"/>
    <w:rsid w:val="00025108"/>
    <w:rsid w:val="0002524B"/>
    <w:rsid w:val="00025296"/>
    <w:rsid w:val="000253E3"/>
    <w:rsid w:val="00025492"/>
    <w:rsid w:val="000254C5"/>
    <w:rsid w:val="000255E1"/>
    <w:rsid w:val="0002567C"/>
    <w:rsid w:val="0002572F"/>
    <w:rsid w:val="000257F3"/>
    <w:rsid w:val="0002585C"/>
    <w:rsid w:val="000258FC"/>
    <w:rsid w:val="00025931"/>
    <w:rsid w:val="00025B5F"/>
    <w:rsid w:val="00025BA6"/>
    <w:rsid w:val="00025F3D"/>
    <w:rsid w:val="00025FFA"/>
    <w:rsid w:val="0002603A"/>
    <w:rsid w:val="0002617D"/>
    <w:rsid w:val="0002624F"/>
    <w:rsid w:val="000262FE"/>
    <w:rsid w:val="000263AD"/>
    <w:rsid w:val="00026421"/>
    <w:rsid w:val="000264B1"/>
    <w:rsid w:val="000264D9"/>
    <w:rsid w:val="00026523"/>
    <w:rsid w:val="00026564"/>
    <w:rsid w:val="00026677"/>
    <w:rsid w:val="000267B5"/>
    <w:rsid w:val="00026B0E"/>
    <w:rsid w:val="00026B57"/>
    <w:rsid w:val="00026C0A"/>
    <w:rsid w:val="00026C41"/>
    <w:rsid w:val="00026C4D"/>
    <w:rsid w:val="00026CF3"/>
    <w:rsid w:val="00026D90"/>
    <w:rsid w:val="00026DF0"/>
    <w:rsid w:val="00026E41"/>
    <w:rsid w:val="000270BE"/>
    <w:rsid w:val="000271B5"/>
    <w:rsid w:val="000272F7"/>
    <w:rsid w:val="00027422"/>
    <w:rsid w:val="00027497"/>
    <w:rsid w:val="000274C4"/>
    <w:rsid w:val="00027586"/>
    <w:rsid w:val="00027633"/>
    <w:rsid w:val="0002779B"/>
    <w:rsid w:val="000277D6"/>
    <w:rsid w:val="0002788D"/>
    <w:rsid w:val="000278B3"/>
    <w:rsid w:val="00027A56"/>
    <w:rsid w:val="00027B38"/>
    <w:rsid w:val="00027BED"/>
    <w:rsid w:val="00027C76"/>
    <w:rsid w:val="00027D6D"/>
    <w:rsid w:val="00027EE4"/>
    <w:rsid w:val="00027F6D"/>
    <w:rsid w:val="00027F7A"/>
    <w:rsid w:val="00027FDF"/>
    <w:rsid w:val="00027FE3"/>
    <w:rsid w:val="0003012E"/>
    <w:rsid w:val="000301F4"/>
    <w:rsid w:val="0003021D"/>
    <w:rsid w:val="00030280"/>
    <w:rsid w:val="000302F1"/>
    <w:rsid w:val="0003031C"/>
    <w:rsid w:val="00030333"/>
    <w:rsid w:val="00030443"/>
    <w:rsid w:val="000304CD"/>
    <w:rsid w:val="00030500"/>
    <w:rsid w:val="0003050A"/>
    <w:rsid w:val="000305DA"/>
    <w:rsid w:val="000305FC"/>
    <w:rsid w:val="000306DE"/>
    <w:rsid w:val="0003079B"/>
    <w:rsid w:val="00030959"/>
    <w:rsid w:val="00030A23"/>
    <w:rsid w:val="00030B01"/>
    <w:rsid w:val="00030BEA"/>
    <w:rsid w:val="00030CCD"/>
    <w:rsid w:val="00030DFE"/>
    <w:rsid w:val="00030E64"/>
    <w:rsid w:val="00030F06"/>
    <w:rsid w:val="000310C0"/>
    <w:rsid w:val="000311AF"/>
    <w:rsid w:val="00031201"/>
    <w:rsid w:val="00031277"/>
    <w:rsid w:val="0003134E"/>
    <w:rsid w:val="00031493"/>
    <w:rsid w:val="000314F5"/>
    <w:rsid w:val="000314FA"/>
    <w:rsid w:val="00031670"/>
    <w:rsid w:val="000316E2"/>
    <w:rsid w:val="00031768"/>
    <w:rsid w:val="0003178A"/>
    <w:rsid w:val="00031917"/>
    <w:rsid w:val="00031935"/>
    <w:rsid w:val="0003196F"/>
    <w:rsid w:val="00031AB9"/>
    <w:rsid w:val="00031B5C"/>
    <w:rsid w:val="00031C4C"/>
    <w:rsid w:val="00031C6D"/>
    <w:rsid w:val="00031C9B"/>
    <w:rsid w:val="00031D7E"/>
    <w:rsid w:val="00031D9C"/>
    <w:rsid w:val="00031DFC"/>
    <w:rsid w:val="00031ED3"/>
    <w:rsid w:val="00031FFC"/>
    <w:rsid w:val="000320A5"/>
    <w:rsid w:val="000320C9"/>
    <w:rsid w:val="000320D5"/>
    <w:rsid w:val="0003211F"/>
    <w:rsid w:val="00032199"/>
    <w:rsid w:val="0003221C"/>
    <w:rsid w:val="000322B7"/>
    <w:rsid w:val="000323FB"/>
    <w:rsid w:val="00032403"/>
    <w:rsid w:val="000324BD"/>
    <w:rsid w:val="000325A2"/>
    <w:rsid w:val="00032609"/>
    <w:rsid w:val="00032628"/>
    <w:rsid w:val="000326DE"/>
    <w:rsid w:val="0003270C"/>
    <w:rsid w:val="00032713"/>
    <w:rsid w:val="00032985"/>
    <w:rsid w:val="00032ADF"/>
    <w:rsid w:val="00032AEE"/>
    <w:rsid w:val="00032B93"/>
    <w:rsid w:val="00032C03"/>
    <w:rsid w:val="00032E79"/>
    <w:rsid w:val="00032F35"/>
    <w:rsid w:val="00032F45"/>
    <w:rsid w:val="00032F65"/>
    <w:rsid w:val="00033068"/>
    <w:rsid w:val="000330FE"/>
    <w:rsid w:val="0003311E"/>
    <w:rsid w:val="00033257"/>
    <w:rsid w:val="000334AA"/>
    <w:rsid w:val="0003352C"/>
    <w:rsid w:val="000335AF"/>
    <w:rsid w:val="0003360F"/>
    <w:rsid w:val="000336DD"/>
    <w:rsid w:val="00033797"/>
    <w:rsid w:val="000338A3"/>
    <w:rsid w:val="00033977"/>
    <w:rsid w:val="00033A54"/>
    <w:rsid w:val="00033A8F"/>
    <w:rsid w:val="00033B24"/>
    <w:rsid w:val="00033B47"/>
    <w:rsid w:val="00033BA2"/>
    <w:rsid w:val="00033DE7"/>
    <w:rsid w:val="00033FCB"/>
    <w:rsid w:val="0003403B"/>
    <w:rsid w:val="0003419A"/>
    <w:rsid w:val="00034249"/>
    <w:rsid w:val="0003438B"/>
    <w:rsid w:val="000343AA"/>
    <w:rsid w:val="00034447"/>
    <w:rsid w:val="000344CA"/>
    <w:rsid w:val="0003451C"/>
    <w:rsid w:val="00034584"/>
    <w:rsid w:val="000347D3"/>
    <w:rsid w:val="000348A2"/>
    <w:rsid w:val="000348B7"/>
    <w:rsid w:val="00034ABC"/>
    <w:rsid w:val="00034B23"/>
    <w:rsid w:val="00034B63"/>
    <w:rsid w:val="00034C9D"/>
    <w:rsid w:val="00034E6C"/>
    <w:rsid w:val="00034F47"/>
    <w:rsid w:val="00034FB3"/>
    <w:rsid w:val="0003515C"/>
    <w:rsid w:val="00035177"/>
    <w:rsid w:val="000351B0"/>
    <w:rsid w:val="000351EB"/>
    <w:rsid w:val="0003575F"/>
    <w:rsid w:val="00035889"/>
    <w:rsid w:val="0003591A"/>
    <w:rsid w:val="00035B8E"/>
    <w:rsid w:val="00035BE8"/>
    <w:rsid w:val="00035E18"/>
    <w:rsid w:val="000360A6"/>
    <w:rsid w:val="0003616F"/>
    <w:rsid w:val="00036197"/>
    <w:rsid w:val="0003620F"/>
    <w:rsid w:val="00036275"/>
    <w:rsid w:val="000362D8"/>
    <w:rsid w:val="000362E7"/>
    <w:rsid w:val="00036488"/>
    <w:rsid w:val="0003671B"/>
    <w:rsid w:val="00036732"/>
    <w:rsid w:val="00036879"/>
    <w:rsid w:val="000368B6"/>
    <w:rsid w:val="00036AE6"/>
    <w:rsid w:val="00036B5B"/>
    <w:rsid w:val="00036C04"/>
    <w:rsid w:val="00036C53"/>
    <w:rsid w:val="00036D2A"/>
    <w:rsid w:val="00036E0A"/>
    <w:rsid w:val="00036EBE"/>
    <w:rsid w:val="00036F4F"/>
    <w:rsid w:val="0003719F"/>
    <w:rsid w:val="0003729F"/>
    <w:rsid w:val="000372F6"/>
    <w:rsid w:val="000374BF"/>
    <w:rsid w:val="000375B9"/>
    <w:rsid w:val="00037619"/>
    <w:rsid w:val="0003770A"/>
    <w:rsid w:val="000377E6"/>
    <w:rsid w:val="000379E3"/>
    <w:rsid w:val="00037A48"/>
    <w:rsid w:val="00037A4C"/>
    <w:rsid w:val="00037A5D"/>
    <w:rsid w:val="00037A8E"/>
    <w:rsid w:val="00037D5D"/>
    <w:rsid w:val="00037D68"/>
    <w:rsid w:val="00037E22"/>
    <w:rsid w:val="00037EAC"/>
    <w:rsid w:val="00037F56"/>
    <w:rsid w:val="00037F82"/>
    <w:rsid w:val="000400CC"/>
    <w:rsid w:val="00040366"/>
    <w:rsid w:val="00040463"/>
    <w:rsid w:val="00040613"/>
    <w:rsid w:val="000406D3"/>
    <w:rsid w:val="000406DB"/>
    <w:rsid w:val="00040877"/>
    <w:rsid w:val="000409A5"/>
    <w:rsid w:val="000409BA"/>
    <w:rsid w:val="00040A05"/>
    <w:rsid w:val="00040A0A"/>
    <w:rsid w:val="00040AC9"/>
    <w:rsid w:val="00040B93"/>
    <w:rsid w:val="00040B9D"/>
    <w:rsid w:val="00040CE6"/>
    <w:rsid w:val="00040D71"/>
    <w:rsid w:val="00040E0B"/>
    <w:rsid w:val="00040EBE"/>
    <w:rsid w:val="00040EC8"/>
    <w:rsid w:val="00040F76"/>
    <w:rsid w:val="000410E5"/>
    <w:rsid w:val="000411F4"/>
    <w:rsid w:val="0004128F"/>
    <w:rsid w:val="00041585"/>
    <w:rsid w:val="00041737"/>
    <w:rsid w:val="0004190B"/>
    <w:rsid w:val="00041AFA"/>
    <w:rsid w:val="00041CA6"/>
    <w:rsid w:val="00041D14"/>
    <w:rsid w:val="00041D5A"/>
    <w:rsid w:val="00041DE5"/>
    <w:rsid w:val="00041EC0"/>
    <w:rsid w:val="00041ECF"/>
    <w:rsid w:val="00041F43"/>
    <w:rsid w:val="00041F45"/>
    <w:rsid w:val="00041FD0"/>
    <w:rsid w:val="00042004"/>
    <w:rsid w:val="000420CD"/>
    <w:rsid w:val="00042167"/>
    <w:rsid w:val="000421EC"/>
    <w:rsid w:val="0004239C"/>
    <w:rsid w:val="00042470"/>
    <w:rsid w:val="000424AE"/>
    <w:rsid w:val="00042624"/>
    <w:rsid w:val="0004271D"/>
    <w:rsid w:val="000428CA"/>
    <w:rsid w:val="00042BCA"/>
    <w:rsid w:val="00042C55"/>
    <w:rsid w:val="00042D25"/>
    <w:rsid w:val="00042DC5"/>
    <w:rsid w:val="00042E10"/>
    <w:rsid w:val="00042E41"/>
    <w:rsid w:val="00042E49"/>
    <w:rsid w:val="00042EB0"/>
    <w:rsid w:val="00042FC3"/>
    <w:rsid w:val="000430E9"/>
    <w:rsid w:val="0004314D"/>
    <w:rsid w:val="0004315B"/>
    <w:rsid w:val="00043165"/>
    <w:rsid w:val="000432BB"/>
    <w:rsid w:val="0004338A"/>
    <w:rsid w:val="0004349D"/>
    <w:rsid w:val="00043517"/>
    <w:rsid w:val="000435F4"/>
    <w:rsid w:val="00043679"/>
    <w:rsid w:val="000436AA"/>
    <w:rsid w:val="00043807"/>
    <w:rsid w:val="000439E9"/>
    <w:rsid w:val="000439ED"/>
    <w:rsid w:val="00043BA4"/>
    <w:rsid w:val="00043BF4"/>
    <w:rsid w:val="00043C9C"/>
    <w:rsid w:val="00043CA6"/>
    <w:rsid w:val="00043CBB"/>
    <w:rsid w:val="00043F11"/>
    <w:rsid w:val="00043F57"/>
    <w:rsid w:val="00044118"/>
    <w:rsid w:val="000442B8"/>
    <w:rsid w:val="0004431A"/>
    <w:rsid w:val="000443CD"/>
    <w:rsid w:val="0004441A"/>
    <w:rsid w:val="000444CC"/>
    <w:rsid w:val="0004458A"/>
    <w:rsid w:val="000445E3"/>
    <w:rsid w:val="00044693"/>
    <w:rsid w:val="000447D1"/>
    <w:rsid w:val="0004480B"/>
    <w:rsid w:val="000448C0"/>
    <w:rsid w:val="000449FF"/>
    <w:rsid w:val="00044A90"/>
    <w:rsid w:val="00044AE1"/>
    <w:rsid w:val="00044B3C"/>
    <w:rsid w:val="00044D21"/>
    <w:rsid w:val="00044D48"/>
    <w:rsid w:val="00044D97"/>
    <w:rsid w:val="00044E1D"/>
    <w:rsid w:val="00044E9A"/>
    <w:rsid w:val="0004502A"/>
    <w:rsid w:val="00045049"/>
    <w:rsid w:val="00045226"/>
    <w:rsid w:val="00045254"/>
    <w:rsid w:val="000452C7"/>
    <w:rsid w:val="000453B9"/>
    <w:rsid w:val="00045450"/>
    <w:rsid w:val="00045510"/>
    <w:rsid w:val="00045547"/>
    <w:rsid w:val="000455E4"/>
    <w:rsid w:val="0004561A"/>
    <w:rsid w:val="00045780"/>
    <w:rsid w:val="0004599D"/>
    <w:rsid w:val="00045C9F"/>
    <w:rsid w:val="00045CB9"/>
    <w:rsid w:val="00045CEF"/>
    <w:rsid w:val="00045DC3"/>
    <w:rsid w:val="00045E4D"/>
    <w:rsid w:val="00045F77"/>
    <w:rsid w:val="0004607A"/>
    <w:rsid w:val="000460AD"/>
    <w:rsid w:val="0004610B"/>
    <w:rsid w:val="00046131"/>
    <w:rsid w:val="0004639A"/>
    <w:rsid w:val="000463A7"/>
    <w:rsid w:val="000463BC"/>
    <w:rsid w:val="000463C1"/>
    <w:rsid w:val="000464A8"/>
    <w:rsid w:val="0004650D"/>
    <w:rsid w:val="00046586"/>
    <w:rsid w:val="000466AC"/>
    <w:rsid w:val="000467BB"/>
    <w:rsid w:val="000467D0"/>
    <w:rsid w:val="00046825"/>
    <w:rsid w:val="0004689D"/>
    <w:rsid w:val="0004691F"/>
    <w:rsid w:val="00046A70"/>
    <w:rsid w:val="00046B2D"/>
    <w:rsid w:val="00046B93"/>
    <w:rsid w:val="00046C65"/>
    <w:rsid w:val="00046CC3"/>
    <w:rsid w:val="00046F5F"/>
    <w:rsid w:val="00047130"/>
    <w:rsid w:val="0004715D"/>
    <w:rsid w:val="000471CF"/>
    <w:rsid w:val="000473D7"/>
    <w:rsid w:val="0004747D"/>
    <w:rsid w:val="00047507"/>
    <w:rsid w:val="00047508"/>
    <w:rsid w:val="0004754A"/>
    <w:rsid w:val="0004777E"/>
    <w:rsid w:val="000478E2"/>
    <w:rsid w:val="000478F9"/>
    <w:rsid w:val="00047922"/>
    <w:rsid w:val="00047A36"/>
    <w:rsid w:val="00047F93"/>
    <w:rsid w:val="00050038"/>
    <w:rsid w:val="00050042"/>
    <w:rsid w:val="0005006D"/>
    <w:rsid w:val="00050102"/>
    <w:rsid w:val="0005017C"/>
    <w:rsid w:val="00050260"/>
    <w:rsid w:val="00050366"/>
    <w:rsid w:val="0005038D"/>
    <w:rsid w:val="000505DA"/>
    <w:rsid w:val="000505E9"/>
    <w:rsid w:val="00050610"/>
    <w:rsid w:val="00050641"/>
    <w:rsid w:val="00050703"/>
    <w:rsid w:val="000508B1"/>
    <w:rsid w:val="00050985"/>
    <w:rsid w:val="00050ADB"/>
    <w:rsid w:val="00050AEE"/>
    <w:rsid w:val="00050BD7"/>
    <w:rsid w:val="00050BEC"/>
    <w:rsid w:val="00050C9F"/>
    <w:rsid w:val="00050CC9"/>
    <w:rsid w:val="00050CCD"/>
    <w:rsid w:val="00050D5D"/>
    <w:rsid w:val="00050D61"/>
    <w:rsid w:val="00050F16"/>
    <w:rsid w:val="00050F8C"/>
    <w:rsid w:val="00050FCB"/>
    <w:rsid w:val="0005105B"/>
    <w:rsid w:val="000510E8"/>
    <w:rsid w:val="00051120"/>
    <w:rsid w:val="00051389"/>
    <w:rsid w:val="000515C5"/>
    <w:rsid w:val="000515F0"/>
    <w:rsid w:val="00051718"/>
    <w:rsid w:val="00051802"/>
    <w:rsid w:val="000518B9"/>
    <w:rsid w:val="000518CC"/>
    <w:rsid w:val="000519F5"/>
    <w:rsid w:val="00051A9C"/>
    <w:rsid w:val="00051ABC"/>
    <w:rsid w:val="00051CBF"/>
    <w:rsid w:val="00051CF9"/>
    <w:rsid w:val="00051DDB"/>
    <w:rsid w:val="00051DF3"/>
    <w:rsid w:val="00051F21"/>
    <w:rsid w:val="00051F63"/>
    <w:rsid w:val="0005207E"/>
    <w:rsid w:val="0005208D"/>
    <w:rsid w:val="00052120"/>
    <w:rsid w:val="00052145"/>
    <w:rsid w:val="000522FF"/>
    <w:rsid w:val="0005233B"/>
    <w:rsid w:val="0005242F"/>
    <w:rsid w:val="00052454"/>
    <w:rsid w:val="000525E2"/>
    <w:rsid w:val="00052634"/>
    <w:rsid w:val="0005268D"/>
    <w:rsid w:val="0005270A"/>
    <w:rsid w:val="00052779"/>
    <w:rsid w:val="00052807"/>
    <w:rsid w:val="000529B2"/>
    <w:rsid w:val="00052B02"/>
    <w:rsid w:val="00052B89"/>
    <w:rsid w:val="00052C14"/>
    <w:rsid w:val="00052D9B"/>
    <w:rsid w:val="00052E08"/>
    <w:rsid w:val="00052E5B"/>
    <w:rsid w:val="00052E92"/>
    <w:rsid w:val="00052FFF"/>
    <w:rsid w:val="0005318A"/>
    <w:rsid w:val="000531F2"/>
    <w:rsid w:val="000533E3"/>
    <w:rsid w:val="00053442"/>
    <w:rsid w:val="00053641"/>
    <w:rsid w:val="000537A4"/>
    <w:rsid w:val="000537A8"/>
    <w:rsid w:val="00053833"/>
    <w:rsid w:val="000538F4"/>
    <w:rsid w:val="00053943"/>
    <w:rsid w:val="00053964"/>
    <w:rsid w:val="00053B43"/>
    <w:rsid w:val="00053C78"/>
    <w:rsid w:val="00053C98"/>
    <w:rsid w:val="00053D1E"/>
    <w:rsid w:val="00053D66"/>
    <w:rsid w:val="00053D69"/>
    <w:rsid w:val="00053DCE"/>
    <w:rsid w:val="00053DF5"/>
    <w:rsid w:val="00053E0D"/>
    <w:rsid w:val="00053F97"/>
    <w:rsid w:val="00054037"/>
    <w:rsid w:val="00054133"/>
    <w:rsid w:val="00054146"/>
    <w:rsid w:val="000541CB"/>
    <w:rsid w:val="000541D3"/>
    <w:rsid w:val="00054454"/>
    <w:rsid w:val="0005463F"/>
    <w:rsid w:val="0005466C"/>
    <w:rsid w:val="000546BB"/>
    <w:rsid w:val="000548FE"/>
    <w:rsid w:val="00054A20"/>
    <w:rsid w:val="00054A21"/>
    <w:rsid w:val="00054B6A"/>
    <w:rsid w:val="00054BE8"/>
    <w:rsid w:val="00054E90"/>
    <w:rsid w:val="00054E9C"/>
    <w:rsid w:val="00054EDC"/>
    <w:rsid w:val="00054F81"/>
    <w:rsid w:val="00054FED"/>
    <w:rsid w:val="000550AF"/>
    <w:rsid w:val="000552CA"/>
    <w:rsid w:val="000552F9"/>
    <w:rsid w:val="0005531B"/>
    <w:rsid w:val="00055399"/>
    <w:rsid w:val="000553F1"/>
    <w:rsid w:val="0005548B"/>
    <w:rsid w:val="0005566C"/>
    <w:rsid w:val="0005568E"/>
    <w:rsid w:val="00055693"/>
    <w:rsid w:val="00055822"/>
    <w:rsid w:val="00055860"/>
    <w:rsid w:val="00055862"/>
    <w:rsid w:val="00055A43"/>
    <w:rsid w:val="00055A89"/>
    <w:rsid w:val="00055A9E"/>
    <w:rsid w:val="00055AF8"/>
    <w:rsid w:val="00055BA9"/>
    <w:rsid w:val="00055CCC"/>
    <w:rsid w:val="00055D08"/>
    <w:rsid w:val="00055E60"/>
    <w:rsid w:val="00055E68"/>
    <w:rsid w:val="00055ECC"/>
    <w:rsid w:val="00055F1D"/>
    <w:rsid w:val="00055F75"/>
    <w:rsid w:val="00055FEA"/>
    <w:rsid w:val="00056147"/>
    <w:rsid w:val="00056170"/>
    <w:rsid w:val="000561BA"/>
    <w:rsid w:val="000561E7"/>
    <w:rsid w:val="0005624B"/>
    <w:rsid w:val="00056276"/>
    <w:rsid w:val="0005630F"/>
    <w:rsid w:val="0005639E"/>
    <w:rsid w:val="000563AA"/>
    <w:rsid w:val="000563C9"/>
    <w:rsid w:val="00056403"/>
    <w:rsid w:val="0005640A"/>
    <w:rsid w:val="00056440"/>
    <w:rsid w:val="00056485"/>
    <w:rsid w:val="0005654C"/>
    <w:rsid w:val="000565D6"/>
    <w:rsid w:val="000565DA"/>
    <w:rsid w:val="00056658"/>
    <w:rsid w:val="00056698"/>
    <w:rsid w:val="0005673C"/>
    <w:rsid w:val="0005675D"/>
    <w:rsid w:val="00056996"/>
    <w:rsid w:val="00056A45"/>
    <w:rsid w:val="00056A4D"/>
    <w:rsid w:val="00056AF5"/>
    <w:rsid w:val="00056BA7"/>
    <w:rsid w:val="00056C93"/>
    <w:rsid w:val="00056E18"/>
    <w:rsid w:val="00056F10"/>
    <w:rsid w:val="00056F62"/>
    <w:rsid w:val="00057017"/>
    <w:rsid w:val="000570CD"/>
    <w:rsid w:val="00057400"/>
    <w:rsid w:val="0005742A"/>
    <w:rsid w:val="0005752B"/>
    <w:rsid w:val="0005755D"/>
    <w:rsid w:val="000575C4"/>
    <w:rsid w:val="00057631"/>
    <w:rsid w:val="000576DF"/>
    <w:rsid w:val="00057739"/>
    <w:rsid w:val="0005780E"/>
    <w:rsid w:val="00057891"/>
    <w:rsid w:val="00057A28"/>
    <w:rsid w:val="00057AF6"/>
    <w:rsid w:val="00057B00"/>
    <w:rsid w:val="00057B99"/>
    <w:rsid w:val="00057BEB"/>
    <w:rsid w:val="00057C61"/>
    <w:rsid w:val="00057C77"/>
    <w:rsid w:val="00057D2A"/>
    <w:rsid w:val="00057E15"/>
    <w:rsid w:val="000600E6"/>
    <w:rsid w:val="0006012A"/>
    <w:rsid w:val="00060170"/>
    <w:rsid w:val="00060251"/>
    <w:rsid w:val="0006027F"/>
    <w:rsid w:val="000602F4"/>
    <w:rsid w:val="00060334"/>
    <w:rsid w:val="00060367"/>
    <w:rsid w:val="00060452"/>
    <w:rsid w:val="000604EA"/>
    <w:rsid w:val="00060511"/>
    <w:rsid w:val="0006051D"/>
    <w:rsid w:val="0006057E"/>
    <w:rsid w:val="0006063A"/>
    <w:rsid w:val="00060672"/>
    <w:rsid w:val="000606DE"/>
    <w:rsid w:val="00060983"/>
    <w:rsid w:val="00060BB6"/>
    <w:rsid w:val="00060BF3"/>
    <w:rsid w:val="00060C1A"/>
    <w:rsid w:val="00060D4B"/>
    <w:rsid w:val="00060DEB"/>
    <w:rsid w:val="00060EF4"/>
    <w:rsid w:val="00060F00"/>
    <w:rsid w:val="00060F3F"/>
    <w:rsid w:val="000611AA"/>
    <w:rsid w:val="00061209"/>
    <w:rsid w:val="00061213"/>
    <w:rsid w:val="00061249"/>
    <w:rsid w:val="00061281"/>
    <w:rsid w:val="000612C2"/>
    <w:rsid w:val="00061391"/>
    <w:rsid w:val="0006156D"/>
    <w:rsid w:val="00061695"/>
    <w:rsid w:val="00061719"/>
    <w:rsid w:val="00061734"/>
    <w:rsid w:val="00061751"/>
    <w:rsid w:val="00061928"/>
    <w:rsid w:val="000619EE"/>
    <w:rsid w:val="00061A70"/>
    <w:rsid w:val="00061B87"/>
    <w:rsid w:val="00061CC0"/>
    <w:rsid w:val="00061D23"/>
    <w:rsid w:val="00061D75"/>
    <w:rsid w:val="00061E4E"/>
    <w:rsid w:val="00061FF3"/>
    <w:rsid w:val="00061FF9"/>
    <w:rsid w:val="000621F4"/>
    <w:rsid w:val="00062204"/>
    <w:rsid w:val="0006222D"/>
    <w:rsid w:val="00062325"/>
    <w:rsid w:val="000623E5"/>
    <w:rsid w:val="000623F1"/>
    <w:rsid w:val="00062452"/>
    <w:rsid w:val="000624F0"/>
    <w:rsid w:val="0006269C"/>
    <w:rsid w:val="000626DC"/>
    <w:rsid w:val="00062748"/>
    <w:rsid w:val="000629A8"/>
    <w:rsid w:val="000629E6"/>
    <w:rsid w:val="00062AD6"/>
    <w:rsid w:val="00062CF0"/>
    <w:rsid w:val="00062CF9"/>
    <w:rsid w:val="00062DCA"/>
    <w:rsid w:val="00062E51"/>
    <w:rsid w:val="00062E76"/>
    <w:rsid w:val="00062ECB"/>
    <w:rsid w:val="00062ECF"/>
    <w:rsid w:val="00062F4E"/>
    <w:rsid w:val="00062FA3"/>
    <w:rsid w:val="0006308F"/>
    <w:rsid w:val="000630E9"/>
    <w:rsid w:val="000631B9"/>
    <w:rsid w:val="000631D3"/>
    <w:rsid w:val="00063282"/>
    <w:rsid w:val="00063313"/>
    <w:rsid w:val="000633B7"/>
    <w:rsid w:val="000633F8"/>
    <w:rsid w:val="0006356B"/>
    <w:rsid w:val="000635AE"/>
    <w:rsid w:val="0006370B"/>
    <w:rsid w:val="000637C1"/>
    <w:rsid w:val="000637E6"/>
    <w:rsid w:val="000638AB"/>
    <w:rsid w:val="000638F6"/>
    <w:rsid w:val="0006393C"/>
    <w:rsid w:val="0006395B"/>
    <w:rsid w:val="000639F4"/>
    <w:rsid w:val="00063A76"/>
    <w:rsid w:val="00063AB1"/>
    <w:rsid w:val="00063ACA"/>
    <w:rsid w:val="00063B59"/>
    <w:rsid w:val="00063BB0"/>
    <w:rsid w:val="00063BB3"/>
    <w:rsid w:val="00063D16"/>
    <w:rsid w:val="00063D4C"/>
    <w:rsid w:val="00063E3D"/>
    <w:rsid w:val="00063E58"/>
    <w:rsid w:val="00063E6D"/>
    <w:rsid w:val="00063EE3"/>
    <w:rsid w:val="00063F00"/>
    <w:rsid w:val="00063FE1"/>
    <w:rsid w:val="000640E8"/>
    <w:rsid w:val="0006452F"/>
    <w:rsid w:val="0006462E"/>
    <w:rsid w:val="000646CB"/>
    <w:rsid w:val="00064775"/>
    <w:rsid w:val="000648CB"/>
    <w:rsid w:val="00064919"/>
    <w:rsid w:val="00064A7C"/>
    <w:rsid w:val="00064AE4"/>
    <w:rsid w:val="00064DB6"/>
    <w:rsid w:val="00064E16"/>
    <w:rsid w:val="00064E7D"/>
    <w:rsid w:val="00064E83"/>
    <w:rsid w:val="00064EC7"/>
    <w:rsid w:val="00064FCE"/>
    <w:rsid w:val="0006507D"/>
    <w:rsid w:val="000650C4"/>
    <w:rsid w:val="00065166"/>
    <w:rsid w:val="0006545E"/>
    <w:rsid w:val="00065463"/>
    <w:rsid w:val="0006552C"/>
    <w:rsid w:val="00065644"/>
    <w:rsid w:val="00065669"/>
    <w:rsid w:val="000656BE"/>
    <w:rsid w:val="00065774"/>
    <w:rsid w:val="00065975"/>
    <w:rsid w:val="00065C11"/>
    <w:rsid w:val="00065D18"/>
    <w:rsid w:val="00065D3B"/>
    <w:rsid w:val="00065D8B"/>
    <w:rsid w:val="00065E5A"/>
    <w:rsid w:val="00065F18"/>
    <w:rsid w:val="00065F5B"/>
    <w:rsid w:val="0006600F"/>
    <w:rsid w:val="00066081"/>
    <w:rsid w:val="000660E0"/>
    <w:rsid w:val="00066188"/>
    <w:rsid w:val="000661A0"/>
    <w:rsid w:val="00066261"/>
    <w:rsid w:val="0006626D"/>
    <w:rsid w:val="00066293"/>
    <w:rsid w:val="00066372"/>
    <w:rsid w:val="0006637A"/>
    <w:rsid w:val="00066433"/>
    <w:rsid w:val="000664C6"/>
    <w:rsid w:val="000665FC"/>
    <w:rsid w:val="000666AF"/>
    <w:rsid w:val="000666B7"/>
    <w:rsid w:val="00066719"/>
    <w:rsid w:val="00066806"/>
    <w:rsid w:val="00066824"/>
    <w:rsid w:val="00066BAE"/>
    <w:rsid w:val="00066E47"/>
    <w:rsid w:val="00067178"/>
    <w:rsid w:val="000671CE"/>
    <w:rsid w:val="0006723E"/>
    <w:rsid w:val="000672C0"/>
    <w:rsid w:val="000672FA"/>
    <w:rsid w:val="00067411"/>
    <w:rsid w:val="000674B7"/>
    <w:rsid w:val="00067555"/>
    <w:rsid w:val="000676B1"/>
    <w:rsid w:val="000676F5"/>
    <w:rsid w:val="0006797F"/>
    <w:rsid w:val="000679D8"/>
    <w:rsid w:val="000679F6"/>
    <w:rsid w:val="00067A73"/>
    <w:rsid w:val="00067A8C"/>
    <w:rsid w:val="00067B35"/>
    <w:rsid w:val="00067B5C"/>
    <w:rsid w:val="00067B87"/>
    <w:rsid w:val="00067BF0"/>
    <w:rsid w:val="00067C29"/>
    <w:rsid w:val="00067C2C"/>
    <w:rsid w:val="00067CCD"/>
    <w:rsid w:val="00067D03"/>
    <w:rsid w:val="00067D25"/>
    <w:rsid w:val="00067EC8"/>
    <w:rsid w:val="00067F33"/>
    <w:rsid w:val="00067F62"/>
    <w:rsid w:val="00070020"/>
    <w:rsid w:val="0007008C"/>
    <w:rsid w:val="00070099"/>
    <w:rsid w:val="000701BA"/>
    <w:rsid w:val="000701E5"/>
    <w:rsid w:val="000702D6"/>
    <w:rsid w:val="00070429"/>
    <w:rsid w:val="0007045F"/>
    <w:rsid w:val="000704EE"/>
    <w:rsid w:val="000705A3"/>
    <w:rsid w:val="000705FE"/>
    <w:rsid w:val="00070620"/>
    <w:rsid w:val="00070899"/>
    <w:rsid w:val="000708C5"/>
    <w:rsid w:val="000708C8"/>
    <w:rsid w:val="000708E0"/>
    <w:rsid w:val="0007096A"/>
    <w:rsid w:val="000709A0"/>
    <w:rsid w:val="00070AE8"/>
    <w:rsid w:val="00070B2E"/>
    <w:rsid w:val="00070B38"/>
    <w:rsid w:val="00070BEF"/>
    <w:rsid w:val="00070C5D"/>
    <w:rsid w:val="00070E7E"/>
    <w:rsid w:val="00070EFD"/>
    <w:rsid w:val="0007105E"/>
    <w:rsid w:val="000710D8"/>
    <w:rsid w:val="000711A3"/>
    <w:rsid w:val="000711C8"/>
    <w:rsid w:val="00071328"/>
    <w:rsid w:val="0007134C"/>
    <w:rsid w:val="0007153D"/>
    <w:rsid w:val="0007161A"/>
    <w:rsid w:val="00071844"/>
    <w:rsid w:val="00071A5D"/>
    <w:rsid w:val="00071ACD"/>
    <w:rsid w:val="00071DD0"/>
    <w:rsid w:val="000720A5"/>
    <w:rsid w:val="00072163"/>
    <w:rsid w:val="000721C0"/>
    <w:rsid w:val="00072279"/>
    <w:rsid w:val="00072426"/>
    <w:rsid w:val="000725D1"/>
    <w:rsid w:val="0007275C"/>
    <w:rsid w:val="000727B9"/>
    <w:rsid w:val="00072A5B"/>
    <w:rsid w:val="00072B3A"/>
    <w:rsid w:val="00072B81"/>
    <w:rsid w:val="00072C14"/>
    <w:rsid w:val="00072C42"/>
    <w:rsid w:val="00072D85"/>
    <w:rsid w:val="00072E1B"/>
    <w:rsid w:val="00072E72"/>
    <w:rsid w:val="00073139"/>
    <w:rsid w:val="000731B8"/>
    <w:rsid w:val="000731E5"/>
    <w:rsid w:val="0007326E"/>
    <w:rsid w:val="000732AC"/>
    <w:rsid w:val="000732AF"/>
    <w:rsid w:val="0007339B"/>
    <w:rsid w:val="000734BB"/>
    <w:rsid w:val="0007350E"/>
    <w:rsid w:val="000735D9"/>
    <w:rsid w:val="00073656"/>
    <w:rsid w:val="0007367C"/>
    <w:rsid w:val="000736E2"/>
    <w:rsid w:val="0007370A"/>
    <w:rsid w:val="0007381E"/>
    <w:rsid w:val="00073A98"/>
    <w:rsid w:val="00073AE6"/>
    <w:rsid w:val="00073B55"/>
    <w:rsid w:val="00073D0D"/>
    <w:rsid w:val="00073D2E"/>
    <w:rsid w:val="00073D32"/>
    <w:rsid w:val="00073D58"/>
    <w:rsid w:val="00073D95"/>
    <w:rsid w:val="00073DC2"/>
    <w:rsid w:val="00073F7B"/>
    <w:rsid w:val="00073FF6"/>
    <w:rsid w:val="000741CC"/>
    <w:rsid w:val="0007426F"/>
    <w:rsid w:val="000744D6"/>
    <w:rsid w:val="000744F7"/>
    <w:rsid w:val="00074582"/>
    <w:rsid w:val="000746AF"/>
    <w:rsid w:val="000747C5"/>
    <w:rsid w:val="00074961"/>
    <w:rsid w:val="0007496F"/>
    <w:rsid w:val="00074A2B"/>
    <w:rsid w:val="00074C3E"/>
    <w:rsid w:val="00074CEF"/>
    <w:rsid w:val="00075030"/>
    <w:rsid w:val="000751F3"/>
    <w:rsid w:val="0007528A"/>
    <w:rsid w:val="0007536A"/>
    <w:rsid w:val="0007552D"/>
    <w:rsid w:val="00075543"/>
    <w:rsid w:val="0007566E"/>
    <w:rsid w:val="00075868"/>
    <w:rsid w:val="00075873"/>
    <w:rsid w:val="0007592E"/>
    <w:rsid w:val="00075A66"/>
    <w:rsid w:val="00075B8A"/>
    <w:rsid w:val="00075D5E"/>
    <w:rsid w:val="00075E0E"/>
    <w:rsid w:val="00075E35"/>
    <w:rsid w:val="00075E68"/>
    <w:rsid w:val="00075EC5"/>
    <w:rsid w:val="00076078"/>
    <w:rsid w:val="00076292"/>
    <w:rsid w:val="000762E7"/>
    <w:rsid w:val="0007647C"/>
    <w:rsid w:val="00076568"/>
    <w:rsid w:val="00076580"/>
    <w:rsid w:val="000765A5"/>
    <w:rsid w:val="00076713"/>
    <w:rsid w:val="0007682A"/>
    <w:rsid w:val="00076AB7"/>
    <w:rsid w:val="00076C76"/>
    <w:rsid w:val="00076D1E"/>
    <w:rsid w:val="00076D6F"/>
    <w:rsid w:val="00076D92"/>
    <w:rsid w:val="00076D99"/>
    <w:rsid w:val="00076DA7"/>
    <w:rsid w:val="00076E33"/>
    <w:rsid w:val="00076EA7"/>
    <w:rsid w:val="00076FFE"/>
    <w:rsid w:val="00077407"/>
    <w:rsid w:val="0007742B"/>
    <w:rsid w:val="000774CF"/>
    <w:rsid w:val="0007751D"/>
    <w:rsid w:val="0007758E"/>
    <w:rsid w:val="000776C4"/>
    <w:rsid w:val="0007782A"/>
    <w:rsid w:val="0007790B"/>
    <w:rsid w:val="000779BA"/>
    <w:rsid w:val="00077A68"/>
    <w:rsid w:val="00077D6C"/>
    <w:rsid w:val="00077D7D"/>
    <w:rsid w:val="00077E5C"/>
    <w:rsid w:val="00077EC3"/>
    <w:rsid w:val="00077F09"/>
    <w:rsid w:val="0008004D"/>
    <w:rsid w:val="00080091"/>
    <w:rsid w:val="00080132"/>
    <w:rsid w:val="00080630"/>
    <w:rsid w:val="0008079F"/>
    <w:rsid w:val="00080808"/>
    <w:rsid w:val="00080882"/>
    <w:rsid w:val="0008089C"/>
    <w:rsid w:val="000809DF"/>
    <w:rsid w:val="00080A47"/>
    <w:rsid w:val="00080A66"/>
    <w:rsid w:val="00080C12"/>
    <w:rsid w:val="00080C8D"/>
    <w:rsid w:val="00080E5E"/>
    <w:rsid w:val="00080EC0"/>
    <w:rsid w:val="00080F93"/>
    <w:rsid w:val="00080FE9"/>
    <w:rsid w:val="0008115C"/>
    <w:rsid w:val="00081160"/>
    <w:rsid w:val="000811AB"/>
    <w:rsid w:val="000811BD"/>
    <w:rsid w:val="00081213"/>
    <w:rsid w:val="00081223"/>
    <w:rsid w:val="00081357"/>
    <w:rsid w:val="0008146F"/>
    <w:rsid w:val="0008152E"/>
    <w:rsid w:val="00081530"/>
    <w:rsid w:val="00081598"/>
    <w:rsid w:val="000815E3"/>
    <w:rsid w:val="000815E6"/>
    <w:rsid w:val="000816A7"/>
    <w:rsid w:val="0008178C"/>
    <w:rsid w:val="000817B4"/>
    <w:rsid w:val="000817E4"/>
    <w:rsid w:val="00081992"/>
    <w:rsid w:val="000819E2"/>
    <w:rsid w:val="00081B13"/>
    <w:rsid w:val="00081B46"/>
    <w:rsid w:val="00081C30"/>
    <w:rsid w:val="00081DC3"/>
    <w:rsid w:val="00081DD9"/>
    <w:rsid w:val="00081DED"/>
    <w:rsid w:val="00081F02"/>
    <w:rsid w:val="00081F80"/>
    <w:rsid w:val="00081FCF"/>
    <w:rsid w:val="00082311"/>
    <w:rsid w:val="00082335"/>
    <w:rsid w:val="00082394"/>
    <w:rsid w:val="00082466"/>
    <w:rsid w:val="0008251E"/>
    <w:rsid w:val="000825E3"/>
    <w:rsid w:val="00082755"/>
    <w:rsid w:val="0008282D"/>
    <w:rsid w:val="000828B1"/>
    <w:rsid w:val="000828EB"/>
    <w:rsid w:val="00082904"/>
    <w:rsid w:val="000829E5"/>
    <w:rsid w:val="00082BA4"/>
    <w:rsid w:val="00082BBF"/>
    <w:rsid w:val="00082C48"/>
    <w:rsid w:val="00082C6B"/>
    <w:rsid w:val="00082C9E"/>
    <w:rsid w:val="00082CB5"/>
    <w:rsid w:val="00082EFD"/>
    <w:rsid w:val="00082F2B"/>
    <w:rsid w:val="00082F75"/>
    <w:rsid w:val="00083057"/>
    <w:rsid w:val="000831B3"/>
    <w:rsid w:val="00083212"/>
    <w:rsid w:val="000832A0"/>
    <w:rsid w:val="000832FB"/>
    <w:rsid w:val="00083316"/>
    <w:rsid w:val="0008341D"/>
    <w:rsid w:val="00083655"/>
    <w:rsid w:val="000837BE"/>
    <w:rsid w:val="00083951"/>
    <w:rsid w:val="00083A4A"/>
    <w:rsid w:val="00083A7A"/>
    <w:rsid w:val="00083BC2"/>
    <w:rsid w:val="00083BD7"/>
    <w:rsid w:val="00083C6D"/>
    <w:rsid w:val="00083DB9"/>
    <w:rsid w:val="00083DC5"/>
    <w:rsid w:val="00083DC7"/>
    <w:rsid w:val="00083E8A"/>
    <w:rsid w:val="00083EE4"/>
    <w:rsid w:val="00083EFC"/>
    <w:rsid w:val="00083F17"/>
    <w:rsid w:val="00083F3C"/>
    <w:rsid w:val="00083FDF"/>
    <w:rsid w:val="000840A0"/>
    <w:rsid w:val="00084192"/>
    <w:rsid w:val="000841B5"/>
    <w:rsid w:val="000845E8"/>
    <w:rsid w:val="00084711"/>
    <w:rsid w:val="0008475B"/>
    <w:rsid w:val="000847BC"/>
    <w:rsid w:val="00084814"/>
    <w:rsid w:val="000848C1"/>
    <w:rsid w:val="00084B9A"/>
    <w:rsid w:val="00084D80"/>
    <w:rsid w:val="00084DB5"/>
    <w:rsid w:val="00084DCD"/>
    <w:rsid w:val="00084E13"/>
    <w:rsid w:val="00084ED2"/>
    <w:rsid w:val="00084F1E"/>
    <w:rsid w:val="00084FC9"/>
    <w:rsid w:val="00085099"/>
    <w:rsid w:val="000852C7"/>
    <w:rsid w:val="0008537C"/>
    <w:rsid w:val="00085465"/>
    <w:rsid w:val="00085546"/>
    <w:rsid w:val="0008554A"/>
    <w:rsid w:val="0008579E"/>
    <w:rsid w:val="00085974"/>
    <w:rsid w:val="000859BA"/>
    <w:rsid w:val="00085A8B"/>
    <w:rsid w:val="00085ABA"/>
    <w:rsid w:val="00085BC3"/>
    <w:rsid w:val="00085C02"/>
    <w:rsid w:val="00085D5F"/>
    <w:rsid w:val="00085DB9"/>
    <w:rsid w:val="00085F2D"/>
    <w:rsid w:val="00085F2E"/>
    <w:rsid w:val="00085F48"/>
    <w:rsid w:val="00085F7A"/>
    <w:rsid w:val="00085F80"/>
    <w:rsid w:val="00086019"/>
    <w:rsid w:val="0008604B"/>
    <w:rsid w:val="0008608A"/>
    <w:rsid w:val="00086164"/>
    <w:rsid w:val="000861A1"/>
    <w:rsid w:val="000861B1"/>
    <w:rsid w:val="000861CB"/>
    <w:rsid w:val="00086232"/>
    <w:rsid w:val="0008632C"/>
    <w:rsid w:val="00086336"/>
    <w:rsid w:val="0008636B"/>
    <w:rsid w:val="000864DA"/>
    <w:rsid w:val="0008672D"/>
    <w:rsid w:val="00086835"/>
    <w:rsid w:val="0008688E"/>
    <w:rsid w:val="000868EA"/>
    <w:rsid w:val="00086A24"/>
    <w:rsid w:val="00086A5F"/>
    <w:rsid w:val="00086A95"/>
    <w:rsid w:val="00086AA3"/>
    <w:rsid w:val="00086BB8"/>
    <w:rsid w:val="00086D13"/>
    <w:rsid w:val="00086D69"/>
    <w:rsid w:val="00086D93"/>
    <w:rsid w:val="00086E95"/>
    <w:rsid w:val="00086F5F"/>
    <w:rsid w:val="00087123"/>
    <w:rsid w:val="000871CE"/>
    <w:rsid w:val="00087215"/>
    <w:rsid w:val="000872AE"/>
    <w:rsid w:val="000874D4"/>
    <w:rsid w:val="000875E5"/>
    <w:rsid w:val="00087645"/>
    <w:rsid w:val="00087698"/>
    <w:rsid w:val="000876F0"/>
    <w:rsid w:val="00087733"/>
    <w:rsid w:val="00087763"/>
    <w:rsid w:val="00087926"/>
    <w:rsid w:val="00087B63"/>
    <w:rsid w:val="00087BBE"/>
    <w:rsid w:val="00087E2A"/>
    <w:rsid w:val="00087F93"/>
    <w:rsid w:val="00090105"/>
    <w:rsid w:val="0009014E"/>
    <w:rsid w:val="00090264"/>
    <w:rsid w:val="000903AE"/>
    <w:rsid w:val="000903AF"/>
    <w:rsid w:val="00090524"/>
    <w:rsid w:val="00090526"/>
    <w:rsid w:val="00090566"/>
    <w:rsid w:val="00090593"/>
    <w:rsid w:val="00090697"/>
    <w:rsid w:val="000906D9"/>
    <w:rsid w:val="000907EC"/>
    <w:rsid w:val="000907EE"/>
    <w:rsid w:val="00090839"/>
    <w:rsid w:val="00090A02"/>
    <w:rsid w:val="00090A4B"/>
    <w:rsid w:val="00090C1C"/>
    <w:rsid w:val="00090C65"/>
    <w:rsid w:val="00090D36"/>
    <w:rsid w:val="00090E01"/>
    <w:rsid w:val="00090EDB"/>
    <w:rsid w:val="00091079"/>
    <w:rsid w:val="00091137"/>
    <w:rsid w:val="0009113D"/>
    <w:rsid w:val="00091145"/>
    <w:rsid w:val="00091232"/>
    <w:rsid w:val="00091302"/>
    <w:rsid w:val="0009130F"/>
    <w:rsid w:val="0009144D"/>
    <w:rsid w:val="000914D2"/>
    <w:rsid w:val="0009154A"/>
    <w:rsid w:val="000915F2"/>
    <w:rsid w:val="0009190E"/>
    <w:rsid w:val="00091949"/>
    <w:rsid w:val="00091995"/>
    <w:rsid w:val="00091A60"/>
    <w:rsid w:val="00091A74"/>
    <w:rsid w:val="00091ACD"/>
    <w:rsid w:val="00091D0A"/>
    <w:rsid w:val="00091F16"/>
    <w:rsid w:val="00091F73"/>
    <w:rsid w:val="00091FD4"/>
    <w:rsid w:val="0009202C"/>
    <w:rsid w:val="00092031"/>
    <w:rsid w:val="000920DA"/>
    <w:rsid w:val="0009213D"/>
    <w:rsid w:val="000923C1"/>
    <w:rsid w:val="00092459"/>
    <w:rsid w:val="00092583"/>
    <w:rsid w:val="00092595"/>
    <w:rsid w:val="000925F9"/>
    <w:rsid w:val="0009298E"/>
    <w:rsid w:val="000929D3"/>
    <w:rsid w:val="00092A38"/>
    <w:rsid w:val="00092B7C"/>
    <w:rsid w:val="00092C30"/>
    <w:rsid w:val="00092C5E"/>
    <w:rsid w:val="00092CCC"/>
    <w:rsid w:val="00092E79"/>
    <w:rsid w:val="00092FAA"/>
    <w:rsid w:val="00093056"/>
    <w:rsid w:val="00093057"/>
    <w:rsid w:val="00093183"/>
    <w:rsid w:val="0009320E"/>
    <w:rsid w:val="00093216"/>
    <w:rsid w:val="000932AC"/>
    <w:rsid w:val="000932DB"/>
    <w:rsid w:val="000932DD"/>
    <w:rsid w:val="0009351C"/>
    <w:rsid w:val="0009356D"/>
    <w:rsid w:val="000935C0"/>
    <w:rsid w:val="00093617"/>
    <w:rsid w:val="0009370E"/>
    <w:rsid w:val="0009371B"/>
    <w:rsid w:val="00093864"/>
    <w:rsid w:val="000938E6"/>
    <w:rsid w:val="00093AD8"/>
    <w:rsid w:val="00093CEB"/>
    <w:rsid w:val="00093D2D"/>
    <w:rsid w:val="00093EB3"/>
    <w:rsid w:val="00094012"/>
    <w:rsid w:val="0009410D"/>
    <w:rsid w:val="0009417D"/>
    <w:rsid w:val="000941D4"/>
    <w:rsid w:val="00094264"/>
    <w:rsid w:val="0009431F"/>
    <w:rsid w:val="0009432D"/>
    <w:rsid w:val="0009467B"/>
    <w:rsid w:val="000946E7"/>
    <w:rsid w:val="0009473E"/>
    <w:rsid w:val="0009479F"/>
    <w:rsid w:val="000947BF"/>
    <w:rsid w:val="0009484C"/>
    <w:rsid w:val="000948BD"/>
    <w:rsid w:val="0009491C"/>
    <w:rsid w:val="00094993"/>
    <w:rsid w:val="0009499C"/>
    <w:rsid w:val="00094A80"/>
    <w:rsid w:val="00094B2E"/>
    <w:rsid w:val="00094BC7"/>
    <w:rsid w:val="00094C98"/>
    <w:rsid w:val="00094D45"/>
    <w:rsid w:val="00094D58"/>
    <w:rsid w:val="00094F12"/>
    <w:rsid w:val="00094F1B"/>
    <w:rsid w:val="00094F39"/>
    <w:rsid w:val="0009525D"/>
    <w:rsid w:val="000952F9"/>
    <w:rsid w:val="00095410"/>
    <w:rsid w:val="00095471"/>
    <w:rsid w:val="0009570A"/>
    <w:rsid w:val="00095800"/>
    <w:rsid w:val="00095881"/>
    <w:rsid w:val="0009589E"/>
    <w:rsid w:val="000958D3"/>
    <w:rsid w:val="000958F3"/>
    <w:rsid w:val="0009592D"/>
    <w:rsid w:val="0009598C"/>
    <w:rsid w:val="00095A46"/>
    <w:rsid w:val="00095B5B"/>
    <w:rsid w:val="00095C5F"/>
    <w:rsid w:val="00095C7B"/>
    <w:rsid w:val="00095CA4"/>
    <w:rsid w:val="00095D67"/>
    <w:rsid w:val="00095DB9"/>
    <w:rsid w:val="00095F1D"/>
    <w:rsid w:val="0009602E"/>
    <w:rsid w:val="00096161"/>
    <w:rsid w:val="000961A1"/>
    <w:rsid w:val="000961C3"/>
    <w:rsid w:val="0009638F"/>
    <w:rsid w:val="000963AF"/>
    <w:rsid w:val="00096437"/>
    <w:rsid w:val="00096467"/>
    <w:rsid w:val="0009651D"/>
    <w:rsid w:val="00096611"/>
    <w:rsid w:val="00096641"/>
    <w:rsid w:val="000966E0"/>
    <w:rsid w:val="00096B1D"/>
    <w:rsid w:val="00096D0E"/>
    <w:rsid w:val="00096D3F"/>
    <w:rsid w:val="00096EAE"/>
    <w:rsid w:val="00096ED7"/>
    <w:rsid w:val="00096FC3"/>
    <w:rsid w:val="000970D3"/>
    <w:rsid w:val="000970ED"/>
    <w:rsid w:val="00097179"/>
    <w:rsid w:val="0009732D"/>
    <w:rsid w:val="00097496"/>
    <w:rsid w:val="0009754E"/>
    <w:rsid w:val="00097563"/>
    <w:rsid w:val="00097573"/>
    <w:rsid w:val="0009761B"/>
    <w:rsid w:val="00097665"/>
    <w:rsid w:val="00097726"/>
    <w:rsid w:val="00097747"/>
    <w:rsid w:val="00097A35"/>
    <w:rsid w:val="00097ABB"/>
    <w:rsid w:val="00097C79"/>
    <w:rsid w:val="00097CB5"/>
    <w:rsid w:val="00097DF5"/>
    <w:rsid w:val="000A0018"/>
    <w:rsid w:val="000A00E9"/>
    <w:rsid w:val="000A0146"/>
    <w:rsid w:val="000A0234"/>
    <w:rsid w:val="000A0279"/>
    <w:rsid w:val="000A046E"/>
    <w:rsid w:val="000A0607"/>
    <w:rsid w:val="000A062F"/>
    <w:rsid w:val="000A070C"/>
    <w:rsid w:val="000A09D1"/>
    <w:rsid w:val="000A0B52"/>
    <w:rsid w:val="000A0B67"/>
    <w:rsid w:val="000A0BD6"/>
    <w:rsid w:val="000A0C9C"/>
    <w:rsid w:val="000A0CEC"/>
    <w:rsid w:val="000A0E16"/>
    <w:rsid w:val="000A0F1F"/>
    <w:rsid w:val="000A0FD6"/>
    <w:rsid w:val="000A1127"/>
    <w:rsid w:val="000A11AE"/>
    <w:rsid w:val="000A127C"/>
    <w:rsid w:val="000A143F"/>
    <w:rsid w:val="000A1460"/>
    <w:rsid w:val="000A1638"/>
    <w:rsid w:val="000A16D9"/>
    <w:rsid w:val="000A177C"/>
    <w:rsid w:val="000A18F2"/>
    <w:rsid w:val="000A1AC3"/>
    <w:rsid w:val="000A1B04"/>
    <w:rsid w:val="000A1B4C"/>
    <w:rsid w:val="000A1B4D"/>
    <w:rsid w:val="000A1B82"/>
    <w:rsid w:val="000A1BAC"/>
    <w:rsid w:val="000A1C00"/>
    <w:rsid w:val="000A1C0F"/>
    <w:rsid w:val="000A1D0E"/>
    <w:rsid w:val="000A1E23"/>
    <w:rsid w:val="000A1E95"/>
    <w:rsid w:val="000A1EB0"/>
    <w:rsid w:val="000A1FB0"/>
    <w:rsid w:val="000A2118"/>
    <w:rsid w:val="000A213C"/>
    <w:rsid w:val="000A216F"/>
    <w:rsid w:val="000A21FD"/>
    <w:rsid w:val="000A23DD"/>
    <w:rsid w:val="000A2489"/>
    <w:rsid w:val="000A2540"/>
    <w:rsid w:val="000A258E"/>
    <w:rsid w:val="000A25E9"/>
    <w:rsid w:val="000A270F"/>
    <w:rsid w:val="000A27C6"/>
    <w:rsid w:val="000A27CA"/>
    <w:rsid w:val="000A27FD"/>
    <w:rsid w:val="000A2929"/>
    <w:rsid w:val="000A2949"/>
    <w:rsid w:val="000A2A11"/>
    <w:rsid w:val="000A2B64"/>
    <w:rsid w:val="000A2BEA"/>
    <w:rsid w:val="000A2C05"/>
    <w:rsid w:val="000A2CF1"/>
    <w:rsid w:val="000A2EC6"/>
    <w:rsid w:val="000A305E"/>
    <w:rsid w:val="000A30CC"/>
    <w:rsid w:val="000A326B"/>
    <w:rsid w:val="000A32A8"/>
    <w:rsid w:val="000A358C"/>
    <w:rsid w:val="000A35D4"/>
    <w:rsid w:val="000A35FA"/>
    <w:rsid w:val="000A35FC"/>
    <w:rsid w:val="000A3763"/>
    <w:rsid w:val="000A38DE"/>
    <w:rsid w:val="000A3968"/>
    <w:rsid w:val="000A39AD"/>
    <w:rsid w:val="000A3B83"/>
    <w:rsid w:val="000A3CBF"/>
    <w:rsid w:val="000A3F62"/>
    <w:rsid w:val="000A3F77"/>
    <w:rsid w:val="000A400E"/>
    <w:rsid w:val="000A40A1"/>
    <w:rsid w:val="000A40A4"/>
    <w:rsid w:val="000A40D5"/>
    <w:rsid w:val="000A42C5"/>
    <w:rsid w:val="000A4406"/>
    <w:rsid w:val="000A4407"/>
    <w:rsid w:val="000A4470"/>
    <w:rsid w:val="000A4513"/>
    <w:rsid w:val="000A454C"/>
    <w:rsid w:val="000A4749"/>
    <w:rsid w:val="000A4780"/>
    <w:rsid w:val="000A47C2"/>
    <w:rsid w:val="000A47FB"/>
    <w:rsid w:val="000A4835"/>
    <w:rsid w:val="000A4877"/>
    <w:rsid w:val="000A49AA"/>
    <w:rsid w:val="000A4A40"/>
    <w:rsid w:val="000A4A70"/>
    <w:rsid w:val="000A4B34"/>
    <w:rsid w:val="000A4B92"/>
    <w:rsid w:val="000A4C19"/>
    <w:rsid w:val="000A4DE2"/>
    <w:rsid w:val="000A4F76"/>
    <w:rsid w:val="000A4FE1"/>
    <w:rsid w:val="000A5018"/>
    <w:rsid w:val="000A50D0"/>
    <w:rsid w:val="000A50F9"/>
    <w:rsid w:val="000A514E"/>
    <w:rsid w:val="000A5164"/>
    <w:rsid w:val="000A5439"/>
    <w:rsid w:val="000A5639"/>
    <w:rsid w:val="000A5677"/>
    <w:rsid w:val="000A56C1"/>
    <w:rsid w:val="000A598E"/>
    <w:rsid w:val="000A59A3"/>
    <w:rsid w:val="000A5A1A"/>
    <w:rsid w:val="000A5B96"/>
    <w:rsid w:val="000A5C5F"/>
    <w:rsid w:val="000A5D5C"/>
    <w:rsid w:val="000A5DA6"/>
    <w:rsid w:val="000A5DB4"/>
    <w:rsid w:val="000A5E2C"/>
    <w:rsid w:val="000A5E61"/>
    <w:rsid w:val="000A5FCB"/>
    <w:rsid w:val="000A6561"/>
    <w:rsid w:val="000A6562"/>
    <w:rsid w:val="000A66C3"/>
    <w:rsid w:val="000A66E8"/>
    <w:rsid w:val="000A66FB"/>
    <w:rsid w:val="000A670F"/>
    <w:rsid w:val="000A6901"/>
    <w:rsid w:val="000A695E"/>
    <w:rsid w:val="000A6A07"/>
    <w:rsid w:val="000A6A2A"/>
    <w:rsid w:val="000A6A93"/>
    <w:rsid w:val="000A6C7A"/>
    <w:rsid w:val="000A6C99"/>
    <w:rsid w:val="000A6DAF"/>
    <w:rsid w:val="000A6E14"/>
    <w:rsid w:val="000A6F13"/>
    <w:rsid w:val="000A70C0"/>
    <w:rsid w:val="000A7127"/>
    <w:rsid w:val="000A71FB"/>
    <w:rsid w:val="000A725B"/>
    <w:rsid w:val="000A7267"/>
    <w:rsid w:val="000A7278"/>
    <w:rsid w:val="000A729E"/>
    <w:rsid w:val="000A72AB"/>
    <w:rsid w:val="000A72C2"/>
    <w:rsid w:val="000A73F5"/>
    <w:rsid w:val="000A7550"/>
    <w:rsid w:val="000A7768"/>
    <w:rsid w:val="000A77FF"/>
    <w:rsid w:val="000A7925"/>
    <w:rsid w:val="000A7A29"/>
    <w:rsid w:val="000A7AB9"/>
    <w:rsid w:val="000A7B10"/>
    <w:rsid w:val="000A7C0C"/>
    <w:rsid w:val="000A7CF2"/>
    <w:rsid w:val="000A7D15"/>
    <w:rsid w:val="000A7E35"/>
    <w:rsid w:val="000A7E5A"/>
    <w:rsid w:val="000A7E66"/>
    <w:rsid w:val="000A7E71"/>
    <w:rsid w:val="000A7EDB"/>
    <w:rsid w:val="000A7F7A"/>
    <w:rsid w:val="000B0099"/>
    <w:rsid w:val="000B00C2"/>
    <w:rsid w:val="000B037F"/>
    <w:rsid w:val="000B03F0"/>
    <w:rsid w:val="000B047E"/>
    <w:rsid w:val="000B04E3"/>
    <w:rsid w:val="000B04FA"/>
    <w:rsid w:val="000B058C"/>
    <w:rsid w:val="000B05A2"/>
    <w:rsid w:val="000B05EA"/>
    <w:rsid w:val="000B06C3"/>
    <w:rsid w:val="000B076E"/>
    <w:rsid w:val="000B082D"/>
    <w:rsid w:val="000B08ED"/>
    <w:rsid w:val="000B0C4B"/>
    <w:rsid w:val="000B0C8C"/>
    <w:rsid w:val="000B0DA0"/>
    <w:rsid w:val="000B0DAA"/>
    <w:rsid w:val="000B0E0B"/>
    <w:rsid w:val="000B0E21"/>
    <w:rsid w:val="000B0EB2"/>
    <w:rsid w:val="000B0F39"/>
    <w:rsid w:val="000B0FCD"/>
    <w:rsid w:val="000B0FF5"/>
    <w:rsid w:val="000B124E"/>
    <w:rsid w:val="000B1438"/>
    <w:rsid w:val="000B149A"/>
    <w:rsid w:val="000B161B"/>
    <w:rsid w:val="000B1715"/>
    <w:rsid w:val="000B172D"/>
    <w:rsid w:val="000B1904"/>
    <w:rsid w:val="000B1A05"/>
    <w:rsid w:val="000B1A8F"/>
    <w:rsid w:val="000B1AF5"/>
    <w:rsid w:val="000B1D30"/>
    <w:rsid w:val="000B1D6A"/>
    <w:rsid w:val="000B1DCD"/>
    <w:rsid w:val="000B1E85"/>
    <w:rsid w:val="000B1E8A"/>
    <w:rsid w:val="000B1ECE"/>
    <w:rsid w:val="000B1FDF"/>
    <w:rsid w:val="000B20D6"/>
    <w:rsid w:val="000B2163"/>
    <w:rsid w:val="000B2278"/>
    <w:rsid w:val="000B2384"/>
    <w:rsid w:val="000B23EE"/>
    <w:rsid w:val="000B23F7"/>
    <w:rsid w:val="000B2447"/>
    <w:rsid w:val="000B24B1"/>
    <w:rsid w:val="000B24C2"/>
    <w:rsid w:val="000B26C6"/>
    <w:rsid w:val="000B26F6"/>
    <w:rsid w:val="000B273E"/>
    <w:rsid w:val="000B28EA"/>
    <w:rsid w:val="000B29F9"/>
    <w:rsid w:val="000B2A14"/>
    <w:rsid w:val="000B2A68"/>
    <w:rsid w:val="000B2AA9"/>
    <w:rsid w:val="000B2B00"/>
    <w:rsid w:val="000B2C05"/>
    <w:rsid w:val="000B2C17"/>
    <w:rsid w:val="000B2C6F"/>
    <w:rsid w:val="000B2CB1"/>
    <w:rsid w:val="000B2CB3"/>
    <w:rsid w:val="000B2E18"/>
    <w:rsid w:val="000B2EA4"/>
    <w:rsid w:val="000B3172"/>
    <w:rsid w:val="000B31D7"/>
    <w:rsid w:val="000B3233"/>
    <w:rsid w:val="000B3321"/>
    <w:rsid w:val="000B348E"/>
    <w:rsid w:val="000B34F4"/>
    <w:rsid w:val="000B3668"/>
    <w:rsid w:val="000B3684"/>
    <w:rsid w:val="000B36C2"/>
    <w:rsid w:val="000B36DD"/>
    <w:rsid w:val="000B376E"/>
    <w:rsid w:val="000B3850"/>
    <w:rsid w:val="000B3851"/>
    <w:rsid w:val="000B3911"/>
    <w:rsid w:val="000B393E"/>
    <w:rsid w:val="000B394A"/>
    <w:rsid w:val="000B39C7"/>
    <w:rsid w:val="000B3A03"/>
    <w:rsid w:val="000B3AB8"/>
    <w:rsid w:val="000B3BB2"/>
    <w:rsid w:val="000B3BCC"/>
    <w:rsid w:val="000B3C5F"/>
    <w:rsid w:val="000B3CB0"/>
    <w:rsid w:val="000B3E2A"/>
    <w:rsid w:val="000B408A"/>
    <w:rsid w:val="000B4099"/>
    <w:rsid w:val="000B40DD"/>
    <w:rsid w:val="000B4192"/>
    <w:rsid w:val="000B430C"/>
    <w:rsid w:val="000B43BB"/>
    <w:rsid w:val="000B43D1"/>
    <w:rsid w:val="000B44DE"/>
    <w:rsid w:val="000B4515"/>
    <w:rsid w:val="000B4A5B"/>
    <w:rsid w:val="000B4A67"/>
    <w:rsid w:val="000B4AB0"/>
    <w:rsid w:val="000B4B26"/>
    <w:rsid w:val="000B4C2A"/>
    <w:rsid w:val="000B4C96"/>
    <w:rsid w:val="000B4E00"/>
    <w:rsid w:val="000B4E0A"/>
    <w:rsid w:val="000B4E2D"/>
    <w:rsid w:val="000B4E7D"/>
    <w:rsid w:val="000B4F6B"/>
    <w:rsid w:val="000B4FC7"/>
    <w:rsid w:val="000B511E"/>
    <w:rsid w:val="000B51FD"/>
    <w:rsid w:val="000B52C6"/>
    <w:rsid w:val="000B535F"/>
    <w:rsid w:val="000B5496"/>
    <w:rsid w:val="000B553E"/>
    <w:rsid w:val="000B555C"/>
    <w:rsid w:val="000B5573"/>
    <w:rsid w:val="000B5639"/>
    <w:rsid w:val="000B56B0"/>
    <w:rsid w:val="000B57FF"/>
    <w:rsid w:val="000B582F"/>
    <w:rsid w:val="000B58C3"/>
    <w:rsid w:val="000B5961"/>
    <w:rsid w:val="000B59A3"/>
    <w:rsid w:val="000B59B4"/>
    <w:rsid w:val="000B5AA7"/>
    <w:rsid w:val="000B5B9C"/>
    <w:rsid w:val="000B5BEE"/>
    <w:rsid w:val="000B5C24"/>
    <w:rsid w:val="000B5C70"/>
    <w:rsid w:val="000B5E0E"/>
    <w:rsid w:val="000B5EF0"/>
    <w:rsid w:val="000B5F5E"/>
    <w:rsid w:val="000B5FA7"/>
    <w:rsid w:val="000B5FD8"/>
    <w:rsid w:val="000B60BC"/>
    <w:rsid w:val="000B61FE"/>
    <w:rsid w:val="000B6239"/>
    <w:rsid w:val="000B6253"/>
    <w:rsid w:val="000B6332"/>
    <w:rsid w:val="000B6465"/>
    <w:rsid w:val="000B6625"/>
    <w:rsid w:val="000B663C"/>
    <w:rsid w:val="000B6669"/>
    <w:rsid w:val="000B667C"/>
    <w:rsid w:val="000B68A7"/>
    <w:rsid w:val="000B691B"/>
    <w:rsid w:val="000B69B5"/>
    <w:rsid w:val="000B6D8E"/>
    <w:rsid w:val="000B6EC2"/>
    <w:rsid w:val="000B6FC5"/>
    <w:rsid w:val="000B7181"/>
    <w:rsid w:val="000B724B"/>
    <w:rsid w:val="000B727E"/>
    <w:rsid w:val="000B7280"/>
    <w:rsid w:val="000B7283"/>
    <w:rsid w:val="000B72B5"/>
    <w:rsid w:val="000B72EB"/>
    <w:rsid w:val="000B73AD"/>
    <w:rsid w:val="000B73B6"/>
    <w:rsid w:val="000B7621"/>
    <w:rsid w:val="000B76CC"/>
    <w:rsid w:val="000B76DB"/>
    <w:rsid w:val="000B785D"/>
    <w:rsid w:val="000B78B2"/>
    <w:rsid w:val="000B79CB"/>
    <w:rsid w:val="000B79CC"/>
    <w:rsid w:val="000B7B63"/>
    <w:rsid w:val="000B7D11"/>
    <w:rsid w:val="000B7DCF"/>
    <w:rsid w:val="000B7DFD"/>
    <w:rsid w:val="000C001F"/>
    <w:rsid w:val="000C00E2"/>
    <w:rsid w:val="000C0142"/>
    <w:rsid w:val="000C03C3"/>
    <w:rsid w:val="000C045B"/>
    <w:rsid w:val="000C0483"/>
    <w:rsid w:val="000C0554"/>
    <w:rsid w:val="000C070F"/>
    <w:rsid w:val="000C07EA"/>
    <w:rsid w:val="000C0E3F"/>
    <w:rsid w:val="000C1050"/>
    <w:rsid w:val="000C10C0"/>
    <w:rsid w:val="000C11AB"/>
    <w:rsid w:val="000C11DC"/>
    <w:rsid w:val="000C129E"/>
    <w:rsid w:val="000C14B1"/>
    <w:rsid w:val="000C151E"/>
    <w:rsid w:val="000C1574"/>
    <w:rsid w:val="000C158C"/>
    <w:rsid w:val="000C1590"/>
    <w:rsid w:val="000C15A4"/>
    <w:rsid w:val="000C169A"/>
    <w:rsid w:val="000C1754"/>
    <w:rsid w:val="000C17F0"/>
    <w:rsid w:val="000C19F8"/>
    <w:rsid w:val="000C1A29"/>
    <w:rsid w:val="000C1CFB"/>
    <w:rsid w:val="000C1D07"/>
    <w:rsid w:val="000C1EB5"/>
    <w:rsid w:val="000C1EE8"/>
    <w:rsid w:val="000C1F77"/>
    <w:rsid w:val="000C212F"/>
    <w:rsid w:val="000C2264"/>
    <w:rsid w:val="000C241D"/>
    <w:rsid w:val="000C24C3"/>
    <w:rsid w:val="000C24D6"/>
    <w:rsid w:val="000C2676"/>
    <w:rsid w:val="000C26B1"/>
    <w:rsid w:val="000C28C0"/>
    <w:rsid w:val="000C29B1"/>
    <w:rsid w:val="000C2A90"/>
    <w:rsid w:val="000C2A9A"/>
    <w:rsid w:val="000C2AD5"/>
    <w:rsid w:val="000C2BA1"/>
    <w:rsid w:val="000C2C16"/>
    <w:rsid w:val="000C2CB2"/>
    <w:rsid w:val="000C2CF2"/>
    <w:rsid w:val="000C2D37"/>
    <w:rsid w:val="000C2DA9"/>
    <w:rsid w:val="000C2DD2"/>
    <w:rsid w:val="000C2E48"/>
    <w:rsid w:val="000C2ED3"/>
    <w:rsid w:val="000C30C8"/>
    <w:rsid w:val="000C3113"/>
    <w:rsid w:val="000C311D"/>
    <w:rsid w:val="000C314D"/>
    <w:rsid w:val="000C315B"/>
    <w:rsid w:val="000C3250"/>
    <w:rsid w:val="000C32CA"/>
    <w:rsid w:val="000C3398"/>
    <w:rsid w:val="000C3544"/>
    <w:rsid w:val="000C35AE"/>
    <w:rsid w:val="000C3676"/>
    <w:rsid w:val="000C369A"/>
    <w:rsid w:val="000C3705"/>
    <w:rsid w:val="000C3764"/>
    <w:rsid w:val="000C38C1"/>
    <w:rsid w:val="000C38DC"/>
    <w:rsid w:val="000C3972"/>
    <w:rsid w:val="000C3A00"/>
    <w:rsid w:val="000C3A15"/>
    <w:rsid w:val="000C3A1D"/>
    <w:rsid w:val="000C3A85"/>
    <w:rsid w:val="000C3B6A"/>
    <w:rsid w:val="000C3B7C"/>
    <w:rsid w:val="000C3C93"/>
    <w:rsid w:val="000C3D53"/>
    <w:rsid w:val="000C3DA1"/>
    <w:rsid w:val="000C3E5D"/>
    <w:rsid w:val="000C3F07"/>
    <w:rsid w:val="000C40A7"/>
    <w:rsid w:val="000C416B"/>
    <w:rsid w:val="000C419C"/>
    <w:rsid w:val="000C4208"/>
    <w:rsid w:val="000C421E"/>
    <w:rsid w:val="000C4251"/>
    <w:rsid w:val="000C42F5"/>
    <w:rsid w:val="000C4301"/>
    <w:rsid w:val="000C435B"/>
    <w:rsid w:val="000C43A7"/>
    <w:rsid w:val="000C43DC"/>
    <w:rsid w:val="000C44AC"/>
    <w:rsid w:val="000C4548"/>
    <w:rsid w:val="000C4622"/>
    <w:rsid w:val="000C48CB"/>
    <w:rsid w:val="000C493B"/>
    <w:rsid w:val="000C496C"/>
    <w:rsid w:val="000C49C8"/>
    <w:rsid w:val="000C49DE"/>
    <w:rsid w:val="000C49F6"/>
    <w:rsid w:val="000C4CB7"/>
    <w:rsid w:val="000C4E63"/>
    <w:rsid w:val="000C4E90"/>
    <w:rsid w:val="000C4F66"/>
    <w:rsid w:val="000C4F8B"/>
    <w:rsid w:val="000C4FE6"/>
    <w:rsid w:val="000C50C4"/>
    <w:rsid w:val="000C512B"/>
    <w:rsid w:val="000C51D9"/>
    <w:rsid w:val="000C51F3"/>
    <w:rsid w:val="000C5205"/>
    <w:rsid w:val="000C52BB"/>
    <w:rsid w:val="000C5302"/>
    <w:rsid w:val="000C53CB"/>
    <w:rsid w:val="000C53DE"/>
    <w:rsid w:val="000C545F"/>
    <w:rsid w:val="000C5686"/>
    <w:rsid w:val="000C56A4"/>
    <w:rsid w:val="000C5748"/>
    <w:rsid w:val="000C5752"/>
    <w:rsid w:val="000C59B9"/>
    <w:rsid w:val="000C5AFA"/>
    <w:rsid w:val="000C5B07"/>
    <w:rsid w:val="000C5B5D"/>
    <w:rsid w:val="000C5B72"/>
    <w:rsid w:val="000C5BA6"/>
    <w:rsid w:val="000C5C71"/>
    <w:rsid w:val="000C5D0D"/>
    <w:rsid w:val="000C5DE8"/>
    <w:rsid w:val="000C5E05"/>
    <w:rsid w:val="000C5E2F"/>
    <w:rsid w:val="000C5E4D"/>
    <w:rsid w:val="000C5EDC"/>
    <w:rsid w:val="000C5EF8"/>
    <w:rsid w:val="000C5F42"/>
    <w:rsid w:val="000C60C7"/>
    <w:rsid w:val="000C60D3"/>
    <w:rsid w:val="000C6289"/>
    <w:rsid w:val="000C62FD"/>
    <w:rsid w:val="000C6350"/>
    <w:rsid w:val="000C6362"/>
    <w:rsid w:val="000C641C"/>
    <w:rsid w:val="000C642B"/>
    <w:rsid w:val="000C6436"/>
    <w:rsid w:val="000C646C"/>
    <w:rsid w:val="000C64D7"/>
    <w:rsid w:val="000C656B"/>
    <w:rsid w:val="000C6579"/>
    <w:rsid w:val="000C6738"/>
    <w:rsid w:val="000C6756"/>
    <w:rsid w:val="000C67FE"/>
    <w:rsid w:val="000C6867"/>
    <w:rsid w:val="000C68E9"/>
    <w:rsid w:val="000C6930"/>
    <w:rsid w:val="000C6A14"/>
    <w:rsid w:val="000C6A78"/>
    <w:rsid w:val="000C6ADC"/>
    <w:rsid w:val="000C6B26"/>
    <w:rsid w:val="000C6B79"/>
    <w:rsid w:val="000C6BA5"/>
    <w:rsid w:val="000C6CD0"/>
    <w:rsid w:val="000C6E8D"/>
    <w:rsid w:val="000C6F25"/>
    <w:rsid w:val="000C7001"/>
    <w:rsid w:val="000C7067"/>
    <w:rsid w:val="000C7081"/>
    <w:rsid w:val="000C7157"/>
    <w:rsid w:val="000C7191"/>
    <w:rsid w:val="000C71C5"/>
    <w:rsid w:val="000C7211"/>
    <w:rsid w:val="000C7243"/>
    <w:rsid w:val="000C72ED"/>
    <w:rsid w:val="000C730F"/>
    <w:rsid w:val="000C74AB"/>
    <w:rsid w:val="000C75C6"/>
    <w:rsid w:val="000C75E7"/>
    <w:rsid w:val="000C76B2"/>
    <w:rsid w:val="000C78C7"/>
    <w:rsid w:val="000C7A47"/>
    <w:rsid w:val="000C7BA0"/>
    <w:rsid w:val="000C7C7C"/>
    <w:rsid w:val="000C7C82"/>
    <w:rsid w:val="000C7D6B"/>
    <w:rsid w:val="000C7DA1"/>
    <w:rsid w:val="000C7DB5"/>
    <w:rsid w:val="000C7E2D"/>
    <w:rsid w:val="000C7E35"/>
    <w:rsid w:val="000C7EAB"/>
    <w:rsid w:val="000C7EFC"/>
    <w:rsid w:val="000C7F11"/>
    <w:rsid w:val="000D01C7"/>
    <w:rsid w:val="000D0313"/>
    <w:rsid w:val="000D0424"/>
    <w:rsid w:val="000D0478"/>
    <w:rsid w:val="000D0562"/>
    <w:rsid w:val="000D0622"/>
    <w:rsid w:val="000D06B4"/>
    <w:rsid w:val="000D0824"/>
    <w:rsid w:val="000D0930"/>
    <w:rsid w:val="000D0A34"/>
    <w:rsid w:val="000D0A64"/>
    <w:rsid w:val="000D0A7E"/>
    <w:rsid w:val="000D0B33"/>
    <w:rsid w:val="000D0CFD"/>
    <w:rsid w:val="000D0D5B"/>
    <w:rsid w:val="000D0F6B"/>
    <w:rsid w:val="000D0F80"/>
    <w:rsid w:val="000D1123"/>
    <w:rsid w:val="000D11F5"/>
    <w:rsid w:val="000D1216"/>
    <w:rsid w:val="000D1359"/>
    <w:rsid w:val="000D1662"/>
    <w:rsid w:val="000D174A"/>
    <w:rsid w:val="000D1813"/>
    <w:rsid w:val="000D1837"/>
    <w:rsid w:val="000D184A"/>
    <w:rsid w:val="000D1945"/>
    <w:rsid w:val="000D1971"/>
    <w:rsid w:val="000D19C4"/>
    <w:rsid w:val="000D1A8F"/>
    <w:rsid w:val="000D1B7D"/>
    <w:rsid w:val="000D1C61"/>
    <w:rsid w:val="000D1CEA"/>
    <w:rsid w:val="000D1E6C"/>
    <w:rsid w:val="000D1F06"/>
    <w:rsid w:val="000D1F64"/>
    <w:rsid w:val="000D20F1"/>
    <w:rsid w:val="000D22A7"/>
    <w:rsid w:val="000D24A7"/>
    <w:rsid w:val="000D2553"/>
    <w:rsid w:val="000D2574"/>
    <w:rsid w:val="000D25A1"/>
    <w:rsid w:val="000D27EC"/>
    <w:rsid w:val="000D294F"/>
    <w:rsid w:val="000D2B9A"/>
    <w:rsid w:val="000D2D05"/>
    <w:rsid w:val="000D2D07"/>
    <w:rsid w:val="000D2F8D"/>
    <w:rsid w:val="000D30DB"/>
    <w:rsid w:val="000D3109"/>
    <w:rsid w:val="000D315A"/>
    <w:rsid w:val="000D32A5"/>
    <w:rsid w:val="000D32AD"/>
    <w:rsid w:val="000D3333"/>
    <w:rsid w:val="000D3335"/>
    <w:rsid w:val="000D34D0"/>
    <w:rsid w:val="000D35CD"/>
    <w:rsid w:val="000D37C9"/>
    <w:rsid w:val="000D39CA"/>
    <w:rsid w:val="000D3A63"/>
    <w:rsid w:val="000D3A6C"/>
    <w:rsid w:val="000D3CE7"/>
    <w:rsid w:val="000D3D45"/>
    <w:rsid w:val="000D3E3E"/>
    <w:rsid w:val="000D3E43"/>
    <w:rsid w:val="000D3E9D"/>
    <w:rsid w:val="000D3EE1"/>
    <w:rsid w:val="000D3EE5"/>
    <w:rsid w:val="000D426A"/>
    <w:rsid w:val="000D4371"/>
    <w:rsid w:val="000D43C5"/>
    <w:rsid w:val="000D43EB"/>
    <w:rsid w:val="000D43FC"/>
    <w:rsid w:val="000D4561"/>
    <w:rsid w:val="000D45B9"/>
    <w:rsid w:val="000D45ED"/>
    <w:rsid w:val="000D46C6"/>
    <w:rsid w:val="000D478A"/>
    <w:rsid w:val="000D486B"/>
    <w:rsid w:val="000D48D8"/>
    <w:rsid w:val="000D4928"/>
    <w:rsid w:val="000D492E"/>
    <w:rsid w:val="000D49B2"/>
    <w:rsid w:val="000D4A60"/>
    <w:rsid w:val="000D4A68"/>
    <w:rsid w:val="000D4BDF"/>
    <w:rsid w:val="000D4C94"/>
    <w:rsid w:val="000D4DC9"/>
    <w:rsid w:val="000D4E0B"/>
    <w:rsid w:val="000D5056"/>
    <w:rsid w:val="000D5068"/>
    <w:rsid w:val="000D5080"/>
    <w:rsid w:val="000D5334"/>
    <w:rsid w:val="000D5347"/>
    <w:rsid w:val="000D537E"/>
    <w:rsid w:val="000D5572"/>
    <w:rsid w:val="000D55D7"/>
    <w:rsid w:val="000D55D9"/>
    <w:rsid w:val="000D5617"/>
    <w:rsid w:val="000D5621"/>
    <w:rsid w:val="000D567E"/>
    <w:rsid w:val="000D5695"/>
    <w:rsid w:val="000D56DF"/>
    <w:rsid w:val="000D573F"/>
    <w:rsid w:val="000D576B"/>
    <w:rsid w:val="000D57C7"/>
    <w:rsid w:val="000D5898"/>
    <w:rsid w:val="000D58D8"/>
    <w:rsid w:val="000D5AA2"/>
    <w:rsid w:val="000D5B10"/>
    <w:rsid w:val="000D5B2D"/>
    <w:rsid w:val="000D5BFD"/>
    <w:rsid w:val="000D5DD4"/>
    <w:rsid w:val="000D5F0A"/>
    <w:rsid w:val="000D5F0E"/>
    <w:rsid w:val="000D5FC3"/>
    <w:rsid w:val="000D6006"/>
    <w:rsid w:val="000D60A3"/>
    <w:rsid w:val="000D610C"/>
    <w:rsid w:val="000D623C"/>
    <w:rsid w:val="000D62B2"/>
    <w:rsid w:val="000D62D9"/>
    <w:rsid w:val="000D6346"/>
    <w:rsid w:val="000D6353"/>
    <w:rsid w:val="000D6568"/>
    <w:rsid w:val="000D659B"/>
    <w:rsid w:val="000D6813"/>
    <w:rsid w:val="000D681F"/>
    <w:rsid w:val="000D685A"/>
    <w:rsid w:val="000D68FF"/>
    <w:rsid w:val="000D6978"/>
    <w:rsid w:val="000D69C3"/>
    <w:rsid w:val="000D6A74"/>
    <w:rsid w:val="000D6B48"/>
    <w:rsid w:val="000D6D51"/>
    <w:rsid w:val="000D6D9F"/>
    <w:rsid w:val="000D6DD6"/>
    <w:rsid w:val="000D6E36"/>
    <w:rsid w:val="000D6E96"/>
    <w:rsid w:val="000D6FA4"/>
    <w:rsid w:val="000D7065"/>
    <w:rsid w:val="000D70B9"/>
    <w:rsid w:val="000D7111"/>
    <w:rsid w:val="000D7245"/>
    <w:rsid w:val="000D72B6"/>
    <w:rsid w:val="000D72C3"/>
    <w:rsid w:val="000D7393"/>
    <w:rsid w:val="000D7561"/>
    <w:rsid w:val="000D77A1"/>
    <w:rsid w:val="000D77B6"/>
    <w:rsid w:val="000D781C"/>
    <w:rsid w:val="000D78AD"/>
    <w:rsid w:val="000D792D"/>
    <w:rsid w:val="000D79A8"/>
    <w:rsid w:val="000D79C5"/>
    <w:rsid w:val="000D7A2A"/>
    <w:rsid w:val="000D7AEE"/>
    <w:rsid w:val="000D7DC0"/>
    <w:rsid w:val="000D7DDC"/>
    <w:rsid w:val="000D7DF4"/>
    <w:rsid w:val="000D7E0E"/>
    <w:rsid w:val="000D7FE8"/>
    <w:rsid w:val="000E0040"/>
    <w:rsid w:val="000E00FA"/>
    <w:rsid w:val="000E0225"/>
    <w:rsid w:val="000E02D4"/>
    <w:rsid w:val="000E02E0"/>
    <w:rsid w:val="000E0391"/>
    <w:rsid w:val="000E03EA"/>
    <w:rsid w:val="000E044E"/>
    <w:rsid w:val="000E0626"/>
    <w:rsid w:val="000E0659"/>
    <w:rsid w:val="000E070B"/>
    <w:rsid w:val="000E079D"/>
    <w:rsid w:val="000E07E2"/>
    <w:rsid w:val="000E092B"/>
    <w:rsid w:val="000E0971"/>
    <w:rsid w:val="000E0978"/>
    <w:rsid w:val="000E09EE"/>
    <w:rsid w:val="000E0A65"/>
    <w:rsid w:val="000E0B28"/>
    <w:rsid w:val="000E0C0C"/>
    <w:rsid w:val="000E0D81"/>
    <w:rsid w:val="000E0DB6"/>
    <w:rsid w:val="000E0ED0"/>
    <w:rsid w:val="000E0F4D"/>
    <w:rsid w:val="000E0F6B"/>
    <w:rsid w:val="000E0F72"/>
    <w:rsid w:val="000E0FC2"/>
    <w:rsid w:val="000E106B"/>
    <w:rsid w:val="000E11B3"/>
    <w:rsid w:val="000E128F"/>
    <w:rsid w:val="000E13BF"/>
    <w:rsid w:val="000E1533"/>
    <w:rsid w:val="000E16CA"/>
    <w:rsid w:val="000E16E6"/>
    <w:rsid w:val="000E1744"/>
    <w:rsid w:val="000E1777"/>
    <w:rsid w:val="000E178E"/>
    <w:rsid w:val="000E17BB"/>
    <w:rsid w:val="000E1819"/>
    <w:rsid w:val="000E1907"/>
    <w:rsid w:val="000E1982"/>
    <w:rsid w:val="000E19D3"/>
    <w:rsid w:val="000E1A2E"/>
    <w:rsid w:val="000E1A70"/>
    <w:rsid w:val="000E1A97"/>
    <w:rsid w:val="000E1AE0"/>
    <w:rsid w:val="000E1CE1"/>
    <w:rsid w:val="000E1DD9"/>
    <w:rsid w:val="000E1DF6"/>
    <w:rsid w:val="000E1F32"/>
    <w:rsid w:val="000E1F69"/>
    <w:rsid w:val="000E1F7A"/>
    <w:rsid w:val="000E2013"/>
    <w:rsid w:val="000E2016"/>
    <w:rsid w:val="000E2164"/>
    <w:rsid w:val="000E2174"/>
    <w:rsid w:val="000E228C"/>
    <w:rsid w:val="000E2330"/>
    <w:rsid w:val="000E27BA"/>
    <w:rsid w:val="000E2921"/>
    <w:rsid w:val="000E299C"/>
    <w:rsid w:val="000E2B8D"/>
    <w:rsid w:val="000E2C3D"/>
    <w:rsid w:val="000E2FB4"/>
    <w:rsid w:val="000E304B"/>
    <w:rsid w:val="000E3072"/>
    <w:rsid w:val="000E336A"/>
    <w:rsid w:val="000E336E"/>
    <w:rsid w:val="000E35A2"/>
    <w:rsid w:val="000E362B"/>
    <w:rsid w:val="000E3681"/>
    <w:rsid w:val="000E36F2"/>
    <w:rsid w:val="000E375D"/>
    <w:rsid w:val="000E3767"/>
    <w:rsid w:val="000E37B3"/>
    <w:rsid w:val="000E39BF"/>
    <w:rsid w:val="000E3A26"/>
    <w:rsid w:val="000E3C6C"/>
    <w:rsid w:val="000E3D7F"/>
    <w:rsid w:val="000E3F11"/>
    <w:rsid w:val="000E40A3"/>
    <w:rsid w:val="000E40D9"/>
    <w:rsid w:val="000E4272"/>
    <w:rsid w:val="000E42C8"/>
    <w:rsid w:val="000E4491"/>
    <w:rsid w:val="000E4558"/>
    <w:rsid w:val="000E45C2"/>
    <w:rsid w:val="000E45C4"/>
    <w:rsid w:val="000E45F2"/>
    <w:rsid w:val="000E4627"/>
    <w:rsid w:val="000E463F"/>
    <w:rsid w:val="000E4706"/>
    <w:rsid w:val="000E493A"/>
    <w:rsid w:val="000E4B24"/>
    <w:rsid w:val="000E4B4A"/>
    <w:rsid w:val="000E4B95"/>
    <w:rsid w:val="000E4B9F"/>
    <w:rsid w:val="000E4C4D"/>
    <w:rsid w:val="000E4CCC"/>
    <w:rsid w:val="000E4D83"/>
    <w:rsid w:val="000E4E16"/>
    <w:rsid w:val="000E4EDF"/>
    <w:rsid w:val="000E5133"/>
    <w:rsid w:val="000E518B"/>
    <w:rsid w:val="000E535C"/>
    <w:rsid w:val="000E53E6"/>
    <w:rsid w:val="000E5426"/>
    <w:rsid w:val="000E55DF"/>
    <w:rsid w:val="000E5784"/>
    <w:rsid w:val="000E57D4"/>
    <w:rsid w:val="000E57DA"/>
    <w:rsid w:val="000E599F"/>
    <w:rsid w:val="000E5ACE"/>
    <w:rsid w:val="000E5D57"/>
    <w:rsid w:val="000E6145"/>
    <w:rsid w:val="000E61C5"/>
    <w:rsid w:val="000E6219"/>
    <w:rsid w:val="000E62A4"/>
    <w:rsid w:val="000E62B3"/>
    <w:rsid w:val="000E6493"/>
    <w:rsid w:val="000E64C8"/>
    <w:rsid w:val="000E6513"/>
    <w:rsid w:val="000E656F"/>
    <w:rsid w:val="000E66F8"/>
    <w:rsid w:val="000E673F"/>
    <w:rsid w:val="000E674D"/>
    <w:rsid w:val="000E6790"/>
    <w:rsid w:val="000E68F6"/>
    <w:rsid w:val="000E6A75"/>
    <w:rsid w:val="000E6B90"/>
    <w:rsid w:val="000E6DAB"/>
    <w:rsid w:val="000E6ED5"/>
    <w:rsid w:val="000E6F00"/>
    <w:rsid w:val="000E7037"/>
    <w:rsid w:val="000E71F5"/>
    <w:rsid w:val="000E7296"/>
    <w:rsid w:val="000E7319"/>
    <w:rsid w:val="000E7364"/>
    <w:rsid w:val="000E743E"/>
    <w:rsid w:val="000E749A"/>
    <w:rsid w:val="000E74D8"/>
    <w:rsid w:val="000E7604"/>
    <w:rsid w:val="000E76D2"/>
    <w:rsid w:val="000E76DA"/>
    <w:rsid w:val="000E77A1"/>
    <w:rsid w:val="000E7882"/>
    <w:rsid w:val="000E7910"/>
    <w:rsid w:val="000E794E"/>
    <w:rsid w:val="000E79CC"/>
    <w:rsid w:val="000E7EA5"/>
    <w:rsid w:val="000E7F51"/>
    <w:rsid w:val="000F0178"/>
    <w:rsid w:val="000F01AC"/>
    <w:rsid w:val="000F021E"/>
    <w:rsid w:val="000F0308"/>
    <w:rsid w:val="000F0385"/>
    <w:rsid w:val="000F0386"/>
    <w:rsid w:val="000F03F8"/>
    <w:rsid w:val="000F0446"/>
    <w:rsid w:val="000F0526"/>
    <w:rsid w:val="000F058E"/>
    <w:rsid w:val="000F05D4"/>
    <w:rsid w:val="000F0690"/>
    <w:rsid w:val="000F076C"/>
    <w:rsid w:val="000F07A6"/>
    <w:rsid w:val="000F07E6"/>
    <w:rsid w:val="000F0992"/>
    <w:rsid w:val="000F0BB8"/>
    <w:rsid w:val="000F0BE7"/>
    <w:rsid w:val="000F0C53"/>
    <w:rsid w:val="000F0E0C"/>
    <w:rsid w:val="000F1046"/>
    <w:rsid w:val="000F1133"/>
    <w:rsid w:val="000F11DD"/>
    <w:rsid w:val="000F120F"/>
    <w:rsid w:val="000F1228"/>
    <w:rsid w:val="000F12E5"/>
    <w:rsid w:val="000F1300"/>
    <w:rsid w:val="000F131D"/>
    <w:rsid w:val="000F148D"/>
    <w:rsid w:val="000F15DF"/>
    <w:rsid w:val="000F1684"/>
    <w:rsid w:val="000F1707"/>
    <w:rsid w:val="000F1876"/>
    <w:rsid w:val="000F188C"/>
    <w:rsid w:val="000F18E9"/>
    <w:rsid w:val="000F190A"/>
    <w:rsid w:val="000F191C"/>
    <w:rsid w:val="000F192C"/>
    <w:rsid w:val="000F1946"/>
    <w:rsid w:val="000F196D"/>
    <w:rsid w:val="000F1A36"/>
    <w:rsid w:val="000F1A90"/>
    <w:rsid w:val="000F1BAD"/>
    <w:rsid w:val="000F1C31"/>
    <w:rsid w:val="000F1C52"/>
    <w:rsid w:val="000F1D5A"/>
    <w:rsid w:val="000F1E2D"/>
    <w:rsid w:val="000F1E68"/>
    <w:rsid w:val="000F2068"/>
    <w:rsid w:val="000F2144"/>
    <w:rsid w:val="000F2184"/>
    <w:rsid w:val="000F2250"/>
    <w:rsid w:val="000F2268"/>
    <w:rsid w:val="000F22CA"/>
    <w:rsid w:val="000F244C"/>
    <w:rsid w:val="000F24B3"/>
    <w:rsid w:val="000F2536"/>
    <w:rsid w:val="000F254D"/>
    <w:rsid w:val="000F2591"/>
    <w:rsid w:val="000F25A9"/>
    <w:rsid w:val="000F25D8"/>
    <w:rsid w:val="000F2612"/>
    <w:rsid w:val="000F2661"/>
    <w:rsid w:val="000F274A"/>
    <w:rsid w:val="000F27B6"/>
    <w:rsid w:val="000F27FF"/>
    <w:rsid w:val="000F28B1"/>
    <w:rsid w:val="000F28D6"/>
    <w:rsid w:val="000F28F1"/>
    <w:rsid w:val="000F2999"/>
    <w:rsid w:val="000F29B4"/>
    <w:rsid w:val="000F2B17"/>
    <w:rsid w:val="000F2B4B"/>
    <w:rsid w:val="000F2D14"/>
    <w:rsid w:val="000F2D28"/>
    <w:rsid w:val="000F2D69"/>
    <w:rsid w:val="000F2D74"/>
    <w:rsid w:val="000F2D9F"/>
    <w:rsid w:val="000F2E1E"/>
    <w:rsid w:val="000F2E1F"/>
    <w:rsid w:val="000F2F32"/>
    <w:rsid w:val="000F2FAF"/>
    <w:rsid w:val="000F2FF4"/>
    <w:rsid w:val="000F306D"/>
    <w:rsid w:val="000F30AF"/>
    <w:rsid w:val="000F3100"/>
    <w:rsid w:val="000F31D3"/>
    <w:rsid w:val="000F3226"/>
    <w:rsid w:val="000F3246"/>
    <w:rsid w:val="000F3281"/>
    <w:rsid w:val="000F33BC"/>
    <w:rsid w:val="000F33F7"/>
    <w:rsid w:val="000F3498"/>
    <w:rsid w:val="000F34EE"/>
    <w:rsid w:val="000F368D"/>
    <w:rsid w:val="000F36B2"/>
    <w:rsid w:val="000F371A"/>
    <w:rsid w:val="000F37A9"/>
    <w:rsid w:val="000F37D7"/>
    <w:rsid w:val="000F3874"/>
    <w:rsid w:val="000F394B"/>
    <w:rsid w:val="000F3986"/>
    <w:rsid w:val="000F3991"/>
    <w:rsid w:val="000F3C47"/>
    <w:rsid w:val="000F3C6D"/>
    <w:rsid w:val="000F3C8A"/>
    <w:rsid w:val="000F3DC6"/>
    <w:rsid w:val="000F3DD1"/>
    <w:rsid w:val="000F3DE1"/>
    <w:rsid w:val="000F3EC6"/>
    <w:rsid w:val="000F3F93"/>
    <w:rsid w:val="000F4046"/>
    <w:rsid w:val="000F417F"/>
    <w:rsid w:val="000F4261"/>
    <w:rsid w:val="000F4913"/>
    <w:rsid w:val="000F4973"/>
    <w:rsid w:val="000F49F9"/>
    <w:rsid w:val="000F4B39"/>
    <w:rsid w:val="000F4D07"/>
    <w:rsid w:val="000F4DC9"/>
    <w:rsid w:val="000F4DF1"/>
    <w:rsid w:val="000F4E02"/>
    <w:rsid w:val="000F4E7F"/>
    <w:rsid w:val="000F4F8B"/>
    <w:rsid w:val="000F4FBA"/>
    <w:rsid w:val="000F5300"/>
    <w:rsid w:val="000F535E"/>
    <w:rsid w:val="000F5568"/>
    <w:rsid w:val="000F5864"/>
    <w:rsid w:val="000F5A99"/>
    <w:rsid w:val="000F5B7D"/>
    <w:rsid w:val="000F5B8A"/>
    <w:rsid w:val="000F5D6E"/>
    <w:rsid w:val="000F5E70"/>
    <w:rsid w:val="000F5EA1"/>
    <w:rsid w:val="000F5FFE"/>
    <w:rsid w:val="000F6091"/>
    <w:rsid w:val="000F60CA"/>
    <w:rsid w:val="000F60FA"/>
    <w:rsid w:val="000F6182"/>
    <w:rsid w:val="000F61BA"/>
    <w:rsid w:val="000F6413"/>
    <w:rsid w:val="000F6449"/>
    <w:rsid w:val="000F64FA"/>
    <w:rsid w:val="000F657C"/>
    <w:rsid w:val="000F679D"/>
    <w:rsid w:val="000F67B9"/>
    <w:rsid w:val="000F6864"/>
    <w:rsid w:val="000F687B"/>
    <w:rsid w:val="000F68D8"/>
    <w:rsid w:val="000F6952"/>
    <w:rsid w:val="000F699F"/>
    <w:rsid w:val="000F6C7D"/>
    <w:rsid w:val="000F6DE5"/>
    <w:rsid w:val="000F6EB4"/>
    <w:rsid w:val="000F6F4C"/>
    <w:rsid w:val="000F6FCC"/>
    <w:rsid w:val="000F6FF7"/>
    <w:rsid w:val="000F72C4"/>
    <w:rsid w:val="000F7334"/>
    <w:rsid w:val="000F73A2"/>
    <w:rsid w:val="000F7415"/>
    <w:rsid w:val="000F74F9"/>
    <w:rsid w:val="000F7751"/>
    <w:rsid w:val="000F77E3"/>
    <w:rsid w:val="000F79E2"/>
    <w:rsid w:val="000F7A80"/>
    <w:rsid w:val="000F7B84"/>
    <w:rsid w:val="000F7BF9"/>
    <w:rsid w:val="000F7C4C"/>
    <w:rsid w:val="000F7EFC"/>
    <w:rsid w:val="000F7F7F"/>
    <w:rsid w:val="001002B7"/>
    <w:rsid w:val="001004CC"/>
    <w:rsid w:val="00100562"/>
    <w:rsid w:val="001006E8"/>
    <w:rsid w:val="0010073F"/>
    <w:rsid w:val="0010074F"/>
    <w:rsid w:val="0010087E"/>
    <w:rsid w:val="00100CBC"/>
    <w:rsid w:val="00100CDF"/>
    <w:rsid w:val="00100D95"/>
    <w:rsid w:val="00100DFE"/>
    <w:rsid w:val="00100EF1"/>
    <w:rsid w:val="00100F3D"/>
    <w:rsid w:val="00100FC6"/>
    <w:rsid w:val="00101173"/>
    <w:rsid w:val="001011BE"/>
    <w:rsid w:val="001011D8"/>
    <w:rsid w:val="00101530"/>
    <w:rsid w:val="001017F3"/>
    <w:rsid w:val="00101831"/>
    <w:rsid w:val="0010197A"/>
    <w:rsid w:val="00101A46"/>
    <w:rsid w:val="00101B44"/>
    <w:rsid w:val="00101B99"/>
    <w:rsid w:val="00101BCA"/>
    <w:rsid w:val="00101E52"/>
    <w:rsid w:val="00101EA4"/>
    <w:rsid w:val="00101EF3"/>
    <w:rsid w:val="0010204E"/>
    <w:rsid w:val="001020CE"/>
    <w:rsid w:val="00102123"/>
    <w:rsid w:val="001022A9"/>
    <w:rsid w:val="001022AE"/>
    <w:rsid w:val="001022CF"/>
    <w:rsid w:val="00102316"/>
    <w:rsid w:val="00102370"/>
    <w:rsid w:val="0010237B"/>
    <w:rsid w:val="0010249C"/>
    <w:rsid w:val="00102674"/>
    <w:rsid w:val="001026C3"/>
    <w:rsid w:val="001026EA"/>
    <w:rsid w:val="00102730"/>
    <w:rsid w:val="0010282F"/>
    <w:rsid w:val="00102A78"/>
    <w:rsid w:val="00102A80"/>
    <w:rsid w:val="00102A91"/>
    <w:rsid w:val="00102AB6"/>
    <w:rsid w:val="00102BAB"/>
    <w:rsid w:val="00102BEF"/>
    <w:rsid w:val="00102D25"/>
    <w:rsid w:val="00102E5A"/>
    <w:rsid w:val="00102EEC"/>
    <w:rsid w:val="00102FE7"/>
    <w:rsid w:val="00103054"/>
    <w:rsid w:val="00103169"/>
    <w:rsid w:val="001031B4"/>
    <w:rsid w:val="00103232"/>
    <w:rsid w:val="001033A6"/>
    <w:rsid w:val="001033B6"/>
    <w:rsid w:val="00103497"/>
    <w:rsid w:val="001034D4"/>
    <w:rsid w:val="00103897"/>
    <w:rsid w:val="00103AE9"/>
    <w:rsid w:val="00103AEA"/>
    <w:rsid w:val="00103B27"/>
    <w:rsid w:val="00103B72"/>
    <w:rsid w:val="00103C85"/>
    <w:rsid w:val="00103CB0"/>
    <w:rsid w:val="00103CE6"/>
    <w:rsid w:val="00103D2E"/>
    <w:rsid w:val="00103D33"/>
    <w:rsid w:val="00103E2C"/>
    <w:rsid w:val="00103F97"/>
    <w:rsid w:val="00103F98"/>
    <w:rsid w:val="0010408E"/>
    <w:rsid w:val="001040AB"/>
    <w:rsid w:val="0010411F"/>
    <w:rsid w:val="001041F2"/>
    <w:rsid w:val="00104386"/>
    <w:rsid w:val="0010459C"/>
    <w:rsid w:val="001048A8"/>
    <w:rsid w:val="001048E0"/>
    <w:rsid w:val="00104AEC"/>
    <w:rsid w:val="00104B49"/>
    <w:rsid w:val="00104C7D"/>
    <w:rsid w:val="00104D07"/>
    <w:rsid w:val="00104D5A"/>
    <w:rsid w:val="00104DED"/>
    <w:rsid w:val="00104E25"/>
    <w:rsid w:val="00104E99"/>
    <w:rsid w:val="00104FC2"/>
    <w:rsid w:val="00104FCF"/>
    <w:rsid w:val="00105036"/>
    <w:rsid w:val="0010503A"/>
    <w:rsid w:val="00105062"/>
    <w:rsid w:val="001051C6"/>
    <w:rsid w:val="00105334"/>
    <w:rsid w:val="00105709"/>
    <w:rsid w:val="001057CE"/>
    <w:rsid w:val="001057EF"/>
    <w:rsid w:val="00105823"/>
    <w:rsid w:val="001058D2"/>
    <w:rsid w:val="00105B7A"/>
    <w:rsid w:val="00105D43"/>
    <w:rsid w:val="00105D49"/>
    <w:rsid w:val="00105DCD"/>
    <w:rsid w:val="00105E22"/>
    <w:rsid w:val="00105F6F"/>
    <w:rsid w:val="00106097"/>
    <w:rsid w:val="00106140"/>
    <w:rsid w:val="00106317"/>
    <w:rsid w:val="00106429"/>
    <w:rsid w:val="0010652B"/>
    <w:rsid w:val="0010663C"/>
    <w:rsid w:val="00106670"/>
    <w:rsid w:val="001066A9"/>
    <w:rsid w:val="001067D2"/>
    <w:rsid w:val="00106890"/>
    <w:rsid w:val="001068E6"/>
    <w:rsid w:val="0010693F"/>
    <w:rsid w:val="00106B67"/>
    <w:rsid w:val="00106B89"/>
    <w:rsid w:val="00106C8C"/>
    <w:rsid w:val="00106C9A"/>
    <w:rsid w:val="00106D7A"/>
    <w:rsid w:val="00106E86"/>
    <w:rsid w:val="00106F63"/>
    <w:rsid w:val="00107108"/>
    <w:rsid w:val="00107138"/>
    <w:rsid w:val="001073B0"/>
    <w:rsid w:val="001073EC"/>
    <w:rsid w:val="001074B4"/>
    <w:rsid w:val="001075A7"/>
    <w:rsid w:val="001076DA"/>
    <w:rsid w:val="0010773D"/>
    <w:rsid w:val="0010780F"/>
    <w:rsid w:val="00107884"/>
    <w:rsid w:val="00107886"/>
    <w:rsid w:val="001078FD"/>
    <w:rsid w:val="0010798B"/>
    <w:rsid w:val="0010799B"/>
    <w:rsid w:val="001079B1"/>
    <w:rsid w:val="00107A12"/>
    <w:rsid w:val="00107ADE"/>
    <w:rsid w:val="00107C89"/>
    <w:rsid w:val="00107D34"/>
    <w:rsid w:val="00107E29"/>
    <w:rsid w:val="00107E8E"/>
    <w:rsid w:val="00107FE1"/>
    <w:rsid w:val="001100FC"/>
    <w:rsid w:val="00110140"/>
    <w:rsid w:val="0011018A"/>
    <w:rsid w:val="001101E0"/>
    <w:rsid w:val="00110213"/>
    <w:rsid w:val="00110345"/>
    <w:rsid w:val="0011035C"/>
    <w:rsid w:val="001104C3"/>
    <w:rsid w:val="001107B7"/>
    <w:rsid w:val="00110818"/>
    <w:rsid w:val="001108F8"/>
    <w:rsid w:val="001109A5"/>
    <w:rsid w:val="001109FB"/>
    <w:rsid w:val="00110ABC"/>
    <w:rsid w:val="00110B79"/>
    <w:rsid w:val="00110B93"/>
    <w:rsid w:val="00110BB3"/>
    <w:rsid w:val="00110BCD"/>
    <w:rsid w:val="00110C30"/>
    <w:rsid w:val="00110CB9"/>
    <w:rsid w:val="00110CDD"/>
    <w:rsid w:val="00110D86"/>
    <w:rsid w:val="00110E9E"/>
    <w:rsid w:val="00110ED3"/>
    <w:rsid w:val="00110F24"/>
    <w:rsid w:val="001111A4"/>
    <w:rsid w:val="001111FC"/>
    <w:rsid w:val="0011140A"/>
    <w:rsid w:val="00111574"/>
    <w:rsid w:val="001115B1"/>
    <w:rsid w:val="0011198C"/>
    <w:rsid w:val="00111ACE"/>
    <w:rsid w:val="00111C1A"/>
    <w:rsid w:val="00111D46"/>
    <w:rsid w:val="00111DF9"/>
    <w:rsid w:val="00111E03"/>
    <w:rsid w:val="00111E6A"/>
    <w:rsid w:val="00111EB7"/>
    <w:rsid w:val="00111FB5"/>
    <w:rsid w:val="00111FF4"/>
    <w:rsid w:val="001120E5"/>
    <w:rsid w:val="0011213C"/>
    <w:rsid w:val="00112261"/>
    <w:rsid w:val="0011232D"/>
    <w:rsid w:val="00112699"/>
    <w:rsid w:val="001127E7"/>
    <w:rsid w:val="0011280B"/>
    <w:rsid w:val="0011284D"/>
    <w:rsid w:val="0011290F"/>
    <w:rsid w:val="00112A78"/>
    <w:rsid w:val="00112B23"/>
    <w:rsid w:val="00112BA8"/>
    <w:rsid w:val="00112BEB"/>
    <w:rsid w:val="00112CC2"/>
    <w:rsid w:val="00112D12"/>
    <w:rsid w:val="00112D77"/>
    <w:rsid w:val="00112DF3"/>
    <w:rsid w:val="00112EE7"/>
    <w:rsid w:val="00112FBF"/>
    <w:rsid w:val="00113000"/>
    <w:rsid w:val="00113060"/>
    <w:rsid w:val="00113083"/>
    <w:rsid w:val="001130B5"/>
    <w:rsid w:val="00113147"/>
    <w:rsid w:val="001131BF"/>
    <w:rsid w:val="001131CF"/>
    <w:rsid w:val="001131E3"/>
    <w:rsid w:val="0011325A"/>
    <w:rsid w:val="001132DD"/>
    <w:rsid w:val="0011356C"/>
    <w:rsid w:val="00113580"/>
    <w:rsid w:val="0011361A"/>
    <w:rsid w:val="00113640"/>
    <w:rsid w:val="00113862"/>
    <w:rsid w:val="00113A80"/>
    <w:rsid w:val="00113AE6"/>
    <w:rsid w:val="00113B9F"/>
    <w:rsid w:val="00113C25"/>
    <w:rsid w:val="00113C76"/>
    <w:rsid w:val="00113C95"/>
    <w:rsid w:val="00113CF9"/>
    <w:rsid w:val="00113DBC"/>
    <w:rsid w:val="00113DDB"/>
    <w:rsid w:val="00113E6C"/>
    <w:rsid w:val="00113FFA"/>
    <w:rsid w:val="001140BD"/>
    <w:rsid w:val="001142A4"/>
    <w:rsid w:val="0011439F"/>
    <w:rsid w:val="001145C7"/>
    <w:rsid w:val="001145D9"/>
    <w:rsid w:val="001146EE"/>
    <w:rsid w:val="00114739"/>
    <w:rsid w:val="0011479A"/>
    <w:rsid w:val="00114986"/>
    <w:rsid w:val="00114A10"/>
    <w:rsid w:val="00114AD5"/>
    <w:rsid w:val="00114B0B"/>
    <w:rsid w:val="00114B5C"/>
    <w:rsid w:val="00114C25"/>
    <w:rsid w:val="00114CAF"/>
    <w:rsid w:val="00114EA0"/>
    <w:rsid w:val="00114EA6"/>
    <w:rsid w:val="001152DC"/>
    <w:rsid w:val="001152FD"/>
    <w:rsid w:val="00115301"/>
    <w:rsid w:val="00115368"/>
    <w:rsid w:val="001153CE"/>
    <w:rsid w:val="00115476"/>
    <w:rsid w:val="0011548A"/>
    <w:rsid w:val="0011548F"/>
    <w:rsid w:val="0011558E"/>
    <w:rsid w:val="001155DA"/>
    <w:rsid w:val="001156EB"/>
    <w:rsid w:val="0011576C"/>
    <w:rsid w:val="00115783"/>
    <w:rsid w:val="001157D0"/>
    <w:rsid w:val="0011589F"/>
    <w:rsid w:val="001158E0"/>
    <w:rsid w:val="00115D74"/>
    <w:rsid w:val="00115DA1"/>
    <w:rsid w:val="00115DAA"/>
    <w:rsid w:val="00115E51"/>
    <w:rsid w:val="00115E7F"/>
    <w:rsid w:val="00115EE7"/>
    <w:rsid w:val="00115F2E"/>
    <w:rsid w:val="00115F37"/>
    <w:rsid w:val="00116165"/>
    <w:rsid w:val="001161A2"/>
    <w:rsid w:val="001161CF"/>
    <w:rsid w:val="0011623F"/>
    <w:rsid w:val="00116538"/>
    <w:rsid w:val="001168AC"/>
    <w:rsid w:val="0011695F"/>
    <w:rsid w:val="0011697E"/>
    <w:rsid w:val="00116999"/>
    <w:rsid w:val="001169EC"/>
    <w:rsid w:val="001169FA"/>
    <w:rsid w:val="00116C78"/>
    <w:rsid w:val="00116D42"/>
    <w:rsid w:val="00116DC6"/>
    <w:rsid w:val="00116FCE"/>
    <w:rsid w:val="001170C5"/>
    <w:rsid w:val="0011732C"/>
    <w:rsid w:val="0011738D"/>
    <w:rsid w:val="00117494"/>
    <w:rsid w:val="001175E4"/>
    <w:rsid w:val="00117702"/>
    <w:rsid w:val="0011778F"/>
    <w:rsid w:val="001177BE"/>
    <w:rsid w:val="001177C1"/>
    <w:rsid w:val="001177D2"/>
    <w:rsid w:val="00117912"/>
    <w:rsid w:val="00117C09"/>
    <w:rsid w:val="00117D3A"/>
    <w:rsid w:val="00117D8B"/>
    <w:rsid w:val="00117F22"/>
    <w:rsid w:val="00117F6C"/>
    <w:rsid w:val="00117F7A"/>
    <w:rsid w:val="00120012"/>
    <w:rsid w:val="00120158"/>
    <w:rsid w:val="0012021C"/>
    <w:rsid w:val="001202F6"/>
    <w:rsid w:val="001203B8"/>
    <w:rsid w:val="0012043F"/>
    <w:rsid w:val="00120480"/>
    <w:rsid w:val="001205CD"/>
    <w:rsid w:val="00120633"/>
    <w:rsid w:val="001207CF"/>
    <w:rsid w:val="001208B3"/>
    <w:rsid w:val="001208C1"/>
    <w:rsid w:val="001209C8"/>
    <w:rsid w:val="00120A71"/>
    <w:rsid w:val="00120BA1"/>
    <w:rsid w:val="00120CA7"/>
    <w:rsid w:val="00120CC5"/>
    <w:rsid w:val="00120E55"/>
    <w:rsid w:val="00120E58"/>
    <w:rsid w:val="00120E7A"/>
    <w:rsid w:val="00120FBD"/>
    <w:rsid w:val="0012117F"/>
    <w:rsid w:val="00121251"/>
    <w:rsid w:val="001212C7"/>
    <w:rsid w:val="00121347"/>
    <w:rsid w:val="001214B3"/>
    <w:rsid w:val="001214F7"/>
    <w:rsid w:val="0012162B"/>
    <w:rsid w:val="00121681"/>
    <w:rsid w:val="00121685"/>
    <w:rsid w:val="001217C4"/>
    <w:rsid w:val="00121910"/>
    <w:rsid w:val="00121949"/>
    <w:rsid w:val="00121A3A"/>
    <w:rsid w:val="00121A93"/>
    <w:rsid w:val="00121B8A"/>
    <w:rsid w:val="00121C67"/>
    <w:rsid w:val="00121CA7"/>
    <w:rsid w:val="00121CCA"/>
    <w:rsid w:val="00121D6F"/>
    <w:rsid w:val="00121E14"/>
    <w:rsid w:val="00121E8F"/>
    <w:rsid w:val="00121F61"/>
    <w:rsid w:val="00121FD8"/>
    <w:rsid w:val="0012201C"/>
    <w:rsid w:val="00122032"/>
    <w:rsid w:val="001220CC"/>
    <w:rsid w:val="001220F0"/>
    <w:rsid w:val="0012210C"/>
    <w:rsid w:val="00122114"/>
    <w:rsid w:val="00122184"/>
    <w:rsid w:val="001222DA"/>
    <w:rsid w:val="0012249E"/>
    <w:rsid w:val="001225A1"/>
    <w:rsid w:val="001225E5"/>
    <w:rsid w:val="001226EB"/>
    <w:rsid w:val="001227FA"/>
    <w:rsid w:val="00122850"/>
    <w:rsid w:val="00122893"/>
    <w:rsid w:val="0012299D"/>
    <w:rsid w:val="001229AF"/>
    <w:rsid w:val="00122AEF"/>
    <w:rsid w:val="00122D4A"/>
    <w:rsid w:val="00122E6D"/>
    <w:rsid w:val="00122EDD"/>
    <w:rsid w:val="00122F1C"/>
    <w:rsid w:val="00122F70"/>
    <w:rsid w:val="00123204"/>
    <w:rsid w:val="00123237"/>
    <w:rsid w:val="00123332"/>
    <w:rsid w:val="00123779"/>
    <w:rsid w:val="0012380E"/>
    <w:rsid w:val="001238A2"/>
    <w:rsid w:val="001238DB"/>
    <w:rsid w:val="00123986"/>
    <w:rsid w:val="001239E2"/>
    <w:rsid w:val="001239F2"/>
    <w:rsid w:val="001239FA"/>
    <w:rsid w:val="00123A10"/>
    <w:rsid w:val="00123B38"/>
    <w:rsid w:val="00123B46"/>
    <w:rsid w:val="00123C89"/>
    <w:rsid w:val="00123D38"/>
    <w:rsid w:val="00123D89"/>
    <w:rsid w:val="00123E21"/>
    <w:rsid w:val="00123E42"/>
    <w:rsid w:val="00123EBD"/>
    <w:rsid w:val="00123FD2"/>
    <w:rsid w:val="00124147"/>
    <w:rsid w:val="0012417F"/>
    <w:rsid w:val="00124214"/>
    <w:rsid w:val="0012421E"/>
    <w:rsid w:val="00124300"/>
    <w:rsid w:val="00124305"/>
    <w:rsid w:val="0012441C"/>
    <w:rsid w:val="00124421"/>
    <w:rsid w:val="0012442E"/>
    <w:rsid w:val="001244D0"/>
    <w:rsid w:val="001245D4"/>
    <w:rsid w:val="00124650"/>
    <w:rsid w:val="00124825"/>
    <w:rsid w:val="00124843"/>
    <w:rsid w:val="001248A5"/>
    <w:rsid w:val="001248B7"/>
    <w:rsid w:val="001249B9"/>
    <w:rsid w:val="001249FE"/>
    <w:rsid w:val="00124A10"/>
    <w:rsid w:val="00124A4E"/>
    <w:rsid w:val="00124A5A"/>
    <w:rsid w:val="00124AF4"/>
    <w:rsid w:val="00124B3E"/>
    <w:rsid w:val="00124B52"/>
    <w:rsid w:val="00124CC7"/>
    <w:rsid w:val="00124CD6"/>
    <w:rsid w:val="00124DE4"/>
    <w:rsid w:val="00124DE7"/>
    <w:rsid w:val="00124DEE"/>
    <w:rsid w:val="00124EB8"/>
    <w:rsid w:val="00124F1B"/>
    <w:rsid w:val="00124F2E"/>
    <w:rsid w:val="00124FD2"/>
    <w:rsid w:val="0012508E"/>
    <w:rsid w:val="00125131"/>
    <w:rsid w:val="00125160"/>
    <w:rsid w:val="00125202"/>
    <w:rsid w:val="00125211"/>
    <w:rsid w:val="0012526A"/>
    <w:rsid w:val="001252B2"/>
    <w:rsid w:val="0012531C"/>
    <w:rsid w:val="00125378"/>
    <w:rsid w:val="001256BF"/>
    <w:rsid w:val="00125785"/>
    <w:rsid w:val="00125A9A"/>
    <w:rsid w:val="00125B4C"/>
    <w:rsid w:val="00125B6B"/>
    <w:rsid w:val="00125C8B"/>
    <w:rsid w:val="00125CEE"/>
    <w:rsid w:val="00125F88"/>
    <w:rsid w:val="00125FAA"/>
    <w:rsid w:val="00126015"/>
    <w:rsid w:val="00126081"/>
    <w:rsid w:val="0012616D"/>
    <w:rsid w:val="001261CB"/>
    <w:rsid w:val="00126268"/>
    <w:rsid w:val="001262BF"/>
    <w:rsid w:val="001263B9"/>
    <w:rsid w:val="001263C2"/>
    <w:rsid w:val="0012646F"/>
    <w:rsid w:val="001264AD"/>
    <w:rsid w:val="00126550"/>
    <w:rsid w:val="00126656"/>
    <w:rsid w:val="00126690"/>
    <w:rsid w:val="001268A4"/>
    <w:rsid w:val="001268AD"/>
    <w:rsid w:val="00126B5D"/>
    <w:rsid w:val="00126C28"/>
    <w:rsid w:val="00126C86"/>
    <w:rsid w:val="00126D45"/>
    <w:rsid w:val="00126D75"/>
    <w:rsid w:val="00126DCD"/>
    <w:rsid w:val="00126DD7"/>
    <w:rsid w:val="00126DFE"/>
    <w:rsid w:val="00126F0D"/>
    <w:rsid w:val="00126F41"/>
    <w:rsid w:val="0012714F"/>
    <w:rsid w:val="0012716F"/>
    <w:rsid w:val="001271E3"/>
    <w:rsid w:val="00127228"/>
    <w:rsid w:val="00127279"/>
    <w:rsid w:val="00127440"/>
    <w:rsid w:val="00127441"/>
    <w:rsid w:val="0012747F"/>
    <w:rsid w:val="001275B4"/>
    <w:rsid w:val="0012770D"/>
    <w:rsid w:val="00127844"/>
    <w:rsid w:val="00127B0F"/>
    <w:rsid w:val="00127BFC"/>
    <w:rsid w:val="00127C71"/>
    <w:rsid w:val="00127EA8"/>
    <w:rsid w:val="00127F07"/>
    <w:rsid w:val="00127F7B"/>
    <w:rsid w:val="001301A2"/>
    <w:rsid w:val="001301B2"/>
    <w:rsid w:val="00130310"/>
    <w:rsid w:val="0013035E"/>
    <w:rsid w:val="00130605"/>
    <w:rsid w:val="00130739"/>
    <w:rsid w:val="00130740"/>
    <w:rsid w:val="00130790"/>
    <w:rsid w:val="001307CC"/>
    <w:rsid w:val="001309D8"/>
    <w:rsid w:val="001309DA"/>
    <w:rsid w:val="00130AA6"/>
    <w:rsid w:val="00130B7F"/>
    <w:rsid w:val="00130B8C"/>
    <w:rsid w:val="00130B9E"/>
    <w:rsid w:val="00130BE4"/>
    <w:rsid w:val="00130D92"/>
    <w:rsid w:val="00130DAA"/>
    <w:rsid w:val="00130E19"/>
    <w:rsid w:val="00130EC6"/>
    <w:rsid w:val="00130F4D"/>
    <w:rsid w:val="0013109B"/>
    <w:rsid w:val="00131105"/>
    <w:rsid w:val="001311B0"/>
    <w:rsid w:val="00131223"/>
    <w:rsid w:val="00131412"/>
    <w:rsid w:val="0013154E"/>
    <w:rsid w:val="00131555"/>
    <w:rsid w:val="0013158D"/>
    <w:rsid w:val="001315C1"/>
    <w:rsid w:val="001315C8"/>
    <w:rsid w:val="001315D0"/>
    <w:rsid w:val="00131768"/>
    <w:rsid w:val="00131894"/>
    <w:rsid w:val="0013189C"/>
    <w:rsid w:val="001318F4"/>
    <w:rsid w:val="0013192E"/>
    <w:rsid w:val="00131966"/>
    <w:rsid w:val="001319EF"/>
    <w:rsid w:val="00131B99"/>
    <w:rsid w:val="00131BAA"/>
    <w:rsid w:val="00131C4E"/>
    <w:rsid w:val="00131ED0"/>
    <w:rsid w:val="00131FE8"/>
    <w:rsid w:val="0013209C"/>
    <w:rsid w:val="001320A5"/>
    <w:rsid w:val="00132120"/>
    <w:rsid w:val="0013220A"/>
    <w:rsid w:val="00132251"/>
    <w:rsid w:val="00132305"/>
    <w:rsid w:val="00132403"/>
    <w:rsid w:val="00132470"/>
    <w:rsid w:val="001324E9"/>
    <w:rsid w:val="00132578"/>
    <w:rsid w:val="001325DB"/>
    <w:rsid w:val="00132655"/>
    <w:rsid w:val="00132692"/>
    <w:rsid w:val="00132736"/>
    <w:rsid w:val="00132939"/>
    <w:rsid w:val="00132CDE"/>
    <w:rsid w:val="00132DB7"/>
    <w:rsid w:val="00132E3D"/>
    <w:rsid w:val="00133190"/>
    <w:rsid w:val="00133205"/>
    <w:rsid w:val="00133259"/>
    <w:rsid w:val="0013328A"/>
    <w:rsid w:val="0013330C"/>
    <w:rsid w:val="001334AB"/>
    <w:rsid w:val="001334E6"/>
    <w:rsid w:val="00133517"/>
    <w:rsid w:val="001335EA"/>
    <w:rsid w:val="00133652"/>
    <w:rsid w:val="00133663"/>
    <w:rsid w:val="001336BA"/>
    <w:rsid w:val="0013370E"/>
    <w:rsid w:val="001337FC"/>
    <w:rsid w:val="001339E2"/>
    <w:rsid w:val="00133A27"/>
    <w:rsid w:val="00133A85"/>
    <w:rsid w:val="00133C77"/>
    <w:rsid w:val="00133D88"/>
    <w:rsid w:val="00133E55"/>
    <w:rsid w:val="00133F81"/>
    <w:rsid w:val="00134008"/>
    <w:rsid w:val="00134063"/>
    <w:rsid w:val="00134098"/>
    <w:rsid w:val="001340ED"/>
    <w:rsid w:val="00134110"/>
    <w:rsid w:val="00134154"/>
    <w:rsid w:val="0013415E"/>
    <w:rsid w:val="00134167"/>
    <w:rsid w:val="00134294"/>
    <w:rsid w:val="001343A7"/>
    <w:rsid w:val="001344E6"/>
    <w:rsid w:val="00134504"/>
    <w:rsid w:val="00134886"/>
    <w:rsid w:val="001349BE"/>
    <w:rsid w:val="00134A31"/>
    <w:rsid w:val="00134B93"/>
    <w:rsid w:val="00134B96"/>
    <w:rsid w:val="00134C8A"/>
    <w:rsid w:val="00134EF6"/>
    <w:rsid w:val="00134F30"/>
    <w:rsid w:val="00134F5F"/>
    <w:rsid w:val="00135059"/>
    <w:rsid w:val="0013512B"/>
    <w:rsid w:val="001352FF"/>
    <w:rsid w:val="00135367"/>
    <w:rsid w:val="001353D9"/>
    <w:rsid w:val="00135528"/>
    <w:rsid w:val="00135775"/>
    <w:rsid w:val="00135833"/>
    <w:rsid w:val="001358EA"/>
    <w:rsid w:val="00135A3B"/>
    <w:rsid w:val="00135AAC"/>
    <w:rsid w:val="00135B09"/>
    <w:rsid w:val="00135BF4"/>
    <w:rsid w:val="00135CD3"/>
    <w:rsid w:val="00135D3C"/>
    <w:rsid w:val="00135DC5"/>
    <w:rsid w:val="00135F38"/>
    <w:rsid w:val="00135FC6"/>
    <w:rsid w:val="00135FE1"/>
    <w:rsid w:val="001361B4"/>
    <w:rsid w:val="001362EB"/>
    <w:rsid w:val="0013630C"/>
    <w:rsid w:val="00136325"/>
    <w:rsid w:val="001363EC"/>
    <w:rsid w:val="00136409"/>
    <w:rsid w:val="0013643D"/>
    <w:rsid w:val="00136444"/>
    <w:rsid w:val="0013672D"/>
    <w:rsid w:val="001368A8"/>
    <w:rsid w:val="001368B0"/>
    <w:rsid w:val="001369BF"/>
    <w:rsid w:val="001369CE"/>
    <w:rsid w:val="00136A1D"/>
    <w:rsid w:val="00136A65"/>
    <w:rsid w:val="00136AAC"/>
    <w:rsid w:val="00136B14"/>
    <w:rsid w:val="00136BB7"/>
    <w:rsid w:val="00136C29"/>
    <w:rsid w:val="00136C88"/>
    <w:rsid w:val="00136D78"/>
    <w:rsid w:val="00136E17"/>
    <w:rsid w:val="00136E63"/>
    <w:rsid w:val="00136FE7"/>
    <w:rsid w:val="00136FF6"/>
    <w:rsid w:val="0013700C"/>
    <w:rsid w:val="00137259"/>
    <w:rsid w:val="001373A0"/>
    <w:rsid w:val="00137415"/>
    <w:rsid w:val="0013748D"/>
    <w:rsid w:val="00137517"/>
    <w:rsid w:val="00137655"/>
    <w:rsid w:val="0013789D"/>
    <w:rsid w:val="0013789F"/>
    <w:rsid w:val="00137A8F"/>
    <w:rsid w:val="00137BAA"/>
    <w:rsid w:val="00137C7E"/>
    <w:rsid w:val="00137CBC"/>
    <w:rsid w:val="00137D58"/>
    <w:rsid w:val="00137D92"/>
    <w:rsid w:val="00137E19"/>
    <w:rsid w:val="00137E9E"/>
    <w:rsid w:val="00137EA2"/>
    <w:rsid w:val="00140077"/>
    <w:rsid w:val="001400E5"/>
    <w:rsid w:val="001402B8"/>
    <w:rsid w:val="001402C0"/>
    <w:rsid w:val="0014030B"/>
    <w:rsid w:val="001404B3"/>
    <w:rsid w:val="0014056C"/>
    <w:rsid w:val="00140588"/>
    <w:rsid w:val="001405B8"/>
    <w:rsid w:val="001406C1"/>
    <w:rsid w:val="0014072C"/>
    <w:rsid w:val="00140890"/>
    <w:rsid w:val="001408DD"/>
    <w:rsid w:val="00140B0A"/>
    <w:rsid w:val="00140C8A"/>
    <w:rsid w:val="00140C9A"/>
    <w:rsid w:val="00140CCC"/>
    <w:rsid w:val="00140D5F"/>
    <w:rsid w:val="00140E6C"/>
    <w:rsid w:val="00140F8B"/>
    <w:rsid w:val="00140F9D"/>
    <w:rsid w:val="001410CE"/>
    <w:rsid w:val="001410D6"/>
    <w:rsid w:val="001410FF"/>
    <w:rsid w:val="0014117C"/>
    <w:rsid w:val="001412AA"/>
    <w:rsid w:val="001412EB"/>
    <w:rsid w:val="001412EF"/>
    <w:rsid w:val="0014131C"/>
    <w:rsid w:val="0014152A"/>
    <w:rsid w:val="001415D8"/>
    <w:rsid w:val="00141670"/>
    <w:rsid w:val="00141787"/>
    <w:rsid w:val="001417D9"/>
    <w:rsid w:val="00141826"/>
    <w:rsid w:val="00141B37"/>
    <w:rsid w:val="00141B66"/>
    <w:rsid w:val="00141B6C"/>
    <w:rsid w:val="00141DAD"/>
    <w:rsid w:val="00142003"/>
    <w:rsid w:val="0014204D"/>
    <w:rsid w:val="0014207A"/>
    <w:rsid w:val="0014208C"/>
    <w:rsid w:val="00142116"/>
    <w:rsid w:val="001421B8"/>
    <w:rsid w:val="001422C0"/>
    <w:rsid w:val="001422C9"/>
    <w:rsid w:val="0014230A"/>
    <w:rsid w:val="001423EE"/>
    <w:rsid w:val="001424E2"/>
    <w:rsid w:val="0014250B"/>
    <w:rsid w:val="00142572"/>
    <w:rsid w:val="001425BA"/>
    <w:rsid w:val="001425FB"/>
    <w:rsid w:val="00142624"/>
    <w:rsid w:val="00142769"/>
    <w:rsid w:val="0014278E"/>
    <w:rsid w:val="001427AB"/>
    <w:rsid w:val="00142828"/>
    <w:rsid w:val="0014284F"/>
    <w:rsid w:val="0014285E"/>
    <w:rsid w:val="00142863"/>
    <w:rsid w:val="001428E6"/>
    <w:rsid w:val="00142929"/>
    <w:rsid w:val="00142935"/>
    <w:rsid w:val="00142B36"/>
    <w:rsid w:val="00142C7B"/>
    <w:rsid w:val="00142C9D"/>
    <w:rsid w:val="00142CC6"/>
    <w:rsid w:val="00142DED"/>
    <w:rsid w:val="00142E7B"/>
    <w:rsid w:val="00142EAA"/>
    <w:rsid w:val="00142EBB"/>
    <w:rsid w:val="00143044"/>
    <w:rsid w:val="0014312C"/>
    <w:rsid w:val="0014315D"/>
    <w:rsid w:val="001432C7"/>
    <w:rsid w:val="00143346"/>
    <w:rsid w:val="00143367"/>
    <w:rsid w:val="0014352D"/>
    <w:rsid w:val="001435D9"/>
    <w:rsid w:val="001435E6"/>
    <w:rsid w:val="00143600"/>
    <w:rsid w:val="00143633"/>
    <w:rsid w:val="00143775"/>
    <w:rsid w:val="001438A3"/>
    <w:rsid w:val="001439AB"/>
    <w:rsid w:val="001439B0"/>
    <w:rsid w:val="00143C1A"/>
    <w:rsid w:val="00143C3B"/>
    <w:rsid w:val="00143E2A"/>
    <w:rsid w:val="00143E39"/>
    <w:rsid w:val="00143FF2"/>
    <w:rsid w:val="00144279"/>
    <w:rsid w:val="0014433B"/>
    <w:rsid w:val="001443B4"/>
    <w:rsid w:val="00144487"/>
    <w:rsid w:val="001447B6"/>
    <w:rsid w:val="00144913"/>
    <w:rsid w:val="00144994"/>
    <w:rsid w:val="00144A83"/>
    <w:rsid w:val="00144A92"/>
    <w:rsid w:val="00144B3A"/>
    <w:rsid w:val="00144B44"/>
    <w:rsid w:val="00144C16"/>
    <w:rsid w:val="00144C66"/>
    <w:rsid w:val="00144C9C"/>
    <w:rsid w:val="00144D3E"/>
    <w:rsid w:val="00144DD5"/>
    <w:rsid w:val="00144EC2"/>
    <w:rsid w:val="00144ED2"/>
    <w:rsid w:val="00145029"/>
    <w:rsid w:val="0014505C"/>
    <w:rsid w:val="00145216"/>
    <w:rsid w:val="0014524D"/>
    <w:rsid w:val="001452EF"/>
    <w:rsid w:val="001453AF"/>
    <w:rsid w:val="00145402"/>
    <w:rsid w:val="00145407"/>
    <w:rsid w:val="00145458"/>
    <w:rsid w:val="001454DA"/>
    <w:rsid w:val="00145660"/>
    <w:rsid w:val="0014569B"/>
    <w:rsid w:val="00145753"/>
    <w:rsid w:val="001457A6"/>
    <w:rsid w:val="001458BC"/>
    <w:rsid w:val="001458FF"/>
    <w:rsid w:val="0014590E"/>
    <w:rsid w:val="00145A71"/>
    <w:rsid w:val="00145B99"/>
    <w:rsid w:val="00145C47"/>
    <w:rsid w:val="00145CD3"/>
    <w:rsid w:val="00145DF5"/>
    <w:rsid w:val="00145EC1"/>
    <w:rsid w:val="00145FA5"/>
    <w:rsid w:val="001460C5"/>
    <w:rsid w:val="00146310"/>
    <w:rsid w:val="00146317"/>
    <w:rsid w:val="00146350"/>
    <w:rsid w:val="00146443"/>
    <w:rsid w:val="001464AA"/>
    <w:rsid w:val="001464DC"/>
    <w:rsid w:val="00146524"/>
    <w:rsid w:val="0014661E"/>
    <w:rsid w:val="00146625"/>
    <w:rsid w:val="00146656"/>
    <w:rsid w:val="00146657"/>
    <w:rsid w:val="00146714"/>
    <w:rsid w:val="00146742"/>
    <w:rsid w:val="0014677E"/>
    <w:rsid w:val="00146803"/>
    <w:rsid w:val="001468A5"/>
    <w:rsid w:val="001468C7"/>
    <w:rsid w:val="00146993"/>
    <w:rsid w:val="00146B0B"/>
    <w:rsid w:val="00146D61"/>
    <w:rsid w:val="00146E42"/>
    <w:rsid w:val="00146EA8"/>
    <w:rsid w:val="00146ECB"/>
    <w:rsid w:val="00146F54"/>
    <w:rsid w:val="00146F69"/>
    <w:rsid w:val="001470A0"/>
    <w:rsid w:val="00147184"/>
    <w:rsid w:val="001471EB"/>
    <w:rsid w:val="00147248"/>
    <w:rsid w:val="00147364"/>
    <w:rsid w:val="00147387"/>
    <w:rsid w:val="001473C3"/>
    <w:rsid w:val="00147438"/>
    <w:rsid w:val="00147581"/>
    <w:rsid w:val="001475D3"/>
    <w:rsid w:val="00147703"/>
    <w:rsid w:val="0014775F"/>
    <w:rsid w:val="00147780"/>
    <w:rsid w:val="0014786B"/>
    <w:rsid w:val="00147961"/>
    <w:rsid w:val="001479E5"/>
    <w:rsid w:val="00147A3A"/>
    <w:rsid w:val="00147B66"/>
    <w:rsid w:val="00147B8A"/>
    <w:rsid w:val="00147CE6"/>
    <w:rsid w:val="00147CF6"/>
    <w:rsid w:val="00147E56"/>
    <w:rsid w:val="00147E5C"/>
    <w:rsid w:val="00147F00"/>
    <w:rsid w:val="00147F7B"/>
    <w:rsid w:val="00147FA0"/>
    <w:rsid w:val="00150098"/>
    <w:rsid w:val="001501EB"/>
    <w:rsid w:val="001501F6"/>
    <w:rsid w:val="001502F5"/>
    <w:rsid w:val="001503D4"/>
    <w:rsid w:val="001504E4"/>
    <w:rsid w:val="0015053E"/>
    <w:rsid w:val="001506EB"/>
    <w:rsid w:val="001507D1"/>
    <w:rsid w:val="00150808"/>
    <w:rsid w:val="00150884"/>
    <w:rsid w:val="001508EE"/>
    <w:rsid w:val="00150911"/>
    <w:rsid w:val="001509B6"/>
    <w:rsid w:val="00150A4F"/>
    <w:rsid w:val="00150A6E"/>
    <w:rsid w:val="00150AB9"/>
    <w:rsid w:val="00150DBE"/>
    <w:rsid w:val="00150E04"/>
    <w:rsid w:val="001510E5"/>
    <w:rsid w:val="001511B0"/>
    <w:rsid w:val="001511D7"/>
    <w:rsid w:val="001512B0"/>
    <w:rsid w:val="0015130D"/>
    <w:rsid w:val="001514CD"/>
    <w:rsid w:val="001515A6"/>
    <w:rsid w:val="00151660"/>
    <w:rsid w:val="001516E3"/>
    <w:rsid w:val="00151726"/>
    <w:rsid w:val="0015177F"/>
    <w:rsid w:val="00151D66"/>
    <w:rsid w:val="00151DDC"/>
    <w:rsid w:val="0015210E"/>
    <w:rsid w:val="00152169"/>
    <w:rsid w:val="00152224"/>
    <w:rsid w:val="00152256"/>
    <w:rsid w:val="001522D5"/>
    <w:rsid w:val="001523F9"/>
    <w:rsid w:val="00152466"/>
    <w:rsid w:val="0015249F"/>
    <w:rsid w:val="00152549"/>
    <w:rsid w:val="001525E1"/>
    <w:rsid w:val="00152602"/>
    <w:rsid w:val="001526C6"/>
    <w:rsid w:val="001526CD"/>
    <w:rsid w:val="00152A81"/>
    <w:rsid w:val="00152AA3"/>
    <w:rsid w:val="00152B42"/>
    <w:rsid w:val="00152B45"/>
    <w:rsid w:val="00152B56"/>
    <w:rsid w:val="00152BD5"/>
    <w:rsid w:val="00152BE2"/>
    <w:rsid w:val="00152C01"/>
    <w:rsid w:val="00152C52"/>
    <w:rsid w:val="00152D8A"/>
    <w:rsid w:val="00152F14"/>
    <w:rsid w:val="00152FA4"/>
    <w:rsid w:val="001530A4"/>
    <w:rsid w:val="001531B6"/>
    <w:rsid w:val="00153220"/>
    <w:rsid w:val="001533E4"/>
    <w:rsid w:val="001534E8"/>
    <w:rsid w:val="0015353F"/>
    <w:rsid w:val="00153544"/>
    <w:rsid w:val="001535A2"/>
    <w:rsid w:val="001536A5"/>
    <w:rsid w:val="00153814"/>
    <w:rsid w:val="00153819"/>
    <w:rsid w:val="00153893"/>
    <w:rsid w:val="00153992"/>
    <w:rsid w:val="00153C0D"/>
    <w:rsid w:val="00153C29"/>
    <w:rsid w:val="00153C7B"/>
    <w:rsid w:val="00153CD6"/>
    <w:rsid w:val="00153DC1"/>
    <w:rsid w:val="00153E8F"/>
    <w:rsid w:val="00153F44"/>
    <w:rsid w:val="0015406F"/>
    <w:rsid w:val="00154074"/>
    <w:rsid w:val="00154099"/>
    <w:rsid w:val="001540BB"/>
    <w:rsid w:val="00154114"/>
    <w:rsid w:val="00154168"/>
    <w:rsid w:val="00154205"/>
    <w:rsid w:val="001542A0"/>
    <w:rsid w:val="0015436B"/>
    <w:rsid w:val="0015458B"/>
    <w:rsid w:val="0015470B"/>
    <w:rsid w:val="00154771"/>
    <w:rsid w:val="00154875"/>
    <w:rsid w:val="00154892"/>
    <w:rsid w:val="001549C6"/>
    <w:rsid w:val="00154A09"/>
    <w:rsid w:val="00154AD6"/>
    <w:rsid w:val="00154B90"/>
    <w:rsid w:val="00154BC6"/>
    <w:rsid w:val="00154BCD"/>
    <w:rsid w:val="00154BFD"/>
    <w:rsid w:val="00154D5A"/>
    <w:rsid w:val="00154D74"/>
    <w:rsid w:val="00154EAC"/>
    <w:rsid w:val="0015502C"/>
    <w:rsid w:val="00155092"/>
    <w:rsid w:val="00155194"/>
    <w:rsid w:val="00155325"/>
    <w:rsid w:val="001554A3"/>
    <w:rsid w:val="001554BD"/>
    <w:rsid w:val="001554BE"/>
    <w:rsid w:val="00155599"/>
    <w:rsid w:val="001555EC"/>
    <w:rsid w:val="0015567A"/>
    <w:rsid w:val="001557B9"/>
    <w:rsid w:val="00155887"/>
    <w:rsid w:val="00155981"/>
    <w:rsid w:val="00155989"/>
    <w:rsid w:val="0015598A"/>
    <w:rsid w:val="001559AD"/>
    <w:rsid w:val="001559EB"/>
    <w:rsid w:val="00155A74"/>
    <w:rsid w:val="00155AC2"/>
    <w:rsid w:val="00155CDF"/>
    <w:rsid w:val="00155D27"/>
    <w:rsid w:val="00155D67"/>
    <w:rsid w:val="00155EC1"/>
    <w:rsid w:val="00155F4E"/>
    <w:rsid w:val="00155F8C"/>
    <w:rsid w:val="00155FE8"/>
    <w:rsid w:val="0015602F"/>
    <w:rsid w:val="00156042"/>
    <w:rsid w:val="0015637E"/>
    <w:rsid w:val="0015640D"/>
    <w:rsid w:val="00156567"/>
    <w:rsid w:val="001565B6"/>
    <w:rsid w:val="001565F4"/>
    <w:rsid w:val="0015661E"/>
    <w:rsid w:val="00156679"/>
    <w:rsid w:val="001566D9"/>
    <w:rsid w:val="00156702"/>
    <w:rsid w:val="001567C4"/>
    <w:rsid w:val="00156A16"/>
    <w:rsid w:val="00156B84"/>
    <w:rsid w:val="00156E09"/>
    <w:rsid w:val="00156E31"/>
    <w:rsid w:val="00156E48"/>
    <w:rsid w:val="00156EBE"/>
    <w:rsid w:val="00156F66"/>
    <w:rsid w:val="001570F9"/>
    <w:rsid w:val="001571DA"/>
    <w:rsid w:val="00157210"/>
    <w:rsid w:val="001572F2"/>
    <w:rsid w:val="001574C3"/>
    <w:rsid w:val="001579EC"/>
    <w:rsid w:val="00157A7E"/>
    <w:rsid w:val="00157BA8"/>
    <w:rsid w:val="00157C11"/>
    <w:rsid w:val="00157C14"/>
    <w:rsid w:val="00157C17"/>
    <w:rsid w:val="00157EDC"/>
    <w:rsid w:val="00157F7B"/>
    <w:rsid w:val="00157F82"/>
    <w:rsid w:val="00157F8D"/>
    <w:rsid w:val="0016008F"/>
    <w:rsid w:val="001600D8"/>
    <w:rsid w:val="0016012B"/>
    <w:rsid w:val="001601D5"/>
    <w:rsid w:val="00160202"/>
    <w:rsid w:val="0016020A"/>
    <w:rsid w:val="001602E4"/>
    <w:rsid w:val="0016034F"/>
    <w:rsid w:val="001604D0"/>
    <w:rsid w:val="0016055C"/>
    <w:rsid w:val="00160606"/>
    <w:rsid w:val="0016069A"/>
    <w:rsid w:val="0016079C"/>
    <w:rsid w:val="00160837"/>
    <w:rsid w:val="00160856"/>
    <w:rsid w:val="001608DA"/>
    <w:rsid w:val="00160948"/>
    <w:rsid w:val="00160C93"/>
    <w:rsid w:val="00160CFB"/>
    <w:rsid w:val="00160E4A"/>
    <w:rsid w:val="00160E85"/>
    <w:rsid w:val="00160FBD"/>
    <w:rsid w:val="0016102A"/>
    <w:rsid w:val="001610F2"/>
    <w:rsid w:val="00161181"/>
    <w:rsid w:val="00161217"/>
    <w:rsid w:val="0016121C"/>
    <w:rsid w:val="001614FA"/>
    <w:rsid w:val="00161608"/>
    <w:rsid w:val="001616A4"/>
    <w:rsid w:val="001617C0"/>
    <w:rsid w:val="001617EA"/>
    <w:rsid w:val="00161927"/>
    <w:rsid w:val="0016193F"/>
    <w:rsid w:val="00161A06"/>
    <w:rsid w:val="00161A5E"/>
    <w:rsid w:val="00161AC5"/>
    <w:rsid w:val="00161AD9"/>
    <w:rsid w:val="00161B5D"/>
    <w:rsid w:val="00161B9F"/>
    <w:rsid w:val="00161FFF"/>
    <w:rsid w:val="001620CE"/>
    <w:rsid w:val="00162164"/>
    <w:rsid w:val="00162193"/>
    <w:rsid w:val="001621BA"/>
    <w:rsid w:val="001621DF"/>
    <w:rsid w:val="001622AF"/>
    <w:rsid w:val="001627D4"/>
    <w:rsid w:val="00162891"/>
    <w:rsid w:val="00162A2A"/>
    <w:rsid w:val="00162C2A"/>
    <w:rsid w:val="00162CC0"/>
    <w:rsid w:val="00162CDA"/>
    <w:rsid w:val="00162DF3"/>
    <w:rsid w:val="00162DF4"/>
    <w:rsid w:val="00162E48"/>
    <w:rsid w:val="00162F96"/>
    <w:rsid w:val="00162FC6"/>
    <w:rsid w:val="001630AF"/>
    <w:rsid w:val="0016318B"/>
    <w:rsid w:val="001632F6"/>
    <w:rsid w:val="001633DA"/>
    <w:rsid w:val="00163490"/>
    <w:rsid w:val="00163597"/>
    <w:rsid w:val="001635D9"/>
    <w:rsid w:val="00163634"/>
    <w:rsid w:val="0016364E"/>
    <w:rsid w:val="001636F6"/>
    <w:rsid w:val="0016373A"/>
    <w:rsid w:val="00163771"/>
    <w:rsid w:val="00163799"/>
    <w:rsid w:val="00163A64"/>
    <w:rsid w:val="00163D36"/>
    <w:rsid w:val="00163EC3"/>
    <w:rsid w:val="00163ED6"/>
    <w:rsid w:val="00163EFD"/>
    <w:rsid w:val="00163F2B"/>
    <w:rsid w:val="00164148"/>
    <w:rsid w:val="00164209"/>
    <w:rsid w:val="0016434B"/>
    <w:rsid w:val="00164373"/>
    <w:rsid w:val="001643BC"/>
    <w:rsid w:val="00164477"/>
    <w:rsid w:val="001645A6"/>
    <w:rsid w:val="001645AB"/>
    <w:rsid w:val="00164650"/>
    <w:rsid w:val="0016465F"/>
    <w:rsid w:val="00164662"/>
    <w:rsid w:val="001647DF"/>
    <w:rsid w:val="00164932"/>
    <w:rsid w:val="0016495B"/>
    <w:rsid w:val="00164A5D"/>
    <w:rsid w:val="00164B0F"/>
    <w:rsid w:val="00164CB7"/>
    <w:rsid w:val="00164CDB"/>
    <w:rsid w:val="00164D1E"/>
    <w:rsid w:val="00164D88"/>
    <w:rsid w:val="00165263"/>
    <w:rsid w:val="001652DE"/>
    <w:rsid w:val="0016535A"/>
    <w:rsid w:val="00165455"/>
    <w:rsid w:val="00165456"/>
    <w:rsid w:val="001654BE"/>
    <w:rsid w:val="00165514"/>
    <w:rsid w:val="001655C0"/>
    <w:rsid w:val="00165641"/>
    <w:rsid w:val="0016567B"/>
    <w:rsid w:val="00165716"/>
    <w:rsid w:val="0016585D"/>
    <w:rsid w:val="001659A7"/>
    <w:rsid w:val="00165B66"/>
    <w:rsid w:val="00165BC5"/>
    <w:rsid w:val="00165C81"/>
    <w:rsid w:val="00165D1F"/>
    <w:rsid w:val="00165E57"/>
    <w:rsid w:val="00165F0B"/>
    <w:rsid w:val="00165F36"/>
    <w:rsid w:val="00165F5D"/>
    <w:rsid w:val="00166007"/>
    <w:rsid w:val="00166149"/>
    <w:rsid w:val="0016620D"/>
    <w:rsid w:val="00166292"/>
    <w:rsid w:val="001663F2"/>
    <w:rsid w:val="0016646D"/>
    <w:rsid w:val="00166511"/>
    <w:rsid w:val="001665A1"/>
    <w:rsid w:val="00166606"/>
    <w:rsid w:val="00166659"/>
    <w:rsid w:val="0016676D"/>
    <w:rsid w:val="001667B1"/>
    <w:rsid w:val="0016680A"/>
    <w:rsid w:val="001668AA"/>
    <w:rsid w:val="001668CC"/>
    <w:rsid w:val="001668F3"/>
    <w:rsid w:val="001669CF"/>
    <w:rsid w:val="00166A3F"/>
    <w:rsid w:val="00166B21"/>
    <w:rsid w:val="00166B68"/>
    <w:rsid w:val="00166BDD"/>
    <w:rsid w:val="00166C34"/>
    <w:rsid w:val="00166DED"/>
    <w:rsid w:val="00166E25"/>
    <w:rsid w:val="00166FD6"/>
    <w:rsid w:val="001670E9"/>
    <w:rsid w:val="001674AF"/>
    <w:rsid w:val="001675C7"/>
    <w:rsid w:val="001677EF"/>
    <w:rsid w:val="0016780E"/>
    <w:rsid w:val="00167863"/>
    <w:rsid w:val="001678BD"/>
    <w:rsid w:val="00167B0F"/>
    <w:rsid w:val="00167B19"/>
    <w:rsid w:val="00167B25"/>
    <w:rsid w:val="00167B7B"/>
    <w:rsid w:val="00167D34"/>
    <w:rsid w:val="00167E25"/>
    <w:rsid w:val="00167EB3"/>
    <w:rsid w:val="00167EC0"/>
    <w:rsid w:val="00167ECA"/>
    <w:rsid w:val="00170027"/>
    <w:rsid w:val="00170138"/>
    <w:rsid w:val="001701BF"/>
    <w:rsid w:val="00170321"/>
    <w:rsid w:val="00170360"/>
    <w:rsid w:val="001703C1"/>
    <w:rsid w:val="0017042F"/>
    <w:rsid w:val="0017048D"/>
    <w:rsid w:val="0017060E"/>
    <w:rsid w:val="00170728"/>
    <w:rsid w:val="001707B1"/>
    <w:rsid w:val="0017089D"/>
    <w:rsid w:val="00170963"/>
    <w:rsid w:val="001709E6"/>
    <w:rsid w:val="001709F9"/>
    <w:rsid w:val="00170A03"/>
    <w:rsid w:val="00170ACC"/>
    <w:rsid w:val="00170AE0"/>
    <w:rsid w:val="00170B3A"/>
    <w:rsid w:val="00170B6E"/>
    <w:rsid w:val="00170BAC"/>
    <w:rsid w:val="00170C57"/>
    <w:rsid w:val="00170C96"/>
    <w:rsid w:val="00170C97"/>
    <w:rsid w:val="00170D0B"/>
    <w:rsid w:val="00170D30"/>
    <w:rsid w:val="00170EAB"/>
    <w:rsid w:val="00170F9D"/>
    <w:rsid w:val="00171189"/>
    <w:rsid w:val="001711B9"/>
    <w:rsid w:val="00171371"/>
    <w:rsid w:val="0017137C"/>
    <w:rsid w:val="001713AF"/>
    <w:rsid w:val="001713D3"/>
    <w:rsid w:val="0017144A"/>
    <w:rsid w:val="001715E7"/>
    <w:rsid w:val="00171813"/>
    <w:rsid w:val="0017182C"/>
    <w:rsid w:val="0017188A"/>
    <w:rsid w:val="001719ED"/>
    <w:rsid w:val="00171A34"/>
    <w:rsid w:val="00171AF5"/>
    <w:rsid w:val="00171BBD"/>
    <w:rsid w:val="00171D99"/>
    <w:rsid w:val="00171E23"/>
    <w:rsid w:val="00171F11"/>
    <w:rsid w:val="00171FCD"/>
    <w:rsid w:val="0017240F"/>
    <w:rsid w:val="00172460"/>
    <w:rsid w:val="001724A2"/>
    <w:rsid w:val="00172740"/>
    <w:rsid w:val="001728B1"/>
    <w:rsid w:val="001728FD"/>
    <w:rsid w:val="00172A0C"/>
    <w:rsid w:val="00172A6D"/>
    <w:rsid w:val="00172A8D"/>
    <w:rsid w:val="00172B49"/>
    <w:rsid w:val="00172B7E"/>
    <w:rsid w:val="00172CE6"/>
    <w:rsid w:val="00172D56"/>
    <w:rsid w:val="00172FE5"/>
    <w:rsid w:val="0017308A"/>
    <w:rsid w:val="0017316E"/>
    <w:rsid w:val="001732A9"/>
    <w:rsid w:val="001733BC"/>
    <w:rsid w:val="001734B4"/>
    <w:rsid w:val="00173557"/>
    <w:rsid w:val="00173635"/>
    <w:rsid w:val="00173699"/>
    <w:rsid w:val="0017384C"/>
    <w:rsid w:val="00173868"/>
    <w:rsid w:val="00173968"/>
    <w:rsid w:val="00173AC4"/>
    <w:rsid w:val="00173B45"/>
    <w:rsid w:val="00173B49"/>
    <w:rsid w:val="00173C01"/>
    <w:rsid w:val="00173CAD"/>
    <w:rsid w:val="00173E1C"/>
    <w:rsid w:val="00173F30"/>
    <w:rsid w:val="001741E1"/>
    <w:rsid w:val="00174238"/>
    <w:rsid w:val="00174275"/>
    <w:rsid w:val="001742DF"/>
    <w:rsid w:val="00174394"/>
    <w:rsid w:val="001743B3"/>
    <w:rsid w:val="0017442B"/>
    <w:rsid w:val="001744D7"/>
    <w:rsid w:val="001746AC"/>
    <w:rsid w:val="001747C8"/>
    <w:rsid w:val="001747EA"/>
    <w:rsid w:val="00174920"/>
    <w:rsid w:val="0017494E"/>
    <w:rsid w:val="0017494F"/>
    <w:rsid w:val="0017496E"/>
    <w:rsid w:val="001749B9"/>
    <w:rsid w:val="00174A00"/>
    <w:rsid w:val="00174A19"/>
    <w:rsid w:val="00174AD4"/>
    <w:rsid w:val="00174B98"/>
    <w:rsid w:val="00174BD8"/>
    <w:rsid w:val="00174DB1"/>
    <w:rsid w:val="00174DB4"/>
    <w:rsid w:val="00174F78"/>
    <w:rsid w:val="00174FD9"/>
    <w:rsid w:val="001750E9"/>
    <w:rsid w:val="00175162"/>
    <w:rsid w:val="001751D7"/>
    <w:rsid w:val="00175473"/>
    <w:rsid w:val="0017576A"/>
    <w:rsid w:val="00175851"/>
    <w:rsid w:val="001758D0"/>
    <w:rsid w:val="001758EE"/>
    <w:rsid w:val="00175953"/>
    <w:rsid w:val="001759B5"/>
    <w:rsid w:val="00175A98"/>
    <w:rsid w:val="00175AFE"/>
    <w:rsid w:val="00175BE0"/>
    <w:rsid w:val="00175BE2"/>
    <w:rsid w:val="00175CBB"/>
    <w:rsid w:val="00175ECF"/>
    <w:rsid w:val="00175F1B"/>
    <w:rsid w:val="0017602B"/>
    <w:rsid w:val="001760D0"/>
    <w:rsid w:val="00176276"/>
    <w:rsid w:val="001762FD"/>
    <w:rsid w:val="001764A3"/>
    <w:rsid w:val="00176599"/>
    <w:rsid w:val="001765AD"/>
    <w:rsid w:val="00176600"/>
    <w:rsid w:val="0017662C"/>
    <w:rsid w:val="00176661"/>
    <w:rsid w:val="001766B9"/>
    <w:rsid w:val="0017672B"/>
    <w:rsid w:val="00176801"/>
    <w:rsid w:val="0017683A"/>
    <w:rsid w:val="0017689D"/>
    <w:rsid w:val="001768E6"/>
    <w:rsid w:val="00176917"/>
    <w:rsid w:val="00176B7C"/>
    <w:rsid w:val="00176C52"/>
    <w:rsid w:val="00176D0A"/>
    <w:rsid w:val="00176D10"/>
    <w:rsid w:val="00176DAF"/>
    <w:rsid w:val="00176DF0"/>
    <w:rsid w:val="00176E39"/>
    <w:rsid w:val="00176F9D"/>
    <w:rsid w:val="00176FBC"/>
    <w:rsid w:val="0017722D"/>
    <w:rsid w:val="001772BC"/>
    <w:rsid w:val="001772C5"/>
    <w:rsid w:val="00177360"/>
    <w:rsid w:val="001773B6"/>
    <w:rsid w:val="001774BA"/>
    <w:rsid w:val="0017755E"/>
    <w:rsid w:val="00177657"/>
    <w:rsid w:val="001776C4"/>
    <w:rsid w:val="0017772F"/>
    <w:rsid w:val="00177BC1"/>
    <w:rsid w:val="00177D5E"/>
    <w:rsid w:val="00177DC5"/>
    <w:rsid w:val="00177DF0"/>
    <w:rsid w:val="00177E0F"/>
    <w:rsid w:val="001800C7"/>
    <w:rsid w:val="0018010F"/>
    <w:rsid w:val="001801E6"/>
    <w:rsid w:val="001802DC"/>
    <w:rsid w:val="00180306"/>
    <w:rsid w:val="001803ED"/>
    <w:rsid w:val="00180455"/>
    <w:rsid w:val="001805BF"/>
    <w:rsid w:val="001805ED"/>
    <w:rsid w:val="00180657"/>
    <w:rsid w:val="0018069C"/>
    <w:rsid w:val="001808F8"/>
    <w:rsid w:val="00180991"/>
    <w:rsid w:val="00180A51"/>
    <w:rsid w:val="00180AD0"/>
    <w:rsid w:val="00180B13"/>
    <w:rsid w:val="00180B3D"/>
    <w:rsid w:val="00180BD8"/>
    <w:rsid w:val="00180BF3"/>
    <w:rsid w:val="00180C42"/>
    <w:rsid w:val="00180C4F"/>
    <w:rsid w:val="00180CEC"/>
    <w:rsid w:val="00180D51"/>
    <w:rsid w:val="00180DE5"/>
    <w:rsid w:val="00181039"/>
    <w:rsid w:val="00181098"/>
    <w:rsid w:val="00181105"/>
    <w:rsid w:val="00181180"/>
    <w:rsid w:val="00181199"/>
    <w:rsid w:val="001811E2"/>
    <w:rsid w:val="00181270"/>
    <w:rsid w:val="0018139B"/>
    <w:rsid w:val="00181531"/>
    <w:rsid w:val="0018156E"/>
    <w:rsid w:val="001815D2"/>
    <w:rsid w:val="00181675"/>
    <w:rsid w:val="00181816"/>
    <w:rsid w:val="00181A23"/>
    <w:rsid w:val="00181AA8"/>
    <w:rsid w:val="00181B86"/>
    <w:rsid w:val="00181C70"/>
    <w:rsid w:val="00181E61"/>
    <w:rsid w:val="00181E68"/>
    <w:rsid w:val="00181EE6"/>
    <w:rsid w:val="00181F89"/>
    <w:rsid w:val="00182017"/>
    <w:rsid w:val="00182025"/>
    <w:rsid w:val="0018207D"/>
    <w:rsid w:val="001820A3"/>
    <w:rsid w:val="001820F8"/>
    <w:rsid w:val="0018214D"/>
    <w:rsid w:val="0018218C"/>
    <w:rsid w:val="001822C8"/>
    <w:rsid w:val="001822FC"/>
    <w:rsid w:val="00182404"/>
    <w:rsid w:val="00182497"/>
    <w:rsid w:val="0018254E"/>
    <w:rsid w:val="00182669"/>
    <w:rsid w:val="001826A6"/>
    <w:rsid w:val="00182756"/>
    <w:rsid w:val="001827A3"/>
    <w:rsid w:val="001827E7"/>
    <w:rsid w:val="00182833"/>
    <w:rsid w:val="001828BA"/>
    <w:rsid w:val="00182944"/>
    <w:rsid w:val="00182AEB"/>
    <w:rsid w:val="00182CB7"/>
    <w:rsid w:val="00182D36"/>
    <w:rsid w:val="00182D37"/>
    <w:rsid w:val="00182FE5"/>
    <w:rsid w:val="00183048"/>
    <w:rsid w:val="00183172"/>
    <w:rsid w:val="001831E4"/>
    <w:rsid w:val="00183223"/>
    <w:rsid w:val="00183347"/>
    <w:rsid w:val="001833EB"/>
    <w:rsid w:val="001835B0"/>
    <w:rsid w:val="00183619"/>
    <w:rsid w:val="0018378F"/>
    <w:rsid w:val="0018379A"/>
    <w:rsid w:val="0018391B"/>
    <w:rsid w:val="0018391F"/>
    <w:rsid w:val="0018393D"/>
    <w:rsid w:val="0018399C"/>
    <w:rsid w:val="00183B50"/>
    <w:rsid w:val="00183B9A"/>
    <w:rsid w:val="00183BD4"/>
    <w:rsid w:val="00183D88"/>
    <w:rsid w:val="00183E11"/>
    <w:rsid w:val="00183E77"/>
    <w:rsid w:val="00183EA5"/>
    <w:rsid w:val="00183EC4"/>
    <w:rsid w:val="00183EF1"/>
    <w:rsid w:val="00183FC7"/>
    <w:rsid w:val="0018414B"/>
    <w:rsid w:val="00184159"/>
    <w:rsid w:val="00184254"/>
    <w:rsid w:val="00184373"/>
    <w:rsid w:val="00184383"/>
    <w:rsid w:val="001843A5"/>
    <w:rsid w:val="0018444C"/>
    <w:rsid w:val="001844D9"/>
    <w:rsid w:val="0018461D"/>
    <w:rsid w:val="00184688"/>
    <w:rsid w:val="001846BC"/>
    <w:rsid w:val="00184906"/>
    <w:rsid w:val="001849B7"/>
    <w:rsid w:val="00184A2D"/>
    <w:rsid w:val="00184A4A"/>
    <w:rsid w:val="00184CF3"/>
    <w:rsid w:val="00184D0F"/>
    <w:rsid w:val="00184ED3"/>
    <w:rsid w:val="00184EE0"/>
    <w:rsid w:val="00184EF7"/>
    <w:rsid w:val="00184FD9"/>
    <w:rsid w:val="001850FF"/>
    <w:rsid w:val="001853A8"/>
    <w:rsid w:val="00185539"/>
    <w:rsid w:val="0018554B"/>
    <w:rsid w:val="001855ED"/>
    <w:rsid w:val="001857DF"/>
    <w:rsid w:val="001857E9"/>
    <w:rsid w:val="00185819"/>
    <w:rsid w:val="0018581F"/>
    <w:rsid w:val="00185A6D"/>
    <w:rsid w:val="00185B8C"/>
    <w:rsid w:val="00185BCA"/>
    <w:rsid w:val="00185BE1"/>
    <w:rsid w:val="00185C81"/>
    <w:rsid w:val="00185CEE"/>
    <w:rsid w:val="00186024"/>
    <w:rsid w:val="00186160"/>
    <w:rsid w:val="001863FF"/>
    <w:rsid w:val="00186471"/>
    <w:rsid w:val="00186503"/>
    <w:rsid w:val="0018650E"/>
    <w:rsid w:val="0018653F"/>
    <w:rsid w:val="001865DF"/>
    <w:rsid w:val="001866C9"/>
    <w:rsid w:val="001868CE"/>
    <w:rsid w:val="00186951"/>
    <w:rsid w:val="001869B1"/>
    <w:rsid w:val="00186A63"/>
    <w:rsid w:val="00186B04"/>
    <w:rsid w:val="00186B25"/>
    <w:rsid w:val="00186B4C"/>
    <w:rsid w:val="00186BC7"/>
    <w:rsid w:val="00186D63"/>
    <w:rsid w:val="00186F4F"/>
    <w:rsid w:val="00187096"/>
    <w:rsid w:val="001870AD"/>
    <w:rsid w:val="0018710A"/>
    <w:rsid w:val="00187143"/>
    <w:rsid w:val="00187153"/>
    <w:rsid w:val="00187251"/>
    <w:rsid w:val="001872EE"/>
    <w:rsid w:val="00187390"/>
    <w:rsid w:val="0018757F"/>
    <w:rsid w:val="00187639"/>
    <w:rsid w:val="001876E1"/>
    <w:rsid w:val="00187776"/>
    <w:rsid w:val="001878ED"/>
    <w:rsid w:val="0018790B"/>
    <w:rsid w:val="00187A9A"/>
    <w:rsid w:val="00187AFB"/>
    <w:rsid w:val="00187BBF"/>
    <w:rsid w:val="00187BF7"/>
    <w:rsid w:val="00187C60"/>
    <w:rsid w:val="00187DD5"/>
    <w:rsid w:val="00187EA6"/>
    <w:rsid w:val="00187EFB"/>
    <w:rsid w:val="0019000B"/>
    <w:rsid w:val="001901D3"/>
    <w:rsid w:val="001901ED"/>
    <w:rsid w:val="00190218"/>
    <w:rsid w:val="00190221"/>
    <w:rsid w:val="0019026F"/>
    <w:rsid w:val="00190424"/>
    <w:rsid w:val="00190437"/>
    <w:rsid w:val="001904DB"/>
    <w:rsid w:val="001904F9"/>
    <w:rsid w:val="0019071B"/>
    <w:rsid w:val="0019079E"/>
    <w:rsid w:val="00190926"/>
    <w:rsid w:val="00190A2C"/>
    <w:rsid w:val="00190A6C"/>
    <w:rsid w:val="00190AF1"/>
    <w:rsid w:val="00190BD6"/>
    <w:rsid w:val="00190C5D"/>
    <w:rsid w:val="00190CA7"/>
    <w:rsid w:val="00190D3B"/>
    <w:rsid w:val="00190D3D"/>
    <w:rsid w:val="00190F9C"/>
    <w:rsid w:val="0019116D"/>
    <w:rsid w:val="00191222"/>
    <w:rsid w:val="00191241"/>
    <w:rsid w:val="00191325"/>
    <w:rsid w:val="00191370"/>
    <w:rsid w:val="001913BB"/>
    <w:rsid w:val="00191617"/>
    <w:rsid w:val="00191754"/>
    <w:rsid w:val="00191800"/>
    <w:rsid w:val="00191A19"/>
    <w:rsid w:val="00191A97"/>
    <w:rsid w:val="00191ACB"/>
    <w:rsid w:val="00191B45"/>
    <w:rsid w:val="00191B74"/>
    <w:rsid w:val="00191C8E"/>
    <w:rsid w:val="00191CB0"/>
    <w:rsid w:val="00191E0F"/>
    <w:rsid w:val="00191E94"/>
    <w:rsid w:val="00192055"/>
    <w:rsid w:val="00192093"/>
    <w:rsid w:val="00192172"/>
    <w:rsid w:val="00192226"/>
    <w:rsid w:val="0019226C"/>
    <w:rsid w:val="0019234E"/>
    <w:rsid w:val="00192374"/>
    <w:rsid w:val="001924B9"/>
    <w:rsid w:val="001925A6"/>
    <w:rsid w:val="001925DA"/>
    <w:rsid w:val="00192602"/>
    <w:rsid w:val="00192604"/>
    <w:rsid w:val="0019268F"/>
    <w:rsid w:val="001927E6"/>
    <w:rsid w:val="00192806"/>
    <w:rsid w:val="00192845"/>
    <w:rsid w:val="00192C77"/>
    <w:rsid w:val="00192CA2"/>
    <w:rsid w:val="00192CF5"/>
    <w:rsid w:val="00192DF4"/>
    <w:rsid w:val="00192E61"/>
    <w:rsid w:val="00192EAA"/>
    <w:rsid w:val="00192F3E"/>
    <w:rsid w:val="00192F90"/>
    <w:rsid w:val="00192FEE"/>
    <w:rsid w:val="0019309A"/>
    <w:rsid w:val="00193121"/>
    <w:rsid w:val="0019317E"/>
    <w:rsid w:val="00193234"/>
    <w:rsid w:val="00193243"/>
    <w:rsid w:val="0019326D"/>
    <w:rsid w:val="001933DC"/>
    <w:rsid w:val="001934CC"/>
    <w:rsid w:val="001936BC"/>
    <w:rsid w:val="001936C9"/>
    <w:rsid w:val="00193700"/>
    <w:rsid w:val="00193745"/>
    <w:rsid w:val="0019381E"/>
    <w:rsid w:val="001939DF"/>
    <w:rsid w:val="001939EE"/>
    <w:rsid w:val="00193AB3"/>
    <w:rsid w:val="00193AE9"/>
    <w:rsid w:val="00193DD0"/>
    <w:rsid w:val="00193F29"/>
    <w:rsid w:val="00193F57"/>
    <w:rsid w:val="00194015"/>
    <w:rsid w:val="001941DF"/>
    <w:rsid w:val="00194257"/>
    <w:rsid w:val="00194418"/>
    <w:rsid w:val="00194468"/>
    <w:rsid w:val="00194555"/>
    <w:rsid w:val="0019460A"/>
    <w:rsid w:val="001946A8"/>
    <w:rsid w:val="001948B7"/>
    <w:rsid w:val="001948F2"/>
    <w:rsid w:val="00194A05"/>
    <w:rsid w:val="00194B08"/>
    <w:rsid w:val="00194B0A"/>
    <w:rsid w:val="00194C54"/>
    <w:rsid w:val="00194CF0"/>
    <w:rsid w:val="00194E42"/>
    <w:rsid w:val="00194E78"/>
    <w:rsid w:val="00194F37"/>
    <w:rsid w:val="00194F94"/>
    <w:rsid w:val="00194FDD"/>
    <w:rsid w:val="0019522A"/>
    <w:rsid w:val="00195252"/>
    <w:rsid w:val="00195361"/>
    <w:rsid w:val="00195494"/>
    <w:rsid w:val="00195557"/>
    <w:rsid w:val="001955A9"/>
    <w:rsid w:val="001955F9"/>
    <w:rsid w:val="0019561F"/>
    <w:rsid w:val="001957E5"/>
    <w:rsid w:val="00195899"/>
    <w:rsid w:val="0019598C"/>
    <w:rsid w:val="00195A2F"/>
    <w:rsid w:val="00195ABB"/>
    <w:rsid w:val="00195AD7"/>
    <w:rsid w:val="00195DBB"/>
    <w:rsid w:val="00195F8D"/>
    <w:rsid w:val="001960D4"/>
    <w:rsid w:val="0019618B"/>
    <w:rsid w:val="001961AB"/>
    <w:rsid w:val="0019626C"/>
    <w:rsid w:val="00196329"/>
    <w:rsid w:val="00196436"/>
    <w:rsid w:val="0019646C"/>
    <w:rsid w:val="0019653A"/>
    <w:rsid w:val="00196618"/>
    <w:rsid w:val="001967A6"/>
    <w:rsid w:val="001968DF"/>
    <w:rsid w:val="001969B2"/>
    <w:rsid w:val="00196A22"/>
    <w:rsid w:val="00196AA0"/>
    <w:rsid w:val="00196AA9"/>
    <w:rsid w:val="00196BB3"/>
    <w:rsid w:val="00196D91"/>
    <w:rsid w:val="00196E6C"/>
    <w:rsid w:val="00196EA6"/>
    <w:rsid w:val="00196F0A"/>
    <w:rsid w:val="00196F32"/>
    <w:rsid w:val="00196F90"/>
    <w:rsid w:val="00196F9F"/>
    <w:rsid w:val="00196FE1"/>
    <w:rsid w:val="00197052"/>
    <w:rsid w:val="0019708A"/>
    <w:rsid w:val="001970F2"/>
    <w:rsid w:val="001971C4"/>
    <w:rsid w:val="00197331"/>
    <w:rsid w:val="001975EA"/>
    <w:rsid w:val="001976E2"/>
    <w:rsid w:val="0019777B"/>
    <w:rsid w:val="0019796E"/>
    <w:rsid w:val="001979A5"/>
    <w:rsid w:val="00197A04"/>
    <w:rsid w:val="00197A5C"/>
    <w:rsid w:val="00197DA8"/>
    <w:rsid w:val="00197EF2"/>
    <w:rsid w:val="00197FA6"/>
    <w:rsid w:val="00197FF0"/>
    <w:rsid w:val="001A002C"/>
    <w:rsid w:val="001A0139"/>
    <w:rsid w:val="001A0168"/>
    <w:rsid w:val="001A02B2"/>
    <w:rsid w:val="001A040D"/>
    <w:rsid w:val="001A041F"/>
    <w:rsid w:val="001A04E7"/>
    <w:rsid w:val="001A0558"/>
    <w:rsid w:val="001A0606"/>
    <w:rsid w:val="001A060D"/>
    <w:rsid w:val="001A0636"/>
    <w:rsid w:val="001A0660"/>
    <w:rsid w:val="001A068A"/>
    <w:rsid w:val="001A06B4"/>
    <w:rsid w:val="001A0731"/>
    <w:rsid w:val="001A0738"/>
    <w:rsid w:val="001A0762"/>
    <w:rsid w:val="001A076E"/>
    <w:rsid w:val="001A07A8"/>
    <w:rsid w:val="001A07E1"/>
    <w:rsid w:val="001A08A1"/>
    <w:rsid w:val="001A094D"/>
    <w:rsid w:val="001A0C0C"/>
    <w:rsid w:val="001A0CCE"/>
    <w:rsid w:val="001A0E75"/>
    <w:rsid w:val="001A0FB9"/>
    <w:rsid w:val="001A1013"/>
    <w:rsid w:val="001A109A"/>
    <w:rsid w:val="001A110F"/>
    <w:rsid w:val="001A11B4"/>
    <w:rsid w:val="001A13F8"/>
    <w:rsid w:val="001A1531"/>
    <w:rsid w:val="001A1595"/>
    <w:rsid w:val="001A15AB"/>
    <w:rsid w:val="001A15E9"/>
    <w:rsid w:val="001A1615"/>
    <w:rsid w:val="001A1628"/>
    <w:rsid w:val="001A16E3"/>
    <w:rsid w:val="001A1758"/>
    <w:rsid w:val="001A181D"/>
    <w:rsid w:val="001A190A"/>
    <w:rsid w:val="001A1985"/>
    <w:rsid w:val="001A19F2"/>
    <w:rsid w:val="001A1B68"/>
    <w:rsid w:val="001A1B78"/>
    <w:rsid w:val="001A1BE3"/>
    <w:rsid w:val="001A1C86"/>
    <w:rsid w:val="001A1CB6"/>
    <w:rsid w:val="001A1D5E"/>
    <w:rsid w:val="001A1D90"/>
    <w:rsid w:val="001A1ECC"/>
    <w:rsid w:val="001A2008"/>
    <w:rsid w:val="001A20AE"/>
    <w:rsid w:val="001A21B9"/>
    <w:rsid w:val="001A23EE"/>
    <w:rsid w:val="001A240E"/>
    <w:rsid w:val="001A257F"/>
    <w:rsid w:val="001A25C0"/>
    <w:rsid w:val="001A2642"/>
    <w:rsid w:val="001A27AD"/>
    <w:rsid w:val="001A287C"/>
    <w:rsid w:val="001A29AC"/>
    <w:rsid w:val="001A2CCD"/>
    <w:rsid w:val="001A2CD9"/>
    <w:rsid w:val="001A2D3F"/>
    <w:rsid w:val="001A2D6B"/>
    <w:rsid w:val="001A2D7E"/>
    <w:rsid w:val="001A2E56"/>
    <w:rsid w:val="001A2ED7"/>
    <w:rsid w:val="001A2F89"/>
    <w:rsid w:val="001A32DB"/>
    <w:rsid w:val="001A3307"/>
    <w:rsid w:val="001A33BF"/>
    <w:rsid w:val="001A3438"/>
    <w:rsid w:val="001A34E1"/>
    <w:rsid w:val="001A3533"/>
    <w:rsid w:val="001A35A1"/>
    <w:rsid w:val="001A361F"/>
    <w:rsid w:val="001A36A7"/>
    <w:rsid w:val="001A3769"/>
    <w:rsid w:val="001A37B2"/>
    <w:rsid w:val="001A3A13"/>
    <w:rsid w:val="001A3AB4"/>
    <w:rsid w:val="001A3C9F"/>
    <w:rsid w:val="001A3D08"/>
    <w:rsid w:val="001A3D5F"/>
    <w:rsid w:val="001A3F1A"/>
    <w:rsid w:val="001A3F44"/>
    <w:rsid w:val="001A4134"/>
    <w:rsid w:val="001A428F"/>
    <w:rsid w:val="001A42A0"/>
    <w:rsid w:val="001A437A"/>
    <w:rsid w:val="001A443B"/>
    <w:rsid w:val="001A467F"/>
    <w:rsid w:val="001A46AA"/>
    <w:rsid w:val="001A48AD"/>
    <w:rsid w:val="001A493A"/>
    <w:rsid w:val="001A4971"/>
    <w:rsid w:val="001A4A6B"/>
    <w:rsid w:val="001A4A76"/>
    <w:rsid w:val="001A4AAE"/>
    <w:rsid w:val="001A4C2A"/>
    <w:rsid w:val="001A4D58"/>
    <w:rsid w:val="001A4D8F"/>
    <w:rsid w:val="001A4DF6"/>
    <w:rsid w:val="001A4E0F"/>
    <w:rsid w:val="001A4E1B"/>
    <w:rsid w:val="001A4E30"/>
    <w:rsid w:val="001A4E36"/>
    <w:rsid w:val="001A4E6F"/>
    <w:rsid w:val="001A4EE4"/>
    <w:rsid w:val="001A5075"/>
    <w:rsid w:val="001A5211"/>
    <w:rsid w:val="001A5258"/>
    <w:rsid w:val="001A540B"/>
    <w:rsid w:val="001A569D"/>
    <w:rsid w:val="001A5708"/>
    <w:rsid w:val="001A57A7"/>
    <w:rsid w:val="001A57DC"/>
    <w:rsid w:val="001A5A01"/>
    <w:rsid w:val="001A5A11"/>
    <w:rsid w:val="001A5ADC"/>
    <w:rsid w:val="001A5B18"/>
    <w:rsid w:val="001A5B78"/>
    <w:rsid w:val="001A5C5A"/>
    <w:rsid w:val="001A5C6B"/>
    <w:rsid w:val="001A5CAF"/>
    <w:rsid w:val="001A5D0E"/>
    <w:rsid w:val="001A5D47"/>
    <w:rsid w:val="001A5DC6"/>
    <w:rsid w:val="001A5F51"/>
    <w:rsid w:val="001A601E"/>
    <w:rsid w:val="001A6043"/>
    <w:rsid w:val="001A61C7"/>
    <w:rsid w:val="001A61D7"/>
    <w:rsid w:val="001A6226"/>
    <w:rsid w:val="001A6239"/>
    <w:rsid w:val="001A625B"/>
    <w:rsid w:val="001A6331"/>
    <w:rsid w:val="001A6566"/>
    <w:rsid w:val="001A661C"/>
    <w:rsid w:val="001A67EA"/>
    <w:rsid w:val="001A683B"/>
    <w:rsid w:val="001A68C6"/>
    <w:rsid w:val="001A69AF"/>
    <w:rsid w:val="001A6A33"/>
    <w:rsid w:val="001A6AF5"/>
    <w:rsid w:val="001A6B70"/>
    <w:rsid w:val="001A6DDE"/>
    <w:rsid w:val="001A701E"/>
    <w:rsid w:val="001A73A3"/>
    <w:rsid w:val="001A75CD"/>
    <w:rsid w:val="001A7638"/>
    <w:rsid w:val="001A772B"/>
    <w:rsid w:val="001A77F3"/>
    <w:rsid w:val="001A7900"/>
    <w:rsid w:val="001A790F"/>
    <w:rsid w:val="001A7AE5"/>
    <w:rsid w:val="001A7B2E"/>
    <w:rsid w:val="001A7D7C"/>
    <w:rsid w:val="001A7F34"/>
    <w:rsid w:val="001A7FA3"/>
    <w:rsid w:val="001B0028"/>
    <w:rsid w:val="001B005C"/>
    <w:rsid w:val="001B005E"/>
    <w:rsid w:val="001B00D8"/>
    <w:rsid w:val="001B03C2"/>
    <w:rsid w:val="001B07CC"/>
    <w:rsid w:val="001B0860"/>
    <w:rsid w:val="001B087D"/>
    <w:rsid w:val="001B08B5"/>
    <w:rsid w:val="001B08F2"/>
    <w:rsid w:val="001B091A"/>
    <w:rsid w:val="001B0A68"/>
    <w:rsid w:val="001B0C30"/>
    <w:rsid w:val="001B0CC6"/>
    <w:rsid w:val="001B0D26"/>
    <w:rsid w:val="001B0D80"/>
    <w:rsid w:val="001B0E48"/>
    <w:rsid w:val="001B0EEC"/>
    <w:rsid w:val="001B0F1A"/>
    <w:rsid w:val="001B0FBB"/>
    <w:rsid w:val="001B123B"/>
    <w:rsid w:val="001B125A"/>
    <w:rsid w:val="001B1273"/>
    <w:rsid w:val="001B1328"/>
    <w:rsid w:val="001B1399"/>
    <w:rsid w:val="001B13A7"/>
    <w:rsid w:val="001B13EB"/>
    <w:rsid w:val="001B13EC"/>
    <w:rsid w:val="001B143A"/>
    <w:rsid w:val="001B1462"/>
    <w:rsid w:val="001B1479"/>
    <w:rsid w:val="001B14A9"/>
    <w:rsid w:val="001B14F8"/>
    <w:rsid w:val="001B151E"/>
    <w:rsid w:val="001B1536"/>
    <w:rsid w:val="001B15ED"/>
    <w:rsid w:val="001B1679"/>
    <w:rsid w:val="001B1695"/>
    <w:rsid w:val="001B1886"/>
    <w:rsid w:val="001B188D"/>
    <w:rsid w:val="001B18AA"/>
    <w:rsid w:val="001B18AF"/>
    <w:rsid w:val="001B18BC"/>
    <w:rsid w:val="001B190F"/>
    <w:rsid w:val="001B1947"/>
    <w:rsid w:val="001B1A1A"/>
    <w:rsid w:val="001B1DF8"/>
    <w:rsid w:val="001B1ECF"/>
    <w:rsid w:val="001B1F0A"/>
    <w:rsid w:val="001B1F4F"/>
    <w:rsid w:val="001B1FBF"/>
    <w:rsid w:val="001B1FEE"/>
    <w:rsid w:val="001B1FF4"/>
    <w:rsid w:val="001B2084"/>
    <w:rsid w:val="001B2227"/>
    <w:rsid w:val="001B2233"/>
    <w:rsid w:val="001B2430"/>
    <w:rsid w:val="001B2597"/>
    <w:rsid w:val="001B260B"/>
    <w:rsid w:val="001B2613"/>
    <w:rsid w:val="001B2772"/>
    <w:rsid w:val="001B2830"/>
    <w:rsid w:val="001B2838"/>
    <w:rsid w:val="001B289B"/>
    <w:rsid w:val="001B28BD"/>
    <w:rsid w:val="001B29D9"/>
    <w:rsid w:val="001B2A40"/>
    <w:rsid w:val="001B2ADC"/>
    <w:rsid w:val="001B2C57"/>
    <w:rsid w:val="001B2CF2"/>
    <w:rsid w:val="001B2DA4"/>
    <w:rsid w:val="001B2DE3"/>
    <w:rsid w:val="001B2EEE"/>
    <w:rsid w:val="001B2F02"/>
    <w:rsid w:val="001B3124"/>
    <w:rsid w:val="001B315E"/>
    <w:rsid w:val="001B334B"/>
    <w:rsid w:val="001B33F5"/>
    <w:rsid w:val="001B34AA"/>
    <w:rsid w:val="001B34B9"/>
    <w:rsid w:val="001B358B"/>
    <w:rsid w:val="001B3698"/>
    <w:rsid w:val="001B38F0"/>
    <w:rsid w:val="001B3A2A"/>
    <w:rsid w:val="001B3B4C"/>
    <w:rsid w:val="001B3B5A"/>
    <w:rsid w:val="001B3B91"/>
    <w:rsid w:val="001B3C4B"/>
    <w:rsid w:val="001B3D08"/>
    <w:rsid w:val="001B3EE3"/>
    <w:rsid w:val="001B3F1F"/>
    <w:rsid w:val="001B40A3"/>
    <w:rsid w:val="001B40C3"/>
    <w:rsid w:val="001B40E9"/>
    <w:rsid w:val="001B4151"/>
    <w:rsid w:val="001B4157"/>
    <w:rsid w:val="001B4305"/>
    <w:rsid w:val="001B437A"/>
    <w:rsid w:val="001B4528"/>
    <w:rsid w:val="001B4655"/>
    <w:rsid w:val="001B4691"/>
    <w:rsid w:val="001B46C2"/>
    <w:rsid w:val="001B46E1"/>
    <w:rsid w:val="001B474A"/>
    <w:rsid w:val="001B48C9"/>
    <w:rsid w:val="001B4B3F"/>
    <w:rsid w:val="001B4C4F"/>
    <w:rsid w:val="001B4D36"/>
    <w:rsid w:val="001B4E14"/>
    <w:rsid w:val="001B4E25"/>
    <w:rsid w:val="001B4ECF"/>
    <w:rsid w:val="001B4F49"/>
    <w:rsid w:val="001B50C1"/>
    <w:rsid w:val="001B530E"/>
    <w:rsid w:val="001B53BF"/>
    <w:rsid w:val="001B556E"/>
    <w:rsid w:val="001B5625"/>
    <w:rsid w:val="001B56E2"/>
    <w:rsid w:val="001B57F5"/>
    <w:rsid w:val="001B5A93"/>
    <w:rsid w:val="001B5B52"/>
    <w:rsid w:val="001B5D77"/>
    <w:rsid w:val="001B5DB0"/>
    <w:rsid w:val="001B5EAF"/>
    <w:rsid w:val="001B5EE7"/>
    <w:rsid w:val="001B5FB4"/>
    <w:rsid w:val="001B5FB7"/>
    <w:rsid w:val="001B6002"/>
    <w:rsid w:val="001B6061"/>
    <w:rsid w:val="001B60B9"/>
    <w:rsid w:val="001B64CE"/>
    <w:rsid w:val="001B6572"/>
    <w:rsid w:val="001B6580"/>
    <w:rsid w:val="001B668C"/>
    <w:rsid w:val="001B67AD"/>
    <w:rsid w:val="001B67E8"/>
    <w:rsid w:val="001B691A"/>
    <w:rsid w:val="001B6A28"/>
    <w:rsid w:val="001B6A51"/>
    <w:rsid w:val="001B6AC4"/>
    <w:rsid w:val="001B6C14"/>
    <w:rsid w:val="001B6C8B"/>
    <w:rsid w:val="001B6C9B"/>
    <w:rsid w:val="001B6D27"/>
    <w:rsid w:val="001B6E4C"/>
    <w:rsid w:val="001B6E8C"/>
    <w:rsid w:val="001B6EAE"/>
    <w:rsid w:val="001B7092"/>
    <w:rsid w:val="001B7121"/>
    <w:rsid w:val="001B74C4"/>
    <w:rsid w:val="001B7705"/>
    <w:rsid w:val="001B788E"/>
    <w:rsid w:val="001B793E"/>
    <w:rsid w:val="001B7948"/>
    <w:rsid w:val="001B7A1C"/>
    <w:rsid w:val="001B7A4D"/>
    <w:rsid w:val="001B7C63"/>
    <w:rsid w:val="001B7DFC"/>
    <w:rsid w:val="001B7FA0"/>
    <w:rsid w:val="001C023C"/>
    <w:rsid w:val="001C02D4"/>
    <w:rsid w:val="001C035A"/>
    <w:rsid w:val="001C04A1"/>
    <w:rsid w:val="001C05C1"/>
    <w:rsid w:val="001C05DF"/>
    <w:rsid w:val="001C064E"/>
    <w:rsid w:val="001C068C"/>
    <w:rsid w:val="001C0754"/>
    <w:rsid w:val="001C0807"/>
    <w:rsid w:val="001C09B9"/>
    <w:rsid w:val="001C0B5A"/>
    <w:rsid w:val="001C0DE5"/>
    <w:rsid w:val="001C0F48"/>
    <w:rsid w:val="001C0FBE"/>
    <w:rsid w:val="001C101F"/>
    <w:rsid w:val="001C103C"/>
    <w:rsid w:val="001C1066"/>
    <w:rsid w:val="001C1095"/>
    <w:rsid w:val="001C125C"/>
    <w:rsid w:val="001C13D6"/>
    <w:rsid w:val="001C148A"/>
    <w:rsid w:val="001C14D5"/>
    <w:rsid w:val="001C1689"/>
    <w:rsid w:val="001C1839"/>
    <w:rsid w:val="001C1900"/>
    <w:rsid w:val="001C1916"/>
    <w:rsid w:val="001C1968"/>
    <w:rsid w:val="001C19E9"/>
    <w:rsid w:val="001C1ADF"/>
    <w:rsid w:val="001C1B90"/>
    <w:rsid w:val="001C1BF4"/>
    <w:rsid w:val="001C1DAB"/>
    <w:rsid w:val="001C1FF1"/>
    <w:rsid w:val="001C209A"/>
    <w:rsid w:val="001C20AF"/>
    <w:rsid w:val="001C2140"/>
    <w:rsid w:val="001C219C"/>
    <w:rsid w:val="001C221C"/>
    <w:rsid w:val="001C23C3"/>
    <w:rsid w:val="001C245E"/>
    <w:rsid w:val="001C26A1"/>
    <w:rsid w:val="001C275A"/>
    <w:rsid w:val="001C27E3"/>
    <w:rsid w:val="001C28B3"/>
    <w:rsid w:val="001C28E7"/>
    <w:rsid w:val="001C28F8"/>
    <w:rsid w:val="001C2A08"/>
    <w:rsid w:val="001C2A1C"/>
    <w:rsid w:val="001C2A30"/>
    <w:rsid w:val="001C2ABC"/>
    <w:rsid w:val="001C2F69"/>
    <w:rsid w:val="001C2FF3"/>
    <w:rsid w:val="001C300C"/>
    <w:rsid w:val="001C3293"/>
    <w:rsid w:val="001C32D4"/>
    <w:rsid w:val="001C32E8"/>
    <w:rsid w:val="001C3327"/>
    <w:rsid w:val="001C332E"/>
    <w:rsid w:val="001C33F9"/>
    <w:rsid w:val="001C35AB"/>
    <w:rsid w:val="001C35EF"/>
    <w:rsid w:val="001C3808"/>
    <w:rsid w:val="001C38F6"/>
    <w:rsid w:val="001C38FA"/>
    <w:rsid w:val="001C39A0"/>
    <w:rsid w:val="001C39D4"/>
    <w:rsid w:val="001C3A37"/>
    <w:rsid w:val="001C3A66"/>
    <w:rsid w:val="001C3A77"/>
    <w:rsid w:val="001C3B44"/>
    <w:rsid w:val="001C3C37"/>
    <w:rsid w:val="001C3CA9"/>
    <w:rsid w:val="001C3CAD"/>
    <w:rsid w:val="001C3E97"/>
    <w:rsid w:val="001C3F9D"/>
    <w:rsid w:val="001C40A5"/>
    <w:rsid w:val="001C410D"/>
    <w:rsid w:val="001C41EF"/>
    <w:rsid w:val="001C4263"/>
    <w:rsid w:val="001C436A"/>
    <w:rsid w:val="001C442B"/>
    <w:rsid w:val="001C4430"/>
    <w:rsid w:val="001C44FB"/>
    <w:rsid w:val="001C45F9"/>
    <w:rsid w:val="001C4626"/>
    <w:rsid w:val="001C4838"/>
    <w:rsid w:val="001C4B55"/>
    <w:rsid w:val="001C4B7D"/>
    <w:rsid w:val="001C4BAC"/>
    <w:rsid w:val="001C4C1D"/>
    <w:rsid w:val="001C4C6D"/>
    <w:rsid w:val="001C4CBD"/>
    <w:rsid w:val="001C4DEE"/>
    <w:rsid w:val="001C4DF4"/>
    <w:rsid w:val="001C4E31"/>
    <w:rsid w:val="001C4EA6"/>
    <w:rsid w:val="001C4F90"/>
    <w:rsid w:val="001C5006"/>
    <w:rsid w:val="001C503C"/>
    <w:rsid w:val="001C5185"/>
    <w:rsid w:val="001C51D7"/>
    <w:rsid w:val="001C55A3"/>
    <w:rsid w:val="001C55CF"/>
    <w:rsid w:val="001C568B"/>
    <w:rsid w:val="001C58DE"/>
    <w:rsid w:val="001C59A7"/>
    <w:rsid w:val="001C5A44"/>
    <w:rsid w:val="001C5B3C"/>
    <w:rsid w:val="001C5B7A"/>
    <w:rsid w:val="001C5BFC"/>
    <w:rsid w:val="001C5D9A"/>
    <w:rsid w:val="001C5DF4"/>
    <w:rsid w:val="001C5E30"/>
    <w:rsid w:val="001C5EC9"/>
    <w:rsid w:val="001C60D7"/>
    <w:rsid w:val="001C61A1"/>
    <w:rsid w:val="001C61A2"/>
    <w:rsid w:val="001C62FE"/>
    <w:rsid w:val="001C6339"/>
    <w:rsid w:val="001C63F9"/>
    <w:rsid w:val="001C64D4"/>
    <w:rsid w:val="001C68B5"/>
    <w:rsid w:val="001C68CD"/>
    <w:rsid w:val="001C68DF"/>
    <w:rsid w:val="001C6923"/>
    <w:rsid w:val="001C6987"/>
    <w:rsid w:val="001C69A2"/>
    <w:rsid w:val="001C6B00"/>
    <w:rsid w:val="001C6BB0"/>
    <w:rsid w:val="001C6BEA"/>
    <w:rsid w:val="001C6C3B"/>
    <w:rsid w:val="001C6CA5"/>
    <w:rsid w:val="001C6CB7"/>
    <w:rsid w:val="001C6D1B"/>
    <w:rsid w:val="001C6D5A"/>
    <w:rsid w:val="001C6F89"/>
    <w:rsid w:val="001C6FB7"/>
    <w:rsid w:val="001C6FDF"/>
    <w:rsid w:val="001C72EA"/>
    <w:rsid w:val="001C7342"/>
    <w:rsid w:val="001C73B3"/>
    <w:rsid w:val="001C7440"/>
    <w:rsid w:val="001C74D0"/>
    <w:rsid w:val="001C7545"/>
    <w:rsid w:val="001C7676"/>
    <w:rsid w:val="001C7695"/>
    <w:rsid w:val="001C79C5"/>
    <w:rsid w:val="001C7A86"/>
    <w:rsid w:val="001C7AFB"/>
    <w:rsid w:val="001C7B0D"/>
    <w:rsid w:val="001C7B22"/>
    <w:rsid w:val="001C7CDF"/>
    <w:rsid w:val="001C7D65"/>
    <w:rsid w:val="001C7FED"/>
    <w:rsid w:val="001D003A"/>
    <w:rsid w:val="001D006F"/>
    <w:rsid w:val="001D00DD"/>
    <w:rsid w:val="001D026B"/>
    <w:rsid w:val="001D04FC"/>
    <w:rsid w:val="001D05FB"/>
    <w:rsid w:val="001D0742"/>
    <w:rsid w:val="001D075E"/>
    <w:rsid w:val="001D07A5"/>
    <w:rsid w:val="001D086B"/>
    <w:rsid w:val="001D0A20"/>
    <w:rsid w:val="001D0C36"/>
    <w:rsid w:val="001D0D0E"/>
    <w:rsid w:val="001D0D3B"/>
    <w:rsid w:val="001D0D54"/>
    <w:rsid w:val="001D0DA1"/>
    <w:rsid w:val="001D0DAE"/>
    <w:rsid w:val="001D0DB1"/>
    <w:rsid w:val="001D0E06"/>
    <w:rsid w:val="001D1021"/>
    <w:rsid w:val="001D1023"/>
    <w:rsid w:val="001D1196"/>
    <w:rsid w:val="001D13D3"/>
    <w:rsid w:val="001D1410"/>
    <w:rsid w:val="001D14DB"/>
    <w:rsid w:val="001D15D9"/>
    <w:rsid w:val="001D160B"/>
    <w:rsid w:val="001D1624"/>
    <w:rsid w:val="001D16CF"/>
    <w:rsid w:val="001D16FD"/>
    <w:rsid w:val="001D1719"/>
    <w:rsid w:val="001D1935"/>
    <w:rsid w:val="001D19A1"/>
    <w:rsid w:val="001D19D2"/>
    <w:rsid w:val="001D1B31"/>
    <w:rsid w:val="001D1B39"/>
    <w:rsid w:val="001D1B82"/>
    <w:rsid w:val="001D1BC4"/>
    <w:rsid w:val="001D1D57"/>
    <w:rsid w:val="001D1DDA"/>
    <w:rsid w:val="001D1EC0"/>
    <w:rsid w:val="001D20AF"/>
    <w:rsid w:val="001D21CB"/>
    <w:rsid w:val="001D21F7"/>
    <w:rsid w:val="001D221C"/>
    <w:rsid w:val="001D230C"/>
    <w:rsid w:val="001D230D"/>
    <w:rsid w:val="001D23F5"/>
    <w:rsid w:val="001D2429"/>
    <w:rsid w:val="001D2486"/>
    <w:rsid w:val="001D24BC"/>
    <w:rsid w:val="001D253A"/>
    <w:rsid w:val="001D255D"/>
    <w:rsid w:val="001D25EF"/>
    <w:rsid w:val="001D2612"/>
    <w:rsid w:val="001D26A1"/>
    <w:rsid w:val="001D26B7"/>
    <w:rsid w:val="001D2862"/>
    <w:rsid w:val="001D2A13"/>
    <w:rsid w:val="001D2A36"/>
    <w:rsid w:val="001D2AB8"/>
    <w:rsid w:val="001D2BCD"/>
    <w:rsid w:val="001D2C1F"/>
    <w:rsid w:val="001D2C48"/>
    <w:rsid w:val="001D2D8B"/>
    <w:rsid w:val="001D2DC2"/>
    <w:rsid w:val="001D2FB4"/>
    <w:rsid w:val="001D2FE9"/>
    <w:rsid w:val="001D31BE"/>
    <w:rsid w:val="001D321D"/>
    <w:rsid w:val="001D330D"/>
    <w:rsid w:val="001D3431"/>
    <w:rsid w:val="001D3658"/>
    <w:rsid w:val="001D3826"/>
    <w:rsid w:val="001D386B"/>
    <w:rsid w:val="001D38F1"/>
    <w:rsid w:val="001D390B"/>
    <w:rsid w:val="001D3D58"/>
    <w:rsid w:val="001D3D8E"/>
    <w:rsid w:val="001D3DC6"/>
    <w:rsid w:val="001D3F31"/>
    <w:rsid w:val="001D3F63"/>
    <w:rsid w:val="001D4137"/>
    <w:rsid w:val="001D4190"/>
    <w:rsid w:val="001D428A"/>
    <w:rsid w:val="001D4402"/>
    <w:rsid w:val="001D4422"/>
    <w:rsid w:val="001D4439"/>
    <w:rsid w:val="001D44B7"/>
    <w:rsid w:val="001D4768"/>
    <w:rsid w:val="001D49B2"/>
    <w:rsid w:val="001D4A0E"/>
    <w:rsid w:val="001D4AE6"/>
    <w:rsid w:val="001D4AE8"/>
    <w:rsid w:val="001D4B79"/>
    <w:rsid w:val="001D4EAB"/>
    <w:rsid w:val="001D4F27"/>
    <w:rsid w:val="001D4F81"/>
    <w:rsid w:val="001D4FE3"/>
    <w:rsid w:val="001D4FF3"/>
    <w:rsid w:val="001D53EA"/>
    <w:rsid w:val="001D5585"/>
    <w:rsid w:val="001D55E8"/>
    <w:rsid w:val="001D5651"/>
    <w:rsid w:val="001D578E"/>
    <w:rsid w:val="001D57EC"/>
    <w:rsid w:val="001D5822"/>
    <w:rsid w:val="001D5A4D"/>
    <w:rsid w:val="001D5A5F"/>
    <w:rsid w:val="001D5AD7"/>
    <w:rsid w:val="001D5BCB"/>
    <w:rsid w:val="001D5BF2"/>
    <w:rsid w:val="001D5C3E"/>
    <w:rsid w:val="001D5C43"/>
    <w:rsid w:val="001D5CFC"/>
    <w:rsid w:val="001D5D0B"/>
    <w:rsid w:val="001D5DBD"/>
    <w:rsid w:val="001D5DE6"/>
    <w:rsid w:val="001D5EC9"/>
    <w:rsid w:val="001D5FF7"/>
    <w:rsid w:val="001D60D6"/>
    <w:rsid w:val="001D612C"/>
    <w:rsid w:val="001D62C5"/>
    <w:rsid w:val="001D62ED"/>
    <w:rsid w:val="001D645A"/>
    <w:rsid w:val="001D652B"/>
    <w:rsid w:val="001D673F"/>
    <w:rsid w:val="001D6744"/>
    <w:rsid w:val="001D6750"/>
    <w:rsid w:val="001D678F"/>
    <w:rsid w:val="001D67CD"/>
    <w:rsid w:val="001D68EF"/>
    <w:rsid w:val="001D697E"/>
    <w:rsid w:val="001D6B26"/>
    <w:rsid w:val="001D6C08"/>
    <w:rsid w:val="001D6D16"/>
    <w:rsid w:val="001D6D24"/>
    <w:rsid w:val="001D6E31"/>
    <w:rsid w:val="001D6E76"/>
    <w:rsid w:val="001D6E79"/>
    <w:rsid w:val="001D6EA5"/>
    <w:rsid w:val="001D6F68"/>
    <w:rsid w:val="001D7186"/>
    <w:rsid w:val="001D7214"/>
    <w:rsid w:val="001D72B4"/>
    <w:rsid w:val="001D7321"/>
    <w:rsid w:val="001D7344"/>
    <w:rsid w:val="001D737F"/>
    <w:rsid w:val="001D7482"/>
    <w:rsid w:val="001D749A"/>
    <w:rsid w:val="001D74A2"/>
    <w:rsid w:val="001D74BC"/>
    <w:rsid w:val="001D76BA"/>
    <w:rsid w:val="001D776C"/>
    <w:rsid w:val="001D7A23"/>
    <w:rsid w:val="001D7A49"/>
    <w:rsid w:val="001D7B37"/>
    <w:rsid w:val="001D7B98"/>
    <w:rsid w:val="001D7C41"/>
    <w:rsid w:val="001D7D19"/>
    <w:rsid w:val="001D7D88"/>
    <w:rsid w:val="001D7E8E"/>
    <w:rsid w:val="001D7EC3"/>
    <w:rsid w:val="001D7ECC"/>
    <w:rsid w:val="001D7FFE"/>
    <w:rsid w:val="001E008F"/>
    <w:rsid w:val="001E009E"/>
    <w:rsid w:val="001E00BB"/>
    <w:rsid w:val="001E0172"/>
    <w:rsid w:val="001E0178"/>
    <w:rsid w:val="001E01F6"/>
    <w:rsid w:val="001E034F"/>
    <w:rsid w:val="001E038F"/>
    <w:rsid w:val="001E03A4"/>
    <w:rsid w:val="001E0425"/>
    <w:rsid w:val="001E04DE"/>
    <w:rsid w:val="001E0545"/>
    <w:rsid w:val="001E097B"/>
    <w:rsid w:val="001E0A94"/>
    <w:rsid w:val="001E0C2E"/>
    <w:rsid w:val="001E0C65"/>
    <w:rsid w:val="001E0DF4"/>
    <w:rsid w:val="001E0F6B"/>
    <w:rsid w:val="001E1166"/>
    <w:rsid w:val="001E1196"/>
    <w:rsid w:val="001E13EA"/>
    <w:rsid w:val="001E14DF"/>
    <w:rsid w:val="001E154B"/>
    <w:rsid w:val="001E1692"/>
    <w:rsid w:val="001E1931"/>
    <w:rsid w:val="001E195E"/>
    <w:rsid w:val="001E1A66"/>
    <w:rsid w:val="001E1BFA"/>
    <w:rsid w:val="001E1C62"/>
    <w:rsid w:val="001E1D44"/>
    <w:rsid w:val="001E1D55"/>
    <w:rsid w:val="001E1DBB"/>
    <w:rsid w:val="001E1E68"/>
    <w:rsid w:val="001E1F09"/>
    <w:rsid w:val="001E2060"/>
    <w:rsid w:val="001E2069"/>
    <w:rsid w:val="001E23CD"/>
    <w:rsid w:val="001E23F8"/>
    <w:rsid w:val="001E2510"/>
    <w:rsid w:val="001E2518"/>
    <w:rsid w:val="001E25CA"/>
    <w:rsid w:val="001E25E3"/>
    <w:rsid w:val="001E26FD"/>
    <w:rsid w:val="001E28BF"/>
    <w:rsid w:val="001E28CD"/>
    <w:rsid w:val="001E2936"/>
    <w:rsid w:val="001E2ADD"/>
    <w:rsid w:val="001E2C74"/>
    <w:rsid w:val="001E2CC6"/>
    <w:rsid w:val="001E2D89"/>
    <w:rsid w:val="001E2F64"/>
    <w:rsid w:val="001E33D9"/>
    <w:rsid w:val="001E3476"/>
    <w:rsid w:val="001E34FD"/>
    <w:rsid w:val="001E381D"/>
    <w:rsid w:val="001E3B3B"/>
    <w:rsid w:val="001E3B74"/>
    <w:rsid w:val="001E3C30"/>
    <w:rsid w:val="001E3E4C"/>
    <w:rsid w:val="001E3FA6"/>
    <w:rsid w:val="001E3FAA"/>
    <w:rsid w:val="001E4054"/>
    <w:rsid w:val="001E43C2"/>
    <w:rsid w:val="001E43F4"/>
    <w:rsid w:val="001E4436"/>
    <w:rsid w:val="001E4517"/>
    <w:rsid w:val="001E4548"/>
    <w:rsid w:val="001E4570"/>
    <w:rsid w:val="001E4639"/>
    <w:rsid w:val="001E46B4"/>
    <w:rsid w:val="001E46E5"/>
    <w:rsid w:val="001E47F9"/>
    <w:rsid w:val="001E49C4"/>
    <w:rsid w:val="001E4A4A"/>
    <w:rsid w:val="001E4A75"/>
    <w:rsid w:val="001E4AD7"/>
    <w:rsid w:val="001E4ADE"/>
    <w:rsid w:val="001E4B5C"/>
    <w:rsid w:val="001E4B8F"/>
    <w:rsid w:val="001E4C6C"/>
    <w:rsid w:val="001E4C94"/>
    <w:rsid w:val="001E4CDE"/>
    <w:rsid w:val="001E4D65"/>
    <w:rsid w:val="001E4E18"/>
    <w:rsid w:val="001E4F02"/>
    <w:rsid w:val="001E4F41"/>
    <w:rsid w:val="001E5034"/>
    <w:rsid w:val="001E5051"/>
    <w:rsid w:val="001E51D4"/>
    <w:rsid w:val="001E5267"/>
    <w:rsid w:val="001E549F"/>
    <w:rsid w:val="001E54AD"/>
    <w:rsid w:val="001E54F6"/>
    <w:rsid w:val="001E54FE"/>
    <w:rsid w:val="001E5589"/>
    <w:rsid w:val="001E564F"/>
    <w:rsid w:val="001E566E"/>
    <w:rsid w:val="001E5779"/>
    <w:rsid w:val="001E57AA"/>
    <w:rsid w:val="001E584B"/>
    <w:rsid w:val="001E586C"/>
    <w:rsid w:val="001E588B"/>
    <w:rsid w:val="001E59EC"/>
    <w:rsid w:val="001E59FC"/>
    <w:rsid w:val="001E5ACC"/>
    <w:rsid w:val="001E5AF5"/>
    <w:rsid w:val="001E5D7F"/>
    <w:rsid w:val="001E5F88"/>
    <w:rsid w:val="001E6027"/>
    <w:rsid w:val="001E61E6"/>
    <w:rsid w:val="001E62B2"/>
    <w:rsid w:val="001E62EB"/>
    <w:rsid w:val="001E62FF"/>
    <w:rsid w:val="001E630D"/>
    <w:rsid w:val="001E658A"/>
    <w:rsid w:val="001E66A2"/>
    <w:rsid w:val="001E6890"/>
    <w:rsid w:val="001E68B5"/>
    <w:rsid w:val="001E6903"/>
    <w:rsid w:val="001E6907"/>
    <w:rsid w:val="001E69E5"/>
    <w:rsid w:val="001E6AAA"/>
    <w:rsid w:val="001E6BB5"/>
    <w:rsid w:val="001E6C3D"/>
    <w:rsid w:val="001E6C4C"/>
    <w:rsid w:val="001E6D97"/>
    <w:rsid w:val="001E6E53"/>
    <w:rsid w:val="001E6FB0"/>
    <w:rsid w:val="001E7047"/>
    <w:rsid w:val="001E708E"/>
    <w:rsid w:val="001E709A"/>
    <w:rsid w:val="001E71B7"/>
    <w:rsid w:val="001E7223"/>
    <w:rsid w:val="001E72C4"/>
    <w:rsid w:val="001E7376"/>
    <w:rsid w:val="001E7511"/>
    <w:rsid w:val="001E7666"/>
    <w:rsid w:val="001E7671"/>
    <w:rsid w:val="001E7916"/>
    <w:rsid w:val="001E79F8"/>
    <w:rsid w:val="001E7A43"/>
    <w:rsid w:val="001E7A77"/>
    <w:rsid w:val="001E7ABE"/>
    <w:rsid w:val="001E7AE2"/>
    <w:rsid w:val="001E7B37"/>
    <w:rsid w:val="001E7B79"/>
    <w:rsid w:val="001E7CB8"/>
    <w:rsid w:val="001E7CE7"/>
    <w:rsid w:val="001E7D77"/>
    <w:rsid w:val="001E7DF4"/>
    <w:rsid w:val="001E7E0D"/>
    <w:rsid w:val="001E7EC9"/>
    <w:rsid w:val="001E7F87"/>
    <w:rsid w:val="001F0185"/>
    <w:rsid w:val="001F0189"/>
    <w:rsid w:val="001F0459"/>
    <w:rsid w:val="001F048D"/>
    <w:rsid w:val="001F049C"/>
    <w:rsid w:val="001F04B1"/>
    <w:rsid w:val="001F056E"/>
    <w:rsid w:val="001F0589"/>
    <w:rsid w:val="001F084A"/>
    <w:rsid w:val="001F0941"/>
    <w:rsid w:val="001F097D"/>
    <w:rsid w:val="001F0980"/>
    <w:rsid w:val="001F098D"/>
    <w:rsid w:val="001F098F"/>
    <w:rsid w:val="001F0A4B"/>
    <w:rsid w:val="001F0AB5"/>
    <w:rsid w:val="001F0C15"/>
    <w:rsid w:val="001F0CD0"/>
    <w:rsid w:val="001F0CE4"/>
    <w:rsid w:val="001F0EF4"/>
    <w:rsid w:val="001F0F7E"/>
    <w:rsid w:val="001F1018"/>
    <w:rsid w:val="001F1136"/>
    <w:rsid w:val="001F1146"/>
    <w:rsid w:val="001F123F"/>
    <w:rsid w:val="001F12DB"/>
    <w:rsid w:val="001F1310"/>
    <w:rsid w:val="001F1401"/>
    <w:rsid w:val="001F1412"/>
    <w:rsid w:val="001F1466"/>
    <w:rsid w:val="001F14BF"/>
    <w:rsid w:val="001F15E7"/>
    <w:rsid w:val="001F161D"/>
    <w:rsid w:val="001F1709"/>
    <w:rsid w:val="001F18D7"/>
    <w:rsid w:val="001F1BA3"/>
    <w:rsid w:val="001F1BC9"/>
    <w:rsid w:val="001F1C47"/>
    <w:rsid w:val="001F1D5C"/>
    <w:rsid w:val="001F1EDF"/>
    <w:rsid w:val="001F1FDE"/>
    <w:rsid w:val="001F20F5"/>
    <w:rsid w:val="001F211E"/>
    <w:rsid w:val="001F224E"/>
    <w:rsid w:val="001F2320"/>
    <w:rsid w:val="001F2341"/>
    <w:rsid w:val="001F2344"/>
    <w:rsid w:val="001F23A5"/>
    <w:rsid w:val="001F23FF"/>
    <w:rsid w:val="001F2520"/>
    <w:rsid w:val="001F253A"/>
    <w:rsid w:val="001F2569"/>
    <w:rsid w:val="001F2681"/>
    <w:rsid w:val="001F2A34"/>
    <w:rsid w:val="001F2AA9"/>
    <w:rsid w:val="001F2B7E"/>
    <w:rsid w:val="001F2E71"/>
    <w:rsid w:val="001F2EC9"/>
    <w:rsid w:val="001F2F34"/>
    <w:rsid w:val="001F2FF8"/>
    <w:rsid w:val="001F309D"/>
    <w:rsid w:val="001F310D"/>
    <w:rsid w:val="001F3182"/>
    <w:rsid w:val="001F3188"/>
    <w:rsid w:val="001F31A3"/>
    <w:rsid w:val="001F33F1"/>
    <w:rsid w:val="001F34F3"/>
    <w:rsid w:val="001F3508"/>
    <w:rsid w:val="001F35B7"/>
    <w:rsid w:val="001F3716"/>
    <w:rsid w:val="001F3785"/>
    <w:rsid w:val="001F37FE"/>
    <w:rsid w:val="001F38C7"/>
    <w:rsid w:val="001F39C2"/>
    <w:rsid w:val="001F3A69"/>
    <w:rsid w:val="001F3D97"/>
    <w:rsid w:val="001F3E5B"/>
    <w:rsid w:val="001F3F9B"/>
    <w:rsid w:val="001F412B"/>
    <w:rsid w:val="001F4193"/>
    <w:rsid w:val="001F41D1"/>
    <w:rsid w:val="001F41EB"/>
    <w:rsid w:val="001F4224"/>
    <w:rsid w:val="001F423A"/>
    <w:rsid w:val="001F42D1"/>
    <w:rsid w:val="001F4370"/>
    <w:rsid w:val="001F4385"/>
    <w:rsid w:val="001F45A6"/>
    <w:rsid w:val="001F4759"/>
    <w:rsid w:val="001F476B"/>
    <w:rsid w:val="001F48E2"/>
    <w:rsid w:val="001F4939"/>
    <w:rsid w:val="001F4BA1"/>
    <w:rsid w:val="001F4CD9"/>
    <w:rsid w:val="001F4E07"/>
    <w:rsid w:val="001F4E0E"/>
    <w:rsid w:val="001F4E2A"/>
    <w:rsid w:val="001F4F6F"/>
    <w:rsid w:val="001F4FDD"/>
    <w:rsid w:val="001F52B8"/>
    <w:rsid w:val="001F52CE"/>
    <w:rsid w:val="001F52F0"/>
    <w:rsid w:val="001F545B"/>
    <w:rsid w:val="001F54D4"/>
    <w:rsid w:val="001F5563"/>
    <w:rsid w:val="001F5567"/>
    <w:rsid w:val="001F56AA"/>
    <w:rsid w:val="001F5708"/>
    <w:rsid w:val="001F593D"/>
    <w:rsid w:val="001F5A5C"/>
    <w:rsid w:val="001F5A79"/>
    <w:rsid w:val="001F5B4C"/>
    <w:rsid w:val="001F5C0D"/>
    <w:rsid w:val="001F5E5B"/>
    <w:rsid w:val="001F5FD8"/>
    <w:rsid w:val="001F6264"/>
    <w:rsid w:val="001F6292"/>
    <w:rsid w:val="001F6317"/>
    <w:rsid w:val="001F6389"/>
    <w:rsid w:val="001F6421"/>
    <w:rsid w:val="001F6451"/>
    <w:rsid w:val="001F64A2"/>
    <w:rsid w:val="001F6538"/>
    <w:rsid w:val="001F6721"/>
    <w:rsid w:val="001F6A4A"/>
    <w:rsid w:val="001F6AAF"/>
    <w:rsid w:val="001F6BE7"/>
    <w:rsid w:val="001F6D0A"/>
    <w:rsid w:val="001F6EB1"/>
    <w:rsid w:val="001F6EEF"/>
    <w:rsid w:val="001F6F34"/>
    <w:rsid w:val="001F70F6"/>
    <w:rsid w:val="001F7113"/>
    <w:rsid w:val="001F71AB"/>
    <w:rsid w:val="001F71C1"/>
    <w:rsid w:val="001F7333"/>
    <w:rsid w:val="001F73F3"/>
    <w:rsid w:val="001F7418"/>
    <w:rsid w:val="001F749A"/>
    <w:rsid w:val="001F75C9"/>
    <w:rsid w:val="001F7633"/>
    <w:rsid w:val="001F7783"/>
    <w:rsid w:val="001F77E9"/>
    <w:rsid w:val="001F780F"/>
    <w:rsid w:val="001F78F0"/>
    <w:rsid w:val="001F790B"/>
    <w:rsid w:val="001F7993"/>
    <w:rsid w:val="001F79DB"/>
    <w:rsid w:val="001F7A77"/>
    <w:rsid w:val="001F7AA4"/>
    <w:rsid w:val="001F7AE7"/>
    <w:rsid w:val="001F7C54"/>
    <w:rsid w:val="001F7DA3"/>
    <w:rsid w:val="001F7EB9"/>
    <w:rsid w:val="001F7F9D"/>
    <w:rsid w:val="001F7FF2"/>
    <w:rsid w:val="002001A8"/>
    <w:rsid w:val="00200263"/>
    <w:rsid w:val="002002DB"/>
    <w:rsid w:val="002002E1"/>
    <w:rsid w:val="00200344"/>
    <w:rsid w:val="0020041C"/>
    <w:rsid w:val="00200431"/>
    <w:rsid w:val="00200565"/>
    <w:rsid w:val="002005D0"/>
    <w:rsid w:val="002006AA"/>
    <w:rsid w:val="002006BE"/>
    <w:rsid w:val="002006D4"/>
    <w:rsid w:val="002006D5"/>
    <w:rsid w:val="00200717"/>
    <w:rsid w:val="0020087F"/>
    <w:rsid w:val="002008A5"/>
    <w:rsid w:val="002008FD"/>
    <w:rsid w:val="0020098A"/>
    <w:rsid w:val="002009E2"/>
    <w:rsid w:val="00200CC9"/>
    <w:rsid w:val="00200DD2"/>
    <w:rsid w:val="00200E09"/>
    <w:rsid w:val="00200E23"/>
    <w:rsid w:val="0020114A"/>
    <w:rsid w:val="00201158"/>
    <w:rsid w:val="00201159"/>
    <w:rsid w:val="0020117F"/>
    <w:rsid w:val="002011A5"/>
    <w:rsid w:val="002011BA"/>
    <w:rsid w:val="00201217"/>
    <w:rsid w:val="0020132F"/>
    <w:rsid w:val="002013F4"/>
    <w:rsid w:val="00201493"/>
    <w:rsid w:val="0020165B"/>
    <w:rsid w:val="0020176D"/>
    <w:rsid w:val="0020178B"/>
    <w:rsid w:val="002017AE"/>
    <w:rsid w:val="002017FA"/>
    <w:rsid w:val="00201999"/>
    <w:rsid w:val="002019F7"/>
    <w:rsid w:val="00201A6D"/>
    <w:rsid w:val="00201BE9"/>
    <w:rsid w:val="00201E1F"/>
    <w:rsid w:val="00201E90"/>
    <w:rsid w:val="00201F0E"/>
    <w:rsid w:val="00201F31"/>
    <w:rsid w:val="00201FFD"/>
    <w:rsid w:val="0020207E"/>
    <w:rsid w:val="0020214C"/>
    <w:rsid w:val="0020218A"/>
    <w:rsid w:val="002021CA"/>
    <w:rsid w:val="0020220A"/>
    <w:rsid w:val="00202292"/>
    <w:rsid w:val="002023F7"/>
    <w:rsid w:val="002024C8"/>
    <w:rsid w:val="002026E4"/>
    <w:rsid w:val="00202706"/>
    <w:rsid w:val="0020271E"/>
    <w:rsid w:val="0020275E"/>
    <w:rsid w:val="00202832"/>
    <w:rsid w:val="00202838"/>
    <w:rsid w:val="0020289B"/>
    <w:rsid w:val="00202A2C"/>
    <w:rsid w:val="00202A43"/>
    <w:rsid w:val="00202CD3"/>
    <w:rsid w:val="00202CE7"/>
    <w:rsid w:val="00202DC1"/>
    <w:rsid w:val="00202F61"/>
    <w:rsid w:val="0020314D"/>
    <w:rsid w:val="0020321E"/>
    <w:rsid w:val="00203239"/>
    <w:rsid w:val="00203244"/>
    <w:rsid w:val="00203277"/>
    <w:rsid w:val="0020328F"/>
    <w:rsid w:val="00203329"/>
    <w:rsid w:val="00203348"/>
    <w:rsid w:val="002033E3"/>
    <w:rsid w:val="00203421"/>
    <w:rsid w:val="00203464"/>
    <w:rsid w:val="00203649"/>
    <w:rsid w:val="00203662"/>
    <w:rsid w:val="00203817"/>
    <w:rsid w:val="002039F1"/>
    <w:rsid w:val="00203B6B"/>
    <w:rsid w:val="00203BB4"/>
    <w:rsid w:val="00203CA8"/>
    <w:rsid w:val="00203CF3"/>
    <w:rsid w:val="00203E18"/>
    <w:rsid w:val="00203F33"/>
    <w:rsid w:val="00203F3B"/>
    <w:rsid w:val="00203FAD"/>
    <w:rsid w:val="00204083"/>
    <w:rsid w:val="002040C2"/>
    <w:rsid w:val="002042AE"/>
    <w:rsid w:val="002042C7"/>
    <w:rsid w:val="0020467C"/>
    <w:rsid w:val="002046B6"/>
    <w:rsid w:val="002046BB"/>
    <w:rsid w:val="002047D1"/>
    <w:rsid w:val="002047E4"/>
    <w:rsid w:val="00204813"/>
    <w:rsid w:val="002048B1"/>
    <w:rsid w:val="00204940"/>
    <w:rsid w:val="0020496D"/>
    <w:rsid w:val="00204973"/>
    <w:rsid w:val="00204A56"/>
    <w:rsid w:val="00204C5B"/>
    <w:rsid w:val="00204CA0"/>
    <w:rsid w:val="00204D22"/>
    <w:rsid w:val="00204E2B"/>
    <w:rsid w:val="00204EA8"/>
    <w:rsid w:val="00204ECE"/>
    <w:rsid w:val="00204F8F"/>
    <w:rsid w:val="00205139"/>
    <w:rsid w:val="002051BC"/>
    <w:rsid w:val="002051E0"/>
    <w:rsid w:val="002051FE"/>
    <w:rsid w:val="002052BD"/>
    <w:rsid w:val="002052C1"/>
    <w:rsid w:val="002052FB"/>
    <w:rsid w:val="00205371"/>
    <w:rsid w:val="002053E3"/>
    <w:rsid w:val="0020542A"/>
    <w:rsid w:val="002054CA"/>
    <w:rsid w:val="002055AA"/>
    <w:rsid w:val="002055CD"/>
    <w:rsid w:val="002055D5"/>
    <w:rsid w:val="00205609"/>
    <w:rsid w:val="00205635"/>
    <w:rsid w:val="0020566E"/>
    <w:rsid w:val="00205738"/>
    <w:rsid w:val="0020576C"/>
    <w:rsid w:val="002057D2"/>
    <w:rsid w:val="002057DD"/>
    <w:rsid w:val="00205960"/>
    <w:rsid w:val="00205A70"/>
    <w:rsid w:val="00205BA3"/>
    <w:rsid w:val="00205CA3"/>
    <w:rsid w:val="00205E10"/>
    <w:rsid w:val="00205ED2"/>
    <w:rsid w:val="00205F1E"/>
    <w:rsid w:val="00205F2D"/>
    <w:rsid w:val="00206023"/>
    <w:rsid w:val="00206069"/>
    <w:rsid w:val="002060E0"/>
    <w:rsid w:val="00206130"/>
    <w:rsid w:val="002061FC"/>
    <w:rsid w:val="0020624A"/>
    <w:rsid w:val="002063A5"/>
    <w:rsid w:val="00206487"/>
    <w:rsid w:val="00206A75"/>
    <w:rsid w:val="00206B2F"/>
    <w:rsid w:val="00206B39"/>
    <w:rsid w:val="00206B4A"/>
    <w:rsid w:val="00206CE7"/>
    <w:rsid w:val="00206D03"/>
    <w:rsid w:val="00206E09"/>
    <w:rsid w:val="00206E26"/>
    <w:rsid w:val="00206E61"/>
    <w:rsid w:val="00206E72"/>
    <w:rsid w:val="00206ED9"/>
    <w:rsid w:val="00206EFF"/>
    <w:rsid w:val="00207043"/>
    <w:rsid w:val="00207066"/>
    <w:rsid w:val="0020712E"/>
    <w:rsid w:val="002072A8"/>
    <w:rsid w:val="002072D5"/>
    <w:rsid w:val="0020732D"/>
    <w:rsid w:val="002073AF"/>
    <w:rsid w:val="002073B5"/>
    <w:rsid w:val="002073B8"/>
    <w:rsid w:val="002073FB"/>
    <w:rsid w:val="0020745C"/>
    <w:rsid w:val="0020754A"/>
    <w:rsid w:val="00207557"/>
    <w:rsid w:val="00207574"/>
    <w:rsid w:val="00207596"/>
    <w:rsid w:val="00207628"/>
    <w:rsid w:val="00207703"/>
    <w:rsid w:val="002077D4"/>
    <w:rsid w:val="00207885"/>
    <w:rsid w:val="002078EC"/>
    <w:rsid w:val="00207A31"/>
    <w:rsid w:val="00207AFA"/>
    <w:rsid w:val="00207C5F"/>
    <w:rsid w:val="00207C68"/>
    <w:rsid w:val="00207E43"/>
    <w:rsid w:val="00207E9E"/>
    <w:rsid w:val="00207EC4"/>
    <w:rsid w:val="00207F86"/>
    <w:rsid w:val="002101C3"/>
    <w:rsid w:val="002102F3"/>
    <w:rsid w:val="00210331"/>
    <w:rsid w:val="002103EF"/>
    <w:rsid w:val="002103F8"/>
    <w:rsid w:val="002104A1"/>
    <w:rsid w:val="00210593"/>
    <w:rsid w:val="00210622"/>
    <w:rsid w:val="002106D5"/>
    <w:rsid w:val="0021079A"/>
    <w:rsid w:val="00210844"/>
    <w:rsid w:val="002108AD"/>
    <w:rsid w:val="00210925"/>
    <w:rsid w:val="00210948"/>
    <w:rsid w:val="0021095B"/>
    <w:rsid w:val="00210960"/>
    <w:rsid w:val="002109B8"/>
    <w:rsid w:val="002109D4"/>
    <w:rsid w:val="00210A08"/>
    <w:rsid w:val="00210B34"/>
    <w:rsid w:val="00210CF4"/>
    <w:rsid w:val="00210D64"/>
    <w:rsid w:val="00210E01"/>
    <w:rsid w:val="00210E4E"/>
    <w:rsid w:val="00210E51"/>
    <w:rsid w:val="00210EB4"/>
    <w:rsid w:val="00210F2C"/>
    <w:rsid w:val="00210F98"/>
    <w:rsid w:val="00210FCB"/>
    <w:rsid w:val="00211104"/>
    <w:rsid w:val="0021128C"/>
    <w:rsid w:val="002112F0"/>
    <w:rsid w:val="00211348"/>
    <w:rsid w:val="00211381"/>
    <w:rsid w:val="002113B4"/>
    <w:rsid w:val="00211622"/>
    <w:rsid w:val="00211661"/>
    <w:rsid w:val="002116CB"/>
    <w:rsid w:val="0021171A"/>
    <w:rsid w:val="002117F3"/>
    <w:rsid w:val="00211826"/>
    <w:rsid w:val="0021188D"/>
    <w:rsid w:val="00211917"/>
    <w:rsid w:val="0021196C"/>
    <w:rsid w:val="00211AB8"/>
    <w:rsid w:val="00211AFE"/>
    <w:rsid w:val="00211B31"/>
    <w:rsid w:val="00211C5D"/>
    <w:rsid w:val="00211D09"/>
    <w:rsid w:val="00211DCD"/>
    <w:rsid w:val="00211E2D"/>
    <w:rsid w:val="00211E4B"/>
    <w:rsid w:val="00211F64"/>
    <w:rsid w:val="00211F87"/>
    <w:rsid w:val="00211F8C"/>
    <w:rsid w:val="00211FC4"/>
    <w:rsid w:val="002120C5"/>
    <w:rsid w:val="002120E1"/>
    <w:rsid w:val="00212129"/>
    <w:rsid w:val="00212288"/>
    <w:rsid w:val="00212435"/>
    <w:rsid w:val="0021245B"/>
    <w:rsid w:val="002124F3"/>
    <w:rsid w:val="002124FC"/>
    <w:rsid w:val="00212504"/>
    <w:rsid w:val="00212510"/>
    <w:rsid w:val="00212542"/>
    <w:rsid w:val="00212556"/>
    <w:rsid w:val="00212578"/>
    <w:rsid w:val="002125B0"/>
    <w:rsid w:val="00212759"/>
    <w:rsid w:val="00212776"/>
    <w:rsid w:val="00212788"/>
    <w:rsid w:val="0021286E"/>
    <w:rsid w:val="00212956"/>
    <w:rsid w:val="00212A88"/>
    <w:rsid w:val="00212AB3"/>
    <w:rsid w:val="00212C51"/>
    <w:rsid w:val="00212C53"/>
    <w:rsid w:val="00212E69"/>
    <w:rsid w:val="00212EC2"/>
    <w:rsid w:val="00212F2E"/>
    <w:rsid w:val="002130F5"/>
    <w:rsid w:val="0021310E"/>
    <w:rsid w:val="002132C7"/>
    <w:rsid w:val="002132E7"/>
    <w:rsid w:val="0021330A"/>
    <w:rsid w:val="0021337C"/>
    <w:rsid w:val="00213430"/>
    <w:rsid w:val="00213545"/>
    <w:rsid w:val="00213549"/>
    <w:rsid w:val="00213840"/>
    <w:rsid w:val="002138A5"/>
    <w:rsid w:val="002138B1"/>
    <w:rsid w:val="002138C8"/>
    <w:rsid w:val="002138F2"/>
    <w:rsid w:val="00213947"/>
    <w:rsid w:val="00213987"/>
    <w:rsid w:val="00213A45"/>
    <w:rsid w:val="00213BBC"/>
    <w:rsid w:val="00213C88"/>
    <w:rsid w:val="00213C98"/>
    <w:rsid w:val="00213DCC"/>
    <w:rsid w:val="00213E7F"/>
    <w:rsid w:val="00213F34"/>
    <w:rsid w:val="00213F42"/>
    <w:rsid w:val="00213F69"/>
    <w:rsid w:val="00214096"/>
    <w:rsid w:val="002141AA"/>
    <w:rsid w:val="002141F3"/>
    <w:rsid w:val="0021424B"/>
    <w:rsid w:val="00214285"/>
    <w:rsid w:val="0021430B"/>
    <w:rsid w:val="00214316"/>
    <w:rsid w:val="002143B2"/>
    <w:rsid w:val="0021459E"/>
    <w:rsid w:val="00214774"/>
    <w:rsid w:val="00214778"/>
    <w:rsid w:val="002147A6"/>
    <w:rsid w:val="002147C6"/>
    <w:rsid w:val="002148EE"/>
    <w:rsid w:val="002149DE"/>
    <w:rsid w:val="00214B86"/>
    <w:rsid w:val="00214C14"/>
    <w:rsid w:val="00214CBE"/>
    <w:rsid w:val="00214D27"/>
    <w:rsid w:val="00214DF7"/>
    <w:rsid w:val="00214E0F"/>
    <w:rsid w:val="00214E2A"/>
    <w:rsid w:val="00214E80"/>
    <w:rsid w:val="00214F71"/>
    <w:rsid w:val="00214F86"/>
    <w:rsid w:val="00215040"/>
    <w:rsid w:val="0021504E"/>
    <w:rsid w:val="002150EA"/>
    <w:rsid w:val="0021512D"/>
    <w:rsid w:val="0021513D"/>
    <w:rsid w:val="00215168"/>
    <w:rsid w:val="002152EB"/>
    <w:rsid w:val="002152F4"/>
    <w:rsid w:val="0021540A"/>
    <w:rsid w:val="00215491"/>
    <w:rsid w:val="002155FF"/>
    <w:rsid w:val="00215602"/>
    <w:rsid w:val="00215665"/>
    <w:rsid w:val="002156E8"/>
    <w:rsid w:val="00215710"/>
    <w:rsid w:val="00215942"/>
    <w:rsid w:val="002159CE"/>
    <w:rsid w:val="00215A87"/>
    <w:rsid w:val="00215B25"/>
    <w:rsid w:val="00215B57"/>
    <w:rsid w:val="00215B9F"/>
    <w:rsid w:val="00215C71"/>
    <w:rsid w:val="00215CEB"/>
    <w:rsid w:val="00215DED"/>
    <w:rsid w:val="00215DFD"/>
    <w:rsid w:val="00215E11"/>
    <w:rsid w:val="00215F03"/>
    <w:rsid w:val="00215F39"/>
    <w:rsid w:val="002160C6"/>
    <w:rsid w:val="002161BE"/>
    <w:rsid w:val="0021626E"/>
    <w:rsid w:val="002162FA"/>
    <w:rsid w:val="002162FD"/>
    <w:rsid w:val="0021634A"/>
    <w:rsid w:val="00216361"/>
    <w:rsid w:val="00216372"/>
    <w:rsid w:val="002164B6"/>
    <w:rsid w:val="002164C4"/>
    <w:rsid w:val="002164D3"/>
    <w:rsid w:val="002165B3"/>
    <w:rsid w:val="002165F8"/>
    <w:rsid w:val="00216834"/>
    <w:rsid w:val="00216950"/>
    <w:rsid w:val="00216AAA"/>
    <w:rsid w:val="00216ACB"/>
    <w:rsid w:val="00216B8A"/>
    <w:rsid w:val="00216BE5"/>
    <w:rsid w:val="00216DD4"/>
    <w:rsid w:val="00216E16"/>
    <w:rsid w:val="00216F5A"/>
    <w:rsid w:val="00217131"/>
    <w:rsid w:val="00217278"/>
    <w:rsid w:val="0021728C"/>
    <w:rsid w:val="002172BE"/>
    <w:rsid w:val="002172F7"/>
    <w:rsid w:val="0021735E"/>
    <w:rsid w:val="0021745D"/>
    <w:rsid w:val="00217521"/>
    <w:rsid w:val="00217636"/>
    <w:rsid w:val="00217698"/>
    <w:rsid w:val="002177D6"/>
    <w:rsid w:val="002177F6"/>
    <w:rsid w:val="0021780F"/>
    <w:rsid w:val="002178BB"/>
    <w:rsid w:val="0021794A"/>
    <w:rsid w:val="00217B88"/>
    <w:rsid w:val="00217C19"/>
    <w:rsid w:val="00217E29"/>
    <w:rsid w:val="00217E5F"/>
    <w:rsid w:val="00217EE3"/>
    <w:rsid w:val="00217EFA"/>
    <w:rsid w:val="00217F24"/>
    <w:rsid w:val="0022002B"/>
    <w:rsid w:val="00220099"/>
    <w:rsid w:val="002200D5"/>
    <w:rsid w:val="0022021D"/>
    <w:rsid w:val="00220220"/>
    <w:rsid w:val="00220239"/>
    <w:rsid w:val="00220250"/>
    <w:rsid w:val="0022025C"/>
    <w:rsid w:val="00220297"/>
    <w:rsid w:val="00220378"/>
    <w:rsid w:val="002204A3"/>
    <w:rsid w:val="00220504"/>
    <w:rsid w:val="00220686"/>
    <w:rsid w:val="00220725"/>
    <w:rsid w:val="002207F7"/>
    <w:rsid w:val="00220963"/>
    <w:rsid w:val="00220AB1"/>
    <w:rsid w:val="00220B0E"/>
    <w:rsid w:val="00220B2D"/>
    <w:rsid w:val="00220C66"/>
    <w:rsid w:val="00220C8F"/>
    <w:rsid w:val="00220D35"/>
    <w:rsid w:val="00220DAF"/>
    <w:rsid w:val="00220F2B"/>
    <w:rsid w:val="00220F82"/>
    <w:rsid w:val="00220FC8"/>
    <w:rsid w:val="00220FCB"/>
    <w:rsid w:val="0022106E"/>
    <w:rsid w:val="0022118D"/>
    <w:rsid w:val="00221277"/>
    <w:rsid w:val="0022132F"/>
    <w:rsid w:val="00221358"/>
    <w:rsid w:val="00221606"/>
    <w:rsid w:val="0022184F"/>
    <w:rsid w:val="00221851"/>
    <w:rsid w:val="0022188C"/>
    <w:rsid w:val="002219C8"/>
    <w:rsid w:val="00221A3D"/>
    <w:rsid w:val="00221C4D"/>
    <w:rsid w:val="00221CD3"/>
    <w:rsid w:val="00221D03"/>
    <w:rsid w:val="00221D46"/>
    <w:rsid w:val="00221E5A"/>
    <w:rsid w:val="002220D2"/>
    <w:rsid w:val="002220E8"/>
    <w:rsid w:val="00222138"/>
    <w:rsid w:val="00222152"/>
    <w:rsid w:val="00222157"/>
    <w:rsid w:val="00222163"/>
    <w:rsid w:val="00222193"/>
    <w:rsid w:val="002222AA"/>
    <w:rsid w:val="00222586"/>
    <w:rsid w:val="00222608"/>
    <w:rsid w:val="002226C7"/>
    <w:rsid w:val="00222708"/>
    <w:rsid w:val="0022281D"/>
    <w:rsid w:val="002228EE"/>
    <w:rsid w:val="002229C1"/>
    <w:rsid w:val="00222A19"/>
    <w:rsid w:val="00222B54"/>
    <w:rsid w:val="00222CF7"/>
    <w:rsid w:val="00222D09"/>
    <w:rsid w:val="00222D54"/>
    <w:rsid w:val="00222EAB"/>
    <w:rsid w:val="00222EEB"/>
    <w:rsid w:val="00222FAC"/>
    <w:rsid w:val="00223041"/>
    <w:rsid w:val="002231DD"/>
    <w:rsid w:val="00223320"/>
    <w:rsid w:val="00223449"/>
    <w:rsid w:val="00223519"/>
    <w:rsid w:val="00223551"/>
    <w:rsid w:val="002236B5"/>
    <w:rsid w:val="00223709"/>
    <w:rsid w:val="002237BC"/>
    <w:rsid w:val="0022389D"/>
    <w:rsid w:val="002238A0"/>
    <w:rsid w:val="002238D7"/>
    <w:rsid w:val="00223A5B"/>
    <w:rsid w:val="00223B0C"/>
    <w:rsid w:val="00223B67"/>
    <w:rsid w:val="00223C59"/>
    <w:rsid w:val="00223E38"/>
    <w:rsid w:val="00223F00"/>
    <w:rsid w:val="00223F8F"/>
    <w:rsid w:val="00223FF0"/>
    <w:rsid w:val="00224086"/>
    <w:rsid w:val="002240BD"/>
    <w:rsid w:val="00224135"/>
    <w:rsid w:val="0022420D"/>
    <w:rsid w:val="002242A6"/>
    <w:rsid w:val="00224371"/>
    <w:rsid w:val="002243B3"/>
    <w:rsid w:val="002243ED"/>
    <w:rsid w:val="002244C6"/>
    <w:rsid w:val="0022460D"/>
    <w:rsid w:val="002247AB"/>
    <w:rsid w:val="0022483A"/>
    <w:rsid w:val="00224A58"/>
    <w:rsid w:val="00224AB5"/>
    <w:rsid w:val="00224C76"/>
    <w:rsid w:val="00224D29"/>
    <w:rsid w:val="00224DCE"/>
    <w:rsid w:val="00224F7F"/>
    <w:rsid w:val="00225071"/>
    <w:rsid w:val="002250E7"/>
    <w:rsid w:val="00225138"/>
    <w:rsid w:val="00225179"/>
    <w:rsid w:val="002251BC"/>
    <w:rsid w:val="0022521A"/>
    <w:rsid w:val="00225290"/>
    <w:rsid w:val="002252E9"/>
    <w:rsid w:val="0022532C"/>
    <w:rsid w:val="002253F3"/>
    <w:rsid w:val="00225400"/>
    <w:rsid w:val="00225457"/>
    <w:rsid w:val="002256F6"/>
    <w:rsid w:val="00225838"/>
    <w:rsid w:val="00225AD8"/>
    <w:rsid w:val="00225BF8"/>
    <w:rsid w:val="00225C1B"/>
    <w:rsid w:val="00225DAD"/>
    <w:rsid w:val="00225DF6"/>
    <w:rsid w:val="00225E35"/>
    <w:rsid w:val="00225F0D"/>
    <w:rsid w:val="00225F40"/>
    <w:rsid w:val="00225F49"/>
    <w:rsid w:val="00225F4A"/>
    <w:rsid w:val="00226088"/>
    <w:rsid w:val="002260A8"/>
    <w:rsid w:val="002262A7"/>
    <w:rsid w:val="002262D7"/>
    <w:rsid w:val="0022631A"/>
    <w:rsid w:val="00226369"/>
    <w:rsid w:val="002263EF"/>
    <w:rsid w:val="00226466"/>
    <w:rsid w:val="0022648C"/>
    <w:rsid w:val="00226490"/>
    <w:rsid w:val="0022655F"/>
    <w:rsid w:val="002265D1"/>
    <w:rsid w:val="002265EC"/>
    <w:rsid w:val="00226717"/>
    <w:rsid w:val="002268D1"/>
    <w:rsid w:val="00226A88"/>
    <w:rsid w:val="00226C6F"/>
    <w:rsid w:val="00226CC4"/>
    <w:rsid w:val="00226DEB"/>
    <w:rsid w:val="00226EAA"/>
    <w:rsid w:val="00226F35"/>
    <w:rsid w:val="00226FD0"/>
    <w:rsid w:val="0022709C"/>
    <w:rsid w:val="002271C1"/>
    <w:rsid w:val="00227384"/>
    <w:rsid w:val="00227465"/>
    <w:rsid w:val="00227615"/>
    <w:rsid w:val="00227751"/>
    <w:rsid w:val="0022778D"/>
    <w:rsid w:val="00227867"/>
    <w:rsid w:val="0022798C"/>
    <w:rsid w:val="002279D0"/>
    <w:rsid w:val="00227A11"/>
    <w:rsid w:val="00227A71"/>
    <w:rsid w:val="00227AB0"/>
    <w:rsid w:val="00227ABC"/>
    <w:rsid w:val="00227B5A"/>
    <w:rsid w:val="00227C3B"/>
    <w:rsid w:val="00227D8D"/>
    <w:rsid w:val="00227D90"/>
    <w:rsid w:val="00227D91"/>
    <w:rsid w:val="00227DC7"/>
    <w:rsid w:val="00227EC8"/>
    <w:rsid w:val="0023019C"/>
    <w:rsid w:val="002301F7"/>
    <w:rsid w:val="00230277"/>
    <w:rsid w:val="002303B1"/>
    <w:rsid w:val="0023041D"/>
    <w:rsid w:val="0023048F"/>
    <w:rsid w:val="00230609"/>
    <w:rsid w:val="002306B9"/>
    <w:rsid w:val="0023071E"/>
    <w:rsid w:val="002307A0"/>
    <w:rsid w:val="002308F0"/>
    <w:rsid w:val="00230B1C"/>
    <w:rsid w:val="00230BE5"/>
    <w:rsid w:val="00230C2A"/>
    <w:rsid w:val="00230C87"/>
    <w:rsid w:val="00230D6F"/>
    <w:rsid w:val="00230E7C"/>
    <w:rsid w:val="00230E7E"/>
    <w:rsid w:val="00231007"/>
    <w:rsid w:val="0023106E"/>
    <w:rsid w:val="0023118E"/>
    <w:rsid w:val="002311EA"/>
    <w:rsid w:val="00231258"/>
    <w:rsid w:val="00231396"/>
    <w:rsid w:val="002313AC"/>
    <w:rsid w:val="002313C7"/>
    <w:rsid w:val="00231444"/>
    <w:rsid w:val="0023163C"/>
    <w:rsid w:val="0023186B"/>
    <w:rsid w:val="00231A09"/>
    <w:rsid w:val="00231A1F"/>
    <w:rsid w:val="00231AD2"/>
    <w:rsid w:val="00231B30"/>
    <w:rsid w:val="00231B36"/>
    <w:rsid w:val="00231B3A"/>
    <w:rsid w:val="00231BB2"/>
    <w:rsid w:val="00231BF9"/>
    <w:rsid w:val="00231E84"/>
    <w:rsid w:val="00231EA8"/>
    <w:rsid w:val="00231F16"/>
    <w:rsid w:val="00231FB8"/>
    <w:rsid w:val="002320F1"/>
    <w:rsid w:val="00232138"/>
    <w:rsid w:val="002321EA"/>
    <w:rsid w:val="0023229B"/>
    <w:rsid w:val="002322A3"/>
    <w:rsid w:val="00232420"/>
    <w:rsid w:val="00232447"/>
    <w:rsid w:val="00232466"/>
    <w:rsid w:val="002324C7"/>
    <w:rsid w:val="002324F7"/>
    <w:rsid w:val="00232630"/>
    <w:rsid w:val="00232711"/>
    <w:rsid w:val="0023278E"/>
    <w:rsid w:val="00232807"/>
    <w:rsid w:val="002328C1"/>
    <w:rsid w:val="002328CE"/>
    <w:rsid w:val="00232957"/>
    <w:rsid w:val="002329DA"/>
    <w:rsid w:val="00232A20"/>
    <w:rsid w:val="00232B8F"/>
    <w:rsid w:val="00232BE9"/>
    <w:rsid w:val="00232C68"/>
    <w:rsid w:val="00232EC1"/>
    <w:rsid w:val="00232F8E"/>
    <w:rsid w:val="0023306A"/>
    <w:rsid w:val="00233123"/>
    <w:rsid w:val="00233136"/>
    <w:rsid w:val="0023327D"/>
    <w:rsid w:val="0023331F"/>
    <w:rsid w:val="002333E4"/>
    <w:rsid w:val="00233439"/>
    <w:rsid w:val="0023348B"/>
    <w:rsid w:val="0023348F"/>
    <w:rsid w:val="00233590"/>
    <w:rsid w:val="002336E0"/>
    <w:rsid w:val="0023374D"/>
    <w:rsid w:val="00233847"/>
    <w:rsid w:val="0023397C"/>
    <w:rsid w:val="00233A29"/>
    <w:rsid w:val="00233AD9"/>
    <w:rsid w:val="00233AEA"/>
    <w:rsid w:val="00233B8F"/>
    <w:rsid w:val="00233D90"/>
    <w:rsid w:val="00233DA2"/>
    <w:rsid w:val="00233EAF"/>
    <w:rsid w:val="00233F22"/>
    <w:rsid w:val="00233F58"/>
    <w:rsid w:val="00233F9B"/>
    <w:rsid w:val="00233FE0"/>
    <w:rsid w:val="00234091"/>
    <w:rsid w:val="00234103"/>
    <w:rsid w:val="0023417D"/>
    <w:rsid w:val="002341AC"/>
    <w:rsid w:val="002341DD"/>
    <w:rsid w:val="00234213"/>
    <w:rsid w:val="00234215"/>
    <w:rsid w:val="0023425A"/>
    <w:rsid w:val="002344DE"/>
    <w:rsid w:val="002345A1"/>
    <w:rsid w:val="00234602"/>
    <w:rsid w:val="00234684"/>
    <w:rsid w:val="0023470C"/>
    <w:rsid w:val="00234716"/>
    <w:rsid w:val="00234721"/>
    <w:rsid w:val="00234760"/>
    <w:rsid w:val="002347ED"/>
    <w:rsid w:val="0023492E"/>
    <w:rsid w:val="00234940"/>
    <w:rsid w:val="00234953"/>
    <w:rsid w:val="00234A25"/>
    <w:rsid w:val="00234C2F"/>
    <w:rsid w:val="00234EF4"/>
    <w:rsid w:val="00234F16"/>
    <w:rsid w:val="00235012"/>
    <w:rsid w:val="00235080"/>
    <w:rsid w:val="00235087"/>
    <w:rsid w:val="00235137"/>
    <w:rsid w:val="0023528A"/>
    <w:rsid w:val="002352FB"/>
    <w:rsid w:val="0023541D"/>
    <w:rsid w:val="002355AC"/>
    <w:rsid w:val="002356C8"/>
    <w:rsid w:val="002356E6"/>
    <w:rsid w:val="0023580E"/>
    <w:rsid w:val="002358BE"/>
    <w:rsid w:val="002359B6"/>
    <w:rsid w:val="002359EE"/>
    <w:rsid w:val="002359FF"/>
    <w:rsid w:val="00235E38"/>
    <w:rsid w:val="00235EE8"/>
    <w:rsid w:val="00235EF8"/>
    <w:rsid w:val="0023603F"/>
    <w:rsid w:val="00236082"/>
    <w:rsid w:val="00236198"/>
    <w:rsid w:val="00236259"/>
    <w:rsid w:val="002362FB"/>
    <w:rsid w:val="0023631D"/>
    <w:rsid w:val="002363BD"/>
    <w:rsid w:val="002363CE"/>
    <w:rsid w:val="002364E0"/>
    <w:rsid w:val="002365B8"/>
    <w:rsid w:val="0023664F"/>
    <w:rsid w:val="002366D2"/>
    <w:rsid w:val="00236750"/>
    <w:rsid w:val="002367E8"/>
    <w:rsid w:val="00236826"/>
    <w:rsid w:val="00236891"/>
    <w:rsid w:val="0023695F"/>
    <w:rsid w:val="00236AAF"/>
    <w:rsid w:val="00236B22"/>
    <w:rsid w:val="00236C87"/>
    <w:rsid w:val="00236E72"/>
    <w:rsid w:val="00236F35"/>
    <w:rsid w:val="00236FBB"/>
    <w:rsid w:val="002370B5"/>
    <w:rsid w:val="00237207"/>
    <w:rsid w:val="00237258"/>
    <w:rsid w:val="002372B3"/>
    <w:rsid w:val="002372C5"/>
    <w:rsid w:val="00237323"/>
    <w:rsid w:val="00237336"/>
    <w:rsid w:val="002373AF"/>
    <w:rsid w:val="002374C9"/>
    <w:rsid w:val="0023754B"/>
    <w:rsid w:val="0023756C"/>
    <w:rsid w:val="002375D6"/>
    <w:rsid w:val="0023776B"/>
    <w:rsid w:val="00237784"/>
    <w:rsid w:val="002377F9"/>
    <w:rsid w:val="0023789D"/>
    <w:rsid w:val="002378CC"/>
    <w:rsid w:val="00237B49"/>
    <w:rsid w:val="00237B8F"/>
    <w:rsid w:val="00237C64"/>
    <w:rsid w:val="00237EDA"/>
    <w:rsid w:val="00237FC6"/>
    <w:rsid w:val="00240004"/>
    <w:rsid w:val="002400F9"/>
    <w:rsid w:val="0024014B"/>
    <w:rsid w:val="00240187"/>
    <w:rsid w:val="00240396"/>
    <w:rsid w:val="002403B2"/>
    <w:rsid w:val="0024041F"/>
    <w:rsid w:val="0024045E"/>
    <w:rsid w:val="0024046D"/>
    <w:rsid w:val="0024056C"/>
    <w:rsid w:val="002406B1"/>
    <w:rsid w:val="00240710"/>
    <w:rsid w:val="002407EF"/>
    <w:rsid w:val="00240805"/>
    <w:rsid w:val="00240893"/>
    <w:rsid w:val="00240BA3"/>
    <w:rsid w:val="00240BED"/>
    <w:rsid w:val="00240C6E"/>
    <w:rsid w:val="00240D2D"/>
    <w:rsid w:val="00240D84"/>
    <w:rsid w:val="00240DBB"/>
    <w:rsid w:val="00240E28"/>
    <w:rsid w:val="00240F5E"/>
    <w:rsid w:val="00241115"/>
    <w:rsid w:val="0024123D"/>
    <w:rsid w:val="002412DA"/>
    <w:rsid w:val="002413A1"/>
    <w:rsid w:val="002413E2"/>
    <w:rsid w:val="00241505"/>
    <w:rsid w:val="0024151F"/>
    <w:rsid w:val="0024159F"/>
    <w:rsid w:val="002415AE"/>
    <w:rsid w:val="00241609"/>
    <w:rsid w:val="00241669"/>
    <w:rsid w:val="0024168E"/>
    <w:rsid w:val="00241783"/>
    <w:rsid w:val="002418BA"/>
    <w:rsid w:val="00241902"/>
    <w:rsid w:val="00241954"/>
    <w:rsid w:val="00241BD7"/>
    <w:rsid w:val="00241C64"/>
    <w:rsid w:val="00241D7E"/>
    <w:rsid w:val="00241E3F"/>
    <w:rsid w:val="00241F4C"/>
    <w:rsid w:val="00241FEB"/>
    <w:rsid w:val="00242224"/>
    <w:rsid w:val="0024238E"/>
    <w:rsid w:val="002424B1"/>
    <w:rsid w:val="00242500"/>
    <w:rsid w:val="002425D9"/>
    <w:rsid w:val="00242761"/>
    <w:rsid w:val="002427D7"/>
    <w:rsid w:val="00242842"/>
    <w:rsid w:val="00242B52"/>
    <w:rsid w:val="00242CB5"/>
    <w:rsid w:val="00242CBC"/>
    <w:rsid w:val="00242D48"/>
    <w:rsid w:val="00242DAF"/>
    <w:rsid w:val="002430A0"/>
    <w:rsid w:val="002431F0"/>
    <w:rsid w:val="00243207"/>
    <w:rsid w:val="0024322E"/>
    <w:rsid w:val="00243291"/>
    <w:rsid w:val="002432B6"/>
    <w:rsid w:val="002432F4"/>
    <w:rsid w:val="00243358"/>
    <w:rsid w:val="00243402"/>
    <w:rsid w:val="00243429"/>
    <w:rsid w:val="0024342B"/>
    <w:rsid w:val="00243446"/>
    <w:rsid w:val="002434D6"/>
    <w:rsid w:val="002435FE"/>
    <w:rsid w:val="00243649"/>
    <w:rsid w:val="00243680"/>
    <w:rsid w:val="002437BD"/>
    <w:rsid w:val="002437F0"/>
    <w:rsid w:val="00243855"/>
    <w:rsid w:val="00243962"/>
    <w:rsid w:val="002439EE"/>
    <w:rsid w:val="00243AA4"/>
    <w:rsid w:val="00243C6C"/>
    <w:rsid w:val="00243D00"/>
    <w:rsid w:val="00243D46"/>
    <w:rsid w:val="00243D5B"/>
    <w:rsid w:val="00243F55"/>
    <w:rsid w:val="00243F61"/>
    <w:rsid w:val="00243FE7"/>
    <w:rsid w:val="00243FFF"/>
    <w:rsid w:val="00244126"/>
    <w:rsid w:val="00244215"/>
    <w:rsid w:val="00244246"/>
    <w:rsid w:val="00244418"/>
    <w:rsid w:val="002444C0"/>
    <w:rsid w:val="00244579"/>
    <w:rsid w:val="0024457C"/>
    <w:rsid w:val="0024464D"/>
    <w:rsid w:val="00244665"/>
    <w:rsid w:val="00244861"/>
    <w:rsid w:val="0024488A"/>
    <w:rsid w:val="00244993"/>
    <w:rsid w:val="002449AA"/>
    <w:rsid w:val="00244AF3"/>
    <w:rsid w:val="00244BC0"/>
    <w:rsid w:val="00244CE3"/>
    <w:rsid w:val="00244D9F"/>
    <w:rsid w:val="00244F45"/>
    <w:rsid w:val="00244FDF"/>
    <w:rsid w:val="0024503F"/>
    <w:rsid w:val="00245076"/>
    <w:rsid w:val="00245193"/>
    <w:rsid w:val="00245195"/>
    <w:rsid w:val="002451D3"/>
    <w:rsid w:val="002451DD"/>
    <w:rsid w:val="0024527D"/>
    <w:rsid w:val="00245340"/>
    <w:rsid w:val="00245364"/>
    <w:rsid w:val="00245534"/>
    <w:rsid w:val="00245824"/>
    <w:rsid w:val="0024583A"/>
    <w:rsid w:val="002458D4"/>
    <w:rsid w:val="002458FB"/>
    <w:rsid w:val="002459A3"/>
    <w:rsid w:val="002459ED"/>
    <w:rsid w:val="00245B02"/>
    <w:rsid w:val="00245BBF"/>
    <w:rsid w:val="00245C6D"/>
    <w:rsid w:val="00245EF9"/>
    <w:rsid w:val="002463D3"/>
    <w:rsid w:val="00246418"/>
    <w:rsid w:val="0024651F"/>
    <w:rsid w:val="00246563"/>
    <w:rsid w:val="00246634"/>
    <w:rsid w:val="0024664F"/>
    <w:rsid w:val="002466FF"/>
    <w:rsid w:val="00246789"/>
    <w:rsid w:val="002467D3"/>
    <w:rsid w:val="002468F5"/>
    <w:rsid w:val="00246A5B"/>
    <w:rsid w:val="00246ACE"/>
    <w:rsid w:val="00246C60"/>
    <w:rsid w:val="00246D55"/>
    <w:rsid w:val="00246D90"/>
    <w:rsid w:val="002470A7"/>
    <w:rsid w:val="0024723F"/>
    <w:rsid w:val="00247330"/>
    <w:rsid w:val="002474B1"/>
    <w:rsid w:val="0024756F"/>
    <w:rsid w:val="002478F6"/>
    <w:rsid w:val="00247919"/>
    <w:rsid w:val="00247999"/>
    <w:rsid w:val="00247A78"/>
    <w:rsid w:val="00247A90"/>
    <w:rsid w:val="00247B4A"/>
    <w:rsid w:val="00247CD0"/>
    <w:rsid w:val="00247D58"/>
    <w:rsid w:val="00247D86"/>
    <w:rsid w:val="00247E63"/>
    <w:rsid w:val="00247F81"/>
    <w:rsid w:val="00250029"/>
    <w:rsid w:val="002501E0"/>
    <w:rsid w:val="00250287"/>
    <w:rsid w:val="0025028B"/>
    <w:rsid w:val="00250359"/>
    <w:rsid w:val="002503DC"/>
    <w:rsid w:val="002505CB"/>
    <w:rsid w:val="002505E8"/>
    <w:rsid w:val="00250640"/>
    <w:rsid w:val="00250721"/>
    <w:rsid w:val="002507E7"/>
    <w:rsid w:val="002508D4"/>
    <w:rsid w:val="00250AA1"/>
    <w:rsid w:val="00250B7A"/>
    <w:rsid w:val="00250B94"/>
    <w:rsid w:val="00250C6B"/>
    <w:rsid w:val="00250C7D"/>
    <w:rsid w:val="00250C9A"/>
    <w:rsid w:val="00250CD7"/>
    <w:rsid w:val="00250D77"/>
    <w:rsid w:val="00250D7C"/>
    <w:rsid w:val="00250E1D"/>
    <w:rsid w:val="00250E90"/>
    <w:rsid w:val="0025105C"/>
    <w:rsid w:val="0025125D"/>
    <w:rsid w:val="0025129E"/>
    <w:rsid w:val="00251340"/>
    <w:rsid w:val="00251385"/>
    <w:rsid w:val="0025144E"/>
    <w:rsid w:val="00251543"/>
    <w:rsid w:val="002518C1"/>
    <w:rsid w:val="00251953"/>
    <w:rsid w:val="00251C90"/>
    <w:rsid w:val="00251CEF"/>
    <w:rsid w:val="00251D10"/>
    <w:rsid w:val="00251D4B"/>
    <w:rsid w:val="00251D8A"/>
    <w:rsid w:val="00251DD3"/>
    <w:rsid w:val="00251E53"/>
    <w:rsid w:val="00251E83"/>
    <w:rsid w:val="00251F34"/>
    <w:rsid w:val="00251F5D"/>
    <w:rsid w:val="00251FF4"/>
    <w:rsid w:val="00252043"/>
    <w:rsid w:val="0025207C"/>
    <w:rsid w:val="00252217"/>
    <w:rsid w:val="002522CF"/>
    <w:rsid w:val="002522F6"/>
    <w:rsid w:val="002523EA"/>
    <w:rsid w:val="00252480"/>
    <w:rsid w:val="00252682"/>
    <w:rsid w:val="00252803"/>
    <w:rsid w:val="00252872"/>
    <w:rsid w:val="0025288E"/>
    <w:rsid w:val="00252921"/>
    <w:rsid w:val="00252A46"/>
    <w:rsid w:val="00252A99"/>
    <w:rsid w:val="00252B5F"/>
    <w:rsid w:val="00252CC0"/>
    <w:rsid w:val="00252DA7"/>
    <w:rsid w:val="00252DFD"/>
    <w:rsid w:val="00252E2E"/>
    <w:rsid w:val="00252E49"/>
    <w:rsid w:val="00252E7C"/>
    <w:rsid w:val="00252F9E"/>
    <w:rsid w:val="00253022"/>
    <w:rsid w:val="002530FC"/>
    <w:rsid w:val="00253108"/>
    <w:rsid w:val="002531C2"/>
    <w:rsid w:val="00253238"/>
    <w:rsid w:val="002532DD"/>
    <w:rsid w:val="00253417"/>
    <w:rsid w:val="0025343A"/>
    <w:rsid w:val="002535F0"/>
    <w:rsid w:val="002536CF"/>
    <w:rsid w:val="002536F4"/>
    <w:rsid w:val="0025371A"/>
    <w:rsid w:val="00253A38"/>
    <w:rsid w:val="00253B55"/>
    <w:rsid w:val="00253C8B"/>
    <w:rsid w:val="00253CE2"/>
    <w:rsid w:val="00253E0A"/>
    <w:rsid w:val="00253E35"/>
    <w:rsid w:val="00253F00"/>
    <w:rsid w:val="00253F3F"/>
    <w:rsid w:val="0025400C"/>
    <w:rsid w:val="0025432D"/>
    <w:rsid w:val="00254339"/>
    <w:rsid w:val="002543E6"/>
    <w:rsid w:val="002544A0"/>
    <w:rsid w:val="0025460E"/>
    <w:rsid w:val="002547F9"/>
    <w:rsid w:val="00254BCB"/>
    <w:rsid w:val="00254DE2"/>
    <w:rsid w:val="00254E73"/>
    <w:rsid w:val="00254EDB"/>
    <w:rsid w:val="00254F9F"/>
    <w:rsid w:val="0025522F"/>
    <w:rsid w:val="002552A5"/>
    <w:rsid w:val="0025534B"/>
    <w:rsid w:val="00255396"/>
    <w:rsid w:val="0025545E"/>
    <w:rsid w:val="002554BE"/>
    <w:rsid w:val="002554E8"/>
    <w:rsid w:val="00255605"/>
    <w:rsid w:val="00255662"/>
    <w:rsid w:val="002556AD"/>
    <w:rsid w:val="0025571B"/>
    <w:rsid w:val="00255769"/>
    <w:rsid w:val="002557C7"/>
    <w:rsid w:val="00255877"/>
    <w:rsid w:val="002558A8"/>
    <w:rsid w:val="002558AC"/>
    <w:rsid w:val="0025591A"/>
    <w:rsid w:val="00255944"/>
    <w:rsid w:val="00255997"/>
    <w:rsid w:val="002559A5"/>
    <w:rsid w:val="00255B1C"/>
    <w:rsid w:val="00255BD3"/>
    <w:rsid w:val="00255CD5"/>
    <w:rsid w:val="00255ECC"/>
    <w:rsid w:val="00255ED0"/>
    <w:rsid w:val="0025600F"/>
    <w:rsid w:val="002560DD"/>
    <w:rsid w:val="002560E0"/>
    <w:rsid w:val="00256174"/>
    <w:rsid w:val="0025623A"/>
    <w:rsid w:val="002562D7"/>
    <w:rsid w:val="002565C0"/>
    <w:rsid w:val="002566B1"/>
    <w:rsid w:val="0025673B"/>
    <w:rsid w:val="002567BA"/>
    <w:rsid w:val="00256858"/>
    <w:rsid w:val="0025694B"/>
    <w:rsid w:val="002569F6"/>
    <w:rsid w:val="00256B41"/>
    <w:rsid w:val="00256BA0"/>
    <w:rsid w:val="00256D17"/>
    <w:rsid w:val="00256D20"/>
    <w:rsid w:val="00256DE9"/>
    <w:rsid w:val="00256E07"/>
    <w:rsid w:val="00256EC0"/>
    <w:rsid w:val="00256F66"/>
    <w:rsid w:val="002571A3"/>
    <w:rsid w:val="0025727D"/>
    <w:rsid w:val="00257293"/>
    <w:rsid w:val="002572C9"/>
    <w:rsid w:val="002572EC"/>
    <w:rsid w:val="00257309"/>
    <w:rsid w:val="00257413"/>
    <w:rsid w:val="00257418"/>
    <w:rsid w:val="00257444"/>
    <w:rsid w:val="0025749D"/>
    <w:rsid w:val="00257897"/>
    <w:rsid w:val="002578FF"/>
    <w:rsid w:val="00257B2D"/>
    <w:rsid w:val="00257BA9"/>
    <w:rsid w:val="00257C04"/>
    <w:rsid w:val="00257C57"/>
    <w:rsid w:val="00257C60"/>
    <w:rsid w:val="00257D24"/>
    <w:rsid w:val="00257D6C"/>
    <w:rsid w:val="00257E5A"/>
    <w:rsid w:val="00257F62"/>
    <w:rsid w:val="00257FBA"/>
    <w:rsid w:val="00260048"/>
    <w:rsid w:val="002600D4"/>
    <w:rsid w:val="00260170"/>
    <w:rsid w:val="00260194"/>
    <w:rsid w:val="0026029F"/>
    <w:rsid w:val="002602D3"/>
    <w:rsid w:val="0026032E"/>
    <w:rsid w:val="00260399"/>
    <w:rsid w:val="0026047C"/>
    <w:rsid w:val="00260497"/>
    <w:rsid w:val="00260578"/>
    <w:rsid w:val="002605C5"/>
    <w:rsid w:val="00260626"/>
    <w:rsid w:val="00260637"/>
    <w:rsid w:val="00260683"/>
    <w:rsid w:val="00260719"/>
    <w:rsid w:val="00260875"/>
    <w:rsid w:val="00260923"/>
    <w:rsid w:val="00260A79"/>
    <w:rsid w:val="00260D02"/>
    <w:rsid w:val="00260D09"/>
    <w:rsid w:val="00260DA6"/>
    <w:rsid w:val="0026106B"/>
    <w:rsid w:val="002610C6"/>
    <w:rsid w:val="00261216"/>
    <w:rsid w:val="002612AD"/>
    <w:rsid w:val="00261336"/>
    <w:rsid w:val="002613B2"/>
    <w:rsid w:val="002613C0"/>
    <w:rsid w:val="0026149D"/>
    <w:rsid w:val="0026163E"/>
    <w:rsid w:val="0026177B"/>
    <w:rsid w:val="0026185F"/>
    <w:rsid w:val="002618E7"/>
    <w:rsid w:val="00261AB6"/>
    <w:rsid w:val="00261B20"/>
    <w:rsid w:val="00261BA7"/>
    <w:rsid w:val="00261BF5"/>
    <w:rsid w:val="00262052"/>
    <w:rsid w:val="00262077"/>
    <w:rsid w:val="00262154"/>
    <w:rsid w:val="002622DA"/>
    <w:rsid w:val="002622DF"/>
    <w:rsid w:val="002622FE"/>
    <w:rsid w:val="00262363"/>
    <w:rsid w:val="0026250E"/>
    <w:rsid w:val="00262598"/>
    <w:rsid w:val="002625A7"/>
    <w:rsid w:val="0026265F"/>
    <w:rsid w:val="0026267A"/>
    <w:rsid w:val="00262BAD"/>
    <w:rsid w:val="00262C5B"/>
    <w:rsid w:val="00262CEC"/>
    <w:rsid w:val="00262D37"/>
    <w:rsid w:val="00262FED"/>
    <w:rsid w:val="0026306D"/>
    <w:rsid w:val="00263159"/>
    <w:rsid w:val="0026317B"/>
    <w:rsid w:val="00263192"/>
    <w:rsid w:val="002633EE"/>
    <w:rsid w:val="002634A0"/>
    <w:rsid w:val="00263551"/>
    <w:rsid w:val="002635F9"/>
    <w:rsid w:val="0026363A"/>
    <w:rsid w:val="002636E1"/>
    <w:rsid w:val="002636EF"/>
    <w:rsid w:val="002636FF"/>
    <w:rsid w:val="0026379B"/>
    <w:rsid w:val="0026397F"/>
    <w:rsid w:val="002639A4"/>
    <w:rsid w:val="00263AC3"/>
    <w:rsid w:val="00263B83"/>
    <w:rsid w:val="00263C59"/>
    <w:rsid w:val="00263C6F"/>
    <w:rsid w:val="00263D09"/>
    <w:rsid w:val="00263D75"/>
    <w:rsid w:val="00263EAD"/>
    <w:rsid w:val="00263F94"/>
    <w:rsid w:val="002641A3"/>
    <w:rsid w:val="0026455E"/>
    <w:rsid w:val="0026457B"/>
    <w:rsid w:val="002645BB"/>
    <w:rsid w:val="002645BE"/>
    <w:rsid w:val="00264796"/>
    <w:rsid w:val="002648DD"/>
    <w:rsid w:val="002649FE"/>
    <w:rsid w:val="00264B5C"/>
    <w:rsid w:val="00264B9C"/>
    <w:rsid w:val="00264BC2"/>
    <w:rsid w:val="00264DD1"/>
    <w:rsid w:val="00264E8B"/>
    <w:rsid w:val="00264F4C"/>
    <w:rsid w:val="00264FB7"/>
    <w:rsid w:val="00264FCF"/>
    <w:rsid w:val="00265155"/>
    <w:rsid w:val="0026515F"/>
    <w:rsid w:val="002651AA"/>
    <w:rsid w:val="002651AB"/>
    <w:rsid w:val="00265304"/>
    <w:rsid w:val="00265462"/>
    <w:rsid w:val="00265529"/>
    <w:rsid w:val="00265636"/>
    <w:rsid w:val="00265669"/>
    <w:rsid w:val="0026576F"/>
    <w:rsid w:val="00265782"/>
    <w:rsid w:val="002657ED"/>
    <w:rsid w:val="0026584D"/>
    <w:rsid w:val="00265B45"/>
    <w:rsid w:val="00265BE3"/>
    <w:rsid w:val="00265C78"/>
    <w:rsid w:val="00265DB5"/>
    <w:rsid w:val="00265E24"/>
    <w:rsid w:val="00265F71"/>
    <w:rsid w:val="0026605E"/>
    <w:rsid w:val="0026622E"/>
    <w:rsid w:val="00266454"/>
    <w:rsid w:val="0026646A"/>
    <w:rsid w:val="0026647E"/>
    <w:rsid w:val="00266537"/>
    <w:rsid w:val="002665AD"/>
    <w:rsid w:val="00266658"/>
    <w:rsid w:val="002666B0"/>
    <w:rsid w:val="00266792"/>
    <w:rsid w:val="00266A84"/>
    <w:rsid w:val="00266ACC"/>
    <w:rsid w:val="00266B29"/>
    <w:rsid w:val="00266B70"/>
    <w:rsid w:val="00266C59"/>
    <w:rsid w:val="002670BE"/>
    <w:rsid w:val="002672EE"/>
    <w:rsid w:val="00267388"/>
    <w:rsid w:val="00267587"/>
    <w:rsid w:val="0026773E"/>
    <w:rsid w:val="00267776"/>
    <w:rsid w:val="00267808"/>
    <w:rsid w:val="00267934"/>
    <w:rsid w:val="0026796C"/>
    <w:rsid w:val="002679F6"/>
    <w:rsid w:val="00267A3D"/>
    <w:rsid w:val="00267A74"/>
    <w:rsid w:val="00267AA2"/>
    <w:rsid w:val="00267B7C"/>
    <w:rsid w:val="00267C7E"/>
    <w:rsid w:val="00267D1D"/>
    <w:rsid w:val="00267D57"/>
    <w:rsid w:val="00267E57"/>
    <w:rsid w:val="00267F96"/>
    <w:rsid w:val="00270084"/>
    <w:rsid w:val="002700F0"/>
    <w:rsid w:val="00270139"/>
    <w:rsid w:val="0027013D"/>
    <w:rsid w:val="002701A2"/>
    <w:rsid w:val="0027037E"/>
    <w:rsid w:val="00270484"/>
    <w:rsid w:val="00270511"/>
    <w:rsid w:val="0027066D"/>
    <w:rsid w:val="002706E4"/>
    <w:rsid w:val="002707C2"/>
    <w:rsid w:val="0027087E"/>
    <w:rsid w:val="00270928"/>
    <w:rsid w:val="00270AE7"/>
    <w:rsid w:val="00270B0E"/>
    <w:rsid w:val="00270B19"/>
    <w:rsid w:val="00270D48"/>
    <w:rsid w:val="00270D9E"/>
    <w:rsid w:val="00270F61"/>
    <w:rsid w:val="0027107D"/>
    <w:rsid w:val="0027116F"/>
    <w:rsid w:val="002711C1"/>
    <w:rsid w:val="00271211"/>
    <w:rsid w:val="002712A4"/>
    <w:rsid w:val="002712F3"/>
    <w:rsid w:val="002713B4"/>
    <w:rsid w:val="002713CD"/>
    <w:rsid w:val="00271436"/>
    <w:rsid w:val="002714B3"/>
    <w:rsid w:val="00271694"/>
    <w:rsid w:val="002716FF"/>
    <w:rsid w:val="0027172C"/>
    <w:rsid w:val="002717D4"/>
    <w:rsid w:val="00271818"/>
    <w:rsid w:val="00271A26"/>
    <w:rsid w:val="00271A55"/>
    <w:rsid w:val="00271B05"/>
    <w:rsid w:val="00271B44"/>
    <w:rsid w:val="00271C7D"/>
    <w:rsid w:val="00271D2A"/>
    <w:rsid w:val="00271D46"/>
    <w:rsid w:val="00271FE7"/>
    <w:rsid w:val="0027206D"/>
    <w:rsid w:val="00272189"/>
    <w:rsid w:val="00272191"/>
    <w:rsid w:val="00272356"/>
    <w:rsid w:val="00272407"/>
    <w:rsid w:val="0027249F"/>
    <w:rsid w:val="00272564"/>
    <w:rsid w:val="002726C9"/>
    <w:rsid w:val="00272712"/>
    <w:rsid w:val="002729D7"/>
    <w:rsid w:val="00272A0E"/>
    <w:rsid w:val="00272A49"/>
    <w:rsid w:val="00272AC9"/>
    <w:rsid w:val="00272B62"/>
    <w:rsid w:val="00272BF5"/>
    <w:rsid w:val="00272C79"/>
    <w:rsid w:val="00272C90"/>
    <w:rsid w:val="00272CBC"/>
    <w:rsid w:val="00272D9B"/>
    <w:rsid w:val="00272E0F"/>
    <w:rsid w:val="00272E8E"/>
    <w:rsid w:val="00272F40"/>
    <w:rsid w:val="00272FCB"/>
    <w:rsid w:val="00273024"/>
    <w:rsid w:val="0027319D"/>
    <w:rsid w:val="00273293"/>
    <w:rsid w:val="00273303"/>
    <w:rsid w:val="0027334A"/>
    <w:rsid w:val="002733B9"/>
    <w:rsid w:val="002733E0"/>
    <w:rsid w:val="00273466"/>
    <w:rsid w:val="00273545"/>
    <w:rsid w:val="00273598"/>
    <w:rsid w:val="002736ED"/>
    <w:rsid w:val="00273725"/>
    <w:rsid w:val="002737DD"/>
    <w:rsid w:val="0027386B"/>
    <w:rsid w:val="002738A5"/>
    <w:rsid w:val="00273BB5"/>
    <w:rsid w:val="00273CDA"/>
    <w:rsid w:val="00273CDF"/>
    <w:rsid w:val="00273EE8"/>
    <w:rsid w:val="00273F08"/>
    <w:rsid w:val="00273FD5"/>
    <w:rsid w:val="00274037"/>
    <w:rsid w:val="0027405E"/>
    <w:rsid w:val="002740AF"/>
    <w:rsid w:val="00274181"/>
    <w:rsid w:val="00274224"/>
    <w:rsid w:val="0027426D"/>
    <w:rsid w:val="0027432B"/>
    <w:rsid w:val="00274497"/>
    <w:rsid w:val="0027458B"/>
    <w:rsid w:val="00274606"/>
    <w:rsid w:val="00274614"/>
    <w:rsid w:val="00274690"/>
    <w:rsid w:val="002746D4"/>
    <w:rsid w:val="002746E4"/>
    <w:rsid w:val="002746F3"/>
    <w:rsid w:val="00274726"/>
    <w:rsid w:val="002747CB"/>
    <w:rsid w:val="002748D4"/>
    <w:rsid w:val="002748E4"/>
    <w:rsid w:val="00274A68"/>
    <w:rsid w:val="00274BAD"/>
    <w:rsid w:val="00274D08"/>
    <w:rsid w:val="00274DA5"/>
    <w:rsid w:val="00274DC7"/>
    <w:rsid w:val="00274F1A"/>
    <w:rsid w:val="00274F28"/>
    <w:rsid w:val="00274F7B"/>
    <w:rsid w:val="0027509D"/>
    <w:rsid w:val="00275241"/>
    <w:rsid w:val="00275266"/>
    <w:rsid w:val="00275466"/>
    <w:rsid w:val="002754E2"/>
    <w:rsid w:val="00275512"/>
    <w:rsid w:val="0027559C"/>
    <w:rsid w:val="002756E4"/>
    <w:rsid w:val="00275796"/>
    <w:rsid w:val="00275926"/>
    <w:rsid w:val="00275A1B"/>
    <w:rsid w:val="00275A9E"/>
    <w:rsid w:val="00275AD3"/>
    <w:rsid w:val="00275B5D"/>
    <w:rsid w:val="00275BB9"/>
    <w:rsid w:val="00275C1F"/>
    <w:rsid w:val="00275CF1"/>
    <w:rsid w:val="00275F12"/>
    <w:rsid w:val="00275FAA"/>
    <w:rsid w:val="00275FDB"/>
    <w:rsid w:val="00276053"/>
    <w:rsid w:val="00276081"/>
    <w:rsid w:val="002760B4"/>
    <w:rsid w:val="0027619D"/>
    <w:rsid w:val="002763CC"/>
    <w:rsid w:val="002763D4"/>
    <w:rsid w:val="002764C1"/>
    <w:rsid w:val="002764F3"/>
    <w:rsid w:val="0027655E"/>
    <w:rsid w:val="00276638"/>
    <w:rsid w:val="0027687A"/>
    <w:rsid w:val="00276A7C"/>
    <w:rsid w:val="00276B08"/>
    <w:rsid w:val="00276E5C"/>
    <w:rsid w:val="00276F15"/>
    <w:rsid w:val="00276F19"/>
    <w:rsid w:val="00276FED"/>
    <w:rsid w:val="00277120"/>
    <w:rsid w:val="002771A4"/>
    <w:rsid w:val="002772A2"/>
    <w:rsid w:val="002772D0"/>
    <w:rsid w:val="00277324"/>
    <w:rsid w:val="00277338"/>
    <w:rsid w:val="0027743F"/>
    <w:rsid w:val="002774B8"/>
    <w:rsid w:val="00277500"/>
    <w:rsid w:val="002775F4"/>
    <w:rsid w:val="00277670"/>
    <w:rsid w:val="002777CE"/>
    <w:rsid w:val="0027782F"/>
    <w:rsid w:val="002778E4"/>
    <w:rsid w:val="00277904"/>
    <w:rsid w:val="00277C5F"/>
    <w:rsid w:val="00277CCE"/>
    <w:rsid w:val="00277CFC"/>
    <w:rsid w:val="00277E7B"/>
    <w:rsid w:val="00277FC7"/>
    <w:rsid w:val="00277FEA"/>
    <w:rsid w:val="00280002"/>
    <w:rsid w:val="002800A9"/>
    <w:rsid w:val="002800C5"/>
    <w:rsid w:val="0028011C"/>
    <w:rsid w:val="00280120"/>
    <w:rsid w:val="00280153"/>
    <w:rsid w:val="00280298"/>
    <w:rsid w:val="002802E9"/>
    <w:rsid w:val="00280308"/>
    <w:rsid w:val="0028030E"/>
    <w:rsid w:val="00280363"/>
    <w:rsid w:val="00280400"/>
    <w:rsid w:val="0028045C"/>
    <w:rsid w:val="002804A0"/>
    <w:rsid w:val="0028050D"/>
    <w:rsid w:val="00280841"/>
    <w:rsid w:val="00280912"/>
    <w:rsid w:val="002809A0"/>
    <w:rsid w:val="00280C4C"/>
    <w:rsid w:val="00280C91"/>
    <w:rsid w:val="00280C92"/>
    <w:rsid w:val="00280CEC"/>
    <w:rsid w:val="00280D36"/>
    <w:rsid w:val="00280DB3"/>
    <w:rsid w:val="00280F82"/>
    <w:rsid w:val="00280F97"/>
    <w:rsid w:val="00280FD1"/>
    <w:rsid w:val="002810A8"/>
    <w:rsid w:val="00281332"/>
    <w:rsid w:val="00281442"/>
    <w:rsid w:val="0028146C"/>
    <w:rsid w:val="002814A0"/>
    <w:rsid w:val="002814F5"/>
    <w:rsid w:val="0028152A"/>
    <w:rsid w:val="00281567"/>
    <w:rsid w:val="0028158E"/>
    <w:rsid w:val="00281708"/>
    <w:rsid w:val="0028171A"/>
    <w:rsid w:val="00281750"/>
    <w:rsid w:val="00281989"/>
    <w:rsid w:val="00281A2B"/>
    <w:rsid w:val="00281A38"/>
    <w:rsid w:val="00281AAA"/>
    <w:rsid w:val="00281AC9"/>
    <w:rsid w:val="00281CC5"/>
    <w:rsid w:val="00281D61"/>
    <w:rsid w:val="00281E80"/>
    <w:rsid w:val="00281EB1"/>
    <w:rsid w:val="00281EE0"/>
    <w:rsid w:val="00281EF2"/>
    <w:rsid w:val="002820F4"/>
    <w:rsid w:val="0028213E"/>
    <w:rsid w:val="0028214B"/>
    <w:rsid w:val="00282155"/>
    <w:rsid w:val="00282168"/>
    <w:rsid w:val="00282192"/>
    <w:rsid w:val="002821AF"/>
    <w:rsid w:val="002821C2"/>
    <w:rsid w:val="00282286"/>
    <w:rsid w:val="0028234F"/>
    <w:rsid w:val="00282435"/>
    <w:rsid w:val="0028247C"/>
    <w:rsid w:val="00282501"/>
    <w:rsid w:val="00282504"/>
    <w:rsid w:val="00282565"/>
    <w:rsid w:val="00282756"/>
    <w:rsid w:val="0028293A"/>
    <w:rsid w:val="00282AF0"/>
    <w:rsid w:val="00282B3C"/>
    <w:rsid w:val="00282BE7"/>
    <w:rsid w:val="00282C31"/>
    <w:rsid w:val="00282CE4"/>
    <w:rsid w:val="00282D0A"/>
    <w:rsid w:val="00282E97"/>
    <w:rsid w:val="00282EEA"/>
    <w:rsid w:val="00282F6A"/>
    <w:rsid w:val="00282F77"/>
    <w:rsid w:val="00282FAF"/>
    <w:rsid w:val="00283073"/>
    <w:rsid w:val="0028309C"/>
    <w:rsid w:val="002830D7"/>
    <w:rsid w:val="0028321C"/>
    <w:rsid w:val="00283349"/>
    <w:rsid w:val="00283588"/>
    <w:rsid w:val="002835DF"/>
    <w:rsid w:val="00283A74"/>
    <w:rsid w:val="00283A79"/>
    <w:rsid w:val="00283AFE"/>
    <w:rsid w:val="00283B81"/>
    <w:rsid w:val="00283B9C"/>
    <w:rsid w:val="00283BF6"/>
    <w:rsid w:val="00283C96"/>
    <w:rsid w:val="00283EAE"/>
    <w:rsid w:val="00284119"/>
    <w:rsid w:val="00284178"/>
    <w:rsid w:val="002841AB"/>
    <w:rsid w:val="002841EA"/>
    <w:rsid w:val="0028422C"/>
    <w:rsid w:val="002842F3"/>
    <w:rsid w:val="0028447E"/>
    <w:rsid w:val="0028449F"/>
    <w:rsid w:val="002844E2"/>
    <w:rsid w:val="002844E8"/>
    <w:rsid w:val="002844E9"/>
    <w:rsid w:val="00284539"/>
    <w:rsid w:val="00284663"/>
    <w:rsid w:val="00284679"/>
    <w:rsid w:val="002846AC"/>
    <w:rsid w:val="002847AF"/>
    <w:rsid w:val="00284817"/>
    <w:rsid w:val="0028495E"/>
    <w:rsid w:val="0028497F"/>
    <w:rsid w:val="00284A28"/>
    <w:rsid w:val="00284A74"/>
    <w:rsid w:val="00284AF7"/>
    <w:rsid w:val="00284CD2"/>
    <w:rsid w:val="00284E4E"/>
    <w:rsid w:val="00284E98"/>
    <w:rsid w:val="00284EC0"/>
    <w:rsid w:val="00284EC6"/>
    <w:rsid w:val="00284F1F"/>
    <w:rsid w:val="0028502F"/>
    <w:rsid w:val="00285183"/>
    <w:rsid w:val="002854B7"/>
    <w:rsid w:val="0028553A"/>
    <w:rsid w:val="002855BF"/>
    <w:rsid w:val="0028560D"/>
    <w:rsid w:val="0028578A"/>
    <w:rsid w:val="00285796"/>
    <w:rsid w:val="002857AF"/>
    <w:rsid w:val="00285812"/>
    <w:rsid w:val="00285813"/>
    <w:rsid w:val="002858E2"/>
    <w:rsid w:val="00285A21"/>
    <w:rsid w:val="00285C03"/>
    <w:rsid w:val="00285C4E"/>
    <w:rsid w:val="00285DE5"/>
    <w:rsid w:val="00285E26"/>
    <w:rsid w:val="00285EFF"/>
    <w:rsid w:val="00285F18"/>
    <w:rsid w:val="00286056"/>
    <w:rsid w:val="00286430"/>
    <w:rsid w:val="002864A1"/>
    <w:rsid w:val="0028656C"/>
    <w:rsid w:val="0028663D"/>
    <w:rsid w:val="0028665E"/>
    <w:rsid w:val="00286701"/>
    <w:rsid w:val="00286857"/>
    <w:rsid w:val="00286A18"/>
    <w:rsid w:val="00286A54"/>
    <w:rsid w:val="00286ADA"/>
    <w:rsid w:val="00286B93"/>
    <w:rsid w:val="00286BB4"/>
    <w:rsid w:val="00286DB7"/>
    <w:rsid w:val="00286DC5"/>
    <w:rsid w:val="00286DF8"/>
    <w:rsid w:val="00286E61"/>
    <w:rsid w:val="00286ED1"/>
    <w:rsid w:val="00287003"/>
    <w:rsid w:val="0028700F"/>
    <w:rsid w:val="0028708E"/>
    <w:rsid w:val="002870B8"/>
    <w:rsid w:val="002870FA"/>
    <w:rsid w:val="0028713C"/>
    <w:rsid w:val="002871AE"/>
    <w:rsid w:val="00287282"/>
    <w:rsid w:val="00287355"/>
    <w:rsid w:val="0028737E"/>
    <w:rsid w:val="0028738C"/>
    <w:rsid w:val="00287393"/>
    <w:rsid w:val="0028751B"/>
    <w:rsid w:val="0028772D"/>
    <w:rsid w:val="00287831"/>
    <w:rsid w:val="00287899"/>
    <w:rsid w:val="002878CE"/>
    <w:rsid w:val="002878DD"/>
    <w:rsid w:val="00287C5B"/>
    <w:rsid w:val="00287ECC"/>
    <w:rsid w:val="00287F29"/>
    <w:rsid w:val="00287F42"/>
    <w:rsid w:val="002901D0"/>
    <w:rsid w:val="00290220"/>
    <w:rsid w:val="0029022F"/>
    <w:rsid w:val="00290324"/>
    <w:rsid w:val="00290523"/>
    <w:rsid w:val="0029056E"/>
    <w:rsid w:val="0029058A"/>
    <w:rsid w:val="002906C9"/>
    <w:rsid w:val="0029079F"/>
    <w:rsid w:val="0029090B"/>
    <w:rsid w:val="00290A22"/>
    <w:rsid w:val="00290A3E"/>
    <w:rsid w:val="00290A62"/>
    <w:rsid w:val="00290A7F"/>
    <w:rsid w:val="00290AC4"/>
    <w:rsid w:val="00290B79"/>
    <w:rsid w:val="00290BD5"/>
    <w:rsid w:val="00290C2E"/>
    <w:rsid w:val="00290CBC"/>
    <w:rsid w:val="00290DE7"/>
    <w:rsid w:val="002910E8"/>
    <w:rsid w:val="002912A8"/>
    <w:rsid w:val="002912D1"/>
    <w:rsid w:val="002913E9"/>
    <w:rsid w:val="00291428"/>
    <w:rsid w:val="00291456"/>
    <w:rsid w:val="002914CB"/>
    <w:rsid w:val="002914E3"/>
    <w:rsid w:val="00291501"/>
    <w:rsid w:val="0029152C"/>
    <w:rsid w:val="00291652"/>
    <w:rsid w:val="0029169E"/>
    <w:rsid w:val="00291732"/>
    <w:rsid w:val="00291736"/>
    <w:rsid w:val="002917EB"/>
    <w:rsid w:val="0029197E"/>
    <w:rsid w:val="002919BE"/>
    <w:rsid w:val="00291A2E"/>
    <w:rsid w:val="00291AA7"/>
    <w:rsid w:val="00291ADA"/>
    <w:rsid w:val="00291AE7"/>
    <w:rsid w:val="00291AE8"/>
    <w:rsid w:val="00291B33"/>
    <w:rsid w:val="00291B85"/>
    <w:rsid w:val="00291C1A"/>
    <w:rsid w:val="00291CFF"/>
    <w:rsid w:val="00291F55"/>
    <w:rsid w:val="00292064"/>
    <w:rsid w:val="002921E6"/>
    <w:rsid w:val="00292223"/>
    <w:rsid w:val="00292259"/>
    <w:rsid w:val="0029247C"/>
    <w:rsid w:val="002925E7"/>
    <w:rsid w:val="002925FD"/>
    <w:rsid w:val="002926AD"/>
    <w:rsid w:val="002926EF"/>
    <w:rsid w:val="0029276B"/>
    <w:rsid w:val="00292906"/>
    <w:rsid w:val="00292AF3"/>
    <w:rsid w:val="00292B4A"/>
    <w:rsid w:val="00292CAA"/>
    <w:rsid w:val="00292CFC"/>
    <w:rsid w:val="00292E80"/>
    <w:rsid w:val="00292EB2"/>
    <w:rsid w:val="00292FE2"/>
    <w:rsid w:val="002931C9"/>
    <w:rsid w:val="002931D0"/>
    <w:rsid w:val="0029331D"/>
    <w:rsid w:val="00293447"/>
    <w:rsid w:val="00293744"/>
    <w:rsid w:val="00293834"/>
    <w:rsid w:val="002938EE"/>
    <w:rsid w:val="00293A25"/>
    <w:rsid w:val="00293B31"/>
    <w:rsid w:val="00293BA5"/>
    <w:rsid w:val="00293BAC"/>
    <w:rsid w:val="00293BD5"/>
    <w:rsid w:val="00293C14"/>
    <w:rsid w:val="00293CF6"/>
    <w:rsid w:val="00293D2A"/>
    <w:rsid w:val="00293DD0"/>
    <w:rsid w:val="00293F1E"/>
    <w:rsid w:val="00293FA5"/>
    <w:rsid w:val="00293FE6"/>
    <w:rsid w:val="00293FF9"/>
    <w:rsid w:val="002940B6"/>
    <w:rsid w:val="00294139"/>
    <w:rsid w:val="0029415D"/>
    <w:rsid w:val="0029418E"/>
    <w:rsid w:val="00294257"/>
    <w:rsid w:val="00294292"/>
    <w:rsid w:val="0029449B"/>
    <w:rsid w:val="0029456B"/>
    <w:rsid w:val="0029458F"/>
    <w:rsid w:val="002948CC"/>
    <w:rsid w:val="002948EB"/>
    <w:rsid w:val="002948F6"/>
    <w:rsid w:val="00294A04"/>
    <w:rsid w:val="00294AE5"/>
    <w:rsid w:val="00294C3C"/>
    <w:rsid w:val="00294C51"/>
    <w:rsid w:val="00294C97"/>
    <w:rsid w:val="00294D65"/>
    <w:rsid w:val="00294E16"/>
    <w:rsid w:val="00294E73"/>
    <w:rsid w:val="00294F36"/>
    <w:rsid w:val="00294F6D"/>
    <w:rsid w:val="00294F74"/>
    <w:rsid w:val="002950A0"/>
    <w:rsid w:val="002950DE"/>
    <w:rsid w:val="002952F1"/>
    <w:rsid w:val="00295421"/>
    <w:rsid w:val="002954A9"/>
    <w:rsid w:val="00295528"/>
    <w:rsid w:val="002955E6"/>
    <w:rsid w:val="0029565F"/>
    <w:rsid w:val="002956A6"/>
    <w:rsid w:val="002956D4"/>
    <w:rsid w:val="002957B2"/>
    <w:rsid w:val="00295809"/>
    <w:rsid w:val="00295889"/>
    <w:rsid w:val="002958CA"/>
    <w:rsid w:val="00295938"/>
    <w:rsid w:val="002959F9"/>
    <w:rsid w:val="00295A5E"/>
    <w:rsid w:val="00295E81"/>
    <w:rsid w:val="00295F24"/>
    <w:rsid w:val="00295F39"/>
    <w:rsid w:val="00296079"/>
    <w:rsid w:val="00296184"/>
    <w:rsid w:val="0029620D"/>
    <w:rsid w:val="0029622B"/>
    <w:rsid w:val="00296230"/>
    <w:rsid w:val="0029627B"/>
    <w:rsid w:val="002964E1"/>
    <w:rsid w:val="002966CE"/>
    <w:rsid w:val="00296723"/>
    <w:rsid w:val="002967FF"/>
    <w:rsid w:val="0029694E"/>
    <w:rsid w:val="002969AC"/>
    <w:rsid w:val="002969E1"/>
    <w:rsid w:val="00296B73"/>
    <w:rsid w:val="00296BC3"/>
    <w:rsid w:val="00296C3D"/>
    <w:rsid w:val="00296CF1"/>
    <w:rsid w:val="00297055"/>
    <w:rsid w:val="002970E3"/>
    <w:rsid w:val="0029724C"/>
    <w:rsid w:val="00297343"/>
    <w:rsid w:val="002973F0"/>
    <w:rsid w:val="00297663"/>
    <w:rsid w:val="002976B4"/>
    <w:rsid w:val="002976DE"/>
    <w:rsid w:val="00297835"/>
    <w:rsid w:val="002978E0"/>
    <w:rsid w:val="00297A4F"/>
    <w:rsid w:val="00297A64"/>
    <w:rsid w:val="00297A86"/>
    <w:rsid w:val="00297AC3"/>
    <w:rsid w:val="00297C24"/>
    <w:rsid w:val="00297C30"/>
    <w:rsid w:val="00297E27"/>
    <w:rsid w:val="00297E55"/>
    <w:rsid w:val="002A0020"/>
    <w:rsid w:val="002A00DA"/>
    <w:rsid w:val="002A01D0"/>
    <w:rsid w:val="002A02B5"/>
    <w:rsid w:val="002A02C3"/>
    <w:rsid w:val="002A037F"/>
    <w:rsid w:val="002A04B2"/>
    <w:rsid w:val="002A04FC"/>
    <w:rsid w:val="002A0542"/>
    <w:rsid w:val="002A056D"/>
    <w:rsid w:val="002A0649"/>
    <w:rsid w:val="002A0668"/>
    <w:rsid w:val="002A06BB"/>
    <w:rsid w:val="002A0739"/>
    <w:rsid w:val="002A096B"/>
    <w:rsid w:val="002A0B2D"/>
    <w:rsid w:val="002A0B61"/>
    <w:rsid w:val="002A0C96"/>
    <w:rsid w:val="002A0CAB"/>
    <w:rsid w:val="002A0E53"/>
    <w:rsid w:val="002A0F8A"/>
    <w:rsid w:val="002A0F8B"/>
    <w:rsid w:val="002A104F"/>
    <w:rsid w:val="002A1079"/>
    <w:rsid w:val="002A114F"/>
    <w:rsid w:val="002A11E9"/>
    <w:rsid w:val="002A12A3"/>
    <w:rsid w:val="002A13D3"/>
    <w:rsid w:val="002A1513"/>
    <w:rsid w:val="002A1726"/>
    <w:rsid w:val="002A1757"/>
    <w:rsid w:val="002A18C5"/>
    <w:rsid w:val="002A18EF"/>
    <w:rsid w:val="002A18FA"/>
    <w:rsid w:val="002A1924"/>
    <w:rsid w:val="002A1A49"/>
    <w:rsid w:val="002A1A97"/>
    <w:rsid w:val="002A1AC3"/>
    <w:rsid w:val="002A1B3A"/>
    <w:rsid w:val="002A1BA9"/>
    <w:rsid w:val="002A1E6B"/>
    <w:rsid w:val="002A1EAB"/>
    <w:rsid w:val="002A2039"/>
    <w:rsid w:val="002A20D5"/>
    <w:rsid w:val="002A22CA"/>
    <w:rsid w:val="002A2448"/>
    <w:rsid w:val="002A25CE"/>
    <w:rsid w:val="002A2607"/>
    <w:rsid w:val="002A2612"/>
    <w:rsid w:val="002A2648"/>
    <w:rsid w:val="002A2684"/>
    <w:rsid w:val="002A285B"/>
    <w:rsid w:val="002A2AC2"/>
    <w:rsid w:val="002A2BBF"/>
    <w:rsid w:val="002A2D90"/>
    <w:rsid w:val="002A2E30"/>
    <w:rsid w:val="002A2EC3"/>
    <w:rsid w:val="002A2F51"/>
    <w:rsid w:val="002A2FCE"/>
    <w:rsid w:val="002A2FDA"/>
    <w:rsid w:val="002A3067"/>
    <w:rsid w:val="002A3132"/>
    <w:rsid w:val="002A3242"/>
    <w:rsid w:val="002A3278"/>
    <w:rsid w:val="002A327C"/>
    <w:rsid w:val="002A335C"/>
    <w:rsid w:val="002A337B"/>
    <w:rsid w:val="002A33CC"/>
    <w:rsid w:val="002A3427"/>
    <w:rsid w:val="002A3433"/>
    <w:rsid w:val="002A347E"/>
    <w:rsid w:val="002A34F9"/>
    <w:rsid w:val="002A3610"/>
    <w:rsid w:val="002A36A6"/>
    <w:rsid w:val="002A36EB"/>
    <w:rsid w:val="002A3756"/>
    <w:rsid w:val="002A3992"/>
    <w:rsid w:val="002A3A55"/>
    <w:rsid w:val="002A3A74"/>
    <w:rsid w:val="002A3B10"/>
    <w:rsid w:val="002A3BCE"/>
    <w:rsid w:val="002A3E6D"/>
    <w:rsid w:val="002A3E7A"/>
    <w:rsid w:val="002A4049"/>
    <w:rsid w:val="002A40D4"/>
    <w:rsid w:val="002A40FC"/>
    <w:rsid w:val="002A4139"/>
    <w:rsid w:val="002A4151"/>
    <w:rsid w:val="002A41BD"/>
    <w:rsid w:val="002A4294"/>
    <w:rsid w:val="002A42FC"/>
    <w:rsid w:val="002A4307"/>
    <w:rsid w:val="002A457E"/>
    <w:rsid w:val="002A46DB"/>
    <w:rsid w:val="002A472E"/>
    <w:rsid w:val="002A47DB"/>
    <w:rsid w:val="002A4950"/>
    <w:rsid w:val="002A4B07"/>
    <w:rsid w:val="002A4B3D"/>
    <w:rsid w:val="002A4B86"/>
    <w:rsid w:val="002A4C2F"/>
    <w:rsid w:val="002A4CE7"/>
    <w:rsid w:val="002A4CF9"/>
    <w:rsid w:val="002A4D3A"/>
    <w:rsid w:val="002A4FF4"/>
    <w:rsid w:val="002A5224"/>
    <w:rsid w:val="002A5238"/>
    <w:rsid w:val="002A52F9"/>
    <w:rsid w:val="002A53AB"/>
    <w:rsid w:val="002A53F2"/>
    <w:rsid w:val="002A5469"/>
    <w:rsid w:val="002A5565"/>
    <w:rsid w:val="002A566D"/>
    <w:rsid w:val="002A5816"/>
    <w:rsid w:val="002A58D9"/>
    <w:rsid w:val="002A58F5"/>
    <w:rsid w:val="002A592A"/>
    <w:rsid w:val="002A5C21"/>
    <w:rsid w:val="002A5E92"/>
    <w:rsid w:val="002A5EA8"/>
    <w:rsid w:val="002A5F47"/>
    <w:rsid w:val="002A5F64"/>
    <w:rsid w:val="002A6006"/>
    <w:rsid w:val="002A6093"/>
    <w:rsid w:val="002A6158"/>
    <w:rsid w:val="002A61C7"/>
    <w:rsid w:val="002A62D9"/>
    <w:rsid w:val="002A63A2"/>
    <w:rsid w:val="002A6437"/>
    <w:rsid w:val="002A647B"/>
    <w:rsid w:val="002A6490"/>
    <w:rsid w:val="002A66C9"/>
    <w:rsid w:val="002A673E"/>
    <w:rsid w:val="002A68B0"/>
    <w:rsid w:val="002A6900"/>
    <w:rsid w:val="002A696F"/>
    <w:rsid w:val="002A6A83"/>
    <w:rsid w:val="002A6B26"/>
    <w:rsid w:val="002A6BB6"/>
    <w:rsid w:val="002A6BDB"/>
    <w:rsid w:val="002A6C84"/>
    <w:rsid w:val="002A709A"/>
    <w:rsid w:val="002A70D3"/>
    <w:rsid w:val="002A70E2"/>
    <w:rsid w:val="002A724F"/>
    <w:rsid w:val="002A73E7"/>
    <w:rsid w:val="002A7426"/>
    <w:rsid w:val="002A74E4"/>
    <w:rsid w:val="002A7516"/>
    <w:rsid w:val="002A75E5"/>
    <w:rsid w:val="002A762D"/>
    <w:rsid w:val="002A7661"/>
    <w:rsid w:val="002A777E"/>
    <w:rsid w:val="002A7835"/>
    <w:rsid w:val="002A7ABF"/>
    <w:rsid w:val="002A7BC4"/>
    <w:rsid w:val="002A7E8C"/>
    <w:rsid w:val="002A7ED2"/>
    <w:rsid w:val="002A7EDC"/>
    <w:rsid w:val="002B006F"/>
    <w:rsid w:val="002B007C"/>
    <w:rsid w:val="002B0099"/>
    <w:rsid w:val="002B00BE"/>
    <w:rsid w:val="002B039B"/>
    <w:rsid w:val="002B0459"/>
    <w:rsid w:val="002B05E6"/>
    <w:rsid w:val="002B0716"/>
    <w:rsid w:val="002B0753"/>
    <w:rsid w:val="002B077F"/>
    <w:rsid w:val="002B07CF"/>
    <w:rsid w:val="002B07FD"/>
    <w:rsid w:val="002B0800"/>
    <w:rsid w:val="002B0857"/>
    <w:rsid w:val="002B088F"/>
    <w:rsid w:val="002B0BCF"/>
    <w:rsid w:val="002B0BF4"/>
    <w:rsid w:val="002B0C44"/>
    <w:rsid w:val="002B0C4B"/>
    <w:rsid w:val="002B0C6B"/>
    <w:rsid w:val="002B0F8B"/>
    <w:rsid w:val="002B10BC"/>
    <w:rsid w:val="002B11D6"/>
    <w:rsid w:val="002B120B"/>
    <w:rsid w:val="002B1426"/>
    <w:rsid w:val="002B14D6"/>
    <w:rsid w:val="002B16CB"/>
    <w:rsid w:val="002B16D2"/>
    <w:rsid w:val="002B19F5"/>
    <w:rsid w:val="002B1A00"/>
    <w:rsid w:val="002B1AEC"/>
    <w:rsid w:val="002B1F70"/>
    <w:rsid w:val="002B1F83"/>
    <w:rsid w:val="002B1F9A"/>
    <w:rsid w:val="002B209E"/>
    <w:rsid w:val="002B235C"/>
    <w:rsid w:val="002B2462"/>
    <w:rsid w:val="002B24E2"/>
    <w:rsid w:val="002B2524"/>
    <w:rsid w:val="002B2537"/>
    <w:rsid w:val="002B2689"/>
    <w:rsid w:val="002B2759"/>
    <w:rsid w:val="002B2771"/>
    <w:rsid w:val="002B284C"/>
    <w:rsid w:val="002B28E9"/>
    <w:rsid w:val="002B2911"/>
    <w:rsid w:val="002B296A"/>
    <w:rsid w:val="002B29CD"/>
    <w:rsid w:val="002B2B48"/>
    <w:rsid w:val="002B2CC4"/>
    <w:rsid w:val="002B2D19"/>
    <w:rsid w:val="002B2D9A"/>
    <w:rsid w:val="002B2E24"/>
    <w:rsid w:val="002B2F0C"/>
    <w:rsid w:val="002B2F9A"/>
    <w:rsid w:val="002B2FA1"/>
    <w:rsid w:val="002B32A6"/>
    <w:rsid w:val="002B32D7"/>
    <w:rsid w:val="002B3442"/>
    <w:rsid w:val="002B353B"/>
    <w:rsid w:val="002B356E"/>
    <w:rsid w:val="002B356F"/>
    <w:rsid w:val="002B35D0"/>
    <w:rsid w:val="002B35EE"/>
    <w:rsid w:val="002B3684"/>
    <w:rsid w:val="002B3742"/>
    <w:rsid w:val="002B38C8"/>
    <w:rsid w:val="002B39C8"/>
    <w:rsid w:val="002B3A7B"/>
    <w:rsid w:val="002B3AAA"/>
    <w:rsid w:val="002B3C4A"/>
    <w:rsid w:val="002B3CE6"/>
    <w:rsid w:val="002B3E80"/>
    <w:rsid w:val="002B3FD5"/>
    <w:rsid w:val="002B4081"/>
    <w:rsid w:val="002B411B"/>
    <w:rsid w:val="002B4327"/>
    <w:rsid w:val="002B4397"/>
    <w:rsid w:val="002B457D"/>
    <w:rsid w:val="002B458A"/>
    <w:rsid w:val="002B45C2"/>
    <w:rsid w:val="002B4697"/>
    <w:rsid w:val="002B4812"/>
    <w:rsid w:val="002B4892"/>
    <w:rsid w:val="002B4978"/>
    <w:rsid w:val="002B49D3"/>
    <w:rsid w:val="002B4A1C"/>
    <w:rsid w:val="002B4ADA"/>
    <w:rsid w:val="002B4D49"/>
    <w:rsid w:val="002B4EA7"/>
    <w:rsid w:val="002B4F28"/>
    <w:rsid w:val="002B4F40"/>
    <w:rsid w:val="002B4FDC"/>
    <w:rsid w:val="002B503A"/>
    <w:rsid w:val="002B53FB"/>
    <w:rsid w:val="002B5456"/>
    <w:rsid w:val="002B54B1"/>
    <w:rsid w:val="002B54D7"/>
    <w:rsid w:val="002B5530"/>
    <w:rsid w:val="002B5584"/>
    <w:rsid w:val="002B55B5"/>
    <w:rsid w:val="002B57DB"/>
    <w:rsid w:val="002B5852"/>
    <w:rsid w:val="002B590C"/>
    <w:rsid w:val="002B5965"/>
    <w:rsid w:val="002B59FC"/>
    <w:rsid w:val="002B5ABA"/>
    <w:rsid w:val="002B5CA4"/>
    <w:rsid w:val="002B5D3D"/>
    <w:rsid w:val="002B5DEC"/>
    <w:rsid w:val="002B5DF5"/>
    <w:rsid w:val="002B5E97"/>
    <w:rsid w:val="002B5EB7"/>
    <w:rsid w:val="002B5F34"/>
    <w:rsid w:val="002B5FF0"/>
    <w:rsid w:val="002B6021"/>
    <w:rsid w:val="002B6097"/>
    <w:rsid w:val="002B6120"/>
    <w:rsid w:val="002B6130"/>
    <w:rsid w:val="002B6154"/>
    <w:rsid w:val="002B6160"/>
    <w:rsid w:val="002B622A"/>
    <w:rsid w:val="002B62D0"/>
    <w:rsid w:val="002B6337"/>
    <w:rsid w:val="002B635A"/>
    <w:rsid w:val="002B6367"/>
    <w:rsid w:val="002B638F"/>
    <w:rsid w:val="002B63E3"/>
    <w:rsid w:val="002B6409"/>
    <w:rsid w:val="002B6556"/>
    <w:rsid w:val="002B666F"/>
    <w:rsid w:val="002B6755"/>
    <w:rsid w:val="002B68FE"/>
    <w:rsid w:val="002B6A13"/>
    <w:rsid w:val="002B6BA2"/>
    <w:rsid w:val="002B6C2E"/>
    <w:rsid w:val="002B6C9D"/>
    <w:rsid w:val="002B6CE9"/>
    <w:rsid w:val="002B6D36"/>
    <w:rsid w:val="002B6E0B"/>
    <w:rsid w:val="002B6EE6"/>
    <w:rsid w:val="002B70B1"/>
    <w:rsid w:val="002B7482"/>
    <w:rsid w:val="002B749C"/>
    <w:rsid w:val="002B757C"/>
    <w:rsid w:val="002B7641"/>
    <w:rsid w:val="002B7849"/>
    <w:rsid w:val="002B786B"/>
    <w:rsid w:val="002B788F"/>
    <w:rsid w:val="002B78B9"/>
    <w:rsid w:val="002B7A89"/>
    <w:rsid w:val="002B7B42"/>
    <w:rsid w:val="002B7CDC"/>
    <w:rsid w:val="002B7D5B"/>
    <w:rsid w:val="002B7F44"/>
    <w:rsid w:val="002B7FC0"/>
    <w:rsid w:val="002C0153"/>
    <w:rsid w:val="002C02D8"/>
    <w:rsid w:val="002C039F"/>
    <w:rsid w:val="002C0451"/>
    <w:rsid w:val="002C047B"/>
    <w:rsid w:val="002C0694"/>
    <w:rsid w:val="002C0696"/>
    <w:rsid w:val="002C07CE"/>
    <w:rsid w:val="002C08BD"/>
    <w:rsid w:val="002C08D4"/>
    <w:rsid w:val="002C09B6"/>
    <w:rsid w:val="002C0A4F"/>
    <w:rsid w:val="002C0A8A"/>
    <w:rsid w:val="002C0AE5"/>
    <w:rsid w:val="002C0B09"/>
    <w:rsid w:val="002C0C19"/>
    <w:rsid w:val="002C0DA3"/>
    <w:rsid w:val="002C0DB1"/>
    <w:rsid w:val="002C0EF2"/>
    <w:rsid w:val="002C0FC8"/>
    <w:rsid w:val="002C109F"/>
    <w:rsid w:val="002C10BA"/>
    <w:rsid w:val="002C11E8"/>
    <w:rsid w:val="002C1266"/>
    <w:rsid w:val="002C1330"/>
    <w:rsid w:val="002C1631"/>
    <w:rsid w:val="002C1678"/>
    <w:rsid w:val="002C16EF"/>
    <w:rsid w:val="002C170B"/>
    <w:rsid w:val="002C1744"/>
    <w:rsid w:val="002C182B"/>
    <w:rsid w:val="002C185B"/>
    <w:rsid w:val="002C1A46"/>
    <w:rsid w:val="002C1AC1"/>
    <w:rsid w:val="002C1BA0"/>
    <w:rsid w:val="002C1BB5"/>
    <w:rsid w:val="002C1CBB"/>
    <w:rsid w:val="002C1CBE"/>
    <w:rsid w:val="002C1D0F"/>
    <w:rsid w:val="002C1E1E"/>
    <w:rsid w:val="002C1E50"/>
    <w:rsid w:val="002C1E63"/>
    <w:rsid w:val="002C1EDA"/>
    <w:rsid w:val="002C210C"/>
    <w:rsid w:val="002C213E"/>
    <w:rsid w:val="002C2154"/>
    <w:rsid w:val="002C2283"/>
    <w:rsid w:val="002C2311"/>
    <w:rsid w:val="002C2328"/>
    <w:rsid w:val="002C2561"/>
    <w:rsid w:val="002C261E"/>
    <w:rsid w:val="002C2694"/>
    <w:rsid w:val="002C27A8"/>
    <w:rsid w:val="002C27F6"/>
    <w:rsid w:val="002C289C"/>
    <w:rsid w:val="002C2A1A"/>
    <w:rsid w:val="002C2A24"/>
    <w:rsid w:val="002C2A80"/>
    <w:rsid w:val="002C2B42"/>
    <w:rsid w:val="002C2C6D"/>
    <w:rsid w:val="002C2E26"/>
    <w:rsid w:val="002C2E4E"/>
    <w:rsid w:val="002C2FE8"/>
    <w:rsid w:val="002C302C"/>
    <w:rsid w:val="002C3084"/>
    <w:rsid w:val="002C3153"/>
    <w:rsid w:val="002C328A"/>
    <w:rsid w:val="002C3426"/>
    <w:rsid w:val="002C34ED"/>
    <w:rsid w:val="002C3565"/>
    <w:rsid w:val="002C358B"/>
    <w:rsid w:val="002C35A6"/>
    <w:rsid w:val="002C3696"/>
    <w:rsid w:val="002C3894"/>
    <w:rsid w:val="002C38CC"/>
    <w:rsid w:val="002C3924"/>
    <w:rsid w:val="002C3959"/>
    <w:rsid w:val="002C39CF"/>
    <w:rsid w:val="002C3A0B"/>
    <w:rsid w:val="002C3ABB"/>
    <w:rsid w:val="002C3B14"/>
    <w:rsid w:val="002C3B5F"/>
    <w:rsid w:val="002C3C2F"/>
    <w:rsid w:val="002C3D04"/>
    <w:rsid w:val="002C3E5E"/>
    <w:rsid w:val="002C3F10"/>
    <w:rsid w:val="002C3F6D"/>
    <w:rsid w:val="002C3FBD"/>
    <w:rsid w:val="002C40F8"/>
    <w:rsid w:val="002C41F7"/>
    <w:rsid w:val="002C4360"/>
    <w:rsid w:val="002C4499"/>
    <w:rsid w:val="002C44B6"/>
    <w:rsid w:val="002C4558"/>
    <w:rsid w:val="002C457A"/>
    <w:rsid w:val="002C46E9"/>
    <w:rsid w:val="002C471E"/>
    <w:rsid w:val="002C47D9"/>
    <w:rsid w:val="002C4803"/>
    <w:rsid w:val="002C4862"/>
    <w:rsid w:val="002C489C"/>
    <w:rsid w:val="002C48B2"/>
    <w:rsid w:val="002C495F"/>
    <w:rsid w:val="002C4A21"/>
    <w:rsid w:val="002C4A50"/>
    <w:rsid w:val="002C4B0D"/>
    <w:rsid w:val="002C4C93"/>
    <w:rsid w:val="002C4D87"/>
    <w:rsid w:val="002C4D8F"/>
    <w:rsid w:val="002C4DAF"/>
    <w:rsid w:val="002C5148"/>
    <w:rsid w:val="002C532C"/>
    <w:rsid w:val="002C539C"/>
    <w:rsid w:val="002C5404"/>
    <w:rsid w:val="002C540E"/>
    <w:rsid w:val="002C540F"/>
    <w:rsid w:val="002C56FB"/>
    <w:rsid w:val="002C57CC"/>
    <w:rsid w:val="002C5838"/>
    <w:rsid w:val="002C59CC"/>
    <w:rsid w:val="002C5BE4"/>
    <w:rsid w:val="002C5CAD"/>
    <w:rsid w:val="002C5CB1"/>
    <w:rsid w:val="002C5D5C"/>
    <w:rsid w:val="002C5ED8"/>
    <w:rsid w:val="002C5F23"/>
    <w:rsid w:val="002C6192"/>
    <w:rsid w:val="002C62C0"/>
    <w:rsid w:val="002C644E"/>
    <w:rsid w:val="002C6573"/>
    <w:rsid w:val="002C6596"/>
    <w:rsid w:val="002C66AC"/>
    <w:rsid w:val="002C67B6"/>
    <w:rsid w:val="002C67E7"/>
    <w:rsid w:val="002C6849"/>
    <w:rsid w:val="002C685F"/>
    <w:rsid w:val="002C686A"/>
    <w:rsid w:val="002C68BA"/>
    <w:rsid w:val="002C6AB1"/>
    <w:rsid w:val="002C6B1C"/>
    <w:rsid w:val="002C6B9A"/>
    <w:rsid w:val="002C6C1F"/>
    <w:rsid w:val="002C6C9F"/>
    <w:rsid w:val="002C6CBB"/>
    <w:rsid w:val="002C6D54"/>
    <w:rsid w:val="002C6D90"/>
    <w:rsid w:val="002C71B6"/>
    <w:rsid w:val="002C71DC"/>
    <w:rsid w:val="002C7210"/>
    <w:rsid w:val="002C721E"/>
    <w:rsid w:val="002C72BC"/>
    <w:rsid w:val="002C7399"/>
    <w:rsid w:val="002C74B3"/>
    <w:rsid w:val="002C74EB"/>
    <w:rsid w:val="002C772F"/>
    <w:rsid w:val="002C7949"/>
    <w:rsid w:val="002C7989"/>
    <w:rsid w:val="002C7A49"/>
    <w:rsid w:val="002C7BDA"/>
    <w:rsid w:val="002C7BFA"/>
    <w:rsid w:val="002C7C86"/>
    <w:rsid w:val="002C7D75"/>
    <w:rsid w:val="002C7E80"/>
    <w:rsid w:val="002C7F43"/>
    <w:rsid w:val="002C7FFB"/>
    <w:rsid w:val="002D01FD"/>
    <w:rsid w:val="002D0229"/>
    <w:rsid w:val="002D02AF"/>
    <w:rsid w:val="002D0326"/>
    <w:rsid w:val="002D03C6"/>
    <w:rsid w:val="002D0455"/>
    <w:rsid w:val="002D0468"/>
    <w:rsid w:val="002D0474"/>
    <w:rsid w:val="002D0482"/>
    <w:rsid w:val="002D0494"/>
    <w:rsid w:val="002D04A2"/>
    <w:rsid w:val="002D052A"/>
    <w:rsid w:val="002D0635"/>
    <w:rsid w:val="002D08FF"/>
    <w:rsid w:val="002D0A32"/>
    <w:rsid w:val="002D0B75"/>
    <w:rsid w:val="002D0BE2"/>
    <w:rsid w:val="002D0C16"/>
    <w:rsid w:val="002D0C22"/>
    <w:rsid w:val="002D0CE3"/>
    <w:rsid w:val="002D0CFE"/>
    <w:rsid w:val="002D0D31"/>
    <w:rsid w:val="002D105E"/>
    <w:rsid w:val="002D1091"/>
    <w:rsid w:val="002D109D"/>
    <w:rsid w:val="002D1244"/>
    <w:rsid w:val="002D12A9"/>
    <w:rsid w:val="002D12FC"/>
    <w:rsid w:val="002D1457"/>
    <w:rsid w:val="002D157E"/>
    <w:rsid w:val="002D16B0"/>
    <w:rsid w:val="002D1744"/>
    <w:rsid w:val="002D17B4"/>
    <w:rsid w:val="002D17D5"/>
    <w:rsid w:val="002D1838"/>
    <w:rsid w:val="002D19EE"/>
    <w:rsid w:val="002D1A13"/>
    <w:rsid w:val="002D1A1D"/>
    <w:rsid w:val="002D1B61"/>
    <w:rsid w:val="002D1C4C"/>
    <w:rsid w:val="002D1C5B"/>
    <w:rsid w:val="002D1E71"/>
    <w:rsid w:val="002D1F2C"/>
    <w:rsid w:val="002D1F30"/>
    <w:rsid w:val="002D1F51"/>
    <w:rsid w:val="002D1FB9"/>
    <w:rsid w:val="002D20B0"/>
    <w:rsid w:val="002D20C3"/>
    <w:rsid w:val="002D210D"/>
    <w:rsid w:val="002D2114"/>
    <w:rsid w:val="002D21C7"/>
    <w:rsid w:val="002D23F9"/>
    <w:rsid w:val="002D242F"/>
    <w:rsid w:val="002D25F7"/>
    <w:rsid w:val="002D2668"/>
    <w:rsid w:val="002D26BD"/>
    <w:rsid w:val="002D2733"/>
    <w:rsid w:val="002D2768"/>
    <w:rsid w:val="002D2803"/>
    <w:rsid w:val="002D287D"/>
    <w:rsid w:val="002D2988"/>
    <w:rsid w:val="002D2A5E"/>
    <w:rsid w:val="002D2B64"/>
    <w:rsid w:val="002D2B7A"/>
    <w:rsid w:val="002D2D6F"/>
    <w:rsid w:val="002D2D9D"/>
    <w:rsid w:val="002D2DB1"/>
    <w:rsid w:val="002D2E32"/>
    <w:rsid w:val="002D2FBF"/>
    <w:rsid w:val="002D2FD7"/>
    <w:rsid w:val="002D2FE5"/>
    <w:rsid w:val="002D2FE6"/>
    <w:rsid w:val="002D311F"/>
    <w:rsid w:val="002D31A7"/>
    <w:rsid w:val="002D31F5"/>
    <w:rsid w:val="002D326E"/>
    <w:rsid w:val="002D332F"/>
    <w:rsid w:val="002D3582"/>
    <w:rsid w:val="002D36CF"/>
    <w:rsid w:val="002D37DB"/>
    <w:rsid w:val="002D3814"/>
    <w:rsid w:val="002D3888"/>
    <w:rsid w:val="002D38E7"/>
    <w:rsid w:val="002D390B"/>
    <w:rsid w:val="002D3943"/>
    <w:rsid w:val="002D39AD"/>
    <w:rsid w:val="002D3A89"/>
    <w:rsid w:val="002D3AD6"/>
    <w:rsid w:val="002D3AF8"/>
    <w:rsid w:val="002D3B2B"/>
    <w:rsid w:val="002D3B69"/>
    <w:rsid w:val="002D3BC7"/>
    <w:rsid w:val="002D3C53"/>
    <w:rsid w:val="002D3C5E"/>
    <w:rsid w:val="002D3CFF"/>
    <w:rsid w:val="002D3D09"/>
    <w:rsid w:val="002D3D8C"/>
    <w:rsid w:val="002D3D8E"/>
    <w:rsid w:val="002D3DA9"/>
    <w:rsid w:val="002D3DBE"/>
    <w:rsid w:val="002D3DF5"/>
    <w:rsid w:val="002D3F96"/>
    <w:rsid w:val="002D3FE0"/>
    <w:rsid w:val="002D3FED"/>
    <w:rsid w:val="002D4129"/>
    <w:rsid w:val="002D41DD"/>
    <w:rsid w:val="002D43BF"/>
    <w:rsid w:val="002D43D7"/>
    <w:rsid w:val="002D43E4"/>
    <w:rsid w:val="002D4528"/>
    <w:rsid w:val="002D458A"/>
    <w:rsid w:val="002D4687"/>
    <w:rsid w:val="002D477E"/>
    <w:rsid w:val="002D47AA"/>
    <w:rsid w:val="002D489D"/>
    <w:rsid w:val="002D491F"/>
    <w:rsid w:val="002D4B56"/>
    <w:rsid w:val="002D4D12"/>
    <w:rsid w:val="002D4D3E"/>
    <w:rsid w:val="002D4D48"/>
    <w:rsid w:val="002D4DE2"/>
    <w:rsid w:val="002D4E0C"/>
    <w:rsid w:val="002D4FF9"/>
    <w:rsid w:val="002D5039"/>
    <w:rsid w:val="002D5460"/>
    <w:rsid w:val="002D54F2"/>
    <w:rsid w:val="002D56D9"/>
    <w:rsid w:val="002D573B"/>
    <w:rsid w:val="002D586C"/>
    <w:rsid w:val="002D5AB5"/>
    <w:rsid w:val="002D5C06"/>
    <w:rsid w:val="002D5C18"/>
    <w:rsid w:val="002D5DF1"/>
    <w:rsid w:val="002D5E2E"/>
    <w:rsid w:val="002D5E55"/>
    <w:rsid w:val="002D5E7D"/>
    <w:rsid w:val="002D5F6C"/>
    <w:rsid w:val="002D5F76"/>
    <w:rsid w:val="002D60EF"/>
    <w:rsid w:val="002D614C"/>
    <w:rsid w:val="002D6284"/>
    <w:rsid w:val="002D62B6"/>
    <w:rsid w:val="002D637D"/>
    <w:rsid w:val="002D63AC"/>
    <w:rsid w:val="002D63B2"/>
    <w:rsid w:val="002D6510"/>
    <w:rsid w:val="002D653A"/>
    <w:rsid w:val="002D656A"/>
    <w:rsid w:val="002D66E8"/>
    <w:rsid w:val="002D67C4"/>
    <w:rsid w:val="002D67FF"/>
    <w:rsid w:val="002D68C2"/>
    <w:rsid w:val="002D6963"/>
    <w:rsid w:val="002D698F"/>
    <w:rsid w:val="002D6AC4"/>
    <w:rsid w:val="002D6B8D"/>
    <w:rsid w:val="002D6BA8"/>
    <w:rsid w:val="002D6BF9"/>
    <w:rsid w:val="002D6CE4"/>
    <w:rsid w:val="002D6D7A"/>
    <w:rsid w:val="002D6F61"/>
    <w:rsid w:val="002D6FDA"/>
    <w:rsid w:val="002D705C"/>
    <w:rsid w:val="002D7152"/>
    <w:rsid w:val="002D7257"/>
    <w:rsid w:val="002D726B"/>
    <w:rsid w:val="002D7304"/>
    <w:rsid w:val="002D7316"/>
    <w:rsid w:val="002D7389"/>
    <w:rsid w:val="002D7400"/>
    <w:rsid w:val="002D74A1"/>
    <w:rsid w:val="002D76D2"/>
    <w:rsid w:val="002D796C"/>
    <w:rsid w:val="002D79FE"/>
    <w:rsid w:val="002D7A42"/>
    <w:rsid w:val="002D7B0C"/>
    <w:rsid w:val="002D7CEB"/>
    <w:rsid w:val="002D7EC6"/>
    <w:rsid w:val="002D7F51"/>
    <w:rsid w:val="002D7FED"/>
    <w:rsid w:val="002E0056"/>
    <w:rsid w:val="002E0127"/>
    <w:rsid w:val="002E0442"/>
    <w:rsid w:val="002E0554"/>
    <w:rsid w:val="002E060A"/>
    <w:rsid w:val="002E0775"/>
    <w:rsid w:val="002E07D4"/>
    <w:rsid w:val="002E07EC"/>
    <w:rsid w:val="002E07FB"/>
    <w:rsid w:val="002E0AC9"/>
    <w:rsid w:val="002E0BB2"/>
    <w:rsid w:val="002E0D28"/>
    <w:rsid w:val="002E0D72"/>
    <w:rsid w:val="002E0DA2"/>
    <w:rsid w:val="002E0DB7"/>
    <w:rsid w:val="002E0DCE"/>
    <w:rsid w:val="002E0FAA"/>
    <w:rsid w:val="002E1130"/>
    <w:rsid w:val="002E11DD"/>
    <w:rsid w:val="002E11F5"/>
    <w:rsid w:val="002E132C"/>
    <w:rsid w:val="002E136B"/>
    <w:rsid w:val="002E1455"/>
    <w:rsid w:val="002E15E6"/>
    <w:rsid w:val="002E164F"/>
    <w:rsid w:val="002E16E9"/>
    <w:rsid w:val="002E17D5"/>
    <w:rsid w:val="002E184C"/>
    <w:rsid w:val="002E1ACF"/>
    <w:rsid w:val="002E1CF3"/>
    <w:rsid w:val="002E1DDD"/>
    <w:rsid w:val="002E2153"/>
    <w:rsid w:val="002E25F8"/>
    <w:rsid w:val="002E2693"/>
    <w:rsid w:val="002E2781"/>
    <w:rsid w:val="002E284A"/>
    <w:rsid w:val="002E28FA"/>
    <w:rsid w:val="002E298A"/>
    <w:rsid w:val="002E2A61"/>
    <w:rsid w:val="002E2CEB"/>
    <w:rsid w:val="002E2E0C"/>
    <w:rsid w:val="002E2E35"/>
    <w:rsid w:val="002E2EF0"/>
    <w:rsid w:val="002E306D"/>
    <w:rsid w:val="002E3157"/>
    <w:rsid w:val="002E31E9"/>
    <w:rsid w:val="002E33AD"/>
    <w:rsid w:val="002E33D6"/>
    <w:rsid w:val="002E3440"/>
    <w:rsid w:val="002E34C8"/>
    <w:rsid w:val="002E34FB"/>
    <w:rsid w:val="002E3633"/>
    <w:rsid w:val="002E3653"/>
    <w:rsid w:val="002E3746"/>
    <w:rsid w:val="002E37DB"/>
    <w:rsid w:val="002E38BA"/>
    <w:rsid w:val="002E38E7"/>
    <w:rsid w:val="002E39A3"/>
    <w:rsid w:val="002E3BC4"/>
    <w:rsid w:val="002E3C7E"/>
    <w:rsid w:val="002E3D41"/>
    <w:rsid w:val="002E3D74"/>
    <w:rsid w:val="002E3E15"/>
    <w:rsid w:val="002E3E1C"/>
    <w:rsid w:val="002E3E72"/>
    <w:rsid w:val="002E4073"/>
    <w:rsid w:val="002E430C"/>
    <w:rsid w:val="002E43A6"/>
    <w:rsid w:val="002E43AC"/>
    <w:rsid w:val="002E43DA"/>
    <w:rsid w:val="002E448D"/>
    <w:rsid w:val="002E4572"/>
    <w:rsid w:val="002E4577"/>
    <w:rsid w:val="002E4639"/>
    <w:rsid w:val="002E4662"/>
    <w:rsid w:val="002E46B5"/>
    <w:rsid w:val="002E4799"/>
    <w:rsid w:val="002E4A37"/>
    <w:rsid w:val="002E4A7D"/>
    <w:rsid w:val="002E4ADB"/>
    <w:rsid w:val="002E4BB9"/>
    <w:rsid w:val="002E4C79"/>
    <w:rsid w:val="002E4D6B"/>
    <w:rsid w:val="002E4D9B"/>
    <w:rsid w:val="002E4F00"/>
    <w:rsid w:val="002E4F59"/>
    <w:rsid w:val="002E4F90"/>
    <w:rsid w:val="002E5059"/>
    <w:rsid w:val="002E52FB"/>
    <w:rsid w:val="002E5328"/>
    <w:rsid w:val="002E547A"/>
    <w:rsid w:val="002E5647"/>
    <w:rsid w:val="002E570A"/>
    <w:rsid w:val="002E588C"/>
    <w:rsid w:val="002E5AF5"/>
    <w:rsid w:val="002E5B1E"/>
    <w:rsid w:val="002E5B56"/>
    <w:rsid w:val="002E5BCA"/>
    <w:rsid w:val="002E5CCB"/>
    <w:rsid w:val="002E5DD9"/>
    <w:rsid w:val="002E5E19"/>
    <w:rsid w:val="002E5E92"/>
    <w:rsid w:val="002E5EDC"/>
    <w:rsid w:val="002E60ED"/>
    <w:rsid w:val="002E6221"/>
    <w:rsid w:val="002E62B6"/>
    <w:rsid w:val="002E6317"/>
    <w:rsid w:val="002E631F"/>
    <w:rsid w:val="002E640F"/>
    <w:rsid w:val="002E6447"/>
    <w:rsid w:val="002E649C"/>
    <w:rsid w:val="002E6523"/>
    <w:rsid w:val="002E6559"/>
    <w:rsid w:val="002E6561"/>
    <w:rsid w:val="002E6640"/>
    <w:rsid w:val="002E66D4"/>
    <w:rsid w:val="002E671A"/>
    <w:rsid w:val="002E6825"/>
    <w:rsid w:val="002E690D"/>
    <w:rsid w:val="002E6A36"/>
    <w:rsid w:val="002E6BA1"/>
    <w:rsid w:val="002E6BDF"/>
    <w:rsid w:val="002E6D3C"/>
    <w:rsid w:val="002E6D46"/>
    <w:rsid w:val="002E6DBA"/>
    <w:rsid w:val="002E6DD2"/>
    <w:rsid w:val="002E6EB3"/>
    <w:rsid w:val="002E6F1E"/>
    <w:rsid w:val="002E6F7F"/>
    <w:rsid w:val="002E6FBE"/>
    <w:rsid w:val="002E7103"/>
    <w:rsid w:val="002E720E"/>
    <w:rsid w:val="002E731F"/>
    <w:rsid w:val="002E734A"/>
    <w:rsid w:val="002E7380"/>
    <w:rsid w:val="002E74FE"/>
    <w:rsid w:val="002E751D"/>
    <w:rsid w:val="002E756E"/>
    <w:rsid w:val="002E75A6"/>
    <w:rsid w:val="002E75EB"/>
    <w:rsid w:val="002E77B3"/>
    <w:rsid w:val="002E77C1"/>
    <w:rsid w:val="002E781E"/>
    <w:rsid w:val="002E78D5"/>
    <w:rsid w:val="002E79DF"/>
    <w:rsid w:val="002E7AC1"/>
    <w:rsid w:val="002E7B5B"/>
    <w:rsid w:val="002E7C7C"/>
    <w:rsid w:val="002F0076"/>
    <w:rsid w:val="002F007F"/>
    <w:rsid w:val="002F00A4"/>
    <w:rsid w:val="002F00BA"/>
    <w:rsid w:val="002F02AE"/>
    <w:rsid w:val="002F034B"/>
    <w:rsid w:val="002F0392"/>
    <w:rsid w:val="002F0451"/>
    <w:rsid w:val="002F0594"/>
    <w:rsid w:val="002F0662"/>
    <w:rsid w:val="002F07B0"/>
    <w:rsid w:val="002F07FC"/>
    <w:rsid w:val="002F08ED"/>
    <w:rsid w:val="002F0915"/>
    <w:rsid w:val="002F0A01"/>
    <w:rsid w:val="002F0A26"/>
    <w:rsid w:val="002F0BC1"/>
    <w:rsid w:val="002F0C55"/>
    <w:rsid w:val="002F0E38"/>
    <w:rsid w:val="002F0F3E"/>
    <w:rsid w:val="002F0F5C"/>
    <w:rsid w:val="002F1043"/>
    <w:rsid w:val="002F10DF"/>
    <w:rsid w:val="002F1129"/>
    <w:rsid w:val="002F1315"/>
    <w:rsid w:val="002F136A"/>
    <w:rsid w:val="002F1403"/>
    <w:rsid w:val="002F14C6"/>
    <w:rsid w:val="002F160D"/>
    <w:rsid w:val="002F1719"/>
    <w:rsid w:val="002F1784"/>
    <w:rsid w:val="002F1862"/>
    <w:rsid w:val="002F1AA7"/>
    <w:rsid w:val="002F1B0A"/>
    <w:rsid w:val="002F1BC1"/>
    <w:rsid w:val="002F1BCC"/>
    <w:rsid w:val="002F1CD9"/>
    <w:rsid w:val="002F1ED6"/>
    <w:rsid w:val="002F1EFF"/>
    <w:rsid w:val="002F242B"/>
    <w:rsid w:val="002F2505"/>
    <w:rsid w:val="002F26FB"/>
    <w:rsid w:val="002F28EF"/>
    <w:rsid w:val="002F2A0C"/>
    <w:rsid w:val="002F2A32"/>
    <w:rsid w:val="002F2B34"/>
    <w:rsid w:val="002F2CBD"/>
    <w:rsid w:val="002F2D81"/>
    <w:rsid w:val="002F2FF2"/>
    <w:rsid w:val="002F306B"/>
    <w:rsid w:val="002F3088"/>
    <w:rsid w:val="002F3092"/>
    <w:rsid w:val="002F30DC"/>
    <w:rsid w:val="002F310B"/>
    <w:rsid w:val="002F317C"/>
    <w:rsid w:val="002F3319"/>
    <w:rsid w:val="002F3337"/>
    <w:rsid w:val="002F33BF"/>
    <w:rsid w:val="002F33F9"/>
    <w:rsid w:val="002F3482"/>
    <w:rsid w:val="002F353E"/>
    <w:rsid w:val="002F3592"/>
    <w:rsid w:val="002F3732"/>
    <w:rsid w:val="002F393F"/>
    <w:rsid w:val="002F3CA7"/>
    <w:rsid w:val="002F3CC8"/>
    <w:rsid w:val="002F3D09"/>
    <w:rsid w:val="002F3D88"/>
    <w:rsid w:val="002F3DC8"/>
    <w:rsid w:val="002F3E7B"/>
    <w:rsid w:val="002F3EBE"/>
    <w:rsid w:val="002F3EE3"/>
    <w:rsid w:val="002F3F98"/>
    <w:rsid w:val="002F4106"/>
    <w:rsid w:val="002F419D"/>
    <w:rsid w:val="002F41EE"/>
    <w:rsid w:val="002F42C2"/>
    <w:rsid w:val="002F42CA"/>
    <w:rsid w:val="002F4324"/>
    <w:rsid w:val="002F4325"/>
    <w:rsid w:val="002F43BC"/>
    <w:rsid w:val="002F442A"/>
    <w:rsid w:val="002F45EF"/>
    <w:rsid w:val="002F465A"/>
    <w:rsid w:val="002F46C5"/>
    <w:rsid w:val="002F475A"/>
    <w:rsid w:val="002F4792"/>
    <w:rsid w:val="002F4972"/>
    <w:rsid w:val="002F4AF8"/>
    <w:rsid w:val="002F4B3E"/>
    <w:rsid w:val="002F4B5E"/>
    <w:rsid w:val="002F4B81"/>
    <w:rsid w:val="002F4D2E"/>
    <w:rsid w:val="002F4D57"/>
    <w:rsid w:val="002F4D5D"/>
    <w:rsid w:val="002F4E13"/>
    <w:rsid w:val="002F5075"/>
    <w:rsid w:val="002F50E6"/>
    <w:rsid w:val="002F51C6"/>
    <w:rsid w:val="002F52C1"/>
    <w:rsid w:val="002F539F"/>
    <w:rsid w:val="002F5470"/>
    <w:rsid w:val="002F554A"/>
    <w:rsid w:val="002F556B"/>
    <w:rsid w:val="002F55BA"/>
    <w:rsid w:val="002F5661"/>
    <w:rsid w:val="002F56B1"/>
    <w:rsid w:val="002F57B7"/>
    <w:rsid w:val="002F57F4"/>
    <w:rsid w:val="002F5846"/>
    <w:rsid w:val="002F5A97"/>
    <w:rsid w:val="002F5C63"/>
    <w:rsid w:val="002F5CBD"/>
    <w:rsid w:val="002F5DC1"/>
    <w:rsid w:val="002F5DF9"/>
    <w:rsid w:val="002F5EFC"/>
    <w:rsid w:val="002F5F3A"/>
    <w:rsid w:val="002F5F41"/>
    <w:rsid w:val="002F5FA3"/>
    <w:rsid w:val="002F5FD9"/>
    <w:rsid w:val="002F6066"/>
    <w:rsid w:val="002F617C"/>
    <w:rsid w:val="002F619A"/>
    <w:rsid w:val="002F6388"/>
    <w:rsid w:val="002F63DB"/>
    <w:rsid w:val="002F649A"/>
    <w:rsid w:val="002F64C1"/>
    <w:rsid w:val="002F64FD"/>
    <w:rsid w:val="002F663B"/>
    <w:rsid w:val="002F6773"/>
    <w:rsid w:val="002F67AB"/>
    <w:rsid w:val="002F6823"/>
    <w:rsid w:val="002F691C"/>
    <w:rsid w:val="002F6955"/>
    <w:rsid w:val="002F6AD2"/>
    <w:rsid w:val="002F6B02"/>
    <w:rsid w:val="002F6BE1"/>
    <w:rsid w:val="002F6BF6"/>
    <w:rsid w:val="002F6D29"/>
    <w:rsid w:val="002F6D79"/>
    <w:rsid w:val="002F6D80"/>
    <w:rsid w:val="002F6EC8"/>
    <w:rsid w:val="002F6EEF"/>
    <w:rsid w:val="002F6FB8"/>
    <w:rsid w:val="002F6FE5"/>
    <w:rsid w:val="002F7002"/>
    <w:rsid w:val="002F7265"/>
    <w:rsid w:val="002F7326"/>
    <w:rsid w:val="002F73B6"/>
    <w:rsid w:val="002F7426"/>
    <w:rsid w:val="002F742B"/>
    <w:rsid w:val="002F744F"/>
    <w:rsid w:val="002F7527"/>
    <w:rsid w:val="002F7559"/>
    <w:rsid w:val="002F759D"/>
    <w:rsid w:val="002F76DE"/>
    <w:rsid w:val="002F78CC"/>
    <w:rsid w:val="002F78D3"/>
    <w:rsid w:val="002F7935"/>
    <w:rsid w:val="002F793E"/>
    <w:rsid w:val="002F7BAE"/>
    <w:rsid w:val="002F7DB7"/>
    <w:rsid w:val="002F7E0F"/>
    <w:rsid w:val="00300127"/>
    <w:rsid w:val="0030017C"/>
    <w:rsid w:val="00300261"/>
    <w:rsid w:val="003002CA"/>
    <w:rsid w:val="003002E9"/>
    <w:rsid w:val="003003FF"/>
    <w:rsid w:val="0030040A"/>
    <w:rsid w:val="0030042C"/>
    <w:rsid w:val="003004E0"/>
    <w:rsid w:val="00300505"/>
    <w:rsid w:val="00300536"/>
    <w:rsid w:val="00300610"/>
    <w:rsid w:val="00300674"/>
    <w:rsid w:val="0030078D"/>
    <w:rsid w:val="00300C4C"/>
    <w:rsid w:val="00300DB1"/>
    <w:rsid w:val="00300E50"/>
    <w:rsid w:val="00301012"/>
    <w:rsid w:val="00301094"/>
    <w:rsid w:val="0030109A"/>
    <w:rsid w:val="0030117E"/>
    <w:rsid w:val="003011DD"/>
    <w:rsid w:val="003012CF"/>
    <w:rsid w:val="0030139B"/>
    <w:rsid w:val="003013F1"/>
    <w:rsid w:val="00301411"/>
    <w:rsid w:val="00301733"/>
    <w:rsid w:val="00301931"/>
    <w:rsid w:val="00301982"/>
    <w:rsid w:val="00301A76"/>
    <w:rsid w:val="00301AD5"/>
    <w:rsid w:val="00301C0A"/>
    <w:rsid w:val="00301D00"/>
    <w:rsid w:val="00301D41"/>
    <w:rsid w:val="00301D4A"/>
    <w:rsid w:val="00301E02"/>
    <w:rsid w:val="00301E7C"/>
    <w:rsid w:val="0030209C"/>
    <w:rsid w:val="003020FC"/>
    <w:rsid w:val="00302192"/>
    <w:rsid w:val="00302414"/>
    <w:rsid w:val="003024F4"/>
    <w:rsid w:val="00302512"/>
    <w:rsid w:val="003025F2"/>
    <w:rsid w:val="0030264D"/>
    <w:rsid w:val="00302687"/>
    <w:rsid w:val="003026B8"/>
    <w:rsid w:val="0030277A"/>
    <w:rsid w:val="00302827"/>
    <w:rsid w:val="003028F9"/>
    <w:rsid w:val="00302AA5"/>
    <w:rsid w:val="00302BC7"/>
    <w:rsid w:val="00302C6C"/>
    <w:rsid w:val="00302CB0"/>
    <w:rsid w:val="00302E24"/>
    <w:rsid w:val="00302F9F"/>
    <w:rsid w:val="00302FD5"/>
    <w:rsid w:val="00303045"/>
    <w:rsid w:val="003030A5"/>
    <w:rsid w:val="003031AD"/>
    <w:rsid w:val="003031DF"/>
    <w:rsid w:val="003031E4"/>
    <w:rsid w:val="00303216"/>
    <w:rsid w:val="00303252"/>
    <w:rsid w:val="00303391"/>
    <w:rsid w:val="0030349F"/>
    <w:rsid w:val="00303694"/>
    <w:rsid w:val="0030376A"/>
    <w:rsid w:val="00303856"/>
    <w:rsid w:val="00303871"/>
    <w:rsid w:val="0030395A"/>
    <w:rsid w:val="00303B86"/>
    <w:rsid w:val="00303BFF"/>
    <w:rsid w:val="00303C5C"/>
    <w:rsid w:val="00303CB2"/>
    <w:rsid w:val="00303CF8"/>
    <w:rsid w:val="00303DFB"/>
    <w:rsid w:val="00303F2F"/>
    <w:rsid w:val="00303F90"/>
    <w:rsid w:val="00303FE8"/>
    <w:rsid w:val="0030404C"/>
    <w:rsid w:val="00304184"/>
    <w:rsid w:val="00304287"/>
    <w:rsid w:val="0030437B"/>
    <w:rsid w:val="003043FD"/>
    <w:rsid w:val="00304433"/>
    <w:rsid w:val="00304475"/>
    <w:rsid w:val="00304658"/>
    <w:rsid w:val="0030465D"/>
    <w:rsid w:val="003046FE"/>
    <w:rsid w:val="00304713"/>
    <w:rsid w:val="00304768"/>
    <w:rsid w:val="003049B9"/>
    <w:rsid w:val="00304A12"/>
    <w:rsid w:val="00304A38"/>
    <w:rsid w:val="00304A65"/>
    <w:rsid w:val="00304B68"/>
    <w:rsid w:val="00304BBF"/>
    <w:rsid w:val="00304C3A"/>
    <w:rsid w:val="00304CF1"/>
    <w:rsid w:val="00304E92"/>
    <w:rsid w:val="00304EFF"/>
    <w:rsid w:val="00304FB8"/>
    <w:rsid w:val="00304FCC"/>
    <w:rsid w:val="003050D0"/>
    <w:rsid w:val="00305137"/>
    <w:rsid w:val="00305195"/>
    <w:rsid w:val="003051C4"/>
    <w:rsid w:val="00305285"/>
    <w:rsid w:val="003053B2"/>
    <w:rsid w:val="0030549E"/>
    <w:rsid w:val="00305524"/>
    <w:rsid w:val="00305695"/>
    <w:rsid w:val="003056C8"/>
    <w:rsid w:val="00305803"/>
    <w:rsid w:val="003058A5"/>
    <w:rsid w:val="0030590C"/>
    <w:rsid w:val="003059B3"/>
    <w:rsid w:val="00305A9E"/>
    <w:rsid w:val="00305B31"/>
    <w:rsid w:val="00305BFC"/>
    <w:rsid w:val="00305C9F"/>
    <w:rsid w:val="00305EC4"/>
    <w:rsid w:val="00305FD2"/>
    <w:rsid w:val="003061B5"/>
    <w:rsid w:val="003062EF"/>
    <w:rsid w:val="0030632A"/>
    <w:rsid w:val="0030635D"/>
    <w:rsid w:val="0030662A"/>
    <w:rsid w:val="003066FB"/>
    <w:rsid w:val="0030672A"/>
    <w:rsid w:val="003067E9"/>
    <w:rsid w:val="00306827"/>
    <w:rsid w:val="0030684D"/>
    <w:rsid w:val="003068E6"/>
    <w:rsid w:val="003069C9"/>
    <w:rsid w:val="003069E7"/>
    <w:rsid w:val="003069E9"/>
    <w:rsid w:val="00306A0F"/>
    <w:rsid w:val="00306D91"/>
    <w:rsid w:val="00306DAF"/>
    <w:rsid w:val="00306DEB"/>
    <w:rsid w:val="00306ECE"/>
    <w:rsid w:val="00306EFA"/>
    <w:rsid w:val="00306F41"/>
    <w:rsid w:val="0030709B"/>
    <w:rsid w:val="00307137"/>
    <w:rsid w:val="00307155"/>
    <w:rsid w:val="0030725A"/>
    <w:rsid w:val="003072B0"/>
    <w:rsid w:val="00307337"/>
    <w:rsid w:val="0030736D"/>
    <w:rsid w:val="00307427"/>
    <w:rsid w:val="003075D0"/>
    <w:rsid w:val="0030762B"/>
    <w:rsid w:val="00307677"/>
    <w:rsid w:val="00307695"/>
    <w:rsid w:val="00307B44"/>
    <w:rsid w:val="00307B9D"/>
    <w:rsid w:val="00307BDE"/>
    <w:rsid w:val="00307D59"/>
    <w:rsid w:val="00307DF2"/>
    <w:rsid w:val="00307F5C"/>
    <w:rsid w:val="00307F6C"/>
    <w:rsid w:val="00307FAA"/>
    <w:rsid w:val="00310182"/>
    <w:rsid w:val="003101D1"/>
    <w:rsid w:val="00310249"/>
    <w:rsid w:val="003102BC"/>
    <w:rsid w:val="003102BF"/>
    <w:rsid w:val="0031038D"/>
    <w:rsid w:val="003104B4"/>
    <w:rsid w:val="003104BA"/>
    <w:rsid w:val="003104DF"/>
    <w:rsid w:val="003105E9"/>
    <w:rsid w:val="003105EC"/>
    <w:rsid w:val="0031086F"/>
    <w:rsid w:val="00310B0D"/>
    <w:rsid w:val="00310DA0"/>
    <w:rsid w:val="00310DB0"/>
    <w:rsid w:val="00310DC0"/>
    <w:rsid w:val="00310E6B"/>
    <w:rsid w:val="00311094"/>
    <w:rsid w:val="0031112B"/>
    <w:rsid w:val="00311146"/>
    <w:rsid w:val="00311200"/>
    <w:rsid w:val="00311280"/>
    <w:rsid w:val="00311294"/>
    <w:rsid w:val="003112BE"/>
    <w:rsid w:val="00311312"/>
    <w:rsid w:val="0031147A"/>
    <w:rsid w:val="003114A8"/>
    <w:rsid w:val="0031162D"/>
    <w:rsid w:val="00311672"/>
    <w:rsid w:val="003117F5"/>
    <w:rsid w:val="00311827"/>
    <w:rsid w:val="00311901"/>
    <w:rsid w:val="00311905"/>
    <w:rsid w:val="00311977"/>
    <w:rsid w:val="003119E1"/>
    <w:rsid w:val="00311AE0"/>
    <w:rsid w:val="00311B32"/>
    <w:rsid w:val="00311BC9"/>
    <w:rsid w:val="00311C11"/>
    <w:rsid w:val="00311ECB"/>
    <w:rsid w:val="00311FB6"/>
    <w:rsid w:val="00312005"/>
    <w:rsid w:val="00312047"/>
    <w:rsid w:val="0031204C"/>
    <w:rsid w:val="003120BE"/>
    <w:rsid w:val="003120F2"/>
    <w:rsid w:val="00312320"/>
    <w:rsid w:val="00312498"/>
    <w:rsid w:val="0031257B"/>
    <w:rsid w:val="00312671"/>
    <w:rsid w:val="00312680"/>
    <w:rsid w:val="003126AE"/>
    <w:rsid w:val="0031292A"/>
    <w:rsid w:val="003129B0"/>
    <w:rsid w:val="00312A39"/>
    <w:rsid w:val="00312AC2"/>
    <w:rsid w:val="00312AC5"/>
    <w:rsid w:val="00312B92"/>
    <w:rsid w:val="00312C74"/>
    <w:rsid w:val="00312DAA"/>
    <w:rsid w:val="00312E77"/>
    <w:rsid w:val="00312F4B"/>
    <w:rsid w:val="00312F4D"/>
    <w:rsid w:val="003130BD"/>
    <w:rsid w:val="0031318E"/>
    <w:rsid w:val="003131EB"/>
    <w:rsid w:val="00313323"/>
    <w:rsid w:val="0031337B"/>
    <w:rsid w:val="00313381"/>
    <w:rsid w:val="0031341B"/>
    <w:rsid w:val="003134E6"/>
    <w:rsid w:val="00313591"/>
    <w:rsid w:val="003135DB"/>
    <w:rsid w:val="0031362D"/>
    <w:rsid w:val="0031372B"/>
    <w:rsid w:val="00313ACA"/>
    <w:rsid w:val="00313BE2"/>
    <w:rsid w:val="00313BFF"/>
    <w:rsid w:val="00313C03"/>
    <w:rsid w:val="00313CB3"/>
    <w:rsid w:val="00313DA3"/>
    <w:rsid w:val="00313DDF"/>
    <w:rsid w:val="00313EE5"/>
    <w:rsid w:val="00313F37"/>
    <w:rsid w:val="00313F5F"/>
    <w:rsid w:val="00313F79"/>
    <w:rsid w:val="00313FA0"/>
    <w:rsid w:val="00314275"/>
    <w:rsid w:val="00314426"/>
    <w:rsid w:val="00314435"/>
    <w:rsid w:val="003144A9"/>
    <w:rsid w:val="003144D0"/>
    <w:rsid w:val="00314523"/>
    <w:rsid w:val="003146A5"/>
    <w:rsid w:val="0031480D"/>
    <w:rsid w:val="003148B3"/>
    <w:rsid w:val="00314923"/>
    <w:rsid w:val="00314D95"/>
    <w:rsid w:val="00314EF9"/>
    <w:rsid w:val="00314F67"/>
    <w:rsid w:val="00314FEE"/>
    <w:rsid w:val="00315045"/>
    <w:rsid w:val="003150BF"/>
    <w:rsid w:val="003152B6"/>
    <w:rsid w:val="0031530B"/>
    <w:rsid w:val="0031566C"/>
    <w:rsid w:val="0031581C"/>
    <w:rsid w:val="003158B1"/>
    <w:rsid w:val="003158C5"/>
    <w:rsid w:val="00315987"/>
    <w:rsid w:val="00315B50"/>
    <w:rsid w:val="00315BB6"/>
    <w:rsid w:val="00315C40"/>
    <w:rsid w:val="00315C68"/>
    <w:rsid w:val="00315CDF"/>
    <w:rsid w:val="00315E92"/>
    <w:rsid w:val="00315EFF"/>
    <w:rsid w:val="0031608D"/>
    <w:rsid w:val="00316140"/>
    <w:rsid w:val="003161D0"/>
    <w:rsid w:val="003162B9"/>
    <w:rsid w:val="00316451"/>
    <w:rsid w:val="00316539"/>
    <w:rsid w:val="00316596"/>
    <w:rsid w:val="003165BF"/>
    <w:rsid w:val="003165E8"/>
    <w:rsid w:val="00316634"/>
    <w:rsid w:val="0031687E"/>
    <w:rsid w:val="003168E5"/>
    <w:rsid w:val="00316B96"/>
    <w:rsid w:val="00316BBB"/>
    <w:rsid w:val="00316BDF"/>
    <w:rsid w:val="00316C2D"/>
    <w:rsid w:val="00316C6F"/>
    <w:rsid w:val="00316DC0"/>
    <w:rsid w:val="00316DD0"/>
    <w:rsid w:val="00317022"/>
    <w:rsid w:val="00317088"/>
    <w:rsid w:val="00317129"/>
    <w:rsid w:val="00317174"/>
    <w:rsid w:val="0031718F"/>
    <w:rsid w:val="003171CB"/>
    <w:rsid w:val="003172DE"/>
    <w:rsid w:val="003174B5"/>
    <w:rsid w:val="003174CA"/>
    <w:rsid w:val="00317510"/>
    <w:rsid w:val="0031751C"/>
    <w:rsid w:val="00317555"/>
    <w:rsid w:val="003175BF"/>
    <w:rsid w:val="00317762"/>
    <w:rsid w:val="003178DC"/>
    <w:rsid w:val="003178E8"/>
    <w:rsid w:val="003178FB"/>
    <w:rsid w:val="003179D0"/>
    <w:rsid w:val="00317AEE"/>
    <w:rsid w:val="00317AF9"/>
    <w:rsid w:val="00317DCF"/>
    <w:rsid w:val="00317E41"/>
    <w:rsid w:val="00317F69"/>
    <w:rsid w:val="00317F7D"/>
    <w:rsid w:val="00320065"/>
    <w:rsid w:val="0032007D"/>
    <w:rsid w:val="003200A6"/>
    <w:rsid w:val="00320116"/>
    <w:rsid w:val="0032011C"/>
    <w:rsid w:val="00320165"/>
    <w:rsid w:val="0032017E"/>
    <w:rsid w:val="00320333"/>
    <w:rsid w:val="00320397"/>
    <w:rsid w:val="00320443"/>
    <w:rsid w:val="0032056A"/>
    <w:rsid w:val="003206E4"/>
    <w:rsid w:val="00320876"/>
    <w:rsid w:val="0032095D"/>
    <w:rsid w:val="00320A7F"/>
    <w:rsid w:val="00320AD0"/>
    <w:rsid w:val="00320AFB"/>
    <w:rsid w:val="00320B2D"/>
    <w:rsid w:val="00320B7B"/>
    <w:rsid w:val="00320CCE"/>
    <w:rsid w:val="00320D6B"/>
    <w:rsid w:val="00320F1F"/>
    <w:rsid w:val="00320F3E"/>
    <w:rsid w:val="00320F40"/>
    <w:rsid w:val="00320F7E"/>
    <w:rsid w:val="00320FDB"/>
    <w:rsid w:val="00321038"/>
    <w:rsid w:val="00321112"/>
    <w:rsid w:val="0032116E"/>
    <w:rsid w:val="0032116F"/>
    <w:rsid w:val="0032121D"/>
    <w:rsid w:val="003212DC"/>
    <w:rsid w:val="00321326"/>
    <w:rsid w:val="003213B6"/>
    <w:rsid w:val="0032154F"/>
    <w:rsid w:val="00321577"/>
    <w:rsid w:val="003215AD"/>
    <w:rsid w:val="003216AD"/>
    <w:rsid w:val="0032174C"/>
    <w:rsid w:val="00321786"/>
    <w:rsid w:val="003217E4"/>
    <w:rsid w:val="003219A3"/>
    <w:rsid w:val="003219B6"/>
    <w:rsid w:val="00321A45"/>
    <w:rsid w:val="00321CD6"/>
    <w:rsid w:val="00321DBC"/>
    <w:rsid w:val="00321DE4"/>
    <w:rsid w:val="00321E97"/>
    <w:rsid w:val="003220B4"/>
    <w:rsid w:val="00322248"/>
    <w:rsid w:val="003222C9"/>
    <w:rsid w:val="00322361"/>
    <w:rsid w:val="00322458"/>
    <w:rsid w:val="003224C4"/>
    <w:rsid w:val="003225AD"/>
    <w:rsid w:val="00322613"/>
    <w:rsid w:val="0032267D"/>
    <w:rsid w:val="003228FA"/>
    <w:rsid w:val="00322970"/>
    <w:rsid w:val="00322A99"/>
    <w:rsid w:val="00322ADF"/>
    <w:rsid w:val="00322AFF"/>
    <w:rsid w:val="00322CB6"/>
    <w:rsid w:val="00322D97"/>
    <w:rsid w:val="00322E9F"/>
    <w:rsid w:val="00322FB5"/>
    <w:rsid w:val="00322FF4"/>
    <w:rsid w:val="0032306B"/>
    <w:rsid w:val="003230E3"/>
    <w:rsid w:val="003231E8"/>
    <w:rsid w:val="00323392"/>
    <w:rsid w:val="00323453"/>
    <w:rsid w:val="003236AC"/>
    <w:rsid w:val="003236F6"/>
    <w:rsid w:val="00323707"/>
    <w:rsid w:val="00323A68"/>
    <w:rsid w:val="00323B27"/>
    <w:rsid w:val="00323B6F"/>
    <w:rsid w:val="00323B98"/>
    <w:rsid w:val="00323BB7"/>
    <w:rsid w:val="00323C1A"/>
    <w:rsid w:val="00323C44"/>
    <w:rsid w:val="00323D17"/>
    <w:rsid w:val="00323F89"/>
    <w:rsid w:val="0032400C"/>
    <w:rsid w:val="00324210"/>
    <w:rsid w:val="00324305"/>
    <w:rsid w:val="003245DB"/>
    <w:rsid w:val="00324669"/>
    <w:rsid w:val="00324680"/>
    <w:rsid w:val="0032469B"/>
    <w:rsid w:val="00324706"/>
    <w:rsid w:val="00324731"/>
    <w:rsid w:val="00324732"/>
    <w:rsid w:val="00324877"/>
    <w:rsid w:val="00324BC3"/>
    <w:rsid w:val="00324C3C"/>
    <w:rsid w:val="00324C64"/>
    <w:rsid w:val="00324CA2"/>
    <w:rsid w:val="00324E25"/>
    <w:rsid w:val="00324E59"/>
    <w:rsid w:val="00324E7C"/>
    <w:rsid w:val="00324EB1"/>
    <w:rsid w:val="00324F39"/>
    <w:rsid w:val="00324F52"/>
    <w:rsid w:val="00324F7D"/>
    <w:rsid w:val="00324FDE"/>
    <w:rsid w:val="00324FF0"/>
    <w:rsid w:val="0032506A"/>
    <w:rsid w:val="00325137"/>
    <w:rsid w:val="003252C4"/>
    <w:rsid w:val="003252E4"/>
    <w:rsid w:val="003252E6"/>
    <w:rsid w:val="00325456"/>
    <w:rsid w:val="00325546"/>
    <w:rsid w:val="0032578C"/>
    <w:rsid w:val="00325813"/>
    <w:rsid w:val="00325849"/>
    <w:rsid w:val="0032585F"/>
    <w:rsid w:val="00325863"/>
    <w:rsid w:val="003258EB"/>
    <w:rsid w:val="00325919"/>
    <w:rsid w:val="003259B5"/>
    <w:rsid w:val="00325AC3"/>
    <w:rsid w:val="00325B88"/>
    <w:rsid w:val="00325C41"/>
    <w:rsid w:val="00325D88"/>
    <w:rsid w:val="00325E13"/>
    <w:rsid w:val="00325F81"/>
    <w:rsid w:val="00325FAD"/>
    <w:rsid w:val="00325FB4"/>
    <w:rsid w:val="00325FD3"/>
    <w:rsid w:val="00326203"/>
    <w:rsid w:val="0032622A"/>
    <w:rsid w:val="00326303"/>
    <w:rsid w:val="00326304"/>
    <w:rsid w:val="0032632A"/>
    <w:rsid w:val="003264F4"/>
    <w:rsid w:val="0032669A"/>
    <w:rsid w:val="00326784"/>
    <w:rsid w:val="00326819"/>
    <w:rsid w:val="00326847"/>
    <w:rsid w:val="003269CF"/>
    <w:rsid w:val="00326A77"/>
    <w:rsid w:val="00326A78"/>
    <w:rsid w:val="00326AB7"/>
    <w:rsid w:val="00327072"/>
    <w:rsid w:val="003270D9"/>
    <w:rsid w:val="00327147"/>
    <w:rsid w:val="0032714A"/>
    <w:rsid w:val="00327230"/>
    <w:rsid w:val="00327246"/>
    <w:rsid w:val="003274DC"/>
    <w:rsid w:val="00327517"/>
    <w:rsid w:val="0032760C"/>
    <w:rsid w:val="003277C4"/>
    <w:rsid w:val="00327813"/>
    <w:rsid w:val="0032798E"/>
    <w:rsid w:val="00327AA2"/>
    <w:rsid w:val="00327AE1"/>
    <w:rsid w:val="00327BB5"/>
    <w:rsid w:val="00327BE3"/>
    <w:rsid w:val="00327CB5"/>
    <w:rsid w:val="00327ECB"/>
    <w:rsid w:val="00327FAD"/>
    <w:rsid w:val="00327FCA"/>
    <w:rsid w:val="00327FD7"/>
    <w:rsid w:val="00330044"/>
    <w:rsid w:val="00330123"/>
    <w:rsid w:val="0033015E"/>
    <w:rsid w:val="003301AD"/>
    <w:rsid w:val="00330204"/>
    <w:rsid w:val="0033022F"/>
    <w:rsid w:val="0033038F"/>
    <w:rsid w:val="00330527"/>
    <w:rsid w:val="00330584"/>
    <w:rsid w:val="003306F1"/>
    <w:rsid w:val="0033071E"/>
    <w:rsid w:val="00330A96"/>
    <w:rsid w:val="00330B22"/>
    <w:rsid w:val="00330B25"/>
    <w:rsid w:val="00330B56"/>
    <w:rsid w:val="00330B59"/>
    <w:rsid w:val="00330C8F"/>
    <w:rsid w:val="00330DF0"/>
    <w:rsid w:val="00330ED7"/>
    <w:rsid w:val="00330EF7"/>
    <w:rsid w:val="00330F75"/>
    <w:rsid w:val="00331040"/>
    <w:rsid w:val="003310BE"/>
    <w:rsid w:val="00331143"/>
    <w:rsid w:val="003311B7"/>
    <w:rsid w:val="0033138B"/>
    <w:rsid w:val="00331448"/>
    <w:rsid w:val="00331457"/>
    <w:rsid w:val="00331514"/>
    <w:rsid w:val="0033151B"/>
    <w:rsid w:val="00331677"/>
    <w:rsid w:val="00331881"/>
    <w:rsid w:val="003319C5"/>
    <w:rsid w:val="003319EA"/>
    <w:rsid w:val="00331AB2"/>
    <w:rsid w:val="00331AF4"/>
    <w:rsid w:val="00331C6B"/>
    <w:rsid w:val="00331DC3"/>
    <w:rsid w:val="00331DE8"/>
    <w:rsid w:val="00331E0F"/>
    <w:rsid w:val="00331EC7"/>
    <w:rsid w:val="00331F4B"/>
    <w:rsid w:val="00331F74"/>
    <w:rsid w:val="00331F8E"/>
    <w:rsid w:val="00331FBA"/>
    <w:rsid w:val="003320A3"/>
    <w:rsid w:val="00332120"/>
    <w:rsid w:val="00332252"/>
    <w:rsid w:val="0033243A"/>
    <w:rsid w:val="0033267A"/>
    <w:rsid w:val="00332680"/>
    <w:rsid w:val="003327B2"/>
    <w:rsid w:val="00332806"/>
    <w:rsid w:val="003329FB"/>
    <w:rsid w:val="00332B70"/>
    <w:rsid w:val="00332C02"/>
    <w:rsid w:val="00332DA4"/>
    <w:rsid w:val="00332E2B"/>
    <w:rsid w:val="00332EFD"/>
    <w:rsid w:val="00332F0A"/>
    <w:rsid w:val="00333024"/>
    <w:rsid w:val="0033302F"/>
    <w:rsid w:val="0033304D"/>
    <w:rsid w:val="00333376"/>
    <w:rsid w:val="00333421"/>
    <w:rsid w:val="00333441"/>
    <w:rsid w:val="003334E6"/>
    <w:rsid w:val="00333558"/>
    <w:rsid w:val="00333577"/>
    <w:rsid w:val="00333610"/>
    <w:rsid w:val="0033388E"/>
    <w:rsid w:val="00333917"/>
    <w:rsid w:val="00333919"/>
    <w:rsid w:val="00333A06"/>
    <w:rsid w:val="00333A38"/>
    <w:rsid w:val="00333A74"/>
    <w:rsid w:val="00333EA7"/>
    <w:rsid w:val="00333F0E"/>
    <w:rsid w:val="00333F16"/>
    <w:rsid w:val="003340A6"/>
    <w:rsid w:val="003342B0"/>
    <w:rsid w:val="003342C9"/>
    <w:rsid w:val="003343FE"/>
    <w:rsid w:val="0033444C"/>
    <w:rsid w:val="003344ED"/>
    <w:rsid w:val="0033458B"/>
    <w:rsid w:val="003345D4"/>
    <w:rsid w:val="0033478F"/>
    <w:rsid w:val="003347D8"/>
    <w:rsid w:val="00334976"/>
    <w:rsid w:val="00334D50"/>
    <w:rsid w:val="00334D89"/>
    <w:rsid w:val="00334E30"/>
    <w:rsid w:val="00334E4A"/>
    <w:rsid w:val="00334ED7"/>
    <w:rsid w:val="00334EEF"/>
    <w:rsid w:val="00334F72"/>
    <w:rsid w:val="00334FE1"/>
    <w:rsid w:val="00335043"/>
    <w:rsid w:val="003350C0"/>
    <w:rsid w:val="0033512F"/>
    <w:rsid w:val="003351A5"/>
    <w:rsid w:val="003351DF"/>
    <w:rsid w:val="0033525B"/>
    <w:rsid w:val="003353A3"/>
    <w:rsid w:val="003353DB"/>
    <w:rsid w:val="00335629"/>
    <w:rsid w:val="00335630"/>
    <w:rsid w:val="003357C6"/>
    <w:rsid w:val="003357D2"/>
    <w:rsid w:val="003358D7"/>
    <w:rsid w:val="003359EC"/>
    <w:rsid w:val="00335B14"/>
    <w:rsid w:val="00335B41"/>
    <w:rsid w:val="00335B91"/>
    <w:rsid w:val="00335DAF"/>
    <w:rsid w:val="00335F1D"/>
    <w:rsid w:val="00335F81"/>
    <w:rsid w:val="00335FF3"/>
    <w:rsid w:val="0033602C"/>
    <w:rsid w:val="0033604C"/>
    <w:rsid w:val="00336113"/>
    <w:rsid w:val="00336196"/>
    <w:rsid w:val="003361F7"/>
    <w:rsid w:val="0033621A"/>
    <w:rsid w:val="00336501"/>
    <w:rsid w:val="00336559"/>
    <w:rsid w:val="00336662"/>
    <w:rsid w:val="0033674A"/>
    <w:rsid w:val="00336811"/>
    <w:rsid w:val="00336864"/>
    <w:rsid w:val="00336932"/>
    <w:rsid w:val="00336A08"/>
    <w:rsid w:val="00336B26"/>
    <w:rsid w:val="00336C3E"/>
    <w:rsid w:val="00336CA8"/>
    <w:rsid w:val="00336D5F"/>
    <w:rsid w:val="00336DCE"/>
    <w:rsid w:val="00336E2B"/>
    <w:rsid w:val="00336E5B"/>
    <w:rsid w:val="00336E93"/>
    <w:rsid w:val="00336FA8"/>
    <w:rsid w:val="00336FE8"/>
    <w:rsid w:val="0033709F"/>
    <w:rsid w:val="0033715C"/>
    <w:rsid w:val="003371F7"/>
    <w:rsid w:val="0033731C"/>
    <w:rsid w:val="00337421"/>
    <w:rsid w:val="00337436"/>
    <w:rsid w:val="00337499"/>
    <w:rsid w:val="003374F9"/>
    <w:rsid w:val="0033755D"/>
    <w:rsid w:val="003375A3"/>
    <w:rsid w:val="00337824"/>
    <w:rsid w:val="00337918"/>
    <w:rsid w:val="00337924"/>
    <w:rsid w:val="00337955"/>
    <w:rsid w:val="0033796B"/>
    <w:rsid w:val="003379C9"/>
    <w:rsid w:val="00337A31"/>
    <w:rsid w:val="00337C0E"/>
    <w:rsid w:val="00337C32"/>
    <w:rsid w:val="00337C73"/>
    <w:rsid w:val="00337CCC"/>
    <w:rsid w:val="00337CF5"/>
    <w:rsid w:val="00337D11"/>
    <w:rsid w:val="00337D32"/>
    <w:rsid w:val="00337E67"/>
    <w:rsid w:val="00337E6B"/>
    <w:rsid w:val="00337F48"/>
    <w:rsid w:val="00340048"/>
    <w:rsid w:val="0034017D"/>
    <w:rsid w:val="003402C5"/>
    <w:rsid w:val="0034032F"/>
    <w:rsid w:val="00340355"/>
    <w:rsid w:val="0034038B"/>
    <w:rsid w:val="003404FB"/>
    <w:rsid w:val="0034058D"/>
    <w:rsid w:val="00340647"/>
    <w:rsid w:val="00340707"/>
    <w:rsid w:val="0034076E"/>
    <w:rsid w:val="0034078B"/>
    <w:rsid w:val="003407D9"/>
    <w:rsid w:val="003408CA"/>
    <w:rsid w:val="003408DC"/>
    <w:rsid w:val="00340964"/>
    <w:rsid w:val="003409CD"/>
    <w:rsid w:val="00340A42"/>
    <w:rsid w:val="00340A72"/>
    <w:rsid w:val="00340A9E"/>
    <w:rsid w:val="00340AA4"/>
    <w:rsid w:val="00340B4F"/>
    <w:rsid w:val="00340B5B"/>
    <w:rsid w:val="00340BC1"/>
    <w:rsid w:val="00340CDA"/>
    <w:rsid w:val="00340CDD"/>
    <w:rsid w:val="00340DF5"/>
    <w:rsid w:val="00340E66"/>
    <w:rsid w:val="00340F34"/>
    <w:rsid w:val="00340FD8"/>
    <w:rsid w:val="00341092"/>
    <w:rsid w:val="0034123A"/>
    <w:rsid w:val="003412F6"/>
    <w:rsid w:val="00341351"/>
    <w:rsid w:val="00341360"/>
    <w:rsid w:val="0034136B"/>
    <w:rsid w:val="0034138B"/>
    <w:rsid w:val="003414D6"/>
    <w:rsid w:val="00341648"/>
    <w:rsid w:val="00341788"/>
    <w:rsid w:val="003417F7"/>
    <w:rsid w:val="00341A44"/>
    <w:rsid w:val="00341AC1"/>
    <w:rsid w:val="00341C2A"/>
    <w:rsid w:val="00341C77"/>
    <w:rsid w:val="00341E1F"/>
    <w:rsid w:val="00341E5D"/>
    <w:rsid w:val="0034211A"/>
    <w:rsid w:val="003421DA"/>
    <w:rsid w:val="00342241"/>
    <w:rsid w:val="0034244D"/>
    <w:rsid w:val="0034253B"/>
    <w:rsid w:val="0034254D"/>
    <w:rsid w:val="00342631"/>
    <w:rsid w:val="00342846"/>
    <w:rsid w:val="003428A5"/>
    <w:rsid w:val="003428F1"/>
    <w:rsid w:val="00342A49"/>
    <w:rsid w:val="00342A55"/>
    <w:rsid w:val="00342ACB"/>
    <w:rsid w:val="00342AE6"/>
    <w:rsid w:val="00342C82"/>
    <w:rsid w:val="00342CE1"/>
    <w:rsid w:val="00342CF6"/>
    <w:rsid w:val="00342D49"/>
    <w:rsid w:val="00342E04"/>
    <w:rsid w:val="00342E7D"/>
    <w:rsid w:val="00342F3C"/>
    <w:rsid w:val="00342F5A"/>
    <w:rsid w:val="00342FD7"/>
    <w:rsid w:val="0034309B"/>
    <w:rsid w:val="00343318"/>
    <w:rsid w:val="003433C7"/>
    <w:rsid w:val="00343456"/>
    <w:rsid w:val="00343543"/>
    <w:rsid w:val="00343703"/>
    <w:rsid w:val="00343754"/>
    <w:rsid w:val="00343906"/>
    <w:rsid w:val="00343914"/>
    <w:rsid w:val="00343AD7"/>
    <w:rsid w:val="00343B29"/>
    <w:rsid w:val="00343B72"/>
    <w:rsid w:val="00343C37"/>
    <w:rsid w:val="00343C6B"/>
    <w:rsid w:val="00343D5E"/>
    <w:rsid w:val="00343E6B"/>
    <w:rsid w:val="00343FC3"/>
    <w:rsid w:val="00344029"/>
    <w:rsid w:val="00344100"/>
    <w:rsid w:val="003441C7"/>
    <w:rsid w:val="003443A1"/>
    <w:rsid w:val="003443B7"/>
    <w:rsid w:val="00344479"/>
    <w:rsid w:val="003444CC"/>
    <w:rsid w:val="003445AE"/>
    <w:rsid w:val="003445CC"/>
    <w:rsid w:val="003445CF"/>
    <w:rsid w:val="003445FC"/>
    <w:rsid w:val="00344636"/>
    <w:rsid w:val="003446C4"/>
    <w:rsid w:val="00344848"/>
    <w:rsid w:val="00344890"/>
    <w:rsid w:val="003448CC"/>
    <w:rsid w:val="003449BD"/>
    <w:rsid w:val="00344BA7"/>
    <w:rsid w:val="00344BD9"/>
    <w:rsid w:val="00344CF5"/>
    <w:rsid w:val="00344D94"/>
    <w:rsid w:val="00344F14"/>
    <w:rsid w:val="0034505B"/>
    <w:rsid w:val="003450AA"/>
    <w:rsid w:val="00345125"/>
    <w:rsid w:val="0034513A"/>
    <w:rsid w:val="0034517F"/>
    <w:rsid w:val="00345214"/>
    <w:rsid w:val="00345238"/>
    <w:rsid w:val="003455F6"/>
    <w:rsid w:val="003458C3"/>
    <w:rsid w:val="0034594D"/>
    <w:rsid w:val="00345CAE"/>
    <w:rsid w:val="00345D13"/>
    <w:rsid w:val="00345E0F"/>
    <w:rsid w:val="00345E25"/>
    <w:rsid w:val="00345E77"/>
    <w:rsid w:val="00345E9B"/>
    <w:rsid w:val="00345F2C"/>
    <w:rsid w:val="00345FFB"/>
    <w:rsid w:val="003460C6"/>
    <w:rsid w:val="00346276"/>
    <w:rsid w:val="003462B7"/>
    <w:rsid w:val="00346396"/>
    <w:rsid w:val="0034647F"/>
    <w:rsid w:val="003465F7"/>
    <w:rsid w:val="00346743"/>
    <w:rsid w:val="00346772"/>
    <w:rsid w:val="0034684C"/>
    <w:rsid w:val="0034687F"/>
    <w:rsid w:val="003468DF"/>
    <w:rsid w:val="0034690C"/>
    <w:rsid w:val="003469A8"/>
    <w:rsid w:val="00346A85"/>
    <w:rsid w:val="00346BB3"/>
    <w:rsid w:val="00346C35"/>
    <w:rsid w:val="00346D55"/>
    <w:rsid w:val="00346DDA"/>
    <w:rsid w:val="00346E21"/>
    <w:rsid w:val="00346E75"/>
    <w:rsid w:val="00346E9E"/>
    <w:rsid w:val="00346EF5"/>
    <w:rsid w:val="00346FD6"/>
    <w:rsid w:val="0034700D"/>
    <w:rsid w:val="00347063"/>
    <w:rsid w:val="00347109"/>
    <w:rsid w:val="00347171"/>
    <w:rsid w:val="00347233"/>
    <w:rsid w:val="003472B4"/>
    <w:rsid w:val="003472B8"/>
    <w:rsid w:val="00347341"/>
    <w:rsid w:val="003474F1"/>
    <w:rsid w:val="003476AD"/>
    <w:rsid w:val="003477F3"/>
    <w:rsid w:val="003477FE"/>
    <w:rsid w:val="00347844"/>
    <w:rsid w:val="003479B8"/>
    <w:rsid w:val="00347B79"/>
    <w:rsid w:val="00347D4A"/>
    <w:rsid w:val="00347D6C"/>
    <w:rsid w:val="00347FA2"/>
    <w:rsid w:val="00350090"/>
    <w:rsid w:val="00350168"/>
    <w:rsid w:val="003501A6"/>
    <w:rsid w:val="00350298"/>
    <w:rsid w:val="003502FB"/>
    <w:rsid w:val="0035034F"/>
    <w:rsid w:val="003503F6"/>
    <w:rsid w:val="00350475"/>
    <w:rsid w:val="00350526"/>
    <w:rsid w:val="00350593"/>
    <w:rsid w:val="003505E2"/>
    <w:rsid w:val="0035062B"/>
    <w:rsid w:val="0035082F"/>
    <w:rsid w:val="00350853"/>
    <w:rsid w:val="00350881"/>
    <w:rsid w:val="003508DA"/>
    <w:rsid w:val="003508E1"/>
    <w:rsid w:val="00350ACD"/>
    <w:rsid w:val="00350BFA"/>
    <w:rsid w:val="00350DCD"/>
    <w:rsid w:val="00350DFE"/>
    <w:rsid w:val="00350E31"/>
    <w:rsid w:val="00350E83"/>
    <w:rsid w:val="00351065"/>
    <w:rsid w:val="0035116A"/>
    <w:rsid w:val="00351206"/>
    <w:rsid w:val="0035128E"/>
    <w:rsid w:val="00351320"/>
    <w:rsid w:val="00351333"/>
    <w:rsid w:val="003513F1"/>
    <w:rsid w:val="0035147F"/>
    <w:rsid w:val="0035149D"/>
    <w:rsid w:val="003515A9"/>
    <w:rsid w:val="0035178F"/>
    <w:rsid w:val="003517BC"/>
    <w:rsid w:val="0035185B"/>
    <w:rsid w:val="0035189A"/>
    <w:rsid w:val="00351A29"/>
    <w:rsid w:val="00351A55"/>
    <w:rsid w:val="00351C28"/>
    <w:rsid w:val="00351D03"/>
    <w:rsid w:val="00351D63"/>
    <w:rsid w:val="00351E01"/>
    <w:rsid w:val="00351E02"/>
    <w:rsid w:val="00351EDE"/>
    <w:rsid w:val="00351F75"/>
    <w:rsid w:val="00351FF5"/>
    <w:rsid w:val="0035205C"/>
    <w:rsid w:val="00352128"/>
    <w:rsid w:val="00352145"/>
    <w:rsid w:val="0035214D"/>
    <w:rsid w:val="003522A6"/>
    <w:rsid w:val="0035237C"/>
    <w:rsid w:val="00352390"/>
    <w:rsid w:val="003523A8"/>
    <w:rsid w:val="003523D0"/>
    <w:rsid w:val="0035242B"/>
    <w:rsid w:val="003524BE"/>
    <w:rsid w:val="003524FD"/>
    <w:rsid w:val="00352538"/>
    <w:rsid w:val="0035268B"/>
    <w:rsid w:val="003526DA"/>
    <w:rsid w:val="00352758"/>
    <w:rsid w:val="00352A16"/>
    <w:rsid w:val="00352A1E"/>
    <w:rsid w:val="00352A2E"/>
    <w:rsid w:val="00352A6E"/>
    <w:rsid w:val="00352C1A"/>
    <w:rsid w:val="00352C5F"/>
    <w:rsid w:val="00352E2B"/>
    <w:rsid w:val="00352EF6"/>
    <w:rsid w:val="00353127"/>
    <w:rsid w:val="0035316B"/>
    <w:rsid w:val="003531CD"/>
    <w:rsid w:val="0035338B"/>
    <w:rsid w:val="00353439"/>
    <w:rsid w:val="00353451"/>
    <w:rsid w:val="00353454"/>
    <w:rsid w:val="00353457"/>
    <w:rsid w:val="003535A2"/>
    <w:rsid w:val="00353655"/>
    <w:rsid w:val="00353719"/>
    <w:rsid w:val="003537AF"/>
    <w:rsid w:val="00353846"/>
    <w:rsid w:val="00353971"/>
    <w:rsid w:val="00353B0D"/>
    <w:rsid w:val="00353B1E"/>
    <w:rsid w:val="00353CD4"/>
    <w:rsid w:val="00353DC5"/>
    <w:rsid w:val="00353E91"/>
    <w:rsid w:val="00353EEB"/>
    <w:rsid w:val="0035400B"/>
    <w:rsid w:val="00354089"/>
    <w:rsid w:val="003540CB"/>
    <w:rsid w:val="00354141"/>
    <w:rsid w:val="0035414D"/>
    <w:rsid w:val="0035425F"/>
    <w:rsid w:val="00354410"/>
    <w:rsid w:val="00354482"/>
    <w:rsid w:val="0035449C"/>
    <w:rsid w:val="0035452D"/>
    <w:rsid w:val="003545BF"/>
    <w:rsid w:val="00354673"/>
    <w:rsid w:val="003547EB"/>
    <w:rsid w:val="003547F3"/>
    <w:rsid w:val="00354810"/>
    <w:rsid w:val="00354839"/>
    <w:rsid w:val="00354893"/>
    <w:rsid w:val="003549E0"/>
    <w:rsid w:val="00354A56"/>
    <w:rsid w:val="00354A8F"/>
    <w:rsid w:val="00354AC2"/>
    <w:rsid w:val="00354B7C"/>
    <w:rsid w:val="00354D4B"/>
    <w:rsid w:val="00354DCC"/>
    <w:rsid w:val="0035520B"/>
    <w:rsid w:val="0035547C"/>
    <w:rsid w:val="00355508"/>
    <w:rsid w:val="003555D5"/>
    <w:rsid w:val="00355625"/>
    <w:rsid w:val="003557E3"/>
    <w:rsid w:val="00355831"/>
    <w:rsid w:val="0035585C"/>
    <w:rsid w:val="00355861"/>
    <w:rsid w:val="003558A5"/>
    <w:rsid w:val="003558E4"/>
    <w:rsid w:val="00355A5A"/>
    <w:rsid w:val="00355CA3"/>
    <w:rsid w:val="00355CE1"/>
    <w:rsid w:val="00355DA1"/>
    <w:rsid w:val="00355EA4"/>
    <w:rsid w:val="00355FAC"/>
    <w:rsid w:val="00355FC4"/>
    <w:rsid w:val="003560B2"/>
    <w:rsid w:val="00356216"/>
    <w:rsid w:val="00356222"/>
    <w:rsid w:val="00356295"/>
    <w:rsid w:val="003564C6"/>
    <w:rsid w:val="00356570"/>
    <w:rsid w:val="00356655"/>
    <w:rsid w:val="0035666E"/>
    <w:rsid w:val="00356761"/>
    <w:rsid w:val="00356825"/>
    <w:rsid w:val="0035683D"/>
    <w:rsid w:val="00356A4D"/>
    <w:rsid w:val="00356A62"/>
    <w:rsid w:val="00356A6B"/>
    <w:rsid w:val="00356B23"/>
    <w:rsid w:val="00356C9E"/>
    <w:rsid w:val="00356DC6"/>
    <w:rsid w:val="0035703C"/>
    <w:rsid w:val="003572FE"/>
    <w:rsid w:val="00357306"/>
    <w:rsid w:val="0035730E"/>
    <w:rsid w:val="003573B6"/>
    <w:rsid w:val="00357466"/>
    <w:rsid w:val="003574A7"/>
    <w:rsid w:val="003575A9"/>
    <w:rsid w:val="00357628"/>
    <w:rsid w:val="0035774B"/>
    <w:rsid w:val="00357817"/>
    <w:rsid w:val="0035781A"/>
    <w:rsid w:val="00357894"/>
    <w:rsid w:val="0035798D"/>
    <w:rsid w:val="00357C82"/>
    <w:rsid w:val="00357D00"/>
    <w:rsid w:val="00357DA0"/>
    <w:rsid w:val="00357E36"/>
    <w:rsid w:val="00357F6B"/>
    <w:rsid w:val="00360051"/>
    <w:rsid w:val="003600BB"/>
    <w:rsid w:val="00360253"/>
    <w:rsid w:val="0036025A"/>
    <w:rsid w:val="003604C3"/>
    <w:rsid w:val="00360519"/>
    <w:rsid w:val="0036064B"/>
    <w:rsid w:val="00360724"/>
    <w:rsid w:val="00360751"/>
    <w:rsid w:val="003607A9"/>
    <w:rsid w:val="003607B1"/>
    <w:rsid w:val="003607D6"/>
    <w:rsid w:val="00360913"/>
    <w:rsid w:val="0036099A"/>
    <w:rsid w:val="00360B3C"/>
    <w:rsid w:val="00360BCD"/>
    <w:rsid w:val="00360E23"/>
    <w:rsid w:val="00360EF0"/>
    <w:rsid w:val="00360F1E"/>
    <w:rsid w:val="00361065"/>
    <w:rsid w:val="003614D2"/>
    <w:rsid w:val="0036156F"/>
    <w:rsid w:val="00361742"/>
    <w:rsid w:val="003617E7"/>
    <w:rsid w:val="003618B0"/>
    <w:rsid w:val="003618BC"/>
    <w:rsid w:val="00361911"/>
    <w:rsid w:val="00361A47"/>
    <w:rsid w:val="00361A5D"/>
    <w:rsid w:val="00361A5E"/>
    <w:rsid w:val="00361C52"/>
    <w:rsid w:val="00361DB3"/>
    <w:rsid w:val="00361E6C"/>
    <w:rsid w:val="00361EFC"/>
    <w:rsid w:val="00361F39"/>
    <w:rsid w:val="0036200B"/>
    <w:rsid w:val="0036204F"/>
    <w:rsid w:val="003620B0"/>
    <w:rsid w:val="00362175"/>
    <w:rsid w:val="00362219"/>
    <w:rsid w:val="00362256"/>
    <w:rsid w:val="0036225B"/>
    <w:rsid w:val="003622D9"/>
    <w:rsid w:val="0036232E"/>
    <w:rsid w:val="003623A1"/>
    <w:rsid w:val="003623BC"/>
    <w:rsid w:val="0036246A"/>
    <w:rsid w:val="0036250D"/>
    <w:rsid w:val="003626A8"/>
    <w:rsid w:val="00362714"/>
    <w:rsid w:val="00362718"/>
    <w:rsid w:val="00362723"/>
    <w:rsid w:val="00362726"/>
    <w:rsid w:val="00362A35"/>
    <w:rsid w:val="00362A6B"/>
    <w:rsid w:val="00362A73"/>
    <w:rsid w:val="00362B26"/>
    <w:rsid w:val="00362C0A"/>
    <w:rsid w:val="00362CCC"/>
    <w:rsid w:val="00362CEF"/>
    <w:rsid w:val="00362E9D"/>
    <w:rsid w:val="003630AF"/>
    <w:rsid w:val="003631A1"/>
    <w:rsid w:val="00363469"/>
    <w:rsid w:val="00363498"/>
    <w:rsid w:val="003634E7"/>
    <w:rsid w:val="0036355B"/>
    <w:rsid w:val="0036356D"/>
    <w:rsid w:val="003636BF"/>
    <w:rsid w:val="00363731"/>
    <w:rsid w:val="0036373F"/>
    <w:rsid w:val="003637D2"/>
    <w:rsid w:val="003638B6"/>
    <w:rsid w:val="00363920"/>
    <w:rsid w:val="0036393B"/>
    <w:rsid w:val="00363975"/>
    <w:rsid w:val="003639A1"/>
    <w:rsid w:val="00363AC2"/>
    <w:rsid w:val="00363B07"/>
    <w:rsid w:val="00363C60"/>
    <w:rsid w:val="00363D5F"/>
    <w:rsid w:val="00363EF7"/>
    <w:rsid w:val="0036431D"/>
    <w:rsid w:val="003643B5"/>
    <w:rsid w:val="003644A3"/>
    <w:rsid w:val="003644B3"/>
    <w:rsid w:val="003644D1"/>
    <w:rsid w:val="00364578"/>
    <w:rsid w:val="0036492F"/>
    <w:rsid w:val="00364A8C"/>
    <w:rsid w:val="00364AD3"/>
    <w:rsid w:val="00364B28"/>
    <w:rsid w:val="00364C2C"/>
    <w:rsid w:val="00364C9A"/>
    <w:rsid w:val="00364CCE"/>
    <w:rsid w:val="00364CFD"/>
    <w:rsid w:val="00364DAA"/>
    <w:rsid w:val="00364DC4"/>
    <w:rsid w:val="00364E88"/>
    <w:rsid w:val="00364E89"/>
    <w:rsid w:val="00365131"/>
    <w:rsid w:val="003651C8"/>
    <w:rsid w:val="00365237"/>
    <w:rsid w:val="0036523E"/>
    <w:rsid w:val="00365293"/>
    <w:rsid w:val="0036533E"/>
    <w:rsid w:val="00365345"/>
    <w:rsid w:val="003653D2"/>
    <w:rsid w:val="00365450"/>
    <w:rsid w:val="003654A6"/>
    <w:rsid w:val="003655B2"/>
    <w:rsid w:val="003655D8"/>
    <w:rsid w:val="0036567D"/>
    <w:rsid w:val="00365681"/>
    <w:rsid w:val="00365788"/>
    <w:rsid w:val="0036585F"/>
    <w:rsid w:val="00365B10"/>
    <w:rsid w:val="00365B7E"/>
    <w:rsid w:val="00365BDE"/>
    <w:rsid w:val="00365C03"/>
    <w:rsid w:val="00365C36"/>
    <w:rsid w:val="00365D2A"/>
    <w:rsid w:val="00365DBB"/>
    <w:rsid w:val="00365E64"/>
    <w:rsid w:val="00365F6B"/>
    <w:rsid w:val="00366285"/>
    <w:rsid w:val="00366540"/>
    <w:rsid w:val="00366571"/>
    <w:rsid w:val="00366A35"/>
    <w:rsid w:val="00366A3E"/>
    <w:rsid w:val="00366B06"/>
    <w:rsid w:val="00366DEE"/>
    <w:rsid w:val="00366E98"/>
    <w:rsid w:val="00366EDA"/>
    <w:rsid w:val="003670BD"/>
    <w:rsid w:val="003670DC"/>
    <w:rsid w:val="003672E1"/>
    <w:rsid w:val="0036735B"/>
    <w:rsid w:val="00367363"/>
    <w:rsid w:val="003673E9"/>
    <w:rsid w:val="00367450"/>
    <w:rsid w:val="0036798E"/>
    <w:rsid w:val="00367998"/>
    <w:rsid w:val="00367A7E"/>
    <w:rsid w:val="00367ABA"/>
    <w:rsid w:val="00367BB9"/>
    <w:rsid w:val="00367BEC"/>
    <w:rsid w:val="00367C82"/>
    <w:rsid w:val="00367CF7"/>
    <w:rsid w:val="00367DBF"/>
    <w:rsid w:val="00367F9B"/>
    <w:rsid w:val="0037007C"/>
    <w:rsid w:val="00370123"/>
    <w:rsid w:val="00370188"/>
    <w:rsid w:val="003702D6"/>
    <w:rsid w:val="00370380"/>
    <w:rsid w:val="00370465"/>
    <w:rsid w:val="003704CC"/>
    <w:rsid w:val="003704D1"/>
    <w:rsid w:val="003705B4"/>
    <w:rsid w:val="003706E9"/>
    <w:rsid w:val="0037077B"/>
    <w:rsid w:val="00370812"/>
    <w:rsid w:val="003708C6"/>
    <w:rsid w:val="00370909"/>
    <w:rsid w:val="003709D8"/>
    <w:rsid w:val="00370A7D"/>
    <w:rsid w:val="00370AE0"/>
    <w:rsid w:val="00370AEA"/>
    <w:rsid w:val="00370B64"/>
    <w:rsid w:val="00370CB6"/>
    <w:rsid w:val="00370CCD"/>
    <w:rsid w:val="00370DDD"/>
    <w:rsid w:val="00370F17"/>
    <w:rsid w:val="0037116B"/>
    <w:rsid w:val="0037127B"/>
    <w:rsid w:val="00371330"/>
    <w:rsid w:val="00371347"/>
    <w:rsid w:val="00371440"/>
    <w:rsid w:val="00371447"/>
    <w:rsid w:val="003714A1"/>
    <w:rsid w:val="003714B9"/>
    <w:rsid w:val="003714DD"/>
    <w:rsid w:val="003715C6"/>
    <w:rsid w:val="003715D0"/>
    <w:rsid w:val="003715D4"/>
    <w:rsid w:val="003715F8"/>
    <w:rsid w:val="00371605"/>
    <w:rsid w:val="00371664"/>
    <w:rsid w:val="0037179F"/>
    <w:rsid w:val="00371839"/>
    <w:rsid w:val="0037185D"/>
    <w:rsid w:val="00371992"/>
    <w:rsid w:val="00371ABE"/>
    <w:rsid w:val="00371AE9"/>
    <w:rsid w:val="00371B7D"/>
    <w:rsid w:val="00371DDD"/>
    <w:rsid w:val="00371F59"/>
    <w:rsid w:val="0037209D"/>
    <w:rsid w:val="00372280"/>
    <w:rsid w:val="00372349"/>
    <w:rsid w:val="00372418"/>
    <w:rsid w:val="0037245E"/>
    <w:rsid w:val="0037249D"/>
    <w:rsid w:val="00372571"/>
    <w:rsid w:val="003725ED"/>
    <w:rsid w:val="0037260E"/>
    <w:rsid w:val="003726AB"/>
    <w:rsid w:val="00372798"/>
    <w:rsid w:val="00372801"/>
    <w:rsid w:val="0037297F"/>
    <w:rsid w:val="00372994"/>
    <w:rsid w:val="003729AA"/>
    <w:rsid w:val="00372AEC"/>
    <w:rsid w:val="00372B05"/>
    <w:rsid w:val="00372B50"/>
    <w:rsid w:val="00372C7C"/>
    <w:rsid w:val="00372DD2"/>
    <w:rsid w:val="00372E2B"/>
    <w:rsid w:val="00372E44"/>
    <w:rsid w:val="00372F66"/>
    <w:rsid w:val="00372FAC"/>
    <w:rsid w:val="00372FC8"/>
    <w:rsid w:val="00373013"/>
    <w:rsid w:val="00373092"/>
    <w:rsid w:val="003730F5"/>
    <w:rsid w:val="003733E0"/>
    <w:rsid w:val="00373409"/>
    <w:rsid w:val="0037353B"/>
    <w:rsid w:val="003735CA"/>
    <w:rsid w:val="003736C2"/>
    <w:rsid w:val="003737FB"/>
    <w:rsid w:val="00373809"/>
    <w:rsid w:val="0037392E"/>
    <w:rsid w:val="0037392F"/>
    <w:rsid w:val="00373A1F"/>
    <w:rsid w:val="00373AB8"/>
    <w:rsid w:val="00373AFB"/>
    <w:rsid w:val="00373B51"/>
    <w:rsid w:val="00373B68"/>
    <w:rsid w:val="00373BB5"/>
    <w:rsid w:val="00373C05"/>
    <w:rsid w:val="00373C3E"/>
    <w:rsid w:val="00373C42"/>
    <w:rsid w:val="00373E47"/>
    <w:rsid w:val="00373E91"/>
    <w:rsid w:val="00373F84"/>
    <w:rsid w:val="00374212"/>
    <w:rsid w:val="0037427C"/>
    <w:rsid w:val="0037432B"/>
    <w:rsid w:val="0037433E"/>
    <w:rsid w:val="003743DC"/>
    <w:rsid w:val="00374495"/>
    <w:rsid w:val="00374519"/>
    <w:rsid w:val="0037458F"/>
    <w:rsid w:val="003745D5"/>
    <w:rsid w:val="003745F0"/>
    <w:rsid w:val="00374603"/>
    <w:rsid w:val="0037466D"/>
    <w:rsid w:val="0037484C"/>
    <w:rsid w:val="00374907"/>
    <w:rsid w:val="00374921"/>
    <w:rsid w:val="00374DDE"/>
    <w:rsid w:val="0037504C"/>
    <w:rsid w:val="003750C7"/>
    <w:rsid w:val="00375158"/>
    <w:rsid w:val="0037526E"/>
    <w:rsid w:val="0037554C"/>
    <w:rsid w:val="0037557F"/>
    <w:rsid w:val="0037585B"/>
    <w:rsid w:val="00375A2F"/>
    <w:rsid w:val="00375A44"/>
    <w:rsid w:val="00375A7A"/>
    <w:rsid w:val="00375A9E"/>
    <w:rsid w:val="00375B06"/>
    <w:rsid w:val="00375B96"/>
    <w:rsid w:val="00375BD1"/>
    <w:rsid w:val="00375C2E"/>
    <w:rsid w:val="00375C74"/>
    <w:rsid w:val="00375D54"/>
    <w:rsid w:val="00375E2A"/>
    <w:rsid w:val="00375FFD"/>
    <w:rsid w:val="003760C2"/>
    <w:rsid w:val="003760D5"/>
    <w:rsid w:val="003760ED"/>
    <w:rsid w:val="003761E3"/>
    <w:rsid w:val="00376293"/>
    <w:rsid w:val="003762E1"/>
    <w:rsid w:val="003763A7"/>
    <w:rsid w:val="0037645E"/>
    <w:rsid w:val="003766BE"/>
    <w:rsid w:val="003766C4"/>
    <w:rsid w:val="0037683F"/>
    <w:rsid w:val="00376935"/>
    <w:rsid w:val="00376AB6"/>
    <w:rsid w:val="00376B05"/>
    <w:rsid w:val="00376C63"/>
    <w:rsid w:val="00376C6B"/>
    <w:rsid w:val="00376CEA"/>
    <w:rsid w:val="00376D5B"/>
    <w:rsid w:val="00376DEF"/>
    <w:rsid w:val="00376E9D"/>
    <w:rsid w:val="00376EE3"/>
    <w:rsid w:val="00376F6C"/>
    <w:rsid w:val="00376FF2"/>
    <w:rsid w:val="00377042"/>
    <w:rsid w:val="003771D4"/>
    <w:rsid w:val="003771DC"/>
    <w:rsid w:val="0037724B"/>
    <w:rsid w:val="0037754B"/>
    <w:rsid w:val="00377568"/>
    <w:rsid w:val="003775AA"/>
    <w:rsid w:val="003775CF"/>
    <w:rsid w:val="003775E9"/>
    <w:rsid w:val="003777B1"/>
    <w:rsid w:val="00377809"/>
    <w:rsid w:val="00377818"/>
    <w:rsid w:val="00377850"/>
    <w:rsid w:val="003778BF"/>
    <w:rsid w:val="00377959"/>
    <w:rsid w:val="00377AC8"/>
    <w:rsid w:val="00377B23"/>
    <w:rsid w:val="00377B91"/>
    <w:rsid w:val="00377BFD"/>
    <w:rsid w:val="00377E26"/>
    <w:rsid w:val="00377E9D"/>
    <w:rsid w:val="00377EA0"/>
    <w:rsid w:val="00377FE9"/>
    <w:rsid w:val="00380020"/>
    <w:rsid w:val="003800BA"/>
    <w:rsid w:val="00380266"/>
    <w:rsid w:val="00380333"/>
    <w:rsid w:val="00380427"/>
    <w:rsid w:val="00380526"/>
    <w:rsid w:val="0038067A"/>
    <w:rsid w:val="003806EE"/>
    <w:rsid w:val="00380AE5"/>
    <w:rsid w:val="00380AE9"/>
    <w:rsid w:val="00380B8A"/>
    <w:rsid w:val="00380BCB"/>
    <w:rsid w:val="00380C94"/>
    <w:rsid w:val="00380CA8"/>
    <w:rsid w:val="00380D27"/>
    <w:rsid w:val="00380E72"/>
    <w:rsid w:val="00380F62"/>
    <w:rsid w:val="00380F8B"/>
    <w:rsid w:val="00380FE7"/>
    <w:rsid w:val="0038124C"/>
    <w:rsid w:val="0038141E"/>
    <w:rsid w:val="00381459"/>
    <w:rsid w:val="0038154E"/>
    <w:rsid w:val="00381663"/>
    <w:rsid w:val="003818B6"/>
    <w:rsid w:val="00381A3A"/>
    <w:rsid w:val="00381C13"/>
    <w:rsid w:val="00381DC3"/>
    <w:rsid w:val="00381DFC"/>
    <w:rsid w:val="00381E1F"/>
    <w:rsid w:val="00381FCB"/>
    <w:rsid w:val="003820B3"/>
    <w:rsid w:val="00382177"/>
    <w:rsid w:val="00382225"/>
    <w:rsid w:val="00382317"/>
    <w:rsid w:val="0038231D"/>
    <w:rsid w:val="00382345"/>
    <w:rsid w:val="0038242F"/>
    <w:rsid w:val="00382480"/>
    <w:rsid w:val="00382489"/>
    <w:rsid w:val="003824A9"/>
    <w:rsid w:val="003824CD"/>
    <w:rsid w:val="0038250B"/>
    <w:rsid w:val="003825B3"/>
    <w:rsid w:val="003825D5"/>
    <w:rsid w:val="00382648"/>
    <w:rsid w:val="0038266C"/>
    <w:rsid w:val="00382806"/>
    <w:rsid w:val="003829A8"/>
    <w:rsid w:val="00382AA7"/>
    <w:rsid w:val="00382BAF"/>
    <w:rsid w:val="00382C41"/>
    <w:rsid w:val="00382CAD"/>
    <w:rsid w:val="00382D58"/>
    <w:rsid w:val="003830DC"/>
    <w:rsid w:val="00383127"/>
    <w:rsid w:val="0038319D"/>
    <w:rsid w:val="003831B1"/>
    <w:rsid w:val="003832BD"/>
    <w:rsid w:val="003832D3"/>
    <w:rsid w:val="0038331B"/>
    <w:rsid w:val="0038338C"/>
    <w:rsid w:val="0038340F"/>
    <w:rsid w:val="00383458"/>
    <w:rsid w:val="00383531"/>
    <w:rsid w:val="0038362C"/>
    <w:rsid w:val="00383656"/>
    <w:rsid w:val="003836BF"/>
    <w:rsid w:val="00383761"/>
    <w:rsid w:val="00383799"/>
    <w:rsid w:val="0038388B"/>
    <w:rsid w:val="00383961"/>
    <w:rsid w:val="003839FE"/>
    <w:rsid w:val="00383A2B"/>
    <w:rsid w:val="00383BCF"/>
    <w:rsid w:val="00383BFE"/>
    <w:rsid w:val="00383CE2"/>
    <w:rsid w:val="00383D3A"/>
    <w:rsid w:val="00383E67"/>
    <w:rsid w:val="00383F30"/>
    <w:rsid w:val="00383F32"/>
    <w:rsid w:val="00383FA0"/>
    <w:rsid w:val="00383FD7"/>
    <w:rsid w:val="003840E1"/>
    <w:rsid w:val="003841B7"/>
    <w:rsid w:val="00384381"/>
    <w:rsid w:val="00384386"/>
    <w:rsid w:val="003843A9"/>
    <w:rsid w:val="003843AD"/>
    <w:rsid w:val="003843CF"/>
    <w:rsid w:val="003844CC"/>
    <w:rsid w:val="00384660"/>
    <w:rsid w:val="003847C6"/>
    <w:rsid w:val="00384812"/>
    <w:rsid w:val="00384871"/>
    <w:rsid w:val="003848FC"/>
    <w:rsid w:val="00384948"/>
    <w:rsid w:val="003849E6"/>
    <w:rsid w:val="00384A46"/>
    <w:rsid w:val="00384A78"/>
    <w:rsid w:val="00384B7F"/>
    <w:rsid w:val="00384C2F"/>
    <w:rsid w:val="00384CD0"/>
    <w:rsid w:val="00384DAB"/>
    <w:rsid w:val="00384FC8"/>
    <w:rsid w:val="00385086"/>
    <w:rsid w:val="003852F8"/>
    <w:rsid w:val="003853C1"/>
    <w:rsid w:val="003853D4"/>
    <w:rsid w:val="0038557A"/>
    <w:rsid w:val="00385595"/>
    <w:rsid w:val="0038563E"/>
    <w:rsid w:val="0038584D"/>
    <w:rsid w:val="00385977"/>
    <w:rsid w:val="0038597A"/>
    <w:rsid w:val="00385A38"/>
    <w:rsid w:val="00385A41"/>
    <w:rsid w:val="00385B79"/>
    <w:rsid w:val="00385C31"/>
    <w:rsid w:val="00385D45"/>
    <w:rsid w:val="00385DAA"/>
    <w:rsid w:val="00385E09"/>
    <w:rsid w:val="003860D3"/>
    <w:rsid w:val="003862EE"/>
    <w:rsid w:val="003862F3"/>
    <w:rsid w:val="00386339"/>
    <w:rsid w:val="00386355"/>
    <w:rsid w:val="00386371"/>
    <w:rsid w:val="003864E5"/>
    <w:rsid w:val="003865BE"/>
    <w:rsid w:val="0038665B"/>
    <w:rsid w:val="0038670A"/>
    <w:rsid w:val="0038670C"/>
    <w:rsid w:val="0038673A"/>
    <w:rsid w:val="0038674A"/>
    <w:rsid w:val="00386869"/>
    <w:rsid w:val="003868D9"/>
    <w:rsid w:val="00386997"/>
    <w:rsid w:val="00386A1B"/>
    <w:rsid w:val="00386A7D"/>
    <w:rsid w:val="00386A95"/>
    <w:rsid w:val="00386B0B"/>
    <w:rsid w:val="00386B47"/>
    <w:rsid w:val="00386B6E"/>
    <w:rsid w:val="00386B7C"/>
    <w:rsid w:val="00386C41"/>
    <w:rsid w:val="00386CA2"/>
    <w:rsid w:val="00386CD3"/>
    <w:rsid w:val="00386CFB"/>
    <w:rsid w:val="00386D2E"/>
    <w:rsid w:val="00386DBC"/>
    <w:rsid w:val="00386EB5"/>
    <w:rsid w:val="00386F70"/>
    <w:rsid w:val="00387149"/>
    <w:rsid w:val="003871F1"/>
    <w:rsid w:val="003872EB"/>
    <w:rsid w:val="0038731E"/>
    <w:rsid w:val="00387358"/>
    <w:rsid w:val="003873CC"/>
    <w:rsid w:val="00387475"/>
    <w:rsid w:val="003874FE"/>
    <w:rsid w:val="0038756F"/>
    <w:rsid w:val="003876D1"/>
    <w:rsid w:val="00387725"/>
    <w:rsid w:val="0038778A"/>
    <w:rsid w:val="003877C7"/>
    <w:rsid w:val="00387846"/>
    <w:rsid w:val="0038786C"/>
    <w:rsid w:val="00387887"/>
    <w:rsid w:val="003878C9"/>
    <w:rsid w:val="00387A06"/>
    <w:rsid w:val="00387AD2"/>
    <w:rsid w:val="00387AF2"/>
    <w:rsid w:val="00387BCE"/>
    <w:rsid w:val="00387BFE"/>
    <w:rsid w:val="00387C49"/>
    <w:rsid w:val="00387CA1"/>
    <w:rsid w:val="0039002A"/>
    <w:rsid w:val="0039017F"/>
    <w:rsid w:val="00390183"/>
    <w:rsid w:val="0039025A"/>
    <w:rsid w:val="00390262"/>
    <w:rsid w:val="00390318"/>
    <w:rsid w:val="0039037B"/>
    <w:rsid w:val="003903AD"/>
    <w:rsid w:val="003905A9"/>
    <w:rsid w:val="003905F3"/>
    <w:rsid w:val="003905F7"/>
    <w:rsid w:val="0039069B"/>
    <w:rsid w:val="003906BA"/>
    <w:rsid w:val="0039073A"/>
    <w:rsid w:val="003908EC"/>
    <w:rsid w:val="0039098C"/>
    <w:rsid w:val="00390A3B"/>
    <w:rsid w:val="00390AFA"/>
    <w:rsid w:val="00390BCD"/>
    <w:rsid w:val="00390D9D"/>
    <w:rsid w:val="00390F35"/>
    <w:rsid w:val="00390F77"/>
    <w:rsid w:val="00391069"/>
    <w:rsid w:val="0039121E"/>
    <w:rsid w:val="00391268"/>
    <w:rsid w:val="00391279"/>
    <w:rsid w:val="003913BD"/>
    <w:rsid w:val="003913C3"/>
    <w:rsid w:val="0039144E"/>
    <w:rsid w:val="00391567"/>
    <w:rsid w:val="0039158E"/>
    <w:rsid w:val="003916A4"/>
    <w:rsid w:val="0039171E"/>
    <w:rsid w:val="00391727"/>
    <w:rsid w:val="00391739"/>
    <w:rsid w:val="003918B1"/>
    <w:rsid w:val="00391967"/>
    <w:rsid w:val="00391980"/>
    <w:rsid w:val="00391984"/>
    <w:rsid w:val="00391A0D"/>
    <w:rsid w:val="00391A40"/>
    <w:rsid w:val="00391ABB"/>
    <w:rsid w:val="00391B4B"/>
    <w:rsid w:val="00391B91"/>
    <w:rsid w:val="00391C1A"/>
    <w:rsid w:val="00391D3C"/>
    <w:rsid w:val="00391E85"/>
    <w:rsid w:val="00391E94"/>
    <w:rsid w:val="00391FF2"/>
    <w:rsid w:val="00391FF7"/>
    <w:rsid w:val="00391FFE"/>
    <w:rsid w:val="0039206F"/>
    <w:rsid w:val="0039222A"/>
    <w:rsid w:val="003922EA"/>
    <w:rsid w:val="00392386"/>
    <w:rsid w:val="003924A1"/>
    <w:rsid w:val="00392682"/>
    <w:rsid w:val="0039272E"/>
    <w:rsid w:val="0039278F"/>
    <w:rsid w:val="003927F4"/>
    <w:rsid w:val="003927FF"/>
    <w:rsid w:val="00392834"/>
    <w:rsid w:val="0039286B"/>
    <w:rsid w:val="00392BDA"/>
    <w:rsid w:val="00392C3B"/>
    <w:rsid w:val="00392C9E"/>
    <w:rsid w:val="00392D06"/>
    <w:rsid w:val="00392D36"/>
    <w:rsid w:val="00392DB8"/>
    <w:rsid w:val="00392F1E"/>
    <w:rsid w:val="003930C2"/>
    <w:rsid w:val="00393152"/>
    <w:rsid w:val="003931B5"/>
    <w:rsid w:val="00393276"/>
    <w:rsid w:val="003932A5"/>
    <w:rsid w:val="0039344B"/>
    <w:rsid w:val="00393539"/>
    <w:rsid w:val="003935AD"/>
    <w:rsid w:val="00393698"/>
    <w:rsid w:val="0039372E"/>
    <w:rsid w:val="00393811"/>
    <w:rsid w:val="00393A77"/>
    <w:rsid w:val="00393C20"/>
    <w:rsid w:val="00393D66"/>
    <w:rsid w:val="00393D72"/>
    <w:rsid w:val="00393D9A"/>
    <w:rsid w:val="00393E73"/>
    <w:rsid w:val="00393EA2"/>
    <w:rsid w:val="00393EE4"/>
    <w:rsid w:val="00393EF9"/>
    <w:rsid w:val="00393F46"/>
    <w:rsid w:val="00394000"/>
    <w:rsid w:val="0039402E"/>
    <w:rsid w:val="0039417D"/>
    <w:rsid w:val="0039419B"/>
    <w:rsid w:val="003942BE"/>
    <w:rsid w:val="00394347"/>
    <w:rsid w:val="0039440D"/>
    <w:rsid w:val="003944FE"/>
    <w:rsid w:val="0039457B"/>
    <w:rsid w:val="003945F6"/>
    <w:rsid w:val="003947EF"/>
    <w:rsid w:val="003948A1"/>
    <w:rsid w:val="003948B6"/>
    <w:rsid w:val="00394A40"/>
    <w:rsid w:val="00394B3D"/>
    <w:rsid w:val="00394B5E"/>
    <w:rsid w:val="00394BFB"/>
    <w:rsid w:val="00394C40"/>
    <w:rsid w:val="00394D3F"/>
    <w:rsid w:val="00394D41"/>
    <w:rsid w:val="00394E24"/>
    <w:rsid w:val="00394E5D"/>
    <w:rsid w:val="00394F3C"/>
    <w:rsid w:val="0039500D"/>
    <w:rsid w:val="0039508C"/>
    <w:rsid w:val="003950DF"/>
    <w:rsid w:val="003951F7"/>
    <w:rsid w:val="0039522F"/>
    <w:rsid w:val="003952FC"/>
    <w:rsid w:val="00395451"/>
    <w:rsid w:val="003954AB"/>
    <w:rsid w:val="00395581"/>
    <w:rsid w:val="003955FF"/>
    <w:rsid w:val="0039560E"/>
    <w:rsid w:val="003956E0"/>
    <w:rsid w:val="00395701"/>
    <w:rsid w:val="00395753"/>
    <w:rsid w:val="00395788"/>
    <w:rsid w:val="003957A5"/>
    <w:rsid w:val="00395806"/>
    <w:rsid w:val="00395820"/>
    <w:rsid w:val="003958DB"/>
    <w:rsid w:val="0039597A"/>
    <w:rsid w:val="003959AE"/>
    <w:rsid w:val="003959BC"/>
    <w:rsid w:val="00395A09"/>
    <w:rsid w:val="00395B35"/>
    <w:rsid w:val="00395E5F"/>
    <w:rsid w:val="00395EF8"/>
    <w:rsid w:val="00395FF6"/>
    <w:rsid w:val="00396048"/>
    <w:rsid w:val="00396097"/>
    <w:rsid w:val="00396257"/>
    <w:rsid w:val="00396288"/>
    <w:rsid w:val="00396318"/>
    <w:rsid w:val="0039634F"/>
    <w:rsid w:val="00396361"/>
    <w:rsid w:val="003963F8"/>
    <w:rsid w:val="0039641D"/>
    <w:rsid w:val="0039645E"/>
    <w:rsid w:val="0039657F"/>
    <w:rsid w:val="0039681C"/>
    <w:rsid w:val="003969A9"/>
    <w:rsid w:val="00396A65"/>
    <w:rsid w:val="00396B3F"/>
    <w:rsid w:val="00396BA9"/>
    <w:rsid w:val="00396DAE"/>
    <w:rsid w:val="00396ECF"/>
    <w:rsid w:val="00396F6E"/>
    <w:rsid w:val="00396FA1"/>
    <w:rsid w:val="00396FD6"/>
    <w:rsid w:val="00397073"/>
    <w:rsid w:val="0039722B"/>
    <w:rsid w:val="0039723A"/>
    <w:rsid w:val="0039748D"/>
    <w:rsid w:val="0039750A"/>
    <w:rsid w:val="00397535"/>
    <w:rsid w:val="003976C7"/>
    <w:rsid w:val="0039783A"/>
    <w:rsid w:val="003978B5"/>
    <w:rsid w:val="0039790B"/>
    <w:rsid w:val="00397AD9"/>
    <w:rsid w:val="00397B97"/>
    <w:rsid w:val="00397D16"/>
    <w:rsid w:val="00397FF2"/>
    <w:rsid w:val="003A006A"/>
    <w:rsid w:val="003A00C6"/>
    <w:rsid w:val="003A012B"/>
    <w:rsid w:val="003A0171"/>
    <w:rsid w:val="003A0290"/>
    <w:rsid w:val="003A03EB"/>
    <w:rsid w:val="003A054E"/>
    <w:rsid w:val="003A063B"/>
    <w:rsid w:val="003A070C"/>
    <w:rsid w:val="003A0809"/>
    <w:rsid w:val="003A096F"/>
    <w:rsid w:val="003A097F"/>
    <w:rsid w:val="003A0B77"/>
    <w:rsid w:val="003A0B7E"/>
    <w:rsid w:val="003A0CA4"/>
    <w:rsid w:val="003A0DEB"/>
    <w:rsid w:val="003A0E5B"/>
    <w:rsid w:val="003A0ED6"/>
    <w:rsid w:val="003A0FF2"/>
    <w:rsid w:val="003A1086"/>
    <w:rsid w:val="003A109D"/>
    <w:rsid w:val="003A10F1"/>
    <w:rsid w:val="003A12B0"/>
    <w:rsid w:val="003A12BF"/>
    <w:rsid w:val="003A1362"/>
    <w:rsid w:val="003A13AC"/>
    <w:rsid w:val="003A147A"/>
    <w:rsid w:val="003A1578"/>
    <w:rsid w:val="003A1690"/>
    <w:rsid w:val="003A16CF"/>
    <w:rsid w:val="003A17C7"/>
    <w:rsid w:val="003A19E0"/>
    <w:rsid w:val="003A1A27"/>
    <w:rsid w:val="003A1BEF"/>
    <w:rsid w:val="003A1D79"/>
    <w:rsid w:val="003A1E06"/>
    <w:rsid w:val="003A1E14"/>
    <w:rsid w:val="003A1EC7"/>
    <w:rsid w:val="003A2010"/>
    <w:rsid w:val="003A20D6"/>
    <w:rsid w:val="003A2142"/>
    <w:rsid w:val="003A214C"/>
    <w:rsid w:val="003A2167"/>
    <w:rsid w:val="003A21FF"/>
    <w:rsid w:val="003A2477"/>
    <w:rsid w:val="003A248D"/>
    <w:rsid w:val="003A25F0"/>
    <w:rsid w:val="003A2630"/>
    <w:rsid w:val="003A2697"/>
    <w:rsid w:val="003A27DD"/>
    <w:rsid w:val="003A2866"/>
    <w:rsid w:val="003A28FB"/>
    <w:rsid w:val="003A2B01"/>
    <w:rsid w:val="003A2BC1"/>
    <w:rsid w:val="003A2E08"/>
    <w:rsid w:val="003A2E84"/>
    <w:rsid w:val="003A2ED2"/>
    <w:rsid w:val="003A30B5"/>
    <w:rsid w:val="003A30BC"/>
    <w:rsid w:val="003A30C1"/>
    <w:rsid w:val="003A31A8"/>
    <w:rsid w:val="003A3207"/>
    <w:rsid w:val="003A3240"/>
    <w:rsid w:val="003A3325"/>
    <w:rsid w:val="003A339C"/>
    <w:rsid w:val="003A35E9"/>
    <w:rsid w:val="003A360B"/>
    <w:rsid w:val="003A366E"/>
    <w:rsid w:val="003A366F"/>
    <w:rsid w:val="003A3688"/>
    <w:rsid w:val="003A36AF"/>
    <w:rsid w:val="003A3713"/>
    <w:rsid w:val="003A3728"/>
    <w:rsid w:val="003A376D"/>
    <w:rsid w:val="003A37F2"/>
    <w:rsid w:val="003A3897"/>
    <w:rsid w:val="003A395B"/>
    <w:rsid w:val="003A395C"/>
    <w:rsid w:val="003A396D"/>
    <w:rsid w:val="003A3A74"/>
    <w:rsid w:val="003A3AA5"/>
    <w:rsid w:val="003A3C06"/>
    <w:rsid w:val="003A3D3C"/>
    <w:rsid w:val="003A3E25"/>
    <w:rsid w:val="003A3E5B"/>
    <w:rsid w:val="003A3EBD"/>
    <w:rsid w:val="003A3F8D"/>
    <w:rsid w:val="003A3F90"/>
    <w:rsid w:val="003A3FA5"/>
    <w:rsid w:val="003A3FC7"/>
    <w:rsid w:val="003A4014"/>
    <w:rsid w:val="003A4057"/>
    <w:rsid w:val="003A4167"/>
    <w:rsid w:val="003A42D1"/>
    <w:rsid w:val="003A4570"/>
    <w:rsid w:val="003A460F"/>
    <w:rsid w:val="003A479C"/>
    <w:rsid w:val="003A48EC"/>
    <w:rsid w:val="003A4914"/>
    <w:rsid w:val="003A492E"/>
    <w:rsid w:val="003A495E"/>
    <w:rsid w:val="003A49A4"/>
    <w:rsid w:val="003A4A99"/>
    <w:rsid w:val="003A4B34"/>
    <w:rsid w:val="003A4BEB"/>
    <w:rsid w:val="003A4D6D"/>
    <w:rsid w:val="003A4D94"/>
    <w:rsid w:val="003A4E2E"/>
    <w:rsid w:val="003A50D3"/>
    <w:rsid w:val="003A513E"/>
    <w:rsid w:val="003A541D"/>
    <w:rsid w:val="003A54A9"/>
    <w:rsid w:val="003A579C"/>
    <w:rsid w:val="003A59D5"/>
    <w:rsid w:val="003A59E3"/>
    <w:rsid w:val="003A5C08"/>
    <w:rsid w:val="003A5CFE"/>
    <w:rsid w:val="003A5D4D"/>
    <w:rsid w:val="003A5D6E"/>
    <w:rsid w:val="003A5DC6"/>
    <w:rsid w:val="003A5DF6"/>
    <w:rsid w:val="003A5EB8"/>
    <w:rsid w:val="003A5F95"/>
    <w:rsid w:val="003A6054"/>
    <w:rsid w:val="003A606B"/>
    <w:rsid w:val="003A60EF"/>
    <w:rsid w:val="003A6193"/>
    <w:rsid w:val="003A61D1"/>
    <w:rsid w:val="003A620A"/>
    <w:rsid w:val="003A620E"/>
    <w:rsid w:val="003A62E6"/>
    <w:rsid w:val="003A65A1"/>
    <w:rsid w:val="003A6693"/>
    <w:rsid w:val="003A678E"/>
    <w:rsid w:val="003A6902"/>
    <w:rsid w:val="003A69E2"/>
    <w:rsid w:val="003A6A21"/>
    <w:rsid w:val="003A6A37"/>
    <w:rsid w:val="003A6AB7"/>
    <w:rsid w:val="003A6B17"/>
    <w:rsid w:val="003A6B67"/>
    <w:rsid w:val="003A6B8A"/>
    <w:rsid w:val="003A6B8E"/>
    <w:rsid w:val="003A6D7B"/>
    <w:rsid w:val="003A6E31"/>
    <w:rsid w:val="003A6F69"/>
    <w:rsid w:val="003A6F9C"/>
    <w:rsid w:val="003A7074"/>
    <w:rsid w:val="003A721D"/>
    <w:rsid w:val="003A724F"/>
    <w:rsid w:val="003A72E6"/>
    <w:rsid w:val="003A7350"/>
    <w:rsid w:val="003A73A5"/>
    <w:rsid w:val="003A756C"/>
    <w:rsid w:val="003A76AE"/>
    <w:rsid w:val="003A7722"/>
    <w:rsid w:val="003A77E1"/>
    <w:rsid w:val="003A7832"/>
    <w:rsid w:val="003A78BD"/>
    <w:rsid w:val="003A7A7F"/>
    <w:rsid w:val="003A7A83"/>
    <w:rsid w:val="003A7B3F"/>
    <w:rsid w:val="003A7BBA"/>
    <w:rsid w:val="003A7D85"/>
    <w:rsid w:val="003A7E04"/>
    <w:rsid w:val="003A7EEF"/>
    <w:rsid w:val="003A7FBF"/>
    <w:rsid w:val="003B006B"/>
    <w:rsid w:val="003B0137"/>
    <w:rsid w:val="003B02D5"/>
    <w:rsid w:val="003B0338"/>
    <w:rsid w:val="003B0436"/>
    <w:rsid w:val="003B0488"/>
    <w:rsid w:val="003B0578"/>
    <w:rsid w:val="003B06F3"/>
    <w:rsid w:val="003B0818"/>
    <w:rsid w:val="003B0832"/>
    <w:rsid w:val="003B0A14"/>
    <w:rsid w:val="003B0A17"/>
    <w:rsid w:val="003B0A34"/>
    <w:rsid w:val="003B0A6D"/>
    <w:rsid w:val="003B0B4A"/>
    <w:rsid w:val="003B0B7C"/>
    <w:rsid w:val="003B0C01"/>
    <w:rsid w:val="003B0C60"/>
    <w:rsid w:val="003B0DE6"/>
    <w:rsid w:val="003B0E4A"/>
    <w:rsid w:val="003B0E62"/>
    <w:rsid w:val="003B0ED7"/>
    <w:rsid w:val="003B0F49"/>
    <w:rsid w:val="003B0FD9"/>
    <w:rsid w:val="003B109E"/>
    <w:rsid w:val="003B11F8"/>
    <w:rsid w:val="003B1233"/>
    <w:rsid w:val="003B12E7"/>
    <w:rsid w:val="003B12F0"/>
    <w:rsid w:val="003B1454"/>
    <w:rsid w:val="003B161D"/>
    <w:rsid w:val="003B167D"/>
    <w:rsid w:val="003B16AF"/>
    <w:rsid w:val="003B16B9"/>
    <w:rsid w:val="003B1766"/>
    <w:rsid w:val="003B1783"/>
    <w:rsid w:val="003B19F8"/>
    <w:rsid w:val="003B1D35"/>
    <w:rsid w:val="003B1D87"/>
    <w:rsid w:val="003B1E39"/>
    <w:rsid w:val="003B228A"/>
    <w:rsid w:val="003B22AB"/>
    <w:rsid w:val="003B22E6"/>
    <w:rsid w:val="003B22EC"/>
    <w:rsid w:val="003B2317"/>
    <w:rsid w:val="003B23A2"/>
    <w:rsid w:val="003B2564"/>
    <w:rsid w:val="003B25B5"/>
    <w:rsid w:val="003B25BB"/>
    <w:rsid w:val="003B25F7"/>
    <w:rsid w:val="003B2642"/>
    <w:rsid w:val="003B2654"/>
    <w:rsid w:val="003B28D0"/>
    <w:rsid w:val="003B2959"/>
    <w:rsid w:val="003B2B70"/>
    <w:rsid w:val="003B2B9A"/>
    <w:rsid w:val="003B2BB8"/>
    <w:rsid w:val="003B2C45"/>
    <w:rsid w:val="003B2D03"/>
    <w:rsid w:val="003B2E61"/>
    <w:rsid w:val="003B2F2E"/>
    <w:rsid w:val="003B321F"/>
    <w:rsid w:val="003B329A"/>
    <w:rsid w:val="003B332C"/>
    <w:rsid w:val="003B3401"/>
    <w:rsid w:val="003B341C"/>
    <w:rsid w:val="003B358D"/>
    <w:rsid w:val="003B3698"/>
    <w:rsid w:val="003B3729"/>
    <w:rsid w:val="003B375C"/>
    <w:rsid w:val="003B3898"/>
    <w:rsid w:val="003B3AE8"/>
    <w:rsid w:val="003B3CBE"/>
    <w:rsid w:val="003B3CE1"/>
    <w:rsid w:val="003B3D5E"/>
    <w:rsid w:val="003B40CC"/>
    <w:rsid w:val="003B418A"/>
    <w:rsid w:val="003B419F"/>
    <w:rsid w:val="003B4267"/>
    <w:rsid w:val="003B42AC"/>
    <w:rsid w:val="003B42CA"/>
    <w:rsid w:val="003B42E5"/>
    <w:rsid w:val="003B4349"/>
    <w:rsid w:val="003B439F"/>
    <w:rsid w:val="003B446B"/>
    <w:rsid w:val="003B44F5"/>
    <w:rsid w:val="003B450E"/>
    <w:rsid w:val="003B45E5"/>
    <w:rsid w:val="003B45EE"/>
    <w:rsid w:val="003B4775"/>
    <w:rsid w:val="003B477C"/>
    <w:rsid w:val="003B47B3"/>
    <w:rsid w:val="003B48FA"/>
    <w:rsid w:val="003B4957"/>
    <w:rsid w:val="003B4A92"/>
    <w:rsid w:val="003B4AE5"/>
    <w:rsid w:val="003B4B5F"/>
    <w:rsid w:val="003B4B9E"/>
    <w:rsid w:val="003B4D64"/>
    <w:rsid w:val="003B4F12"/>
    <w:rsid w:val="003B501E"/>
    <w:rsid w:val="003B504E"/>
    <w:rsid w:val="003B50D8"/>
    <w:rsid w:val="003B53FB"/>
    <w:rsid w:val="003B54A5"/>
    <w:rsid w:val="003B553A"/>
    <w:rsid w:val="003B5624"/>
    <w:rsid w:val="003B5625"/>
    <w:rsid w:val="003B5626"/>
    <w:rsid w:val="003B563F"/>
    <w:rsid w:val="003B56D5"/>
    <w:rsid w:val="003B5743"/>
    <w:rsid w:val="003B5835"/>
    <w:rsid w:val="003B5982"/>
    <w:rsid w:val="003B5A37"/>
    <w:rsid w:val="003B5B2D"/>
    <w:rsid w:val="003B5BE3"/>
    <w:rsid w:val="003B5DCC"/>
    <w:rsid w:val="003B5E03"/>
    <w:rsid w:val="003B5E04"/>
    <w:rsid w:val="003B5E1A"/>
    <w:rsid w:val="003B5E5F"/>
    <w:rsid w:val="003B5ECB"/>
    <w:rsid w:val="003B5F13"/>
    <w:rsid w:val="003B6099"/>
    <w:rsid w:val="003B61D0"/>
    <w:rsid w:val="003B6264"/>
    <w:rsid w:val="003B6368"/>
    <w:rsid w:val="003B64C4"/>
    <w:rsid w:val="003B64D6"/>
    <w:rsid w:val="003B6540"/>
    <w:rsid w:val="003B65EF"/>
    <w:rsid w:val="003B662E"/>
    <w:rsid w:val="003B6727"/>
    <w:rsid w:val="003B675E"/>
    <w:rsid w:val="003B68D6"/>
    <w:rsid w:val="003B69B6"/>
    <w:rsid w:val="003B69BD"/>
    <w:rsid w:val="003B69F5"/>
    <w:rsid w:val="003B6A3E"/>
    <w:rsid w:val="003B6AB2"/>
    <w:rsid w:val="003B6F24"/>
    <w:rsid w:val="003B7012"/>
    <w:rsid w:val="003B7199"/>
    <w:rsid w:val="003B72F6"/>
    <w:rsid w:val="003B7508"/>
    <w:rsid w:val="003B7517"/>
    <w:rsid w:val="003B751F"/>
    <w:rsid w:val="003B7646"/>
    <w:rsid w:val="003B785D"/>
    <w:rsid w:val="003B785F"/>
    <w:rsid w:val="003B7905"/>
    <w:rsid w:val="003B7943"/>
    <w:rsid w:val="003B7981"/>
    <w:rsid w:val="003B7990"/>
    <w:rsid w:val="003B79AE"/>
    <w:rsid w:val="003B7A95"/>
    <w:rsid w:val="003B7C0B"/>
    <w:rsid w:val="003B7E0A"/>
    <w:rsid w:val="003B7FA8"/>
    <w:rsid w:val="003B7FAF"/>
    <w:rsid w:val="003B7FBB"/>
    <w:rsid w:val="003C007A"/>
    <w:rsid w:val="003C008D"/>
    <w:rsid w:val="003C0243"/>
    <w:rsid w:val="003C0287"/>
    <w:rsid w:val="003C02BF"/>
    <w:rsid w:val="003C02CA"/>
    <w:rsid w:val="003C0389"/>
    <w:rsid w:val="003C03DC"/>
    <w:rsid w:val="003C03EE"/>
    <w:rsid w:val="003C0452"/>
    <w:rsid w:val="003C058C"/>
    <w:rsid w:val="003C05EA"/>
    <w:rsid w:val="003C0698"/>
    <w:rsid w:val="003C06A0"/>
    <w:rsid w:val="003C0720"/>
    <w:rsid w:val="003C0980"/>
    <w:rsid w:val="003C0A3A"/>
    <w:rsid w:val="003C0B3C"/>
    <w:rsid w:val="003C0C20"/>
    <w:rsid w:val="003C0D7F"/>
    <w:rsid w:val="003C0E9A"/>
    <w:rsid w:val="003C0EFF"/>
    <w:rsid w:val="003C0F44"/>
    <w:rsid w:val="003C12B3"/>
    <w:rsid w:val="003C12D3"/>
    <w:rsid w:val="003C12F6"/>
    <w:rsid w:val="003C132A"/>
    <w:rsid w:val="003C1346"/>
    <w:rsid w:val="003C13D6"/>
    <w:rsid w:val="003C1518"/>
    <w:rsid w:val="003C1565"/>
    <w:rsid w:val="003C159A"/>
    <w:rsid w:val="003C15CA"/>
    <w:rsid w:val="003C1691"/>
    <w:rsid w:val="003C16DD"/>
    <w:rsid w:val="003C17A5"/>
    <w:rsid w:val="003C18F0"/>
    <w:rsid w:val="003C1961"/>
    <w:rsid w:val="003C1997"/>
    <w:rsid w:val="003C19C4"/>
    <w:rsid w:val="003C1ABE"/>
    <w:rsid w:val="003C1B13"/>
    <w:rsid w:val="003C1B1B"/>
    <w:rsid w:val="003C1C2B"/>
    <w:rsid w:val="003C1D5B"/>
    <w:rsid w:val="003C1D7F"/>
    <w:rsid w:val="003C1DD6"/>
    <w:rsid w:val="003C1DE4"/>
    <w:rsid w:val="003C1E49"/>
    <w:rsid w:val="003C1F28"/>
    <w:rsid w:val="003C1FE4"/>
    <w:rsid w:val="003C2012"/>
    <w:rsid w:val="003C207D"/>
    <w:rsid w:val="003C2103"/>
    <w:rsid w:val="003C2175"/>
    <w:rsid w:val="003C2227"/>
    <w:rsid w:val="003C231D"/>
    <w:rsid w:val="003C2434"/>
    <w:rsid w:val="003C251B"/>
    <w:rsid w:val="003C259C"/>
    <w:rsid w:val="003C267C"/>
    <w:rsid w:val="003C2A88"/>
    <w:rsid w:val="003C2B0F"/>
    <w:rsid w:val="003C2B41"/>
    <w:rsid w:val="003C2B82"/>
    <w:rsid w:val="003C2C09"/>
    <w:rsid w:val="003C2D2F"/>
    <w:rsid w:val="003C2D8F"/>
    <w:rsid w:val="003C301B"/>
    <w:rsid w:val="003C302E"/>
    <w:rsid w:val="003C3062"/>
    <w:rsid w:val="003C332B"/>
    <w:rsid w:val="003C334B"/>
    <w:rsid w:val="003C3355"/>
    <w:rsid w:val="003C345A"/>
    <w:rsid w:val="003C3521"/>
    <w:rsid w:val="003C35A5"/>
    <w:rsid w:val="003C361F"/>
    <w:rsid w:val="003C37C1"/>
    <w:rsid w:val="003C3800"/>
    <w:rsid w:val="003C3875"/>
    <w:rsid w:val="003C3935"/>
    <w:rsid w:val="003C39EB"/>
    <w:rsid w:val="003C3A5F"/>
    <w:rsid w:val="003C3AAE"/>
    <w:rsid w:val="003C3C6B"/>
    <w:rsid w:val="003C3E67"/>
    <w:rsid w:val="003C3F2E"/>
    <w:rsid w:val="003C4001"/>
    <w:rsid w:val="003C4076"/>
    <w:rsid w:val="003C4181"/>
    <w:rsid w:val="003C4218"/>
    <w:rsid w:val="003C4398"/>
    <w:rsid w:val="003C44AD"/>
    <w:rsid w:val="003C4576"/>
    <w:rsid w:val="003C4594"/>
    <w:rsid w:val="003C45BC"/>
    <w:rsid w:val="003C4860"/>
    <w:rsid w:val="003C49D9"/>
    <w:rsid w:val="003C4A44"/>
    <w:rsid w:val="003C4A96"/>
    <w:rsid w:val="003C4B56"/>
    <w:rsid w:val="003C4C7B"/>
    <w:rsid w:val="003C4D4E"/>
    <w:rsid w:val="003C4E75"/>
    <w:rsid w:val="003C4EE9"/>
    <w:rsid w:val="003C4FD3"/>
    <w:rsid w:val="003C4FEF"/>
    <w:rsid w:val="003C50A9"/>
    <w:rsid w:val="003C50C3"/>
    <w:rsid w:val="003C527B"/>
    <w:rsid w:val="003C53E5"/>
    <w:rsid w:val="003C541A"/>
    <w:rsid w:val="003C5428"/>
    <w:rsid w:val="003C5644"/>
    <w:rsid w:val="003C56B4"/>
    <w:rsid w:val="003C5733"/>
    <w:rsid w:val="003C5792"/>
    <w:rsid w:val="003C57B0"/>
    <w:rsid w:val="003C586D"/>
    <w:rsid w:val="003C587A"/>
    <w:rsid w:val="003C5A1B"/>
    <w:rsid w:val="003C5A23"/>
    <w:rsid w:val="003C5A29"/>
    <w:rsid w:val="003C5A90"/>
    <w:rsid w:val="003C5CEE"/>
    <w:rsid w:val="003C5F71"/>
    <w:rsid w:val="003C5F9A"/>
    <w:rsid w:val="003C5FA2"/>
    <w:rsid w:val="003C60FB"/>
    <w:rsid w:val="003C6135"/>
    <w:rsid w:val="003C6235"/>
    <w:rsid w:val="003C6321"/>
    <w:rsid w:val="003C6342"/>
    <w:rsid w:val="003C651C"/>
    <w:rsid w:val="003C6559"/>
    <w:rsid w:val="003C6643"/>
    <w:rsid w:val="003C667F"/>
    <w:rsid w:val="003C67A3"/>
    <w:rsid w:val="003C67F0"/>
    <w:rsid w:val="003C67FE"/>
    <w:rsid w:val="003C6820"/>
    <w:rsid w:val="003C6855"/>
    <w:rsid w:val="003C68E1"/>
    <w:rsid w:val="003C6996"/>
    <w:rsid w:val="003C69D6"/>
    <w:rsid w:val="003C6AFD"/>
    <w:rsid w:val="003C6B9C"/>
    <w:rsid w:val="003C6C8E"/>
    <w:rsid w:val="003C6DF1"/>
    <w:rsid w:val="003C6EA2"/>
    <w:rsid w:val="003C6F4A"/>
    <w:rsid w:val="003C6FB1"/>
    <w:rsid w:val="003C6FCC"/>
    <w:rsid w:val="003C70A0"/>
    <w:rsid w:val="003C7168"/>
    <w:rsid w:val="003C7296"/>
    <w:rsid w:val="003C72B9"/>
    <w:rsid w:val="003C759B"/>
    <w:rsid w:val="003C7749"/>
    <w:rsid w:val="003C7750"/>
    <w:rsid w:val="003C775D"/>
    <w:rsid w:val="003C782F"/>
    <w:rsid w:val="003C78B2"/>
    <w:rsid w:val="003C7944"/>
    <w:rsid w:val="003C7948"/>
    <w:rsid w:val="003C79D9"/>
    <w:rsid w:val="003C7AB1"/>
    <w:rsid w:val="003C7B9C"/>
    <w:rsid w:val="003C7BEF"/>
    <w:rsid w:val="003C7E0F"/>
    <w:rsid w:val="003C7E60"/>
    <w:rsid w:val="003C7FA3"/>
    <w:rsid w:val="003D0020"/>
    <w:rsid w:val="003D00B7"/>
    <w:rsid w:val="003D00E6"/>
    <w:rsid w:val="003D0109"/>
    <w:rsid w:val="003D0215"/>
    <w:rsid w:val="003D0306"/>
    <w:rsid w:val="003D036A"/>
    <w:rsid w:val="003D0519"/>
    <w:rsid w:val="003D0523"/>
    <w:rsid w:val="003D053D"/>
    <w:rsid w:val="003D087A"/>
    <w:rsid w:val="003D0980"/>
    <w:rsid w:val="003D0AC5"/>
    <w:rsid w:val="003D0B0A"/>
    <w:rsid w:val="003D0C2C"/>
    <w:rsid w:val="003D0C3A"/>
    <w:rsid w:val="003D0C81"/>
    <w:rsid w:val="003D0D95"/>
    <w:rsid w:val="003D0DA6"/>
    <w:rsid w:val="003D0E15"/>
    <w:rsid w:val="003D0E47"/>
    <w:rsid w:val="003D0EAD"/>
    <w:rsid w:val="003D0F59"/>
    <w:rsid w:val="003D0FE2"/>
    <w:rsid w:val="003D11E9"/>
    <w:rsid w:val="003D1383"/>
    <w:rsid w:val="003D15B2"/>
    <w:rsid w:val="003D182C"/>
    <w:rsid w:val="003D18D5"/>
    <w:rsid w:val="003D19B7"/>
    <w:rsid w:val="003D1AE5"/>
    <w:rsid w:val="003D1C63"/>
    <w:rsid w:val="003D1EBC"/>
    <w:rsid w:val="003D1F1C"/>
    <w:rsid w:val="003D1F2D"/>
    <w:rsid w:val="003D2015"/>
    <w:rsid w:val="003D2023"/>
    <w:rsid w:val="003D204D"/>
    <w:rsid w:val="003D22AF"/>
    <w:rsid w:val="003D2481"/>
    <w:rsid w:val="003D250D"/>
    <w:rsid w:val="003D25B4"/>
    <w:rsid w:val="003D25BF"/>
    <w:rsid w:val="003D2673"/>
    <w:rsid w:val="003D26DE"/>
    <w:rsid w:val="003D281D"/>
    <w:rsid w:val="003D281F"/>
    <w:rsid w:val="003D294B"/>
    <w:rsid w:val="003D296A"/>
    <w:rsid w:val="003D29C5"/>
    <w:rsid w:val="003D2A0A"/>
    <w:rsid w:val="003D2AFB"/>
    <w:rsid w:val="003D2B03"/>
    <w:rsid w:val="003D2C04"/>
    <w:rsid w:val="003D2C0C"/>
    <w:rsid w:val="003D2C10"/>
    <w:rsid w:val="003D2C1E"/>
    <w:rsid w:val="003D2D12"/>
    <w:rsid w:val="003D2D58"/>
    <w:rsid w:val="003D2E0C"/>
    <w:rsid w:val="003D2E5E"/>
    <w:rsid w:val="003D2EA9"/>
    <w:rsid w:val="003D3115"/>
    <w:rsid w:val="003D3116"/>
    <w:rsid w:val="003D3253"/>
    <w:rsid w:val="003D334C"/>
    <w:rsid w:val="003D340E"/>
    <w:rsid w:val="003D3468"/>
    <w:rsid w:val="003D34FF"/>
    <w:rsid w:val="003D351A"/>
    <w:rsid w:val="003D36A8"/>
    <w:rsid w:val="003D386F"/>
    <w:rsid w:val="003D38A5"/>
    <w:rsid w:val="003D38C1"/>
    <w:rsid w:val="003D3A40"/>
    <w:rsid w:val="003D3AD1"/>
    <w:rsid w:val="003D3AED"/>
    <w:rsid w:val="003D3B05"/>
    <w:rsid w:val="003D3B67"/>
    <w:rsid w:val="003D3B74"/>
    <w:rsid w:val="003D3CB6"/>
    <w:rsid w:val="003D3CE7"/>
    <w:rsid w:val="003D3D2B"/>
    <w:rsid w:val="003D3DE7"/>
    <w:rsid w:val="003D3DF3"/>
    <w:rsid w:val="003D3EDB"/>
    <w:rsid w:val="003D3F49"/>
    <w:rsid w:val="003D4049"/>
    <w:rsid w:val="003D4058"/>
    <w:rsid w:val="003D42F9"/>
    <w:rsid w:val="003D4329"/>
    <w:rsid w:val="003D435F"/>
    <w:rsid w:val="003D4497"/>
    <w:rsid w:val="003D44B2"/>
    <w:rsid w:val="003D44D7"/>
    <w:rsid w:val="003D465C"/>
    <w:rsid w:val="003D46F6"/>
    <w:rsid w:val="003D47B4"/>
    <w:rsid w:val="003D47B7"/>
    <w:rsid w:val="003D48E2"/>
    <w:rsid w:val="003D4A03"/>
    <w:rsid w:val="003D4B04"/>
    <w:rsid w:val="003D4BD7"/>
    <w:rsid w:val="003D4D35"/>
    <w:rsid w:val="003D51A8"/>
    <w:rsid w:val="003D51DA"/>
    <w:rsid w:val="003D5200"/>
    <w:rsid w:val="003D52AA"/>
    <w:rsid w:val="003D5374"/>
    <w:rsid w:val="003D544B"/>
    <w:rsid w:val="003D5450"/>
    <w:rsid w:val="003D5528"/>
    <w:rsid w:val="003D554E"/>
    <w:rsid w:val="003D5606"/>
    <w:rsid w:val="003D5660"/>
    <w:rsid w:val="003D57ED"/>
    <w:rsid w:val="003D58CD"/>
    <w:rsid w:val="003D58E5"/>
    <w:rsid w:val="003D5A69"/>
    <w:rsid w:val="003D5AFA"/>
    <w:rsid w:val="003D5F33"/>
    <w:rsid w:val="003D5F5F"/>
    <w:rsid w:val="003D5FA9"/>
    <w:rsid w:val="003D6011"/>
    <w:rsid w:val="003D633A"/>
    <w:rsid w:val="003D6470"/>
    <w:rsid w:val="003D6695"/>
    <w:rsid w:val="003D671E"/>
    <w:rsid w:val="003D6727"/>
    <w:rsid w:val="003D67A3"/>
    <w:rsid w:val="003D68FF"/>
    <w:rsid w:val="003D6A8B"/>
    <w:rsid w:val="003D6CD0"/>
    <w:rsid w:val="003D6DCC"/>
    <w:rsid w:val="003D6DEB"/>
    <w:rsid w:val="003D6EA4"/>
    <w:rsid w:val="003D6EEA"/>
    <w:rsid w:val="003D6F2E"/>
    <w:rsid w:val="003D6F43"/>
    <w:rsid w:val="003D7119"/>
    <w:rsid w:val="003D72C3"/>
    <w:rsid w:val="003D7302"/>
    <w:rsid w:val="003D730E"/>
    <w:rsid w:val="003D7333"/>
    <w:rsid w:val="003D73DF"/>
    <w:rsid w:val="003D7402"/>
    <w:rsid w:val="003D742E"/>
    <w:rsid w:val="003D74CF"/>
    <w:rsid w:val="003D757E"/>
    <w:rsid w:val="003D7721"/>
    <w:rsid w:val="003D77B7"/>
    <w:rsid w:val="003D7813"/>
    <w:rsid w:val="003D787E"/>
    <w:rsid w:val="003D78F0"/>
    <w:rsid w:val="003D78F5"/>
    <w:rsid w:val="003D7900"/>
    <w:rsid w:val="003D793E"/>
    <w:rsid w:val="003D7C33"/>
    <w:rsid w:val="003D7D6A"/>
    <w:rsid w:val="003D7EDB"/>
    <w:rsid w:val="003E00FA"/>
    <w:rsid w:val="003E02CA"/>
    <w:rsid w:val="003E02D9"/>
    <w:rsid w:val="003E0376"/>
    <w:rsid w:val="003E03B2"/>
    <w:rsid w:val="003E04B1"/>
    <w:rsid w:val="003E0521"/>
    <w:rsid w:val="003E0577"/>
    <w:rsid w:val="003E0643"/>
    <w:rsid w:val="003E0706"/>
    <w:rsid w:val="003E0710"/>
    <w:rsid w:val="003E0741"/>
    <w:rsid w:val="003E075E"/>
    <w:rsid w:val="003E07A2"/>
    <w:rsid w:val="003E07F4"/>
    <w:rsid w:val="003E08D5"/>
    <w:rsid w:val="003E092D"/>
    <w:rsid w:val="003E0980"/>
    <w:rsid w:val="003E0AEF"/>
    <w:rsid w:val="003E0B29"/>
    <w:rsid w:val="003E0C68"/>
    <w:rsid w:val="003E0D57"/>
    <w:rsid w:val="003E0DAA"/>
    <w:rsid w:val="003E0DE0"/>
    <w:rsid w:val="003E0DFA"/>
    <w:rsid w:val="003E0E0C"/>
    <w:rsid w:val="003E0E46"/>
    <w:rsid w:val="003E0F4E"/>
    <w:rsid w:val="003E1038"/>
    <w:rsid w:val="003E111A"/>
    <w:rsid w:val="003E1169"/>
    <w:rsid w:val="003E12AA"/>
    <w:rsid w:val="003E12CC"/>
    <w:rsid w:val="003E131C"/>
    <w:rsid w:val="003E1358"/>
    <w:rsid w:val="003E1466"/>
    <w:rsid w:val="003E1638"/>
    <w:rsid w:val="003E163E"/>
    <w:rsid w:val="003E1659"/>
    <w:rsid w:val="003E1749"/>
    <w:rsid w:val="003E1A0C"/>
    <w:rsid w:val="003E1A15"/>
    <w:rsid w:val="003E1B16"/>
    <w:rsid w:val="003E1B58"/>
    <w:rsid w:val="003E1C63"/>
    <w:rsid w:val="003E1D29"/>
    <w:rsid w:val="003E20BF"/>
    <w:rsid w:val="003E20F8"/>
    <w:rsid w:val="003E214C"/>
    <w:rsid w:val="003E2245"/>
    <w:rsid w:val="003E227D"/>
    <w:rsid w:val="003E2380"/>
    <w:rsid w:val="003E2599"/>
    <w:rsid w:val="003E261C"/>
    <w:rsid w:val="003E2624"/>
    <w:rsid w:val="003E27AA"/>
    <w:rsid w:val="003E285E"/>
    <w:rsid w:val="003E2892"/>
    <w:rsid w:val="003E28FD"/>
    <w:rsid w:val="003E2BBA"/>
    <w:rsid w:val="003E2C7C"/>
    <w:rsid w:val="003E2C94"/>
    <w:rsid w:val="003E2D6B"/>
    <w:rsid w:val="003E2D71"/>
    <w:rsid w:val="003E2F17"/>
    <w:rsid w:val="003E2F5E"/>
    <w:rsid w:val="003E2F5F"/>
    <w:rsid w:val="003E2FA2"/>
    <w:rsid w:val="003E323B"/>
    <w:rsid w:val="003E33A0"/>
    <w:rsid w:val="003E33A5"/>
    <w:rsid w:val="003E3459"/>
    <w:rsid w:val="003E35CD"/>
    <w:rsid w:val="003E3609"/>
    <w:rsid w:val="003E3623"/>
    <w:rsid w:val="003E3696"/>
    <w:rsid w:val="003E3897"/>
    <w:rsid w:val="003E3960"/>
    <w:rsid w:val="003E3A78"/>
    <w:rsid w:val="003E3AB6"/>
    <w:rsid w:val="003E3B3C"/>
    <w:rsid w:val="003E3B93"/>
    <w:rsid w:val="003E3C12"/>
    <w:rsid w:val="003E3C8C"/>
    <w:rsid w:val="003E3CDB"/>
    <w:rsid w:val="003E3D8E"/>
    <w:rsid w:val="003E4037"/>
    <w:rsid w:val="003E42F8"/>
    <w:rsid w:val="003E4397"/>
    <w:rsid w:val="003E4462"/>
    <w:rsid w:val="003E4600"/>
    <w:rsid w:val="003E46CC"/>
    <w:rsid w:val="003E481C"/>
    <w:rsid w:val="003E4835"/>
    <w:rsid w:val="003E49D5"/>
    <w:rsid w:val="003E49D9"/>
    <w:rsid w:val="003E4AC3"/>
    <w:rsid w:val="003E4C1F"/>
    <w:rsid w:val="003E4CA4"/>
    <w:rsid w:val="003E4D5D"/>
    <w:rsid w:val="003E4E14"/>
    <w:rsid w:val="003E4E9F"/>
    <w:rsid w:val="003E4EEE"/>
    <w:rsid w:val="003E4F5B"/>
    <w:rsid w:val="003E51C3"/>
    <w:rsid w:val="003E51D6"/>
    <w:rsid w:val="003E51F8"/>
    <w:rsid w:val="003E527D"/>
    <w:rsid w:val="003E52C7"/>
    <w:rsid w:val="003E536E"/>
    <w:rsid w:val="003E53F5"/>
    <w:rsid w:val="003E542C"/>
    <w:rsid w:val="003E549A"/>
    <w:rsid w:val="003E550A"/>
    <w:rsid w:val="003E5574"/>
    <w:rsid w:val="003E55EE"/>
    <w:rsid w:val="003E5697"/>
    <w:rsid w:val="003E571F"/>
    <w:rsid w:val="003E58C6"/>
    <w:rsid w:val="003E5B48"/>
    <w:rsid w:val="003E5C67"/>
    <w:rsid w:val="003E5CA5"/>
    <w:rsid w:val="003E5D77"/>
    <w:rsid w:val="003E5DBA"/>
    <w:rsid w:val="003E5E09"/>
    <w:rsid w:val="003E5F05"/>
    <w:rsid w:val="003E608A"/>
    <w:rsid w:val="003E6242"/>
    <w:rsid w:val="003E6243"/>
    <w:rsid w:val="003E64F7"/>
    <w:rsid w:val="003E6523"/>
    <w:rsid w:val="003E6529"/>
    <w:rsid w:val="003E657B"/>
    <w:rsid w:val="003E6736"/>
    <w:rsid w:val="003E6745"/>
    <w:rsid w:val="003E6824"/>
    <w:rsid w:val="003E689D"/>
    <w:rsid w:val="003E691F"/>
    <w:rsid w:val="003E6951"/>
    <w:rsid w:val="003E6991"/>
    <w:rsid w:val="003E69AB"/>
    <w:rsid w:val="003E6B90"/>
    <w:rsid w:val="003E6DCF"/>
    <w:rsid w:val="003E6DE2"/>
    <w:rsid w:val="003E6F43"/>
    <w:rsid w:val="003E6F94"/>
    <w:rsid w:val="003E7030"/>
    <w:rsid w:val="003E7072"/>
    <w:rsid w:val="003E709B"/>
    <w:rsid w:val="003E7124"/>
    <w:rsid w:val="003E7389"/>
    <w:rsid w:val="003E73AD"/>
    <w:rsid w:val="003E7525"/>
    <w:rsid w:val="003E75B1"/>
    <w:rsid w:val="003E76D6"/>
    <w:rsid w:val="003E77BE"/>
    <w:rsid w:val="003E77E1"/>
    <w:rsid w:val="003E7805"/>
    <w:rsid w:val="003E7893"/>
    <w:rsid w:val="003E7903"/>
    <w:rsid w:val="003E7A28"/>
    <w:rsid w:val="003E7AB3"/>
    <w:rsid w:val="003E7AC8"/>
    <w:rsid w:val="003E7BDE"/>
    <w:rsid w:val="003E7BFE"/>
    <w:rsid w:val="003E7CA5"/>
    <w:rsid w:val="003E7D84"/>
    <w:rsid w:val="003E7DAF"/>
    <w:rsid w:val="003E7DF1"/>
    <w:rsid w:val="003E7EEF"/>
    <w:rsid w:val="003E7F89"/>
    <w:rsid w:val="003E7FE4"/>
    <w:rsid w:val="003F002C"/>
    <w:rsid w:val="003F007E"/>
    <w:rsid w:val="003F00EB"/>
    <w:rsid w:val="003F019D"/>
    <w:rsid w:val="003F02E1"/>
    <w:rsid w:val="003F0309"/>
    <w:rsid w:val="003F03ED"/>
    <w:rsid w:val="003F0466"/>
    <w:rsid w:val="003F046B"/>
    <w:rsid w:val="003F0493"/>
    <w:rsid w:val="003F053C"/>
    <w:rsid w:val="003F05E9"/>
    <w:rsid w:val="003F0664"/>
    <w:rsid w:val="003F06A7"/>
    <w:rsid w:val="003F087E"/>
    <w:rsid w:val="003F0922"/>
    <w:rsid w:val="003F0996"/>
    <w:rsid w:val="003F099F"/>
    <w:rsid w:val="003F0C43"/>
    <w:rsid w:val="003F0CB6"/>
    <w:rsid w:val="003F0D59"/>
    <w:rsid w:val="003F0D91"/>
    <w:rsid w:val="003F0E12"/>
    <w:rsid w:val="003F100B"/>
    <w:rsid w:val="003F108A"/>
    <w:rsid w:val="003F10F6"/>
    <w:rsid w:val="003F119E"/>
    <w:rsid w:val="003F1271"/>
    <w:rsid w:val="003F1298"/>
    <w:rsid w:val="003F1331"/>
    <w:rsid w:val="003F13BA"/>
    <w:rsid w:val="003F1517"/>
    <w:rsid w:val="003F154A"/>
    <w:rsid w:val="003F1638"/>
    <w:rsid w:val="003F169C"/>
    <w:rsid w:val="003F16EE"/>
    <w:rsid w:val="003F175C"/>
    <w:rsid w:val="003F17DF"/>
    <w:rsid w:val="003F19CA"/>
    <w:rsid w:val="003F1A3A"/>
    <w:rsid w:val="003F1A8A"/>
    <w:rsid w:val="003F1AEA"/>
    <w:rsid w:val="003F1B8B"/>
    <w:rsid w:val="003F1D9C"/>
    <w:rsid w:val="003F1EDD"/>
    <w:rsid w:val="003F1FFE"/>
    <w:rsid w:val="003F202D"/>
    <w:rsid w:val="003F2038"/>
    <w:rsid w:val="003F2175"/>
    <w:rsid w:val="003F221C"/>
    <w:rsid w:val="003F2226"/>
    <w:rsid w:val="003F23C1"/>
    <w:rsid w:val="003F2487"/>
    <w:rsid w:val="003F26A4"/>
    <w:rsid w:val="003F28C3"/>
    <w:rsid w:val="003F2ABE"/>
    <w:rsid w:val="003F2BEF"/>
    <w:rsid w:val="003F2E09"/>
    <w:rsid w:val="003F3159"/>
    <w:rsid w:val="003F32AA"/>
    <w:rsid w:val="003F3412"/>
    <w:rsid w:val="003F351E"/>
    <w:rsid w:val="003F3562"/>
    <w:rsid w:val="003F35B3"/>
    <w:rsid w:val="003F35F4"/>
    <w:rsid w:val="003F3639"/>
    <w:rsid w:val="003F36C4"/>
    <w:rsid w:val="003F3792"/>
    <w:rsid w:val="003F38A3"/>
    <w:rsid w:val="003F39EB"/>
    <w:rsid w:val="003F3A26"/>
    <w:rsid w:val="003F3A50"/>
    <w:rsid w:val="003F3D7E"/>
    <w:rsid w:val="003F3E8E"/>
    <w:rsid w:val="003F4033"/>
    <w:rsid w:val="003F406E"/>
    <w:rsid w:val="003F40BD"/>
    <w:rsid w:val="003F4147"/>
    <w:rsid w:val="003F43D5"/>
    <w:rsid w:val="003F4425"/>
    <w:rsid w:val="003F444A"/>
    <w:rsid w:val="003F448E"/>
    <w:rsid w:val="003F455A"/>
    <w:rsid w:val="003F457C"/>
    <w:rsid w:val="003F46C2"/>
    <w:rsid w:val="003F47A6"/>
    <w:rsid w:val="003F47DF"/>
    <w:rsid w:val="003F4865"/>
    <w:rsid w:val="003F4880"/>
    <w:rsid w:val="003F4886"/>
    <w:rsid w:val="003F4A37"/>
    <w:rsid w:val="003F4BCC"/>
    <w:rsid w:val="003F4C12"/>
    <w:rsid w:val="003F4C58"/>
    <w:rsid w:val="003F4DA8"/>
    <w:rsid w:val="003F500E"/>
    <w:rsid w:val="003F5029"/>
    <w:rsid w:val="003F5145"/>
    <w:rsid w:val="003F519C"/>
    <w:rsid w:val="003F52EC"/>
    <w:rsid w:val="003F533F"/>
    <w:rsid w:val="003F53C2"/>
    <w:rsid w:val="003F5425"/>
    <w:rsid w:val="003F5527"/>
    <w:rsid w:val="003F554A"/>
    <w:rsid w:val="003F55DC"/>
    <w:rsid w:val="003F5718"/>
    <w:rsid w:val="003F5724"/>
    <w:rsid w:val="003F5774"/>
    <w:rsid w:val="003F584F"/>
    <w:rsid w:val="003F58FC"/>
    <w:rsid w:val="003F595B"/>
    <w:rsid w:val="003F5AF8"/>
    <w:rsid w:val="003F5B46"/>
    <w:rsid w:val="003F5B6F"/>
    <w:rsid w:val="003F5B90"/>
    <w:rsid w:val="003F5BAF"/>
    <w:rsid w:val="003F5C10"/>
    <w:rsid w:val="003F5C58"/>
    <w:rsid w:val="003F5C77"/>
    <w:rsid w:val="003F5CCA"/>
    <w:rsid w:val="003F5CCF"/>
    <w:rsid w:val="003F5CF1"/>
    <w:rsid w:val="003F5E10"/>
    <w:rsid w:val="003F5EE9"/>
    <w:rsid w:val="003F5F2B"/>
    <w:rsid w:val="003F62E9"/>
    <w:rsid w:val="003F643F"/>
    <w:rsid w:val="003F645F"/>
    <w:rsid w:val="003F64D0"/>
    <w:rsid w:val="003F66EE"/>
    <w:rsid w:val="003F67B0"/>
    <w:rsid w:val="003F6CCC"/>
    <w:rsid w:val="003F6D23"/>
    <w:rsid w:val="003F6FF2"/>
    <w:rsid w:val="003F710E"/>
    <w:rsid w:val="003F717A"/>
    <w:rsid w:val="003F7202"/>
    <w:rsid w:val="003F7281"/>
    <w:rsid w:val="003F73DF"/>
    <w:rsid w:val="003F7442"/>
    <w:rsid w:val="003F7465"/>
    <w:rsid w:val="003F74E9"/>
    <w:rsid w:val="003F7505"/>
    <w:rsid w:val="003F7623"/>
    <w:rsid w:val="003F782A"/>
    <w:rsid w:val="003F7A5D"/>
    <w:rsid w:val="003F7A68"/>
    <w:rsid w:val="003F7B35"/>
    <w:rsid w:val="003F7B4C"/>
    <w:rsid w:val="003F7C79"/>
    <w:rsid w:val="003F7C8C"/>
    <w:rsid w:val="003F7C8E"/>
    <w:rsid w:val="003F7D66"/>
    <w:rsid w:val="003F7D78"/>
    <w:rsid w:val="003F7E4D"/>
    <w:rsid w:val="003F7EEF"/>
    <w:rsid w:val="003F7EFE"/>
    <w:rsid w:val="003F7F67"/>
    <w:rsid w:val="003F7F73"/>
    <w:rsid w:val="003F7FDB"/>
    <w:rsid w:val="00400069"/>
    <w:rsid w:val="00400176"/>
    <w:rsid w:val="004004AF"/>
    <w:rsid w:val="004005BF"/>
    <w:rsid w:val="0040062A"/>
    <w:rsid w:val="0040064B"/>
    <w:rsid w:val="004006A1"/>
    <w:rsid w:val="004006B8"/>
    <w:rsid w:val="004006FB"/>
    <w:rsid w:val="004008AA"/>
    <w:rsid w:val="0040091A"/>
    <w:rsid w:val="0040095B"/>
    <w:rsid w:val="004009C3"/>
    <w:rsid w:val="00400A39"/>
    <w:rsid w:val="00400AC3"/>
    <w:rsid w:val="00400C12"/>
    <w:rsid w:val="00400C5B"/>
    <w:rsid w:val="00400C8E"/>
    <w:rsid w:val="00400CDC"/>
    <w:rsid w:val="00400D6F"/>
    <w:rsid w:val="00400DCC"/>
    <w:rsid w:val="00400F85"/>
    <w:rsid w:val="00401108"/>
    <w:rsid w:val="00401141"/>
    <w:rsid w:val="00401147"/>
    <w:rsid w:val="004011C1"/>
    <w:rsid w:val="004012C9"/>
    <w:rsid w:val="004012CE"/>
    <w:rsid w:val="00401399"/>
    <w:rsid w:val="00401515"/>
    <w:rsid w:val="0040162F"/>
    <w:rsid w:val="0040169E"/>
    <w:rsid w:val="00401760"/>
    <w:rsid w:val="0040179F"/>
    <w:rsid w:val="004017B9"/>
    <w:rsid w:val="00401834"/>
    <w:rsid w:val="004019E6"/>
    <w:rsid w:val="00401A05"/>
    <w:rsid w:val="00401A11"/>
    <w:rsid w:val="00401A30"/>
    <w:rsid w:val="00401A75"/>
    <w:rsid w:val="00401AD6"/>
    <w:rsid w:val="00401B0D"/>
    <w:rsid w:val="00401B40"/>
    <w:rsid w:val="00401DBC"/>
    <w:rsid w:val="00401DFB"/>
    <w:rsid w:val="00401F2A"/>
    <w:rsid w:val="00401FE6"/>
    <w:rsid w:val="00402091"/>
    <w:rsid w:val="00402129"/>
    <w:rsid w:val="004021D8"/>
    <w:rsid w:val="004021DC"/>
    <w:rsid w:val="0040222E"/>
    <w:rsid w:val="0040236D"/>
    <w:rsid w:val="0040261B"/>
    <w:rsid w:val="0040277E"/>
    <w:rsid w:val="004027D2"/>
    <w:rsid w:val="00402839"/>
    <w:rsid w:val="0040297A"/>
    <w:rsid w:val="00402BBF"/>
    <w:rsid w:val="00402D73"/>
    <w:rsid w:val="00402D7F"/>
    <w:rsid w:val="00402E7C"/>
    <w:rsid w:val="00402ED3"/>
    <w:rsid w:val="004031B5"/>
    <w:rsid w:val="00403280"/>
    <w:rsid w:val="004032CB"/>
    <w:rsid w:val="00403657"/>
    <w:rsid w:val="004036B2"/>
    <w:rsid w:val="004037CF"/>
    <w:rsid w:val="00403834"/>
    <w:rsid w:val="00403A3F"/>
    <w:rsid w:val="00403AA5"/>
    <w:rsid w:val="00403AF4"/>
    <w:rsid w:val="00403BDF"/>
    <w:rsid w:val="00403BE2"/>
    <w:rsid w:val="00403BED"/>
    <w:rsid w:val="00403C0C"/>
    <w:rsid w:val="00403C6D"/>
    <w:rsid w:val="00403D65"/>
    <w:rsid w:val="00403DBA"/>
    <w:rsid w:val="00403E16"/>
    <w:rsid w:val="00403E79"/>
    <w:rsid w:val="00403EA1"/>
    <w:rsid w:val="00403FF3"/>
    <w:rsid w:val="004041D2"/>
    <w:rsid w:val="004041F0"/>
    <w:rsid w:val="004043A1"/>
    <w:rsid w:val="00404482"/>
    <w:rsid w:val="00404549"/>
    <w:rsid w:val="00404617"/>
    <w:rsid w:val="0040469B"/>
    <w:rsid w:val="004046E7"/>
    <w:rsid w:val="004046F3"/>
    <w:rsid w:val="00404772"/>
    <w:rsid w:val="004047B3"/>
    <w:rsid w:val="004047D8"/>
    <w:rsid w:val="00404816"/>
    <w:rsid w:val="004048E1"/>
    <w:rsid w:val="00404984"/>
    <w:rsid w:val="004049A3"/>
    <w:rsid w:val="00404A57"/>
    <w:rsid w:val="00404ABA"/>
    <w:rsid w:val="00404B2E"/>
    <w:rsid w:val="00404BD6"/>
    <w:rsid w:val="00404C36"/>
    <w:rsid w:val="00404D5D"/>
    <w:rsid w:val="00404E25"/>
    <w:rsid w:val="00404EB8"/>
    <w:rsid w:val="00404F09"/>
    <w:rsid w:val="00404F3F"/>
    <w:rsid w:val="00404F8A"/>
    <w:rsid w:val="004050F0"/>
    <w:rsid w:val="00405207"/>
    <w:rsid w:val="00405285"/>
    <w:rsid w:val="00405577"/>
    <w:rsid w:val="00405595"/>
    <w:rsid w:val="004055C1"/>
    <w:rsid w:val="00405628"/>
    <w:rsid w:val="00405810"/>
    <w:rsid w:val="00405866"/>
    <w:rsid w:val="004059A8"/>
    <w:rsid w:val="00405A13"/>
    <w:rsid w:val="00405A32"/>
    <w:rsid w:val="00405A6E"/>
    <w:rsid w:val="00405A9D"/>
    <w:rsid w:val="00405AF8"/>
    <w:rsid w:val="00405B55"/>
    <w:rsid w:val="00405CA1"/>
    <w:rsid w:val="00405CAF"/>
    <w:rsid w:val="00405F35"/>
    <w:rsid w:val="00405F49"/>
    <w:rsid w:val="00405FFF"/>
    <w:rsid w:val="0040604E"/>
    <w:rsid w:val="00406176"/>
    <w:rsid w:val="004061C4"/>
    <w:rsid w:val="004061C8"/>
    <w:rsid w:val="00406205"/>
    <w:rsid w:val="004062DF"/>
    <w:rsid w:val="0040638E"/>
    <w:rsid w:val="00406455"/>
    <w:rsid w:val="00406482"/>
    <w:rsid w:val="00406498"/>
    <w:rsid w:val="004064FF"/>
    <w:rsid w:val="00406520"/>
    <w:rsid w:val="00406683"/>
    <w:rsid w:val="00406712"/>
    <w:rsid w:val="00406873"/>
    <w:rsid w:val="00406910"/>
    <w:rsid w:val="00406964"/>
    <w:rsid w:val="0040698B"/>
    <w:rsid w:val="00406A52"/>
    <w:rsid w:val="00406CFD"/>
    <w:rsid w:val="00406DA1"/>
    <w:rsid w:val="00406E6A"/>
    <w:rsid w:val="00406F90"/>
    <w:rsid w:val="00406FF0"/>
    <w:rsid w:val="0040705A"/>
    <w:rsid w:val="00407242"/>
    <w:rsid w:val="00407243"/>
    <w:rsid w:val="004072B9"/>
    <w:rsid w:val="004073CA"/>
    <w:rsid w:val="00407414"/>
    <w:rsid w:val="00407450"/>
    <w:rsid w:val="004075B5"/>
    <w:rsid w:val="0040761B"/>
    <w:rsid w:val="004076C3"/>
    <w:rsid w:val="00407760"/>
    <w:rsid w:val="004077F7"/>
    <w:rsid w:val="00407886"/>
    <w:rsid w:val="0040790C"/>
    <w:rsid w:val="00407929"/>
    <w:rsid w:val="00407966"/>
    <w:rsid w:val="004079A1"/>
    <w:rsid w:val="004079AD"/>
    <w:rsid w:val="004079C5"/>
    <w:rsid w:val="004079FA"/>
    <w:rsid w:val="00407A68"/>
    <w:rsid w:val="00407ACA"/>
    <w:rsid w:val="00407B68"/>
    <w:rsid w:val="00407D13"/>
    <w:rsid w:val="00407D32"/>
    <w:rsid w:val="00407DA1"/>
    <w:rsid w:val="00407E66"/>
    <w:rsid w:val="00407F0F"/>
    <w:rsid w:val="004100BE"/>
    <w:rsid w:val="004100F3"/>
    <w:rsid w:val="00410184"/>
    <w:rsid w:val="004101B6"/>
    <w:rsid w:val="004101DD"/>
    <w:rsid w:val="004101E0"/>
    <w:rsid w:val="00410257"/>
    <w:rsid w:val="00410355"/>
    <w:rsid w:val="00410557"/>
    <w:rsid w:val="00410610"/>
    <w:rsid w:val="004106AA"/>
    <w:rsid w:val="00410792"/>
    <w:rsid w:val="0041079B"/>
    <w:rsid w:val="004107C3"/>
    <w:rsid w:val="004107D9"/>
    <w:rsid w:val="004108E2"/>
    <w:rsid w:val="00410987"/>
    <w:rsid w:val="004109C0"/>
    <w:rsid w:val="00410A03"/>
    <w:rsid w:val="00410A2D"/>
    <w:rsid w:val="00410AEB"/>
    <w:rsid w:val="00410C2E"/>
    <w:rsid w:val="00410D8C"/>
    <w:rsid w:val="00410DAE"/>
    <w:rsid w:val="00410DBD"/>
    <w:rsid w:val="00410E9D"/>
    <w:rsid w:val="00410F1F"/>
    <w:rsid w:val="00410FEF"/>
    <w:rsid w:val="004111DD"/>
    <w:rsid w:val="004112F1"/>
    <w:rsid w:val="00411430"/>
    <w:rsid w:val="004114AB"/>
    <w:rsid w:val="004114B9"/>
    <w:rsid w:val="00411605"/>
    <w:rsid w:val="0041162A"/>
    <w:rsid w:val="004116AD"/>
    <w:rsid w:val="0041175C"/>
    <w:rsid w:val="0041183D"/>
    <w:rsid w:val="0041198B"/>
    <w:rsid w:val="00411BA6"/>
    <w:rsid w:val="00411BEE"/>
    <w:rsid w:val="00411FB9"/>
    <w:rsid w:val="00411FD5"/>
    <w:rsid w:val="004121BD"/>
    <w:rsid w:val="00412215"/>
    <w:rsid w:val="0041223F"/>
    <w:rsid w:val="00412331"/>
    <w:rsid w:val="00412346"/>
    <w:rsid w:val="004123E4"/>
    <w:rsid w:val="00412517"/>
    <w:rsid w:val="004127C1"/>
    <w:rsid w:val="004127E5"/>
    <w:rsid w:val="00412810"/>
    <w:rsid w:val="00412877"/>
    <w:rsid w:val="00412898"/>
    <w:rsid w:val="00412A4C"/>
    <w:rsid w:val="00412A86"/>
    <w:rsid w:val="00412C07"/>
    <w:rsid w:val="00412C4D"/>
    <w:rsid w:val="00412CC5"/>
    <w:rsid w:val="00412D06"/>
    <w:rsid w:val="00412DFD"/>
    <w:rsid w:val="00412F7B"/>
    <w:rsid w:val="00412FC6"/>
    <w:rsid w:val="00413004"/>
    <w:rsid w:val="004130C7"/>
    <w:rsid w:val="004130F0"/>
    <w:rsid w:val="0041329A"/>
    <w:rsid w:val="004133CB"/>
    <w:rsid w:val="004133F1"/>
    <w:rsid w:val="00413448"/>
    <w:rsid w:val="00413489"/>
    <w:rsid w:val="00413531"/>
    <w:rsid w:val="004135D0"/>
    <w:rsid w:val="0041360F"/>
    <w:rsid w:val="004136B9"/>
    <w:rsid w:val="00413888"/>
    <w:rsid w:val="0041391C"/>
    <w:rsid w:val="00413991"/>
    <w:rsid w:val="00413AF4"/>
    <w:rsid w:val="00413B4A"/>
    <w:rsid w:val="00413B71"/>
    <w:rsid w:val="00413C11"/>
    <w:rsid w:val="00413D25"/>
    <w:rsid w:val="00413E12"/>
    <w:rsid w:val="00413E21"/>
    <w:rsid w:val="00413E8E"/>
    <w:rsid w:val="00413EE1"/>
    <w:rsid w:val="00413F0C"/>
    <w:rsid w:val="004142CB"/>
    <w:rsid w:val="00414546"/>
    <w:rsid w:val="004145BA"/>
    <w:rsid w:val="00414624"/>
    <w:rsid w:val="004146A0"/>
    <w:rsid w:val="0041474B"/>
    <w:rsid w:val="00414819"/>
    <w:rsid w:val="00414B21"/>
    <w:rsid w:val="00414B48"/>
    <w:rsid w:val="00414B5A"/>
    <w:rsid w:val="00414C9D"/>
    <w:rsid w:val="00414CA5"/>
    <w:rsid w:val="00414CCF"/>
    <w:rsid w:val="00414CD1"/>
    <w:rsid w:val="00414CE6"/>
    <w:rsid w:val="0041517A"/>
    <w:rsid w:val="0041518A"/>
    <w:rsid w:val="004152C4"/>
    <w:rsid w:val="00415331"/>
    <w:rsid w:val="00415379"/>
    <w:rsid w:val="004153D2"/>
    <w:rsid w:val="004154DF"/>
    <w:rsid w:val="00415565"/>
    <w:rsid w:val="0041564A"/>
    <w:rsid w:val="00415930"/>
    <w:rsid w:val="00415CA3"/>
    <w:rsid w:val="00415CFB"/>
    <w:rsid w:val="00415D0E"/>
    <w:rsid w:val="00415D30"/>
    <w:rsid w:val="00415E1C"/>
    <w:rsid w:val="00415F14"/>
    <w:rsid w:val="00415F38"/>
    <w:rsid w:val="00415FB2"/>
    <w:rsid w:val="00416007"/>
    <w:rsid w:val="0041605D"/>
    <w:rsid w:val="00416172"/>
    <w:rsid w:val="004161B9"/>
    <w:rsid w:val="00416228"/>
    <w:rsid w:val="0041622B"/>
    <w:rsid w:val="00416488"/>
    <w:rsid w:val="00416547"/>
    <w:rsid w:val="00416739"/>
    <w:rsid w:val="004167B2"/>
    <w:rsid w:val="004168BA"/>
    <w:rsid w:val="0041697B"/>
    <w:rsid w:val="00416A21"/>
    <w:rsid w:val="00416AD3"/>
    <w:rsid w:val="00416BE1"/>
    <w:rsid w:val="00416DBA"/>
    <w:rsid w:val="00416DF0"/>
    <w:rsid w:val="00416EDE"/>
    <w:rsid w:val="00416F6E"/>
    <w:rsid w:val="00417013"/>
    <w:rsid w:val="0041709D"/>
    <w:rsid w:val="00417133"/>
    <w:rsid w:val="00417137"/>
    <w:rsid w:val="00417392"/>
    <w:rsid w:val="004173AF"/>
    <w:rsid w:val="004174D0"/>
    <w:rsid w:val="00417537"/>
    <w:rsid w:val="0041756A"/>
    <w:rsid w:val="0041756E"/>
    <w:rsid w:val="004175C0"/>
    <w:rsid w:val="004175E7"/>
    <w:rsid w:val="00417609"/>
    <w:rsid w:val="0041767A"/>
    <w:rsid w:val="0041783C"/>
    <w:rsid w:val="004179B3"/>
    <w:rsid w:val="004179B6"/>
    <w:rsid w:val="00417A74"/>
    <w:rsid w:val="00417BF0"/>
    <w:rsid w:val="00417C6C"/>
    <w:rsid w:val="00417C91"/>
    <w:rsid w:val="00417D66"/>
    <w:rsid w:val="00417D7F"/>
    <w:rsid w:val="00417D93"/>
    <w:rsid w:val="00417E4B"/>
    <w:rsid w:val="00417F58"/>
    <w:rsid w:val="00417F73"/>
    <w:rsid w:val="00417FBE"/>
    <w:rsid w:val="004200CD"/>
    <w:rsid w:val="004200F8"/>
    <w:rsid w:val="00420118"/>
    <w:rsid w:val="004202AC"/>
    <w:rsid w:val="004202F8"/>
    <w:rsid w:val="0042032A"/>
    <w:rsid w:val="004203D0"/>
    <w:rsid w:val="004203F6"/>
    <w:rsid w:val="00420490"/>
    <w:rsid w:val="004205AE"/>
    <w:rsid w:val="004206CA"/>
    <w:rsid w:val="0042071E"/>
    <w:rsid w:val="00420783"/>
    <w:rsid w:val="004207BE"/>
    <w:rsid w:val="0042093D"/>
    <w:rsid w:val="00420978"/>
    <w:rsid w:val="00420AE5"/>
    <w:rsid w:val="00420B53"/>
    <w:rsid w:val="00420E1A"/>
    <w:rsid w:val="00420E40"/>
    <w:rsid w:val="0042100B"/>
    <w:rsid w:val="00421062"/>
    <w:rsid w:val="0042108A"/>
    <w:rsid w:val="004211A5"/>
    <w:rsid w:val="004211C1"/>
    <w:rsid w:val="004212DA"/>
    <w:rsid w:val="00421698"/>
    <w:rsid w:val="004216B8"/>
    <w:rsid w:val="004216E6"/>
    <w:rsid w:val="004217CD"/>
    <w:rsid w:val="0042182E"/>
    <w:rsid w:val="00421851"/>
    <w:rsid w:val="00421895"/>
    <w:rsid w:val="004218EC"/>
    <w:rsid w:val="004219C0"/>
    <w:rsid w:val="00421A0A"/>
    <w:rsid w:val="00421A2B"/>
    <w:rsid w:val="00421A53"/>
    <w:rsid w:val="00421B4A"/>
    <w:rsid w:val="00421BB3"/>
    <w:rsid w:val="00421C7D"/>
    <w:rsid w:val="00421D07"/>
    <w:rsid w:val="00421D53"/>
    <w:rsid w:val="00421F22"/>
    <w:rsid w:val="00421F5C"/>
    <w:rsid w:val="00421F9C"/>
    <w:rsid w:val="004220B9"/>
    <w:rsid w:val="004220F7"/>
    <w:rsid w:val="0042216D"/>
    <w:rsid w:val="004223EB"/>
    <w:rsid w:val="004223FB"/>
    <w:rsid w:val="0042245F"/>
    <w:rsid w:val="0042262A"/>
    <w:rsid w:val="0042277D"/>
    <w:rsid w:val="004228DA"/>
    <w:rsid w:val="00422934"/>
    <w:rsid w:val="00422B78"/>
    <w:rsid w:val="00422B79"/>
    <w:rsid w:val="00422CA0"/>
    <w:rsid w:val="00422CE3"/>
    <w:rsid w:val="00422CE5"/>
    <w:rsid w:val="00422ED2"/>
    <w:rsid w:val="00423047"/>
    <w:rsid w:val="004235BE"/>
    <w:rsid w:val="004235E5"/>
    <w:rsid w:val="0042371A"/>
    <w:rsid w:val="00423809"/>
    <w:rsid w:val="00423853"/>
    <w:rsid w:val="004239F3"/>
    <w:rsid w:val="00423A0F"/>
    <w:rsid w:val="00423A17"/>
    <w:rsid w:val="00423A62"/>
    <w:rsid w:val="00423A8C"/>
    <w:rsid w:val="00423C5E"/>
    <w:rsid w:val="00423E82"/>
    <w:rsid w:val="00423FD9"/>
    <w:rsid w:val="0042402D"/>
    <w:rsid w:val="00424116"/>
    <w:rsid w:val="004241E7"/>
    <w:rsid w:val="004242F0"/>
    <w:rsid w:val="00424449"/>
    <w:rsid w:val="00424596"/>
    <w:rsid w:val="004245D3"/>
    <w:rsid w:val="0042461D"/>
    <w:rsid w:val="0042468B"/>
    <w:rsid w:val="00424733"/>
    <w:rsid w:val="00424812"/>
    <w:rsid w:val="00424829"/>
    <w:rsid w:val="0042486E"/>
    <w:rsid w:val="0042494F"/>
    <w:rsid w:val="00424AA3"/>
    <w:rsid w:val="00424C15"/>
    <w:rsid w:val="00424C90"/>
    <w:rsid w:val="00424CC4"/>
    <w:rsid w:val="00424DC4"/>
    <w:rsid w:val="00424E7E"/>
    <w:rsid w:val="00424EBF"/>
    <w:rsid w:val="00424FCD"/>
    <w:rsid w:val="004250B5"/>
    <w:rsid w:val="004251B2"/>
    <w:rsid w:val="00425358"/>
    <w:rsid w:val="0042538B"/>
    <w:rsid w:val="004253E9"/>
    <w:rsid w:val="00425401"/>
    <w:rsid w:val="00425402"/>
    <w:rsid w:val="0042540E"/>
    <w:rsid w:val="0042552E"/>
    <w:rsid w:val="00425576"/>
    <w:rsid w:val="0042561C"/>
    <w:rsid w:val="004256A0"/>
    <w:rsid w:val="00425759"/>
    <w:rsid w:val="0042575D"/>
    <w:rsid w:val="004258B4"/>
    <w:rsid w:val="004259DF"/>
    <w:rsid w:val="00425A03"/>
    <w:rsid w:val="00425AA0"/>
    <w:rsid w:val="00425ADF"/>
    <w:rsid w:val="00425B82"/>
    <w:rsid w:val="00425C24"/>
    <w:rsid w:val="00425C3D"/>
    <w:rsid w:val="00425C81"/>
    <w:rsid w:val="00425D01"/>
    <w:rsid w:val="00425D69"/>
    <w:rsid w:val="00425D78"/>
    <w:rsid w:val="00425F92"/>
    <w:rsid w:val="00425FFB"/>
    <w:rsid w:val="004260DA"/>
    <w:rsid w:val="0042611C"/>
    <w:rsid w:val="00426203"/>
    <w:rsid w:val="004263EE"/>
    <w:rsid w:val="004264C4"/>
    <w:rsid w:val="004264F4"/>
    <w:rsid w:val="00426502"/>
    <w:rsid w:val="00426505"/>
    <w:rsid w:val="00426592"/>
    <w:rsid w:val="0042670A"/>
    <w:rsid w:val="004267F9"/>
    <w:rsid w:val="00426870"/>
    <w:rsid w:val="004268C0"/>
    <w:rsid w:val="00426912"/>
    <w:rsid w:val="004269A3"/>
    <w:rsid w:val="00426E3B"/>
    <w:rsid w:val="00426E51"/>
    <w:rsid w:val="00426F92"/>
    <w:rsid w:val="0042711F"/>
    <w:rsid w:val="004271EB"/>
    <w:rsid w:val="004272D3"/>
    <w:rsid w:val="004272D5"/>
    <w:rsid w:val="00427307"/>
    <w:rsid w:val="004275E6"/>
    <w:rsid w:val="004276F9"/>
    <w:rsid w:val="00427727"/>
    <w:rsid w:val="00427837"/>
    <w:rsid w:val="004278FB"/>
    <w:rsid w:val="00427910"/>
    <w:rsid w:val="00427939"/>
    <w:rsid w:val="00427A97"/>
    <w:rsid w:val="00427AB6"/>
    <w:rsid w:val="00427AE6"/>
    <w:rsid w:val="00427B46"/>
    <w:rsid w:val="00427B8C"/>
    <w:rsid w:val="00427C51"/>
    <w:rsid w:val="00427CEE"/>
    <w:rsid w:val="00427D1E"/>
    <w:rsid w:val="00427E2E"/>
    <w:rsid w:val="00427EB1"/>
    <w:rsid w:val="00430005"/>
    <w:rsid w:val="00430118"/>
    <w:rsid w:val="0043015D"/>
    <w:rsid w:val="004303F7"/>
    <w:rsid w:val="0043040A"/>
    <w:rsid w:val="00430502"/>
    <w:rsid w:val="004305A4"/>
    <w:rsid w:val="004306D8"/>
    <w:rsid w:val="0043070A"/>
    <w:rsid w:val="00430A34"/>
    <w:rsid w:val="00430A94"/>
    <w:rsid w:val="00430B3E"/>
    <w:rsid w:val="00430BBA"/>
    <w:rsid w:val="00430BEF"/>
    <w:rsid w:val="00430CA7"/>
    <w:rsid w:val="00430D4A"/>
    <w:rsid w:val="00430F93"/>
    <w:rsid w:val="00430F9F"/>
    <w:rsid w:val="00430FB6"/>
    <w:rsid w:val="004310F2"/>
    <w:rsid w:val="004310FC"/>
    <w:rsid w:val="00431139"/>
    <w:rsid w:val="004311B7"/>
    <w:rsid w:val="004312EF"/>
    <w:rsid w:val="00431340"/>
    <w:rsid w:val="004313FB"/>
    <w:rsid w:val="00431442"/>
    <w:rsid w:val="00431632"/>
    <w:rsid w:val="00431636"/>
    <w:rsid w:val="004316B3"/>
    <w:rsid w:val="00431782"/>
    <w:rsid w:val="00431A14"/>
    <w:rsid w:val="00431A4C"/>
    <w:rsid w:val="00431BA2"/>
    <w:rsid w:val="00431BD6"/>
    <w:rsid w:val="00431C23"/>
    <w:rsid w:val="00431CDA"/>
    <w:rsid w:val="00431DC2"/>
    <w:rsid w:val="00431EE8"/>
    <w:rsid w:val="00431F2F"/>
    <w:rsid w:val="00431F93"/>
    <w:rsid w:val="0043207B"/>
    <w:rsid w:val="004320B5"/>
    <w:rsid w:val="00432186"/>
    <w:rsid w:val="004321E7"/>
    <w:rsid w:val="004321FD"/>
    <w:rsid w:val="004322A3"/>
    <w:rsid w:val="004323B7"/>
    <w:rsid w:val="004324E1"/>
    <w:rsid w:val="0043255E"/>
    <w:rsid w:val="004329AA"/>
    <w:rsid w:val="00432B39"/>
    <w:rsid w:val="00432C98"/>
    <w:rsid w:val="00432DC7"/>
    <w:rsid w:val="00432EA9"/>
    <w:rsid w:val="00432EB2"/>
    <w:rsid w:val="004330CC"/>
    <w:rsid w:val="0043318B"/>
    <w:rsid w:val="0043320F"/>
    <w:rsid w:val="004333DF"/>
    <w:rsid w:val="004334B1"/>
    <w:rsid w:val="00433725"/>
    <w:rsid w:val="0043374B"/>
    <w:rsid w:val="00433870"/>
    <w:rsid w:val="004338E5"/>
    <w:rsid w:val="0043390B"/>
    <w:rsid w:val="00433A57"/>
    <w:rsid w:val="00433AFC"/>
    <w:rsid w:val="00433B4A"/>
    <w:rsid w:val="00433CBC"/>
    <w:rsid w:val="00433D40"/>
    <w:rsid w:val="00433D8D"/>
    <w:rsid w:val="00433E19"/>
    <w:rsid w:val="00433ECB"/>
    <w:rsid w:val="00434058"/>
    <w:rsid w:val="0043408E"/>
    <w:rsid w:val="0043409C"/>
    <w:rsid w:val="0043422A"/>
    <w:rsid w:val="00434255"/>
    <w:rsid w:val="004342E3"/>
    <w:rsid w:val="0043437A"/>
    <w:rsid w:val="00434392"/>
    <w:rsid w:val="004343C5"/>
    <w:rsid w:val="00434420"/>
    <w:rsid w:val="0043444B"/>
    <w:rsid w:val="00434596"/>
    <w:rsid w:val="004346CF"/>
    <w:rsid w:val="00434711"/>
    <w:rsid w:val="0043494C"/>
    <w:rsid w:val="00434A25"/>
    <w:rsid w:val="00434A6C"/>
    <w:rsid w:val="00434B28"/>
    <w:rsid w:val="00434BF1"/>
    <w:rsid w:val="00434D2A"/>
    <w:rsid w:val="00434DDF"/>
    <w:rsid w:val="00434DF6"/>
    <w:rsid w:val="00434EB7"/>
    <w:rsid w:val="00434F89"/>
    <w:rsid w:val="00435263"/>
    <w:rsid w:val="0043542F"/>
    <w:rsid w:val="004354FD"/>
    <w:rsid w:val="004355DF"/>
    <w:rsid w:val="004356EC"/>
    <w:rsid w:val="00435728"/>
    <w:rsid w:val="004357DC"/>
    <w:rsid w:val="00435840"/>
    <w:rsid w:val="00435A00"/>
    <w:rsid w:val="00435A33"/>
    <w:rsid w:val="00435AD6"/>
    <w:rsid w:val="00435B98"/>
    <w:rsid w:val="00435C7E"/>
    <w:rsid w:val="00435CEF"/>
    <w:rsid w:val="00435DB8"/>
    <w:rsid w:val="00435DE0"/>
    <w:rsid w:val="00435E4E"/>
    <w:rsid w:val="00435F10"/>
    <w:rsid w:val="00435F51"/>
    <w:rsid w:val="0043601D"/>
    <w:rsid w:val="00436104"/>
    <w:rsid w:val="0043622A"/>
    <w:rsid w:val="00436392"/>
    <w:rsid w:val="004363F4"/>
    <w:rsid w:val="004364CE"/>
    <w:rsid w:val="00436559"/>
    <w:rsid w:val="00436609"/>
    <w:rsid w:val="0043670A"/>
    <w:rsid w:val="0043673C"/>
    <w:rsid w:val="0043675B"/>
    <w:rsid w:val="004367EA"/>
    <w:rsid w:val="0043684D"/>
    <w:rsid w:val="00436931"/>
    <w:rsid w:val="00436946"/>
    <w:rsid w:val="004369A6"/>
    <w:rsid w:val="00436AD2"/>
    <w:rsid w:val="00436B18"/>
    <w:rsid w:val="00436E0D"/>
    <w:rsid w:val="00436E5A"/>
    <w:rsid w:val="00436F9E"/>
    <w:rsid w:val="004370F7"/>
    <w:rsid w:val="00437116"/>
    <w:rsid w:val="0043715C"/>
    <w:rsid w:val="004372A4"/>
    <w:rsid w:val="00437411"/>
    <w:rsid w:val="00437428"/>
    <w:rsid w:val="004374C5"/>
    <w:rsid w:val="00437595"/>
    <w:rsid w:val="004375E9"/>
    <w:rsid w:val="00437673"/>
    <w:rsid w:val="004376E6"/>
    <w:rsid w:val="00437731"/>
    <w:rsid w:val="0043784E"/>
    <w:rsid w:val="004378F8"/>
    <w:rsid w:val="00437958"/>
    <w:rsid w:val="00437996"/>
    <w:rsid w:val="00437A5F"/>
    <w:rsid w:val="00437AC5"/>
    <w:rsid w:val="00437B22"/>
    <w:rsid w:val="00437CE1"/>
    <w:rsid w:val="00437CE6"/>
    <w:rsid w:val="00437ED1"/>
    <w:rsid w:val="004400CB"/>
    <w:rsid w:val="0044011E"/>
    <w:rsid w:val="0044016E"/>
    <w:rsid w:val="0044033D"/>
    <w:rsid w:val="00440392"/>
    <w:rsid w:val="00440398"/>
    <w:rsid w:val="00440576"/>
    <w:rsid w:val="004405C0"/>
    <w:rsid w:val="004406FE"/>
    <w:rsid w:val="00440764"/>
    <w:rsid w:val="0044084A"/>
    <w:rsid w:val="00440914"/>
    <w:rsid w:val="00440A0B"/>
    <w:rsid w:val="00440A4B"/>
    <w:rsid w:val="00440ABA"/>
    <w:rsid w:val="00440BBC"/>
    <w:rsid w:val="00440CF2"/>
    <w:rsid w:val="00440D17"/>
    <w:rsid w:val="00440D4B"/>
    <w:rsid w:val="00440E0B"/>
    <w:rsid w:val="00440E68"/>
    <w:rsid w:val="00440ED1"/>
    <w:rsid w:val="00440EF0"/>
    <w:rsid w:val="00441111"/>
    <w:rsid w:val="004411AE"/>
    <w:rsid w:val="00441265"/>
    <w:rsid w:val="00441364"/>
    <w:rsid w:val="004413A6"/>
    <w:rsid w:val="004413EB"/>
    <w:rsid w:val="00441474"/>
    <w:rsid w:val="004416D3"/>
    <w:rsid w:val="0044177D"/>
    <w:rsid w:val="004417E8"/>
    <w:rsid w:val="004418D6"/>
    <w:rsid w:val="0044196A"/>
    <w:rsid w:val="004419FD"/>
    <w:rsid w:val="00441B61"/>
    <w:rsid w:val="00441B8B"/>
    <w:rsid w:val="00441CD4"/>
    <w:rsid w:val="00441D00"/>
    <w:rsid w:val="00441D6F"/>
    <w:rsid w:val="00441EF9"/>
    <w:rsid w:val="00441F0F"/>
    <w:rsid w:val="0044204E"/>
    <w:rsid w:val="004420D5"/>
    <w:rsid w:val="0044219C"/>
    <w:rsid w:val="004426FC"/>
    <w:rsid w:val="004427F6"/>
    <w:rsid w:val="0044282C"/>
    <w:rsid w:val="00442881"/>
    <w:rsid w:val="00442899"/>
    <w:rsid w:val="0044293C"/>
    <w:rsid w:val="00442A63"/>
    <w:rsid w:val="00442B6B"/>
    <w:rsid w:val="00442D54"/>
    <w:rsid w:val="00442DBB"/>
    <w:rsid w:val="00442F51"/>
    <w:rsid w:val="004430D7"/>
    <w:rsid w:val="0044314F"/>
    <w:rsid w:val="004431B5"/>
    <w:rsid w:val="004431DF"/>
    <w:rsid w:val="004433A7"/>
    <w:rsid w:val="00443447"/>
    <w:rsid w:val="004434AD"/>
    <w:rsid w:val="0044368C"/>
    <w:rsid w:val="004436C3"/>
    <w:rsid w:val="00443734"/>
    <w:rsid w:val="00443947"/>
    <w:rsid w:val="004439C9"/>
    <w:rsid w:val="00443B75"/>
    <w:rsid w:val="00443BD1"/>
    <w:rsid w:val="00443C0A"/>
    <w:rsid w:val="00443C56"/>
    <w:rsid w:val="00443C68"/>
    <w:rsid w:val="00443CF3"/>
    <w:rsid w:val="00443EE4"/>
    <w:rsid w:val="00443F3F"/>
    <w:rsid w:val="00443F49"/>
    <w:rsid w:val="004440D2"/>
    <w:rsid w:val="004440F8"/>
    <w:rsid w:val="0044419E"/>
    <w:rsid w:val="004441F7"/>
    <w:rsid w:val="00444201"/>
    <w:rsid w:val="004442F7"/>
    <w:rsid w:val="00444643"/>
    <w:rsid w:val="004446E0"/>
    <w:rsid w:val="00444708"/>
    <w:rsid w:val="0044476F"/>
    <w:rsid w:val="00444790"/>
    <w:rsid w:val="0044481F"/>
    <w:rsid w:val="0044482C"/>
    <w:rsid w:val="00444918"/>
    <w:rsid w:val="00444A0F"/>
    <w:rsid w:val="00444A18"/>
    <w:rsid w:val="00444A5D"/>
    <w:rsid w:val="00444A70"/>
    <w:rsid w:val="00444A95"/>
    <w:rsid w:val="00444AA9"/>
    <w:rsid w:val="00444BBF"/>
    <w:rsid w:val="00444C2A"/>
    <w:rsid w:val="00444D1E"/>
    <w:rsid w:val="00444E7B"/>
    <w:rsid w:val="004450DE"/>
    <w:rsid w:val="0044510D"/>
    <w:rsid w:val="0044522B"/>
    <w:rsid w:val="00445238"/>
    <w:rsid w:val="00445292"/>
    <w:rsid w:val="004452B1"/>
    <w:rsid w:val="00445307"/>
    <w:rsid w:val="00445352"/>
    <w:rsid w:val="00445380"/>
    <w:rsid w:val="0044553F"/>
    <w:rsid w:val="004455C0"/>
    <w:rsid w:val="0044565B"/>
    <w:rsid w:val="0044569F"/>
    <w:rsid w:val="004457F1"/>
    <w:rsid w:val="00445808"/>
    <w:rsid w:val="004458DD"/>
    <w:rsid w:val="004459DB"/>
    <w:rsid w:val="004459DC"/>
    <w:rsid w:val="004459E2"/>
    <w:rsid w:val="00445A5E"/>
    <w:rsid w:val="00445B12"/>
    <w:rsid w:val="00445DC7"/>
    <w:rsid w:val="00445FBD"/>
    <w:rsid w:val="00446020"/>
    <w:rsid w:val="0044610E"/>
    <w:rsid w:val="004462D9"/>
    <w:rsid w:val="004462E8"/>
    <w:rsid w:val="00446499"/>
    <w:rsid w:val="00446577"/>
    <w:rsid w:val="00446603"/>
    <w:rsid w:val="00446942"/>
    <w:rsid w:val="00446A49"/>
    <w:rsid w:val="00446A50"/>
    <w:rsid w:val="00446A75"/>
    <w:rsid w:val="00446BC7"/>
    <w:rsid w:val="00446C94"/>
    <w:rsid w:val="00446D21"/>
    <w:rsid w:val="00446D26"/>
    <w:rsid w:val="00446D31"/>
    <w:rsid w:val="00446D40"/>
    <w:rsid w:val="00446E27"/>
    <w:rsid w:val="00446E2A"/>
    <w:rsid w:val="00446E7E"/>
    <w:rsid w:val="00446FB5"/>
    <w:rsid w:val="00447247"/>
    <w:rsid w:val="00447253"/>
    <w:rsid w:val="004472A2"/>
    <w:rsid w:val="004473E1"/>
    <w:rsid w:val="004473FB"/>
    <w:rsid w:val="004474D8"/>
    <w:rsid w:val="0044750F"/>
    <w:rsid w:val="004476D8"/>
    <w:rsid w:val="00447720"/>
    <w:rsid w:val="00447791"/>
    <w:rsid w:val="0044781A"/>
    <w:rsid w:val="0044788F"/>
    <w:rsid w:val="00447962"/>
    <w:rsid w:val="0044799D"/>
    <w:rsid w:val="004479AA"/>
    <w:rsid w:val="00447A96"/>
    <w:rsid w:val="00447BE1"/>
    <w:rsid w:val="00447CB4"/>
    <w:rsid w:val="00447CEF"/>
    <w:rsid w:val="00447DF4"/>
    <w:rsid w:val="00447F1B"/>
    <w:rsid w:val="00450003"/>
    <w:rsid w:val="004500AA"/>
    <w:rsid w:val="004500D7"/>
    <w:rsid w:val="0045014F"/>
    <w:rsid w:val="00450177"/>
    <w:rsid w:val="00450178"/>
    <w:rsid w:val="004502C8"/>
    <w:rsid w:val="004503FE"/>
    <w:rsid w:val="0045057E"/>
    <w:rsid w:val="004505DF"/>
    <w:rsid w:val="004506B8"/>
    <w:rsid w:val="00450781"/>
    <w:rsid w:val="004509AE"/>
    <w:rsid w:val="00450A45"/>
    <w:rsid w:val="00450B4C"/>
    <w:rsid w:val="00450BE8"/>
    <w:rsid w:val="00450C5A"/>
    <w:rsid w:val="00450D1B"/>
    <w:rsid w:val="00450D33"/>
    <w:rsid w:val="00450ED8"/>
    <w:rsid w:val="00450F03"/>
    <w:rsid w:val="0045103A"/>
    <w:rsid w:val="004510C5"/>
    <w:rsid w:val="004510DF"/>
    <w:rsid w:val="00451127"/>
    <w:rsid w:val="00451451"/>
    <w:rsid w:val="00451475"/>
    <w:rsid w:val="00451494"/>
    <w:rsid w:val="004514D5"/>
    <w:rsid w:val="0045152F"/>
    <w:rsid w:val="00451533"/>
    <w:rsid w:val="00451584"/>
    <w:rsid w:val="004515D8"/>
    <w:rsid w:val="004515F9"/>
    <w:rsid w:val="00451676"/>
    <w:rsid w:val="004517DF"/>
    <w:rsid w:val="0045189E"/>
    <w:rsid w:val="004518B9"/>
    <w:rsid w:val="00451981"/>
    <w:rsid w:val="00451C42"/>
    <w:rsid w:val="00451EE1"/>
    <w:rsid w:val="00451F96"/>
    <w:rsid w:val="0045221C"/>
    <w:rsid w:val="004522E3"/>
    <w:rsid w:val="00452746"/>
    <w:rsid w:val="00452882"/>
    <w:rsid w:val="004528B6"/>
    <w:rsid w:val="00452AA9"/>
    <w:rsid w:val="00452B6B"/>
    <w:rsid w:val="00452C89"/>
    <w:rsid w:val="00452CEB"/>
    <w:rsid w:val="00452D58"/>
    <w:rsid w:val="00452DE3"/>
    <w:rsid w:val="00452EBC"/>
    <w:rsid w:val="00453051"/>
    <w:rsid w:val="00453073"/>
    <w:rsid w:val="0045319B"/>
    <w:rsid w:val="0045332E"/>
    <w:rsid w:val="0045353C"/>
    <w:rsid w:val="004536EA"/>
    <w:rsid w:val="00453776"/>
    <w:rsid w:val="00453871"/>
    <w:rsid w:val="004538A0"/>
    <w:rsid w:val="0045390D"/>
    <w:rsid w:val="00453978"/>
    <w:rsid w:val="00453BBE"/>
    <w:rsid w:val="00453C4D"/>
    <w:rsid w:val="00453CD2"/>
    <w:rsid w:val="00453D73"/>
    <w:rsid w:val="00453E3B"/>
    <w:rsid w:val="00453F36"/>
    <w:rsid w:val="00453F70"/>
    <w:rsid w:val="0045402A"/>
    <w:rsid w:val="00454040"/>
    <w:rsid w:val="0045405E"/>
    <w:rsid w:val="00454113"/>
    <w:rsid w:val="00454128"/>
    <w:rsid w:val="0045413C"/>
    <w:rsid w:val="004542E0"/>
    <w:rsid w:val="00454598"/>
    <w:rsid w:val="004545AC"/>
    <w:rsid w:val="00454691"/>
    <w:rsid w:val="00454712"/>
    <w:rsid w:val="004547FF"/>
    <w:rsid w:val="00454C06"/>
    <w:rsid w:val="00454CFB"/>
    <w:rsid w:val="00454D76"/>
    <w:rsid w:val="00454D86"/>
    <w:rsid w:val="00454DA1"/>
    <w:rsid w:val="00455348"/>
    <w:rsid w:val="00455463"/>
    <w:rsid w:val="00455489"/>
    <w:rsid w:val="004554B7"/>
    <w:rsid w:val="0045559D"/>
    <w:rsid w:val="004555E7"/>
    <w:rsid w:val="004555F3"/>
    <w:rsid w:val="004556EC"/>
    <w:rsid w:val="00455746"/>
    <w:rsid w:val="004557A2"/>
    <w:rsid w:val="004557E8"/>
    <w:rsid w:val="004558D8"/>
    <w:rsid w:val="004559AA"/>
    <w:rsid w:val="00455A98"/>
    <w:rsid w:val="00455AA8"/>
    <w:rsid w:val="00455B54"/>
    <w:rsid w:val="00455BED"/>
    <w:rsid w:val="00455DB9"/>
    <w:rsid w:val="00455EB7"/>
    <w:rsid w:val="00455F4B"/>
    <w:rsid w:val="00455F8D"/>
    <w:rsid w:val="004560E8"/>
    <w:rsid w:val="00456286"/>
    <w:rsid w:val="00456801"/>
    <w:rsid w:val="004568F3"/>
    <w:rsid w:val="004569D6"/>
    <w:rsid w:val="00456A72"/>
    <w:rsid w:val="00456B8D"/>
    <w:rsid w:val="00456BA5"/>
    <w:rsid w:val="00456E09"/>
    <w:rsid w:val="00456EEB"/>
    <w:rsid w:val="004570DD"/>
    <w:rsid w:val="004571BD"/>
    <w:rsid w:val="004571CD"/>
    <w:rsid w:val="00457249"/>
    <w:rsid w:val="00457290"/>
    <w:rsid w:val="004574F5"/>
    <w:rsid w:val="00457502"/>
    <w:rsid w:val="00457694"/>
    <w:rsid w:val="0045769F"/>
    <w:rsid w:val="004576BC"/>
    <w:rsid w:val="00457C18"/>
    <w:rsid w:val="00457DDA"/>
    <w:rsid w:val="00457E97"/>
    <w:rsid w:val="00457F1D"/>
    <w:rsid w:val="004600B2"/>
    <w:rsid w:val="004600FA"/>
    <w:rsid w:val="00460292"/>
    <w:rsid w:val="00460305"/>
    <w:rsid w:val="0046048A"/>
    <w:rsid w:val="004605C0"/>
    <w:rsid w:val="00460602"/>
    <w:rsid w:val="00460607"/>
    <w:rsid w:val="004606C9"/>
    <w:rsid w:val="0046074E"/>
    <w:rsid w:val="0046081E"/>
    <w:rsid w:val="00460861"/>
    <w:rsid w:val="00460883"/>
    <w:rsid w:val="004608FB"/>
    <w:rsid w:val="00460967"/>
    <w:rsid w:val="00460A1D"/>
    <w:rsid w:val="00460F8F"/>
    <w:rsid w:val="004610A4"/>
    <w:rsid w:val="00461183"/>
    <w:rsid w:val="0046120E"/>
    <w:rsid w:val="0046125E"/>
    <w:rsid w:val="00461264"/>
    <w:rsid w:val="0046168B"/>
    <w:rsid w:val="0046169D"/>
    <w:rsid w:val="0046172C"/>
    <w:rsid w:val="004618B0"/>
    <w:rsid w:val="0046194E"/>
    <w:rsid w:val="00461BF0"/>
    <w:rsid w:val="00461F26"/>
    <w:rsid w:val="0046209F"/>
    <w:rsid w:val="00462132"/>
    <w:rsid w:val="004621BA"/>
    <w:rsid w:val="00462260"/>
    <w:rsid w:val="00462350"/>
    <w:rsid w:val="004623D0"/>
    <w:rsid w:val="00462474"/>
    <w:rsid w:val="00462515"/>
    <w:rsid w:val="0046252D"/>
    <w:rsid w:val="0046255D"/>
    <w:rsid w:val="004625CC"/>
    <w:rsid w:val="0046261A"/>
    <w:rsid w:val="00462683"/>
    <w:rsid w:val="0046269A"/>
    <w:rsid w:val="004626FD"/>
    <w:rsid w:val="00462754"/>
    <w:rsid w:val="00462840"/>
    <w:rsid w:val="0046288D"/>
    <w:rsid w:val="004628F1"/>
    <w:rsid w:val="0046295B"/>
    <w:rsid w:val="00462A46"/>
    <w:rsid w:val="00462A69"/>
    <w:rsid w:val="00462C5B"/>
    <w:rsid w:val="00462C7F"/>
    <w:rsid w:val="00462C8F"/>
    <w:rsid w:val="00462D41"/>
    <w:rsid w:val="00462D53"/>
    <w:rsid w:val="0046305A"/>
    <w:rsid w:val="0046306F"/>
    <w:rsid w:val="004631B2"/>
    <w:rsid w:val="004632F2"/>
    <w:rsid w:val="00463459"/>
    <w:rsid w:val="004634DD"/>
    <w:rsid w:val="004634E0"/>
    <w:rsid w:val="004634EF"/>
    <w:rsid w:val="00463537"/>
    <w:rsid w:val="00463538"/>
    <w:rsid w:val="00463567"/>
    <w:rsid w:val="0046366A"/>
    <w:rsid w:val="0046373F"/>
    <w:rsid w:val="0046375D"/>
    <w:rsid w:val="00463778"/>
    <w:rsid w:val="004637F1"/>
    <w:rsid w:val="0046382D"/>
    <w:rsid w:val="00463842"/>
    <w:rsid w:val="004638BE"/>
    <w:rsid w:val="004638C5"/>
    <w:rsid w:val="004639AB"/>
    <w:rsid w:val="004639ED"/>
    <w:rsid w:val="00463A4A"/>
    <w:rsid w:val="00463C13"/>
    <w:rsid w:val="00463C20"/>
    <w:rsid w:val="00463D33"/>
    <w:rsid w:val="00463E06"/>
    <w:rsid w:val="00463E25"/>
    <w:rsid w:val="00463EBA"/>
    <w:rsid w:val="00464113"/>
    <w:rsid w:val="00464157"/>
    <w:rsid w:val="00464163"/>
    <w:rsid w:val="00464181"/>
    <w:rsid w:val="00464229"/>
    <w:rsid w:val="00464267"/>
    <w:rsid w:val="00464286"/>
    <w:rsid w:val="004643A7"/>
    <w:rsid w:val="00464409"/>
    <w:rsid w:val="004646CF"/>
    <w:rsid w:val="00464726"/>
    <w:rsid w:val="0046475A"/>
    <w:rsid w:val="0046476A"/>
    <w:rsid w:val="0046480E"/>
    <w:rsid w:val="004648A4"/>
    <w:rsid w:val="004648A5"/>
    <w:rsid w:val="00464988"/>
    <w:rsid w:val="00464AF9"/>
    <w:rsid w:val="00464B2D"/>
    <w:rsid w:val="00464B33"/>
    <w:rsid w:val="00464B66"/>
    <w:rsid w:val="00464B90"/>
    <w:rsid w:val="00464BCF"/>
    <w:rsid w:val="00464D8D"/>
    <w:rsid w:val="00464D94"/>
    <w:rsid w:val="00464E4B"/>
    <w:rsid w:val="00464FA4"/>
    <w:rsid w:val="00464FDF"/>
    <w:rsid w:val="0046507A"/>
    <w:rsid w:val="0046508E"/>
    <w:rsid w:val="004650F2"/>
    <w:rsid w:val="0046527C"/>
    <w:rsid w:val="004652C4"/>
    <w:rsid w:val="00465313"/>
    <w:rsid w:val="004653C5"/>
    <w:rsid w:val="004653E8"/>
    <w:rsid w:val="00465538"/>
    <w:rsid w:val="00465557"/>
    <w:rsid w:val="004658CB"/>
    <w:rsid w:val="0046599C"/>
    <w:rsid w:val="004659A6"/>
    <w:rsid w:val="00465B3A"/>
    <w:rsid w:val="00465C78"/>
    <w:rsid w:val="00465C80"/>
    <w:rsid w:val="00466161"/>
    <w:rsid w:val="00466168"/>
    <w:rsid w:val="004661BC"/>
    <w:rsid w:val="004663B7"/>
    <w:rsid w:val="004663BF"/>
    <w:rsid w:val="00466419"/>
    <w:rsid w:val="00466549"/>
    <w:rsid w:val="004665BD"/>
    <w:rsid w:val="004665D2"/>
    <w:rsid w:val="00466629"/>
    <w:rsid w:val="00466702"/>
    <w:rsid w:val="00466918"/>
    <w:rsid w:val="00466A5E"/>
    <w:rsid w:val="00466AC5"/>
    <w:rsid w:val="00466C01"/>
    <w:rsid w:val="00466C0D"/>
    <w:rsid w:val="00466C58"/>
    <w:rsid w:val="00466CC6"/>
    <w:rsid w:val="00466D9E"/>
    <w:rsid w:val="00466DBE"/>
    <w:rsid w:val="00466DDD"/>
    <w:rsid w:val="00466E2A"/>
    <w:rsid w:val="00466E74"/>
    <w:rsid w:val="00466ECB"/>
    <w:rsid w:val="00466EDF"/>
    <w:rsid w:val="00466F84"/>
    <w:rsid w:val="00467022"/>
    <w:rsid w:val="004670A2"/>
    <w:rsid w:val="00467238"/>
    <w:rsid w:val="00467272"/>
    <w:rsid w:val="004672D9"/>
    <w:rsid w:val="004672E2"/>
    <w:rsid w:val="00467323"/>
    <w:rsid w:val="00467370"/>
    <w:rsid w:val="00467614"/>
    <w:rsid w:val="0046764E"/>
    <w:rsid w:val="00467660"/>
    <w:rsid w:val="0046774F"/>
    <w:rsid w:val="004677C5"/>
    <w:rsid w:val="0046781D"/>
    <w:rsid w:val="00467872"/>
    <w:rsid w:val="004678A2"/>
    <w:rsid w:val="00467947"/>
    <w:rsid w:val="00467BD3"/>
    <w:rsid w:val="00467BE4"/>
    <w:rsid w:val="00467CBE"/>
    <w:rsid w:val="00467CDA"/>
    <w:rsid w:val="00467E5B"/>
    <w:rsid w:val="00467E82"/>
    <w:rsid w:val="00467E9E"/>
    <w:rsid w:val="00467F50"/>
    <w:rsid w:val="00467F70"/>
    <w:rsid w:val="00470040"/>
    <w:rsid w:val="004701CC"/>
    <w:rsid w:val="004702F6"/>
    <w:rsid w:val="004705F1"/>
    <w:rsid w:val="00470723"/>
    <w:rsid w:val="00470781"/>
    <w:rsid w:val="00470790"/>
    <w:rsid w:val="004708C8"/>
    <w:rsid w:val="004708E8"/>
    <w:rsid w:val="00470A10"/>
    <w:rsid w:val="00470A8B"/>
    <w:rsid w:val="00470B2B"/>
    <w:rsid w:val="00470D18"/>
    <w:rsid w:val="00470D43"/>
    <w:rsid w:val="00470E10"/>
    <w:rsid w:val="00470E7D"/>
    <w:rsid w:val="00470ED3"/>
    <w:rsid w:val="00470F49"/>
    <w:rsid w:val="00470F99"/>
    <w:rsid w:val="0047125E"/>
    <w:rsid w:val="0047127F"/>
    <w:rsid w:val="0047134E"/>
    <w:rsid w:val="00471356"/>
    <w:rsid w:val="00471376"/>
    <w:rsid w:val="004713D5"/>
    <w:rsid w:val="00471474"/>
    <w:rsid w:val="004714DB"/>
    <w:rsid w:val="00471675"/>
    <w:rsid w:val="004717A8"/>
    <w:rsid w:val="004717B9"/>
    <w:rsid w:val="004717D5"/>
    <w:rsid w:val="00471864"/>
    <w:rsid w:val="00471872"/>
    <w:rsid w:val="004718DB"/>
    <w:rsid w:val="004718DC"/>
    <w:rsid w:val="00471900"/>
    <w:rsid w:val="0047196E"/>
    <w:rsid w:val="00471A67"/>
    <w:rsid w:val="00471AD2"/>
    <w:rsid w:val="00471BB4"/>
    <w:rsid w:val="00471D5B"/>
    <w:rsid w:val="00471DB8"/>
    <w:rsid w:val="00471E13"/>
    <w:rsid w:val="00471E5B"/>
    <w:rsid w:val="00471FB3"/>
    <w:rsid w:val="004722A7"/>
    <w:rsid w:val="004722E1"/>
    <w:rsid w:val="004722EC"/>
    <w:rsid w:val="0047234B"/>
    <w:rsid w:val="00472504"/>
    <w:rsid w:val="004725B2"/>
    <w:rsid w:val="004725CB"/>
    <w:rsid w:val="004726B1"/>
    <w:rsid w:val="004727CC"/>
    <w:rsid w:val="00472927"/>
    <w:rsid w:val="0047293F"/>
    <w:rsid w:val="00472973"/>
    <w:rsid w:val="00472AA6"/>
    <w:rsid w:val="00472AD4"/>
    <w:rsid w:val="00472B8E"/>
    <w:rsid w:val="00472D06"/>
    <w:rsid w:val="00472EF6"/>
    <w:rsid w:val="00472FF3"/>
    <w:rsid w:val="00473017"/>
    <w:rsid w:val="0047317A"/>
    <w:rsid w:val="00473190"/>
    <w:rsid w:val="004733A9"/>
    <w:rsid w:val="004733E7"/>
    <w:rsid w:val="004736CA"/>
    <w:rsid w:val="004736DA"/>
    <w:rsid w:val="00473765"/>
    <w:rsid w:val="00473787"/>
    <w:rsid w:val="00473AB2"/>
    <w:rsid w:val="00473AF3"/>
    <w:rsid w:val="00473AF9"/>
    <w:rsid w:val="00473B29"/>
    <w:rsid w:val="00473B3D"/>
    <w:rsid w:val="00473BCD"/>
    <w:rsid w:val="00473BFF"/>
    <w:rsid w:val="00473CB6"/>
    <w:rsid w:val="00473CED"/>
    <w:rsid w:val="00473D05"/>
    <w:rsid w:val="00473D79"/>
    <w:rsid w:val="00473F5C"/>
    <w:rsid w:val="00473FAB"/>
    <w:rsid w:val="00474002"/>
    <w:rsid w:val="00474043"/>
    <w:rsid w:val="004740D6"/>
    <w:rsid w:val="0047423A"/>
    <w:rsid w:val="0047425C"/>
    <w:rsid w:val="0047428A"/>
    <w:rsid w:val="004742F4"/>
    <w:rsid w:val="0047442E"/>
    <w:rsid w:val="004744E9"/>
    <w:rsid w:val="0047451E"/>
    <w:rsid w:val="00474520"/>
    <w:rsid w:val="0047452C"/>
    <w:rsid w:val="00474575"/>
    <w:rsid w:val="00474829"/>
    <w:rsid w:val="00474A18"/>
    <w:rsid w:val="00474BAE"/>
    <w:rsid w:val="00474BBA"/>
    <w:rsid w:val="00474C60"/>
    <w:rsid w:val="00474CA9"/>
    <w:rsid w:val="00474D12"/>
    <w:rsid w:val="00475273"/>
    <w:rsid w:val="004752B7"/>
    <w:rsid w:val="0047547A"/>
    <w:rsid w:val="0047557A"/>
    <w:rsid w:val="00475643"/>
    <w:rsid w:val="00475733"/>
    <w:rsid w:val="004757C7"/>
    <w:rsid w:val="004758BA"/>
    <w:rsid w:val="004758DF"/>
    <w:rsid w:val="004758E0"/>
    <w:rsid w:val="0047590C"/>
    <w:rsid w:val="00475A3D"/>
    <w:rsid w:val="00475A85"/>
    <w:rsid w:val="00475D3A"/>
    <w:rsid w:val="00475F5B"/>
    <w:rsid w:val="00475FED"/>
    <w:rsid w:val="0047603E"/>
    <w:rsid w:val="004760E9"/>
    <w:rsid w:val="00476301"/>
    <w:rsid w:val="00476358"/>
    <w:rsid w:val="00476384"/>
    <w:rsid w:val="004764A7"/>
    <w:rsid w:val="00476529"/>
    <w:rsid w:val="004766E6"/>
    <w:rsid w:val="00476708"/>
    <w:rsid w:val="0047673C"/>
    <w:rsid w:val="004767EC"/>
    <w:rsid w:val="0047682E"/>
    <w:rsid w:val="00476C5C"/>
    <w:rsid w:val="00476C78"/>
    <w:rsid w:val="00476C94"/>
    <w:rsid w:val="00476CE2"/>
    <w:rsid w:val="00476DA4"/>
    <w:rsid w:val="00476DA8"/>
    <w:rsid w:val="00476EED"/>
    <w:rsid w:val="00476F20"/>
    <w:rsid w:val="00476F40"/>
    <w:rsid w:val="00477099"/>
    <w:rsid w:val="0047719E"/>
    <w:rsid w:val="0047737B"/>
    <w:rsid w:val="00477511"/>
    <w:rsid w:val="004775B2"/>
    <w:rsid w:val="0047770A"/>
    <w:rsid w:val="00477726"/>
    <w:rsid w:val="00477744"/>
    <w:rsid w:val="00477770"/>
    <w:rsid w:val="0047778E"/>
    <w:rsid w:val="004779C6"/>
    <w:rsid w:val="00477B07"/>
    <w:rsid w:val="00477C57"/>
    <w:rsid w:val="00477C90"/>
    <w:rsid w:val="00477CFF"/>
    <w:rsid w:val="00477D0F"/>
    <w:rsid w:val="00477D12"/>
    <w:rsid w:val="00477D14"/>
    <w:rsid w:val="00477DB3"/>
    <w:rsid w:val="00477DBC"/>
    <w:rsid w:val="00477DD0"/>
    <w:rsid w:val="00477E2C"/>
    <w:rsid w:val="00477E5F"/>
    <w:rsid w:val="0048001B"/>
    <w:rsid w:val="0048002C"/>
    <w:rsid w:val="004800B6"/>
    <w:rsid w:val="00480149"/>
    <w:rsid w:val="004801E2"/>
    <w:rsid w:val="004802D5"/>
    <w:rsid w:val="0048032E"/>
    <w:rsid w:val="0048040A"/>
    <w:rsid w:val="0048046B"/>
    <w:rsid w:val="004805F7"/>
    <w:rsid w:val="0048068A"/>
    <w:rsid w:val="00480769"/>
    <w:rsid w:val="00480871"/>
    <w:rsid w:val="00480AB8"/>
    <w:rsid w:val="00480FDC"/>
    <w:rsid w:val="004810AF"/>
    <w:rsid w:val="004810E1"/>
    <w:rsid w:val="00481121"/>
    <w:rsid w:val="004812AC"/>
    <w:rsid w:val="00481417"/>
    <w:rsid w:val="00481428"/>
    <w:rsid w:val="00481533"/>
    <w:rsid w:val="0048167A"/>
    <w:rsid w:val="00481775"/>
    <w:rsid w:val="004817D4"/>
    <w:rsid w:val="004817E1"/>
    <w:rsid w:val="00481818"/>
    <w:rsid w:val="004818E6"/>
    <w:rsid w:val="0048195B"/>
    <w:rsid w:val="00481991"/>
    <w:rsid w:val="00481B7A"/>
    <w:rsid w:val="00481C75"/>
    <w:rsid w:val="00481DB3"/>
    <w:rsid w:val="00481E40"/>
    <w:rsid w:val="00481E69"/>
    <w:rsid w:val="00481EE9"/>
    <w:rsid w:val="00481F3E"/>
    <w:rsid w:val="00481F46"/>
    <w:rsid w:val="00481FF8"/>
    <w:rsid w:val="0048206C"/>
    <w:rsid w:val="004822D6"/>
    <w:rsid w:val="0048238A"/>
    <w:rsid w:val="004823B5"/>
    <w:rsid w:val="004823C4"/>
    <w:rsid w:val="00482505"/>
    <w:rsid w:val="00482616"/>
    <w:rsid w:val="0048277B"/>
    <w:rsid w:val="0048288E"/>
    <w:rsid w:val="004829F7"/>
    <w:rsid w:val="00482B00"/>
    <w:rsid w:val="00482B19"/>
    <w:rsid w:val="00482C18"/>
    <w:rsid w:val="00482CA4"/>
    <w:rsid w:val="00482FBE"/>
    <w:rsid w:val="00482FE3"/>
    <w:rsid w:val="00483072"/>
    <w:rsid w:val="00483343"/>
    <w:rsid w:val="004835D3"/>
    <w:rsid w:val="00483661"/>
    <w:rsid w:val="00483684"/>
    <w:rsid w:val="00483703"/>
    <w:rsid w:val="004837B2"/>
    <w:rsid w:val="0048385A"/>
    <w:rsid w:val="0048385C"/>
    <w:rsid w:val="0048394D"/>
    <w:rsid w:val="004839AC"/>
    <w:rsid w:val="00483A42"/>
    <w:rsid w:val="00483A6E"/>
    <w:rsid w:val="00483AAD"/>
    <w:rsid w:val="00483BAC"/>
    <w:rsid w:val="00483D2B"/>
    <w:rsid w:val="00483E01"/>
    <w:rsid w:val="00483E36"/>
    <w:rsid w:val="00484052"/>
    <w:rsid w:val="004841FA"/>
    <w:rsid w:val="0048428C"/>
    <w:rsid w:val="004842B4"/>
    <w:rsid w:val="00484310"/>
    <w:rsid w:val="0048440E"/>
    <w:rsid w:val="00484449"/>
    <w:rsid w:val="004844DB"/>
    <w:rsid w:val="004846B5"/>
    <w:rsid w:val="004846DB"/>
    <w:rsid w:val="0048477F"/>
    <w:rsid w:val="004847B5"/>
    <w:rsid w:val="00484862"/>
    <w:rsid w:val="00484C9F"/>
    <w:rsid w:val="00484DAF"/>
    <w:rsid w:val="00484DB9"/>
    <w:rsid w:val="00484E27"/>
    <w:rsid w:val="00484F68"/>
    <w:rsid w:val="0048510A"/>
    <w:rsid w:val="0048529A"/>
    <w:rsid w:val="00485349"/>
    <w:rsid w:val="00485477"/>
    <w:rsid w:val="0048553E"/>
    <w:rsid w:val="00485540"/>
    <w:rsid w:val="004855D9"/>
    <w:rsid w:val="004856FD"/>
    <w:rsid w:val="00485A0D"/>
    <w:rsid w:val="00485A9C"/>
    <w:rsid w:val="00485ABB"/>
    <w:rsid w:val="00485B22"/>
    <w:rsid w:val="00485C33"/>
    <w:rsid w:val="00485C9B"/>
    <w:rsid w:val="0048601C"/>
    <w:rsid w:val="004860F7"/>
    <w:rsid w:val="004861C3"/>
    <w:rsid w:val="00486271"/>
    <w:rsid w:val="004863B8"/>
    <w:rsid w:val="004864F7"/>
    <w:rsid w:val="00486617"/>
    <w:rsid w:val="00486625"/>
    <w:rsid w:val="00486820"/>
    <w:rsid w:val="0048682D"/>
    <w:rsid w:val="00486938"/>
    <w:rsid w:val="004869F7"/>
    <w:rsid w:val="00486A2D"/>
    <w:rsid w:val="00486B36"/>
    <w:rsid w:val="00486B65"/>
    <w:rsid w:val="00486C83"/>
    <w:rsid w:val="00486D2D"/>
    <w:rsid w:val="00486E2B"/>
    <w:rsid w:val="00486E68"/>
    <w:rsid w:val="00486E74"/>
    <w:rsid w:val="00486EFD"/>
    <w:rsid w:val="00486F60"/>
    <w:rsid w:val="00486F82"/>
    <w:rsid w:val="00486FF3"/>
    <w:rsid w:val="0048707D"/>
    <w:rsid w:val="0048710E"/>
    <w:rsid w:val="0048720F"/>
    <w:rsid w:val="0048725D"/>
    <w:rsid w:val="00487311"/>
    <w:rsid w:val="0048736C"/>
    <w:rsid w:val="004874ED"/>
    <w:rsid w:val="004876BA"/>
    <w:rsid w:val="004876FD"/>
    <w:rsid w:val="004878EA"/>
    <w:rsid w:val="00487C8E"/>
    <w:rsid w:val="00487D67"/>
    <w:rsid w:val="00487D9A"/>
    <w:rsid w:val="00487E5E"/>
    <w:rsid w:val="00487FCB"/>
    <w:rsid w:val="00490040"/>
    <w:rsid w:val="004900D9"/>
    <w:rsid w:val="0049023E"/>
    <w:rsid w:val="0049036C"/>
    <w:rsid w:val="004903E8"/>
    <w:rsid w:val="004903EC"/>
    <w:rsid w:val="00490448"/>
    <w:rsid w:val="00490671"/>
    <w:rsid w:val="004907B6"/>
    <w:rsid w:val="004907CF"/>
    <w:rsid w:val="0049085E"/>
    <w:rsid w:val="004909F6"/>
    <w:rsid w:val="00490A95"/>
    <w:rsid w:val="00490B4F"/>
    <w:rsid w:val="00490B64"/>
    <w:rsid w:val="00490C2D"/>
    <w:rsid w:val="00490C63"/>
    <w:rsid w:val="00490CF3"/>
    <w:rsid w:val="00490D13"/>
    <w:rsid w:val="00490D72"/>
    <w:rsid w:val="00490EC7"/>
    <w:rsid w:val="00491054"/>
    <w:rsid w:val="0049119D"/>
    <w:rsid w:val="00491263"/>
    <w:rsid w:val="00491489"/>
    <w:rsid w:val="004914F7"/>
    <w:rsid w:val="00491528"/>
    <w:rsid w:val="00491649"/>
    <w:rsid w:val="0049167A"/>
    <w:rsid w:val="004917DE"/>
    <w:rsid w:val="00491820"/>
    <w:rsid w:val="00491863"/>
    <w:rsid w:val="004918CF"/>
    <w:rsid w:val="004919D1"/>
    <w:rsid w:val="00491AC8"/>
    <w:rsid w:val="00491ADC"/>
    <w:rsid w:val="00491B4C"/>
    <w:rsid w:val="00491BB1"/>
    <w:rsid w:val="00491C46"/>
    <w:rsid w:val="00491DFC"/>
    <w:rsid w:val="00491E93"/>
    <w:rsid w:val="00491EDA"/>
    <w:rsid w:val="00491EE5"/>
    <w:rsid w:val="00492105"/>
    <w:rsid w:val="004921A7"/>
    <w:rsid w:val="0049238F"/>
    <w:rsid w:val="004924FE"/>
    <w:rsid w:val="004925A9"/>
    <w:rsid w:val="004925AE"/>
    <w:rsid w:val="004926AE"/>
    <w:rsid w:val="004926B1"/>
    <w:rsid w:val="00492714"/>
    <w:rsid w:val="00492798"/>
    <w:rsid w:val="004927C2"/>
    <w:rsid w:val="00492858"/>
    <w:rsid w:val="004928D3"/>
    <w:rsid w:val="004929B6"/>
    <w:rsid w:val="004929D3"/>
    <w:rsid w:val="00492A76"/>
    <w:rsid w:val="00492ABD"/>
    <w:rsid w:val="00492B44"/>
    <w:rsid w:val="00492BE6"/>
    <w:rsid w:val="00492C20"/>
    <w:rsid w:val="00492C59"/>
    <w:rsid w:val="00492C6F"/>
    <w:rsid w:val="00492C85"/>
    <w:rsid w:val="00492D0B"/>
    <w:rsid w:val="00492DAA"/>
    <w:rsid w:val="00492EF2"/>
    <w:rsid w:val="00492F23"/>
    <w:rsid w:val="0049313D"/>
    <w:rsid w:val="00493142"/>
    <w:rsid w:val="0049322B"/>
    <w:rsid w:val="00493389"/>
    <w:rsid w:val="00493402"/>
    <w:rsid w:val="004935DF"/>
    <w:rsid w:val="00493689"/>
    <w:rsid w:val="00493797"/>
    <w:rsid w:val="00493837"/>
    <w:rsid w:val="00493A12"/>
    <w:rsid w:val="00493CAC"/>
    <w:rsid w:val="00493DEF"/>
    <w:rsid w:val="00494014"/>
    <w:rsid w:val="0049409A"/>
    <w:rsid w:val="0049424C"/>
    <w:rsid w:val="0049427B"/>
    <w:rsid w:val="0049437E"/>
    <w:rsid w:val="0049446A"/>
    <w:rsid w:val="004945E6"/>
    <w:rsid w:val="00494629"/>
    <w:rsid w:val="00494862"/>
    <w:rsid w:val="00494876"/>
    <w:rsid w:val="00494898"/>
    <w:rsid w:val="004948C5"/>
    <w:rsid w:val="004948DC"/>
    <w:rsid w:val="00494923"/>
    <w:rsid w:val="00494937"/>
    <w:rsid w:val="004949B9"/>
    <w:rsid w:val="00494AE1"/>
    <w:rsid w:val="00494B38"/>
    <w:rsid w:val="00494B5B"/>
    <w:rsid w:val="00494CF3"/>
    <w:rsid w:val="00494E2F"/>
    <w:rsid w:val="00494E33"/>
    <w:rsid w:val="00494F05"/>
    <w:rsid w:val="00494F26"/>
    <w:rsid w:val="00494F76"/>
    <w:rsid w:val="00494F91"/>
    <w:rsid w:val="00494FE9"/>
    <w:rsid w:val="00495142"/>
    <w:rsid w:val="00495252"/>
    <w:rsid w:val="00495280"/>
    <w:rsid w:val="00495315"/>
    <w:rsid w:val="00495414"/>
    <w:rsid w:val="00495526"/>
    <w:rsid w:val="00495590"/>
    <w:rsid w:val="004958F5"/>
    <w:rsid w:val="00495A06"/>
    <w:rsid w:val="00495B70"/>
    <w:rsid w:val="00495BA0"/>
    <w:rsid w:val="00495C3F"/>
    <w:rsid w:val="00495DB2"/>
    <w:rsid w:val="00495E02"/>
    <w:rsid w:val="00495E09"/>
    <w:rsid w:val="00495E64"/>
    <w:rsid w:val="00495E78"/>
    <w:rsid w:val="00495E95"/>
    <w:rsid w:val="00495F5A"/>
    <w:rsid w:val="004962C5"/>
    <w:rsid w:val="0049632C"/>
    <w:rsid w:val="0049636F"/>
    <w:rsid w:val="004963B0"/>
    <w:rsid w:val="0049640F"/>
    <w:rsid w:val="00496434"/>
    <w:rsid w:val="0049643C"/>
    <w:rsid w:val="00496444"/>
    <w:rsid w:val="004964A5"/>
    <w:rsid w:val="00496643"/>
    <w:rsid w:val="00496760"/>
    <w:rsid w:val="0049683A"/>
    <w:rsid w:val="004969A1"/>
    <w:rsid w:val="00496B0F"/>
    <w:rsid w:val="00496B60"/>
    <w:rsid w:val="00496B73"/>
    <w:rsid w:val="00496DA8"/>
    <w:rsid w:val="00496E6C"/>
    <w:rsid w:val="00496F55"/>
    <w:rsid w:val="00496FA5"/>
    <w:rsid w:val="00497024"/>
    <w:rsid w:val="00497028"/>
    <w:rsid w:val="00497074"/>
    <w:rsid w:val="004971D2"/>
    <w:rsid w:val="0049736C"/>
    <w:rsid w:val="004973BE"/>
    <w:rsid w:val="004974EA"/>
    <w:rsid w:val="00497674"/>
    <w:rsid w:val="00497686"/>
    <w:rsid w:val="00497690"/>
    <w:rsid w:val="004978D4"/>
    <w:rsid w:val="004979D1"/>
    <w:rsid w:val="00497AFB"/>
    <w:rsid w:val="00497B6C"/>
    <w:rsid w:val="00497CC9"/>
    <w:rsid w:val="00497D03"/>
    <w:rsid w:val="00497F98"/>
    <w:rsid w:val="004A0042"/>
    <w:rsid w:val="004A01A1"/>
    <w:rsid w:val="004A03AD"/>
    <w:rsid w:val="004A03B3"/>
    <w:rsid w:val="004A0689"/>
    <w:rsid w:val="004A069D"/>
    <w:rsid w:val="004A07BD"/>
    <w:rsid w:val="004A089B"/>
    <w:rsid w:val="004A0975"/>
    <w:rsid w:val="004A0A80"/>
    <w:rsid w:val="004A0B85"/>
    <w:rsid w:val="004A0BA7"/>
    <w:rsid w:val="004A0C08"/>
    <w:rsid w:val="004A0C18"/>
    <w:rsid w:val="004A0C6C"/>
    <w:rsid w:val="004A0CA4"/>
    <w:rsid w:val="004A0CC8"/>
    <w:rsid w:val="004A0CD2"/>
    <w:rsid w:val="004A0E07"/>
    <w:rsid w:val="004A0EF7"/>
    <w:rsid w:val="004A0F19"/>
    <w:rsid w:val="004A0FD7"/>
    <w:rsid w:val="004A0FDF"/>
    <w:rsid w:val="004A103C"/>
    <w:rsid w:val="004A114E"/>
    <w:rsid w:val="004A11F5"/>
    <w:rsid w:val="004A135A"/>
    <w:rsid w:val="004A13E6"/>
    <w:rsid w:val="004A1458"/>
    <w:rsid w:val="004A1524"/>
    <w:rsid w:val="004A16C9"/>
    <w:rsid w:val="004A1776"/>
    <w:rsid w:val="004A1782"/>
    <w:rsid w:val="004A18D4"/>
    <w:rsid w:val="004A19DC"/>
    <w:rsid w:val="004A19F6"/>
    <w:rsid w:val="004A1A97"/>
    <w:rsid w:val="004A1AE6"/>
    <w:rsid w:val="004A1B14"/>
    <w:rsid w:val="004A1BC1"/>
    <w:rsid w:val="004A1C34"/>
    <w:rsid w:val="004A1C76"/>
    <w:rsid w:val="004A1C88"/>
    <w:rsid w:val="004A1D2A"/>
    <w:rsid w:val="004A1ED1"/>
    <w:rsid w:val="004A2028"/>
    <w:rsid w:val="004A20CE"/>
    <w:rsid w:val="004A20F0"/>
    <w:rsid w:val="004A219C"/>
    <w:rsid w:val="004A22D6"/>
    <w:rsid w:val="004A2329"/>
    <w:rsid w:val="004A2407"/>
    <w:rsid w:val="004A243C"/>
    <w:rsid w:val="004A248C"/>
    <w:rsid w:val="004A24F0"/>
    <w:rsid w:val="004A2517"/>
    <w:rsid w:val="004A266F"/>
    <w:rsid w:val="004A27D1"/>
    <w:rsid w:val="004A286C"/>
    <w:rsid w:val="004A28A6"/>
    <w:rsid w:val="004A2960"/>
    <w:rsid w:val="004A2D8E"/>
    <w:rsid w:val="004A2EC2"/>
    <w:rsid w:val="004A312C"/>
    <w:rsid w:val="004A321C"/>
    <w:rsid w:val="004A3274"/>
    <w:rsid w:val="004A330E"/>
    <w:rsid w:val="004A339B"/>
    <w:rsid w:val="004A3552"/>
    <w:rsid w:val="004A363C"/>
    <w:rsid w:val="004A37D8"/>
    <w:rsid w:val="004A3976"/>
    <w:rsid w:val="004A39F3"/>
    <w:rsid w:val="004A3BF5"/>
    <w:rsid w:val="004A3F46"/>
    <w:rsid w:val="004A3F53"/>
    <w:rsid w:val="004A3F95"/>
    <w:rsid w:val="004A3FC6"/>
    <w:rsid w:val="004A3FE6"/>
    <w:rsid w:val="004A4111"/>
    <w:rsid w:val="004A416F"/>
    <w:rsid w:val="004A4206"/>
    <w:rsid w:val="004A42F7"/>
    <w:rsid w:val="004A4413"/>
    <w:rsid w:val="004A4454"/>
    <w:rsid w:val="004A44CA"/>
    <w:rsid w:val="004A44ED"/>
    <w:rsid w:val="004A44FD"/>
    <w:rsid w:val="004A458A"/>
    <w:rsid w:val="004A4675"/>
    <w:rsid w:val="004A4743"/>
    <w:rsid w:val="004A48F2"/>
    <w:rsid w:val="004A4A8E"/>
    <w:rsid w:val="004A4AB6"/>
    <w:rsid w:val="004A4B11"/>
    <w:rsid w:val="004A4CF4"/>
    <w:rsid w:val="004A4D04"/>
    <w:rsid w:val="004A4D35"/>
    <w:rsid w:val="004A4D3C"/>
    <w:rsid w:val="004A4D4E"/>
    <w:rsid w:val="004A4ED3"/>
    <w:rsid w:val="004A4EEC"/>
    <w:rsid w:val="004A4EF5"/>
    <w:rsid w:val="004A50CF"/>
    <w:rsid w:val="004A51AB"/>
    <w:rsid w:val="004A532E"/>
    <w:rsid w:val="004A5377"/>
    <w:rsid w:val="004A5424"/>
    <w:rsid w:val="004A550E"/>
    <w:rsid w:val="004A555B"/>
    <w:rsid w:val="004A576C"/>
    <w:rsid w:val="004A5802"/>
    <w:rsid w:val="004A5810"/>
    <w:rsid w:val="004A589F"/>
    <w:rsid w:val="004A58BA"/>
    <w:rsid w:val="004A5B0A"/>
    <w:rsid w:val="004A5BDD"/>
    <w:rsid w:val="004A5F41"/>
    <w:rsid w:val="004A60F0"/>
    <w:rsid w:val="004A611D"/>
    <w:rsid w:val="004A6260"/>
    <w:rsid w:val="004A628B"/>
    <w:rsid w:val="004A65A7"/>
    <w:rsid w:val="004A65DC"/>
    <w:rsid w:val="004A6656"/>
    <w:rsid w:val="004A66E8"/>
    <w:rsid w:val="004A6808"/>
    <w:rsid w:val="004A6934"/>
    <w:rsid w:val="004A699C"/>
    <w:rsid w:val="004A6A14"/>
    <w:rsid w:val="004A6A79"/>
    <w:rsid w:val="004A6ACD"/>
    <w:rsid w:val="004A6AD5"/>
    <w:rsid w:val="004A6D15"/>
    <w:rsid w:val="004A6D48"/>
    <w:rsid w:val="004A6D69"/>
    <w:rsid w:val="004A6FDE"/>
    <w:rsid w:val="004A71A3"/>
    <w:rsid w:val="004A7420"/>
    <w:rsid w:val="004A74A0"/>
    <w:rsid w:val="004A7558"/>
    <w:rsid w:val="004A75A2"/>
    <w:rsid w:val="004A761A"/>
    <w:rsid w:val="004A76B0"/>
    <w:rsid w:val="004A76F5"/>
    <w:rsid w:val="004A7717"/>
    <w:rsid w:val="004A786E"/>
    <w:rsid w:val="004A795B"/>
    <w:rsid w:val="004A7A2C"/>
    <w:rsid w:val="004A7A96"/>
    <w:rsid w:val="004A7B5C"/>
    <w:rsid w:val="004A7CEC"/>
    <w:rsid w:val="004A7E16"/>
    <w:rsid w:val="004A7E60"/>
    <w:rsid w:val="004A7E72"/>
    <w:rsid w:val="004B0006"/>
    <w:rsid w:val="004B01F3"/>
    <w:rsid w:val="004B042D"/>
    <w:rsid w:val="004B0441"/>
    <w:rsid w:val="004B06DE"/>
    <w:rsid w:val="004B08DC"/>
    <w:rsid w:val="004B0975"/>
    <w:rsid w:val="004B0ACD"/>
    <w:rsid w:val="004B0ADA"/>
    <w:rsid w:val="004B0B45"/>
    <w:rsid w:val="004B0B97"/>
    <w:rsid w:val="004B0C2C"/>
    <w:rsid w:val="004B0C90"/>
    <w:rsid w:val="004B0C9C"/>
    <w:rsid w:val="004B0CD9"/>
    <w:rsid w:val="004B0E7E"/>
    <w:rsid w:val="004B0F6A"/>
    <w:rsid w:val="004B101F"/>
    <w:rsid w:val="004B121D"/>
    <w:rsid w:val="004B123A"/>
    <w:rsid w:val="004B1310"/>
    <w:rsid w:val="004B14F5"/>
    <w:rsid w:val="004B1696"/>
    <w:rsid w:val="004B16BB"/>
    <w:rsid w:val="004B1769"/>
    <w:rsid w:val="004B17C2"/>
    <w:rsid w:val="004B18DD"/>
    <w:rsid w:val="004B194B"/>
    <w:rsid w:val="004B194D"/>
    <w:rsid w:val="004B1952"/>
    <w:rsid w:val="004B1A95"/>
    <w:rsid w:val="004B1ABC"/>
    <w:rsid w:val="004B1BA4"/>
    <w:rsid w:val="004B1C16"/>
    <w:rsid w:val="004B1C46"/>
    <w:rsid w:val="004B1C68"/>
    <w:rsid w:val="004B1CC4"/>
    <w:rsid w:val="004B1D29"/>
    <w:rsid w:val="004B1DD3"/>
    <w:rsid w:val="004B1E65"/>
    <w:rsid w:val="004B1F52"/>
    <w:rsid w:val="004B1FDE"/>
    <w:rsid w:val="004B21E2"/>
    <w:rsid w:val="004B2215"/>
    <w:rsid w:val="004B284C"/>
    <w:rsid w:val="004B2949"/>
    <w:rsid w:val="004B296D"/>
    <w:rsid w:val="004B29A5"/>
    <w:rsid w:val="004B29D7"/>
    <w:rsid w:val="004B2A19"/>
    <w:rsid w:val="004B2B69"/>
    <w:rsid w:val="004B2B72"/>
    <w:rsid w:val="004B2BEA"/>
    <w:rsid w:val="004B2C0F"/>
    <w:rsid w:val="004B2C31"/>
    <w:rsid w:val="004B2C52"/>
    <w:rsid w:val="004B2D19"/>
    <w:rsid w:val="004B2E32"/>
    <w:rsid w:val="004B2EBE"/>
    <w:rsid w:val="004B2F09"/>
    <w:rsid w:val="004B318C"/>
    <w:rsid w:val="004B3242"/>
    <w:rsid w:val="004B3284"/>
    <w:rsid w:val="004B3324"/>
    <w:rsid w:val="004B3338"/>
    <w:rsid w:val="004B336E"/>
    <w:rsid w:val="004B338E"/>
    <w:rsid w:val="004B33AC"/>
    <w:rsid w:val="004B34E0"/>
    <w:rsid w:val="004B3529"/>
    <w:rsid w:val="004B352E"/>
    <w:rsid w:val="004B362D"/>
    <w:rsid w:val="004B37F3"/>
    <w:rsid w:val="004B382B"/>
    <w:rsid w:val="004B3923"/>
    <w:rsid w:val="004B39C8"/>
    <w:rsid w:val="004B39D9"/>
    <w:rsid w:val="004B3A16"/>
    <w:rsid w:val="004B3CC0"/>
    <w:rsid w:val="004B4004"/>
    <w:rsid w:val="004B4224"/>
    <w:rsid w:val="004B4292"/>
    <w:rsid w:val="004B42ED"/>
    <w:rsid w:val="004B431D"/>
    <w:rsid w:val="004B4372"/>
    <w:rsid w:val="004B4378"/>
    <w:rsid w:val="004B4535"/>
    <w:rsid w:val="004B45B5"/>
    <w:rsid w:val="004B45DF"/>
    <w:rsid w:val="004B45E6"/>
    <w:rsid w:val="004B45E8"/>
    <w:rsid w:val="004B490E"/>
    <w:rsid w:val="004B4923"/>
    <w:rsid w:val="004B49D7"/>
    <w:rsid w:val="004B4B18"/>
    <w:rsid w:val="004B4B58"/>
    <w:rsid w:val="004B4C00"/>
    <w:rsid w:val="004B4C33"/>
    <w:rsid w:val="004B4CAA"/>
    <w:rsid w:val="004B4CBA"/>
    <w:rsid w:val="004B4D2F"/>
    <w:rsid w:val="004B4D39"/>
    <w:rsid w:val="004B4D4D"/>
    <w:rsid w:val="004B4D8A"/>
    <w:rsid w:val="004B4E79"/>
    <w:rsid w:val="004B4FB9"/>
    <w:rsid w:val="004B5147"/>
    <w:rsid w:val="004B5202"/>
    <w:rsid w:val="004B5238"/>
    <w:rsid w:val="004B5289"/>
    <w:rsid w:val="004B53A1"/>
    <w:rsid w:val="004B53A9"/>
    <w:rsid w:val="004B54CA"/>
    <w:rsid w:val="004B54D9"/>
    <w:rsid w:val="004B56D1"/>
    <w:rsid w:val="004B5710"/>
    <w:rsid w:val="004B5782"/>
    <w:rsid w:val="004B5789"/>
    <w:rsid w:val="004B5881"/>
    <w:rsid w:val="004B59B7"/>
    <w:rsid w:val="004B5AEB"/>
    <w:rsid w:val="004B5B3F"/>
    <w:rsid w:val="004B5CCD"/>
    <w:rsid w:val="004B5CEE"/>
    <w:rsid w:val="004B5CFA"/>
    <w:rsid w:val="004B5D94"/>
    <w:rsid w:val="004B5E1E"/>
    <w:rsid w:val="004B5F36"/>
    <w:rsid w:val="004B5FD7"/>
    <w:rsid w:val="004B6074"/>
    <w:rsid w:val="004B61B7"/>
    <w:rsid w:val="004B625E"/>
    <w:rsid w:val="004B62AE"/>
    <w:rsid w:val="004B64A2"/>
    <w:rsid w:val="004B64AA"/>
    <w:rsid w:val="004B65CF"/>
    <w:rsid w:val="004B68E4"/>
    <w:rsid w:val="004B6901"/>
    <w:rsid w:val="004B6ADA"/>
    <w:rsid w:val="004B6BE3"/>
    <w:rsid w:val="004B6BFC"/>
    <w:rsid w:val="004B6DD5"/>
    <w:rsid w:val="004B6DE6"/>
    <w:rsid w:val="004B6EC1"/>
    <w:rsid w:val="004B709A"/>
    <w:rsid w:val="004B71C0"/>
    <w:rsid w:val="004B72DB"/>
    <w:rsid w:val="004B74CA"/>
    <w:rsid w:val="004B752E"/>
    <w:rsid w:val="004B7548"/>
    <w:rsid w:val="004B754A"/>
    <w:rsid w:val="004B758F"/>
    <w:rsid w:val="004B79EF"/>
    <w:rsid w:val="004B7A83"/>
    <w:rsid w:val="004B7A8B"/>
    <w:rsid w:val="004B7BA7"/>
    <w:rsid w:val="004B7C1A"/>
    <w:rsid w:val="004B7DF8"/>
    <w:rsid w:val="004B7E81"/>
    <w:rsid w:val="004B7ECA"/>
    <w:rsid w:val="004B7EDD"/>
    <w:rsid w:val="004B7F08"/>
    <w:rsid w:val="004C00A0"/>
    <w:rsid w:val="004C00D5"/>
    <w:rsid w:val="004C0103"/>
    <w:rsid w:val="004C0152"/>
    <w:rsid w:val="004C01D1"/>
    <w:rsid w:val="004C0376"/>
    <w:rsid w:val="004C041A"/>
    <w:rsid w:val="004C053B"/>
    <w:rsid w:val="004C06BE"/>
    <w:rsid w:val="004C07BF"/>
    <w:rsid w:val="004C0813"/>
    <w:rsid w:val="004C081F"/>
    <w:rsid w:val="004C0869"/>
    <w:rsid w:val="004C0935"/>
    <w:rsid w:val="004C0977"/>
    <w:rsid w:val="004C098B"/>
    <w:rsid w:val="004C0A3F"/>
    <w:rsid w:val="004C0A69"/>
    <w:rsid w:val="004C0AA0"/>
    <w:rsid w:val="004C0B15"/>
    <w:rsid w:val="004C0E0C"/>
    <w:rsid w:val="004C0EFA"/>
    <w:rsid w:val="004C0F3A"/>
    <w:rsid w:val="004C0F7F"/>
    <w:rsid w:val="004C0F81"/>
    <w:rsid w:val="004C103C"/>
    <w:rsid w:val="004C10AB"/>
    <w:rsid w:val="004C13DF"/>
    <w:rsid w:val="004C14CF"/>
    <w:rsid w:val="004C1524"/>
    <w:rsid w:val="004C1613"/>
    <w:rsid w:val="004C1629"/>
    <w:rsid w:val="004C174B"/>
    <w:rsid w:val="004C1763"/>
    <w:rsid w:val="004C1833"/>
    <w:rsid w:val="004C187A"/>
    <w:rsid w:val="004C18C7"/>
    <w:rsid w:val="004C1B79"/>
    <w:rsid w:val="004C1CD6"/>
    <w:rsid w:val="004C1D9E"/>
    <w:rsid w:val="004C213C"/>
    <w:rsid w:val="004C21B9"/>
    <w:rsid w:val="004C22B6"/>
    <w:rsid w:val="004C2337"/>
    <w:rsid w:val="004C23BB"/>
    <w:rsid w:val="004C252A"/>
    <w:rsid w:val="004C26DF"/>
    <w:rsid w:val="004C2867"/>
    <w:rsid w:val="004C2887"/>
    <w:rsid w:val="004C2891"/>
    <w:rsid w:val="004C28CD"/>
    <w:rsid w:val="004C2931"/>
    <w:rsid w:val="004C2A3B"/>
    <w:rsid w:val="004C2A4E"/>
    <w:rsid w:val="004C2AA4"/>
    <w:rsid w:val="004C2AAF"/>
    <w:rsid w:val="004C2C3F"/>
    <w:rsid w:val="004C2C6F"/>
    <w:rsid w:val="004C2CD2"/>
    <w:rsid w:val="004C2D9C"/>
    <w:rsid w:val="004C2E8C"/>
    <w:rsid w:val="004C2EE3"/>
    <w:rsid w:val="004C2F12"/>
    <w:rsid w:val="004C2F3D"/>
    <w:rsid w:val="004C3009"/>
    <w:rsid w:val="004C308B"/>
    <w:rsid w:val="004C30C1"/>
    <w:rsid w:val="004C3217"/>
    <w:rsid w:val="004C3235"/>
    <w:rsid w:val="004C3256"/>
    <w:rsid w:val="004C32BF"/>
    <w:rsid w:val="004C32CA"/>
    <w:rsid w:val="004C3338"/>
    <w:rsid w:val="004C34FC"/>
    <w:rsid w:val="004C356C"/>
    <w:rsid w:val="004C35B1"/>
    <w:rsid w:val="004C35B8"/>
    <w:rsid w:val="004C3778"/>
    <w:rsid w:val="004C37DD"/>
    <w:rsid w:val="004C382F"/>
    <w:rsid w:val="004C3867"/>
    <w:rsid w:val="004C39EB"/>
    <w:rsid w:val="004C3A35"/>
    <w:rsid w:val="004C3AB0"/>
    <w:rsid w:val="004C3B3E"/>
    <w:rsid w:val="004C3B4C"/>
    <w:rsid w:val="004C3B62"/>
    <w:rsid w:val="004C3B88"/>
    <w:rsid w:val="004C3BB0"/>
    <w:rsid w:val="004C3CC7"/>
    <w:rsid w:val="004C3D94"/>
    <w:rsid w:val="004C3DBF"/>
    <w:rsid w:val="004C3F46"/>
    <w:rsid w:val="004C3F57"/>
    <w:rsid w:val="004C3F74"/>
    <w:rsid w:val="004C4116"/>
    <w:rsid w:val="004C4131"/>
    <w:rsid w:val="004C4254"/>
    <w:rsid w:val="004C4334"/>
    <w:rsid w:val="004C4417"/>
    <w:rsid w:val="004C4422"/>
    <w:rsid w:val="004C4493"/>
    <w:rsid w:val="004C449B"/>
    <w:rsid w:val="004C44F6"/>
    <w:rsid w:val="004C45B1"/>
    <w:rsid w:val="004C47CA"/>
    <w:rsid w:val="004C485B"/>
    <w:rsid w:val="004C487B"/>
    <w:rsid w:val="004C48D3"/>
    <w:rsid w:val="004C4906"/>
    <w:rsid w:val="004C4943"/>
    <w:rsid w:val="004C497A"/>
    <w:rsid w:val="004C4A1B"/>
    <w:rsid w:val="004C4A68"/>
    <w:rsid w:val="004C4C27"/>
    <w:rsid w:val="004C4EDC"/>
    <w:rsid w:val="004C4FE2"/>
    <w:rsid w:val="004C5065"/>
    <w:rsid w:val="004C5073"/>
    <w:rsid w:val="004C5074"/>
    <w:rsid w:val="004C5076"/>
    <w:rsid w:val="004C5094"/>
    <w:rsid w:val="004C51B7"/>
    <w:rsid w:val="004C5401"/>
    <w:rsid w:val="004C5645"/>
    <w:rsid w:val="004C5649"/>
    <w:rsid w:val="004C58D5"/>
    <w:rsid w:val="004C5983"/>
    <w:rsid w:val="004C5AB1"/>
    <w:rsid w:val="004C5B14"/>
    <w:rsid w:val="004C5CB7"/>
    <w:rsid w:val="004C5CF3"/>
    <w:rsid w:val="004C5F2E"/>
    <w:rsid w:val="004C5FCD"/>
    <w:rsid w:val="004C6059"/>
    <w:rsid w:val="004C6090"/>
    <w:rsid w:val="004C612D"/>
    <w:rsid w:val="004C6174"/>
    <w:rsid w:val="004C619C"/>
    <w:rsid w:val="004C6428"/>
    <w:rsid w:val="004C644C"/>
    <w:rsid w:val="004C64C7"/>
    <w:rsid w:val="004C66A0"/>
    <w:rsid w:val="004C66E8"/>
    <w:rsid w:val="004C675B"/>
    <w:rsid w:val="004C67BA"/>
    <w:rsid w:val="004C67ED"/>
    <w:rsid w:val="004C6838"/>
    <w:rsid w:val="004C68E8"/>
    <w:rsid w:val="004C693F"/>
    <w:rsid w:val="004C6A14"/>
    <w:rsid w:val="004C6A1C"/>
    <w:rsid w:val="004C6A21"/>
    <w:rsid w:val="004C6B3C"/>
    <w:rsid w:val="004C6E0A"/>
    <w:rsid w:val="004C6E2B"/>
    <w:rsid w:val="004C6EBF"/>
    <w:rsid w:val="004C70A2"/>
    <w:rsid w:val="004C70B7"/>
    <w:rsid w:val="004C70E1"/>
    <w:rsid w:val="004C7209"/>
    <w:rsid w:val="004C72B5"/>
    <w:rsid w:val="004C7399"/>
    <w:rsid w:val="004C7428"/>
    <w:rsid w:val="004C7447"/>
    <w:rsid w:val="004C7457"/>
    <w:rsid w:val="004C74BD"/>
    <w:rsid w:val="004C74ED"/>
    <w:rsid w:val="004C7502"/>
    <w:rsid w:val="004C7603"/>
    <w:rsid w:val="004C7682"/>
    <w:rsid w:val="004C77E9"/>
    <w:rsid w:val="004C7919"/>
    <w:rsid w:val="004C7C58"/>
    <w:rsid w:val="004C7C9D"/>
    <w:rsid w:val="004C7E19"/>
    <w:rsid w:val="004D00CA"/>
    <w:rsid w:val="004D0125"/>
    <w:rsid w:val="004D01FF"/>
    <w:rsid w:val="004D071B"/>
    <w:rsid w:val="004D072A"/>
    <w:rsid w:val="004D0752"/>
    <w:rsid w:val="004D0894"/>
    <w:rsid w:val="004D0913"/>
    <w:rsid w:val="004D0983"/>
    <w:rsid w:val="004D0A25"/>
    <w:rsid w:val="004D0BC5"/>
    <w:rsid w:val="004D0BF0"/>
    <w:rsid w:val="004D0E51"/>
    <w:rsid w:val="004D0E99"/>
    <w:rsid w:val="004D0ED0"/>
    <w:rsid w:val="004D0FE4"/>
    <w:rsid w:val="004D1168"/>
    <w:rsid w:val="004D1204"/>
    <w:rsid w:val="004D1277"/>
    <w:rsid w:val="004D134E"/>
    <w:rsid w:val="004D143B"/>
    <w:rsid w:val="004D1469"/>
    <w:rsid w:val="004D163C"/>
    <w:rsid w:val="004D16FD"/>
    <w:rsid w:val="004D1723"/>
    <w:rsid w:val="004D174C"/>
    <w:rsid w:val="004D1797"/>
    <w:rsid w:val="004D1838"/>
    <w:rsid w:val="004D18B4"/>
    <w:rsid w:val="004D1A9F"/>
    <w:rsid w:val="004D1AC9"/>
    <w:rsid w:val="004D1B6D"/>
    <w:rsid w:val="004D1D34"/>
    <w:rsid w:val="004D1F67"/>
    <w:rsid w:val="004D1F81"/>
    <w:rsid w:val="004D2038"/>
    <w:rsid w:val="004D20FB"/>
    <w:rsid w:val="004D21E5"/>
    <w:rsid w:val="004D25F6"/>
    <w:rsid w:val="004D2652"/>
    <w:rsid w:val="004D2831"/>
    <w:rsid w:val="004D2936"/>
    <w:rsid w:val="004D2976"/>
    <w:rsid w:val="004D2996"/>
    <w:rsid w:val="004D2A14"/>
    <w:rsid w:val="004D2BB8"/>
    <w:rsid w:val="004D2E81"/>
    <w:rsid w:val="004D2F41"/>
    <w:rsid w:val="004D307A"/>
    <w:rsid w:val="004D30F7"/>
    <w:rsid w:val="004D3139"/>
    <w:rsid w:val="004D3190"/>
    <w:rsid w:val="004D31D3"/>
    <w:rsid w:val="004D32B4"/>
    <w:rsid w:val="004D32B5"/>
    <w:rsid w:val="004D3342"/>
    <w:rsid w:val="004D3368"/>
    <w:rsid w:val="004D3528"/>
    <w:rsid w:val="004D35B6"/>
    <w:rsid w:val="004D361D"/>
    <w:rsid w:val="004D368B"/>
    <w:rsid w:val="004D391E"/>
    <w:rsid w:val="004D393C"/>
    <w:rsid w:val="004D3A3C"/>
    <w:rsid w:val="004D3AA6"/>
    <w:rsid w:val="004D3ADE"/>
    <w:rsid w:val="004D3AEC"/>
    <w:rsid w:val="004D3B5E"/>
    <w:rsid w:val="004D3C56"/>
    <w:rsid w:val="004D3CD7"/>
    <w:rsid w:val="004D3E71"/>
    <w:rsid w:val="004D3EAA"/>
    <w:rsid w:val="004D3F3D"/>
    <w:rsid w:val="004D3F92"/>
    <w:rsid w:val="004D3F96"/>
    <w:rsid w:val="004D3FD9"/>
    <w:rsid w:val="004D401B"/>
    <w:rsid w:val="004D41B3"/>
    <w:rsid w:val="004D4221"/>
    <w:rsid w:val="004D428B"/>
    <w:rsid w:val="004D43EE"/>
    <w:rsid w:val="004D440C"/>
    <w:rsid w:val="004D4480"/>
    <w:rsid w:val="004D44D3"/>
    <w:rsid w:val="004D4560"/>
    <w:rsid w:val="004D4590"/>
    <w:rsid w:val="004D45FC"/>
    <w:rsid w:val="004D476C"/>
    <w:rsid w:val="004D478A"/>
    <w:rsid w:val="004D47A3"/>
    <w:rsid w:val="004D47FA"/>
    <w:rsid w:val="004D4869"/>
    <w:rsid w:val="004D4992"/>
    <w:rsid w:val="004D49B8"/>
    <w:rsid w:val="004D4DAD"/>
    <w:rsid w:val="004D4E20"/>
    <w:rsid w:val="004D4EDF"/>
    <w:rsid w:val="004D4F5D"/>
    <w:rsid w:val="004D4F95"/>
    <w:rsid w:val="004D5236"/>
    <w:rsid w:val="004D5629"/>
    <w:rsid w:val="004D584C"/>
    <w:rsid w:val="004D5858"/>
    <w:rsid w:val="004D5860"/>
    <w:rsid w:val="004D58A7"/>
    <w:rsid w:val="004D594C"/>
    <w:rsid w:val="004D5A83"/>
    <w:rsid w:val="004D5A94"/>
    <w:rsid w:val="004D5AE5"/>
    <w:rsid w:val="004D5DBF"/>
    <w:rsid w:val="004D5DD6"/>
    <w:rsid w:val="004D5E13"/>
    <w:rsid w:val="004D5F6E"/>
    <w:rsid w:val="004D6267"/>
    <w:rsid w:val="004D628B"/>
    <w:rsid w:val="004D6717"/>
    <w:rsid w:val="004D6750"/>
    <w:rsid w:val="004D6757"/>
    <w:rsid w:val="004D67DF"/>
    <w:rsid w:val="004D6861"/>
    <w:rsid w:val="004D6998"/>
    <w:rsid w:val="004D6AA3"/>
    <w:rsid w:val="004D6AC8"/>
    <w:rsid w:val="004D6B3C"/>
    <w:rsid w:val="004D6B99"/>
    <w:rsid w:val="004D6BC7"/>
    <w:rsid w:val="004D6C8D"/>
    <w:rsid w:val="004D6D72"/>
    <w:rsid w:val="004D6D7C"/>
    <w:rsid w:val="004D6E59"/>
    <w:rsid w:val="004D6E99"/>
    <w:rsid w:val="004D6F16"/>
    <w:rsid w:val="004D6F4E"/>
    <w:rsid w:val="004D6F66"/>
    <w:rsid w:val="004D6F75"/>
    <w:rsid w:val="004D6FAE"/>
    <w:rsid w:val="004D726F"/>
    <w:rsid w:val="004D7313"/>
    <w:rsid w:val="004D748A"/>
    <w:rsid w:val="004D7576"/>
    <w:rsid w:val="004D765B"/>
    <w:rsid w:val="004D771A"/>
    <w:rsid w:val="004D7735"/>
    <w:rsid w:val="004D785B"/>
    <w:rsid w:val="004D7951"/>
    <w:rsid w:val="004D79EF"/>
    <w:rsid w:val="004D7A58"/>
    <w:rsid w:val="004D7C81"/>
    <w:rsid w:val="004D7CBA"/>
    <w:rsid w:val="004D7CBD"/>
    <w:rsid w:val="004D7D21"/>
    <w:rsid w:val="004D7D72"/>
    <w:rsid w:val="004D7D79"/>
    <w:rsid w:val="004D7E06"/>
    <w:rsid w:val="004D7EE2"/>
    <w:rsid w:val="004D7F0F"/>
    <w:rsid w:val="004E0087"/>
    <w:rsid w:val="004E0116"/>
    <w:rsid w:val="004E0396"/>
    <w:rsid w:val="004E039D"/>
    <w:rsid w:val="004E0466"/>
    <w:rsid w:val="004E04F8"/>
    <w:rsid w:val="004E0526"/>
    <w:rsid w:val="004E091A"/>
    <w:rsid w:val="004E0A31"/>
    <w:rsid w:val="004E0A91"/>
    <w:rsid w:val="004E0AEB"/>
    <w:rsid w:val="004E0B6F"/>
    <w:rsid w:val="004E0BCA"/>
    <w:rsid w:val="004E0C04"/>
    <w:rsid w:val="004E0F55"/>
    <w:rsid w:val="004E1051"/>
    <w:rsid w:val="004E11C8"/>
    <w:rsid w:val="004E11F9"/>
    <w:rsid w:val="004E1248"/>
    <w:rsid w:val="004E12BB"/>
    <w:rsid w:val="004E13BE"/>
    <w:rsid w:val="004E1454"/>
    <w:rsid w:val="004E153E"/>
    <w:rsid w:val="004E15B1"/>
    <w:rsid w:val="004E1602"/>
    <w:rsid w:val="004E1680"/>
    <w:rsid w:val="004E171E"/>
    <w:rsid w:val="004E17FC"/>
    <w:rsid w:val="004E181B"/>
    <w:rsid w:val="004E1939"/>
    <w:rsid w:val="004E193A"/>
    <w:rsid w:val="004E19E7"/>
    <w:rsid w:val="004E1AF9"/>
    <w:rsid w:val="004E1BC9"/>
    <w:rsid w:val="004E1BCD"/>
    <w:rsid w:val="004E1C65"/>
    <w:rsid w:val="004E1CB6"/>
    <w:rsid w:val="004E1F62"/>
    <w:rsid w:val="004E1FD9"/>
    <w:rsid w:val="004E1FE0"/>
    <w:rsid w:val="004E2149"/>
    <w:rsid w:val="004E2163"/>
    <w:rsid w:val="004E227E"/>
    <w:rsid w:val="004E22B7"/>
    <w:rsid w:val="004E22CE"/>
    <w:rsid w:val="004E24B7"/>
    <w:rsid w:val="004E24CC"/>
    <w:rsid w:val="004E2508"/>
    <w:rsid w:val="004E26DF"/>
    <w:rsid w:val="004E2737"/>
    <w:rsid w:val="004E27A0"/>
    <w:rsid w:val="004E27FF"/>
    <w:rsid w:val="004E287B"/>
    <w:rsid w:val="004E2897"/>
    <w:rsid w:val="004E2915"/>
    <w:rsid w:val="004E2975"/>
    <w:rsid w:val="004E2978"/>
    <w:rsid w:val="004E2B12"/>
    <w:rsid w:val="004E2D82"/>
    <w:rsid w:val="004E2E6C"/>
    <w:rsid w:val="004E2EFD"/>
    <w:rsid w:val="004E2F58"/>
    <w:rsid w:val="004E2F85"/>
    <w:rsid w:val="004E302C"/>
    <w:rsid w:val="004E313B"/>
    <w:rsid w:val="004E3366"/>
    <w:rsid w:val="004E33F9"/>
    <w:rsid w:val="004E3430"/>
    <w:rsid w:val="004E3465"/>
    <w:rsid w:val="004E3468"/>
    <w:rsid w:val="004E34EA"/>
    <w:rsid w:val="004E371E"/>
    <w:rsid w:val="004E382F"/>
    <w:rsid w:val="004E3833"/>
    <w:rsid w:val="004E3996"/>
    <w:rsid w:val="004E3D85"/>
    <w:rsid w:val="004E3DDD"/>
    <w:rsid w:val="004E402A"/>
    <w:rsid w:val="004E402C"/>
    <w:rsid w:val="004E4115"/>
    <w:rsid w:val="004E4208"/>
    <w:rsid w:val="004E461E"/>
    <w:rsid w:val="004E4663"/>
    <w:rsid w:val="004E476E"/>
    <w:rsid w:val="004E47CF"/>
    <w:rsid w:val="004E4847"/>
    <w:rsid w:val="004E4A90"/>
    <w:rsid w:val="004E4BC0"/>
    <w:rsid w:val="004E4C7E"/>
    <w:rsid w:val="004E4CB0"/>
    <w:rsid w:val="004E4D9B"/>
    <w:rsid w:val="004E4E10"/>
    <w:rsid w:val="004E4E14"/>
    <w:rsid w:val="004E4E64"/>
    <w:rsid w:val="004E503C"/>
    <w:rsid w:val="004E5151"/>
    <w:rsid w:val="004E51D7"/>
    <w:rsid w:val="004E52EF"/>
    <w:rsid w:val="004E554F"/>
    <w:rsid w:val="004E55D2"/>
    <w:rsid w:val="004E567C"/>
    <w:rsid w:val="004E576D"/>
    <w:rsid w:val="004E5842"/>
    <w:rsid w:val="004E5993"/>
    <w:rsid w:val="004E5A64"/>
    <w:rsid w:val="004E5A6D"/>
    <w:rsid w:val="004E5B4D"/>
    <w:rsid w:val="004E5B75"/>
    <w:rsid w:val="004E5C08"/>
    <w:rsid w:val="004E5CBF"/>
    <w:rsid w:val="004E5D22"/>
    <w:rsid w:val="004E5D76"/>
    <w:rsid w:val="004E5D80"/>
    <w:rsid w:val="004E5E30"/>
    <w:rsid w:val="004E5E73"/>
    <w:rsid w:val="004E5FF1"/>
    <w:rsid w:val="004E6052"/>
    <w:rsid w:val="004E61B0"/>
    <w:rsid w:val="004E6203"/>
    <w:rsid w:val="004E63E7"/>
    <w:rsid w:val="004E649C"/>
    <w:rsid w:val="004E65C3"/>
    <w:rsid w:val="004E6674"/>
    <w:rsid w:val="004E6763"/>
    <w:rsid w:val="004E67A1"/>
    <w:rsid w:val="004E67A9"/>
    <w:rsid w:val="004E67E2"/>
    <w:rsid w:val="004E67F2"/>
    <w:rsid w:val="004E67FE"/>
    <w:rsid w:val="004E686D"/>
    <w:rsid w:val="004E6BE6"/>
    <w:rsid w:val="004E6C40"/>
    <w:rsid w:val="004E6C6E"/>
    <w:rsid w:val="004E6E1C"/>
    <w:rsid w:val="004E6E4B"/>
    <w:rsid w:val="004E6EC0"/>
    <w:rsid w:val="004E6F32"/>
    <w:rsid w:val="004E6F77"/>
    <w:rsid w:val="004E70A8"/>
    <w:rsid w:val="004E71A7"/>
    <w:rsid w:val="004E72D3"/>
    <w:rsid w:val="004E7314"/>
    <w:rsid w:val="004E73DE"/>
    <w:rsid w:val="004E755C"/>
    <w:rsid w:val="004E7588"/>
    <w:rsid w:val="004E77D1"/>
    <w:rsid w:val="004E78EE"/>
    <w:rsid w:val="004E7A81"/>
    <w:rsid w:val="004E7AD3"/>
    <w:rsid w:val="004E7B4A"/>
    <w:rsid w:val="004E7B74"/>
    <w:rsid w:val="004E7BBD"/>
    <w:rsid w:val="004E7C96"/>
    <w:rsid w:val="004E7CA8"/>
    <w:rsid w:val="004E7DEA"/>
    <w:rsid w:val="004E7DF4"/>
    <w:rsid w:val="004E7F15"/>
    <w:rsid w:val="004E7F99"/>
    <w:rsid w:val="004E7FAF"/>
    <w:rsid w:val="004F005A"/>
    <w:rsid w:val="004F01BA"/>
    <w:rsid w:val="004F0229"/>
    <w:rsid w:val="004F0443"/>
    <w:rsid w:val="004F051E"/>
    <w:rsid w:val="004F06CA"/>
    <w:rsid w:val="004F06FA"/>
    <w:rsid w:val="004F0758"/>
    <w:rsid w:val="004F0854"/>
    <w:rsid w:val="004F0884"/>
    <w:rsid w:val="004F09CF"/>
    <w:rsid w:val="004F0C76"/>
    <w:rsid w:val="004F0C94"/>
    <w:rsid w:val="004F0C9C"/>
    <w:rsid w:val="004F0D28"/>
    <w:rsid w:val="004F0DDD"/>
    <w:rsid w:val="004F0E6C"/>
    <w:rsid w:val="004F0EC7"/>
    <w:rsid w:val="004F0F2A"/>
    <w:rsid w:val="004F1141"/>
    <w:rsid w:val="004F1227"/>
    <w:rsid w:val="004F1242"/>
    <w:rsid w:val="004F1659"/>
    <w:rsid w:val="004F1802"/>
    <w:rsid w:val="004F18B4"/>
    <w:rsid w:val="004F19B7"/>
    <w:rsid w:val="004F1A44"/>
    <w:rsid w:val="004F1A6B"/>
    <w:rsid w:val="004F1B04"/>
    <w:rsid w:val="004F1BE4"/>
    <w:rsid w:val="004F1E27"/>
    <w:rsid w:val="004F1F44"/>
    <w:rsid w:val="004F207D"/>
    <w:rsid w:val="004F2092"/>
    <w:rsid w:val="004F2119"/>
    <w:rsid w:val="004F2272"/>
    <w:rsid w:val="004F22A2"/>
    <w:rsid w:val="004F2333"/>
    <w:rsid w:val="004F242D"/>
    <w:rsid w:val="004F2807"/>
    <w:rsid w:val="004F28D5"/>
    <w:rsid w:val="004F2922"/>
    <w:rsid w:val="004F296A"/>
    <w:rsid w:val="004F2A07"/>
    <w:rsid w:val="004F2B20"/>
    <w:rsid w:val="004F2B60"/>
    <w:rsid w:val="004F2BD6"/>
    <w:rsid w:val="004F2DA4"/>
    <w:rsid w:val="004F2EA4"/>
    <w:rsid w:val="004F2EFF"/>
    <w:rsid w:val="004F2FCA"/>
    <w:rsid w:val="004F3044"/>
    <w:rsid w:val="004F3048"/>
    <w:rsid w:val="004F3086"/>
    <w:rsid w:val="004F31BC"/>
    <w:rsid w:val="004F3207"/>
    <w:rsid w:val="004F3235"/>
    <w:rsid w:val="004F3238"/>
    <w:rsid w:val="004F323C"/>
    <w:rsid w:val="004F3304"/>
    <w:rsid w:val="004F341E"/>
    <w:rsid w:val="004F349D"/>
    <w:rsid w:val="004F3656"/>
    <w:rsid w:val="004F3771"/>
    <w:rsid w:val="004F3B9D"/>
    <w:rsid w:val="004F3BA8"/>
    <w:rsid w:val="004F3BB0"/>
    <w:rsid w:val="004F3C9C"/>
    <w:rsid w:val="004F3CA2"/>
    <w:rsid w:val="004F3DA5"/>
    <w:rsid w:val="004F3E71"/>
    <w:rsid w:val="004F4212"/>
    <w:rsid w:val="004F4390"/>
    <w:rsid w:val="004F44A1"/>
    <w:rsid w:val="004F463B"/>
    <w:rsid w:val="004F466A"/>
    <w:rsid w:val="004F4672"/>
    <w:rsid w:val="004F46D8"/>
    <w:rsid w:val="004F4743"/>
    <w:rsid w:val="004F4942"/>
    <w:rsid w:val="004F4AC5"/>
    <w:rsid w:val="004F4C0A"/>
    <w:rsid w:val="004F4C65"/>
    <w:rsid w:val="004F4CB4"/>
    <w:rsid w:val="004F4D03"/>
    <w:rsid w:val="004F4E55"/>
    <w:rsid w:val="004F4E7E"/>
    <w:rsid w:val="004F503B"/>
    <w:rsid w:val="004F514F"/>
    <w:rsid w:val="004F5183"/>
    <w:rsid w:val="004F521C"/>
    <w:rsid w:val="004F52CA"/>
    <w:rsid w:val="004F539F"/>
    <w:rsid w:val="004F53DA"/>
    <w:rsid w:val="004F551B"/>
    <w:rsid w:val="004F555E"/>
    <w:rsid w:val="004F56A5"/>
    <w:rsid w:val="004F5744"/>
    <w:rsid w:val="004F578D"/>
    <w:rsid w:val="004F58E6"/>
    <w:rsid w:val="004F594E"/>
    <w:rsid w:val="004F5952"/>
    <w:rsid w:val="004F5999"/>
    <w:rsid w:val="004F5A5F"/>
    <w:rsid w:val="004F5BF6"/>
    <w:rsid w:val="004F5C4F"/>
    <w:rsid w:val="004F5D65"/>
    <w:rsid w:val="004F5EE8"/>
    <w:rsid w:val="004F5F34"/>
    <w:rsid w:val="004F6047"/>
    <w:rsid w:val="004F60C9"/>
    <w:rsid w:val="004F6141"/>
    <w:rsid w:val="004F6209"/>
    <w:rsid w:val="004F627C"/>
    <w:rsid w:val="004F64A8"/>
    <w:rsid w:val="004F64AF"/>
    <w:rsid w:val="004F6728"/>
    <w:rsid w:val="004F6891"/>
    <w:rsid w:val="004F68CF"/>
    <w:rsid w:val="004F6A24"/>
    <w:rsid w:val="004F6A78"/>
    <w:rsid w:val="004F6BD7"/>
    <w:rsid w:val="004F6C6D"/>
    <w:rsid w:val="004F6D2B"/>
    <w:rsid w:val="004F6EB9"/>
    <w:rsid w:val="004F6F0C"/>
    <w:rsid w:val="004F6F22"/>
    <w:rsid w:val="004F6F49"/>
    <w:rsid w:val="004F7043"/>
    <w:rsid w:val="004F7112"/>
    <w:rsid w:val="004F7201"/>
    <w:rsid w:val="004F73B9"/>
    <w:rsid w:val="004F744F"/>
    <w:rsid w:val="004F7505"/>
    <w:rsid w:val="004F7542"/>
    <w:rsid w:val="004F7546"/>
    <w:rsid w:val="004F7548"/>
    <w:rsid w:val="004F7643"/>
    <w:rsid w:val="004F766F"/>
    <w:rsid w:val="004F76F4"/>
    <w:rsid w:val="004F774B"/>
    <w:rsid w:val="004F7784"/>
    <w:rsid w:val="004F77B0"/>
    <w:rsid w:val="004F77DA"/>
    <w:rsid w:val="004F7831"/>
    <w:rsid w:val="004F7956"/>
    <w:rsid w:val="004F79AB"/>
    <w:rsid w:val="004F7A20"/>
    <w:rsid w:val="004F7B42"/>
    <w:rsid w:val="004F7BF9"/>
    <w:rsid w:val="004F7C2B"/>
    <w:rsid w:val="004F7D05"/>
    <w:rsid w:val="004F7DB9"/>
    <w:rsid w:val="004F7E6C"/>
    <w:rsid w:val="004F7EDD"/>
    <w:rsid w:val="004F7F66"/>
    <w:rsid w:val="004F7F97"/>
    <w:rsid w:val="004F7F9E"/>
    <w:rsid w:val="004F7FD7"/>
    <w:rsid w:val="004F7FE7"/>
    <w:rsid w:val="00500109"/>
    <w:rsid w:val="005001C9"/>
    <w:rsid w:val="00500363"/>
    <w:rsid w:val="00500459"/>
    <w:rsid w:val="00500485"/>
    <w:rsid w:val="00500519"/>
    <w:rsid w:val="00500547"/>
    <w:rsid w:val="005005F8"/>
    <w:rsid w:val="00500613"/>
    <w:rsid w:val="00500697"/>
    <w:rsid w:val="005006C0"/>
    <w:rsid w:val="00500808"/>
    <w:rsid w:val="00500970"/>
    <w:rsid w:val="005009A0"/>
    <w:rsid w:val="005009D5"/>
    <w:rsid w:val="00500B38"/>
    <w:rsid w:val="00500B95"/>
    <w:rsid w:val="00500C9B"/>
    <w:rsid w:val="00500D3D"/>
    <w:rsid w:val="00500F23"/>
    <w:rsid w:val="0050111B"/>
    <w:rsid w:val="00501127"/>
    <w:rsid w:val="0050115C"/>
    <w:rsid w:val="00501254"/>
    <w:rsid w:val="00501333"/>
    <w:rsid w:val="00501496"/>
    <w:rsid w:val="00501564"/>
    <w:rsid w:val="005015B5"/>
    <w:rsid w:val="005017C5"/>
    <w:rsid w:val="00501A38"/>
    <w:rsid w:val="00501A45"/>
    <w:rsid w:val="00501ADF"/>
    <w:rsid w:val="00501C8D"/>
    <w:rsid w:val="00501D19"/>
    <w:rsid w:val="00501D76"/>
    <w:rsid w:val="00501EC2"/>
    <w:rsid w:val="00501F43"/>
    <w:rsid w:val="00501FAE"/>
    <w:rsid w:val="00501FC5"/>
    <w:rsid w:val="005020CB"/>
    <w:rsid w:val="005021E5"/>
    <w:rsid w:val="0050222E"/>
    <w:rsid w:val="00502314"/>
    <w:rsid w:val="0050238C"/>
    <w:rsid w:val="00502461"/>
    <w:rsid w:val="005025AC"/>
    <w:rsid w:val="0050267F"/>
    <w:rsid w:val="00502731"/>
    <w:rsid w:val="00502773"/>
    <w:rsid w:val="005027C6"/>
    <w:rsid w:val="0050283B"/>
    <w:rsid w:val="005029C8"/>
    <w:rsid w:val="00502A04"/>
    <w:rsid w:val="00502A3B"/>
    <w:rsid w:val="00502B6A"/>
    <w:rsid w:val="00502E4F"/>
    <w:rsid w:val="0050308C"/>
    <w:rsid w:val="00503116"/>
    <w:rsid w:val="00503185"/>
    <w:rsid w:val="00503236"/>
    <w:rsid w:val="0050324A"/>
    <w:rsid w:val="00503279"/>
    <w:rsid w:val="005033A4"/>
    <w:rsid w:val="005033BF"/>
    <w:rsid w:val="00503470"/>
    <w:rsid w:val="005035B6"/>
    <w:rsid w:val="005035C0"/>
    <w:rsid w:val="0050379E"/>
    <w:rsid w:val="00503928"/>
    <w:rsid w:val="00503C61"/>
    <w:rsid w:val="00503D4E"/>
    <w:rsid w:val="00503E8C"/>
    <w:rsid w:val="00504065"/>
    <w:rsid w:val="00504166"/>
    <w:rsid w:val="00504286"/>
    <w:rsid w:val="005042F6"/>
    <w:rsid w:val="00504408"/>
    <w:rsid w:val="0050449E"/>
    <w:rsid w:val="005044AE"/>
    <w:rsid w:val="00504623"/>
    <w:rsid w:val="00504750"/>
    <w:rsid w:val="0050475D"/>
    <w:rsid w:val="00504812"/>
    <w:rsid w:val="00504824"/>
    <w:rsid w:val="00504880"/>
    <w:rsid w:val="00504888"/>
    <w:rsid w:val="005049A7"/>
    <w:rsid w:val="005049F8"/>
    <w:rsid w:val="00504A00"/>
    <w:rsid w:val="00504A1A"/>
    <w:rsid w:val="00504AD3"/>
    <w:rsid w:val="00504B07"/>
    <w:rsid w:val="00504B78"/>
    <w:rsid w:val="00504C9C"/>
    <w:rsid w:val="00504D3D"/>
    <w:rsid w:val="00504D5B"/>
    <w:rsid w:val="00504DAF"/>
    <w:rsid w:val="00504ED1"/>
    <w:rsid w:val="00504F21"/>
    <w:rsid w:val="00504FDE"/>
    <w:rsid w:val="005050A7"/>
    <w:rsid w:val="005050AE"/>
    <w:rsid w:val="00505107"/>
    <w:rsid w:val="0050522D"/>
    <w:rsid w:val="00505307"/>
    <w:rsid w:val="005053D1"/>
    <w:rsid w:val="005054B3"/>
    <w:rsid w:val="00505630"/>
    <w:rsid w:val="005056C5"/>
    <w:rsid w:val="005057A0"/>
    <w:rsid w:val="005059D6"/>
    <w:rsid w:val="00505A89"/>
    <w:rsid w:val="00505ABA"/>
    <w:rsid w:val="00505B2D"/>
    <w:rsid w:val="00505B3C"/>
    <w:rsid w:val="00505C8D"/>
    <w:rsid w:val="00505D2E"/>
    <w:rsid w:val="00505D94"/>
    <w:rsid w:val="00505EB0"/>
    <w:rsid w:val="00506040"/>
    <w:rsid w:val="005060AE"/>
    <w:rsid w:val="00506285"/>
    <w:rsid w:val="00506343"/>
    <w:rsid w:val="005065D0"/>
    <w:rsid w:val="005065DC"/>
    <w:rsid w:val="005065DD"/>
    <w:rsid w:val="00506610"/>
    <w:rsid w:val="005066E3"/>
    <w:rsid w:val="00506721"/>
    <w:rsid w:val="00506762"/>
    <w:rsid w:val="005067C1"/>
    <w:rsid w:val="0050680F"/>
    <w:rsid w:val="00506818"/>
    <w:rsid w:val="00506894"/>
    <w:rsid w:val="005068C5"/>
    <w:rsid w:val="005068CA"/>
    <w:rsid w:val="005068E9"/>
    <w:rsid w:val="0050693E"/>
    <w:rsid w:val="00506959"/>
    <w:rsid w:val="0050699F"/>
    <w:rsid w:val="00506B7F"/>
    <w:rsid w:val="00506BA5"/>
    <w:rsid w:val="00506D40"/>
    <w:rsid w:val="00506DBE"/>
    <w:rsid w:val="00506DE3"/>
    <w:rsid w:val="00506DF4"/>
    <w:rsid w:val="00506E7E"/>
    <w:rsid w:val="0050703F"/>
    <w:rsid w:val="00507098"/>
    <w:rsid w:val="005071C3"/>
    <w:rsid w:val="00507292"/>
    <w:rsid w:val="00507311"/>
    <w:rsid w:val="005074EB"/>
    <w:rsid w:val="0050750D"/>
    <w:rsid w:val="005075F9"/>
    <w:rsid w:val="00507622"/>
    <w:rsid w:val="0050774D"/>
    <w:rsid w:val="00507910"/>
    <w:rsid w:val="005079D5"/>
    <w:rsid w:val="00507A3E"/>
    <w:rsid w:val="00507A87"/>
    <w:rsid w:val="00507A89"/>
    <w:rsid w:val="00507B26"/>
    <w:rsid w:val="00507BB0"/>
    <w:rsid w:val="00507D8D"/>
    <w:rsid w:val="00507DB4"/>
    <w:rsid w:val="00510108"/>
    <w:rsid w:val="00510195"/>
    <w:rsid w:val="005101E4"/>
    <w:rsid w:val="005102D1"/>
    <w:rsid w:val="00510612"/>
    <w:rsid w:val="00510715"/>
    <w:rsid w:val="005107AE"/>
    <w:rsid w:val="00510806"/>
    <w:rsid w:val="005108B1"/>
    <w:rsid w:val="00510AB9"/>
    <w:rsid w:val="00510B36"/>
    <w:rsid w:val="00510C3F"/>
    <w:rsid w:val="00510C61"/>
    <w:rsid w:val="00510C9D"/>
    <w:rsid w:val="00510C9F"/>
    <w:rsid w:val="00510D52"/>
    <w:rsid w:val="00510D67"/>
    <w:rsid w:val="00510EE0"/>
    <w:rsid w:val="0051140F"/>
    <w:rsid w:val="005114B6"/>
    <w:rsid w:val="005114BD"/>
    <w:rsid w:val="00511557"/>
    <w:rsid w:val="00511598"/>
    <w:rsid w:val="005115BF"/>
    <w:rsid w:val="0051160D"/>
    <w:rsid w:val="00511659"/>
    <w:rsid w:val="00511706"/>
    <w:rsid w:val="005117C6"/>
    <w:rsid w:val="00511814"/>
    <w:rsid w:val="005119A9"/>
    <w:rsid w:val="005119FE"/>
    <w:rsid w:val="00511A69"/>
    <w:rsid w:val="00511A78"/>
    <w:rsid w:val="00511AB9"/>
    <w:rsid w:val="00511AC9"/>
    <w:rsid w:val="00511BE4"/>
    <w:rsid w:val="00511C3C"/>
    <w:rsid w:val="00511F4C"/>
    <w:rsid w:val="00511F73"/>
    <w:rsid w:val="00511F96"/>
    <w:rsid w:val="00511FC3"/>
    <w:rsid w:val="00511FC5"/>
    <w:rsid w:val="00512055"/>
    <w:rsid w:val="00512102"/>
    <w:rsid w:val="005121EC"/>
    <w:rsid w:val="00512303"/>
    <w:rsid w:val="00512376"/>
    <w:rsid w:val="00512695"/>
    <w:rsid w:val="00512928"/>
    <w:rsid w:val="0051292A"/>
    <w:rsid w:val="0051295D"/>
    <w:rsid w:val="00512961"/>
    <w:rsid w:val="005129FE"/>
    <w:rsid w:val="00512C03"/>
    <w:rsid w:val="00512E4A"/>
    <w:rsid w:val="005131D8"/>
    <w:rsid w:val="005131FD"/>
    <w:rsid w:val="00513234"/>
    <w:rsid w:val="00513278"/>
    <w:rsid w:val="00513309"/>
    <w:rsid w:val="0051335D"/>
    <w:rsid w:val="005135B4"/>
    <w:rsid w:val="0051369A"/>
    <w:rsid w:val="005136E2"/>
    <w:rsid w:val="005137EC"/>
    <w:rsid w:val="0051386F"/>
    <w:rsid w:val="00513949"/>
    <w:rsid w:val="00513B06"/>
    <w:rsid w:val="00513BA0"/>
    <w:rsid w:val="00513CC4"/>
    <w:rsid w:val="00513D23"/>
    <w:rsid w:val="00513E9D"/>
    <w:rsid w:val="00513EA1"/>
    <w:rsid w:val="00513ED7"/>
    <w:rsid w:val="00513F3B"/>
    <w:rsid w:val="00513F47"/>
    <w:rsid w:val="00513FDC"/>
    <w:rsid w:val="00514005"/>
    <w:rsid w:val="005140D9"/>
    <w:rsid w:val="0051419D"/>
    <w:rsid w:val="005142D4"/>
    <w:rsid w:val="0051441E"/>
    <w:rsid w:val="00514547"/>
    <w:rsid w:val="00514569"/>
    <w:rsid w:val="00514685"/>
    <w:rsid w:val="00514699"/>
    <w:rsid w:val="00514845"/>
    <w:rsid w:val="005148CA"/>
    <w:rsid w:val="005149A4"/>
    <w:rsid w:val="00514AF0"/>
    <w:rsid w:val="00514B55"/>
    <w:rsid w:val="00514B63"/>
    <w:rsid w:val="00514BD2"/>
    <w:rsid w:val="00514E52"/>
    <w:rsid w:val="00514EB2"/>
    <w:rsid w:val="00514F20"/>
    <w:rsid w:val="00514F57"/>
    <w:rsid w:val="005150DC"/>
    <w:rsid w:val="00515108"/>
    <w:rsid w:val="0051516D"/>
    <w:rsid w:val="005151A9"/>
    <w:rsid w:val="0051525C"/>
    <w:rsid w:val="00515395"/>
    <w:rsid w:val="005153B5"/>
    <w:rsid w:val="005154B9"/>
    <w:rsid w:val="005154F3"/>
    <w:rsid w:val="00515540"/>
    <w:rsid w:val="00515638"/>
    <w:rsid w:val="0051597B"/>
    <w:rsid w:val="00515A9E"/>
    <w:rsid w:val="00515AB6"/>
    <w:rsid w:val="00515AF1"/>
    <w:rsid w:val="00515CAB"/>
    <w:rsid w:val="00515E12"/>
    <w:rsid w:val="00515F3D"/>
    <w:rsid w:val="00516045"/>
    <w:rsid w:val="0051607F"/>
    <w:rsid w:val="00516131"/>
    <w:rsid w:val="0051617B"/>
    <w:rsid w:val="005161CF"/>
    <w:rsid w:val="00516256"/>
    <w:rsid w:val="00516382"/>
    <w:rsid w:val="00516397"/>
    <w:rsid w:val="005163D5"/>
    <w:rsid w:val="005165C1"/>
    <w:rsid w:val="005165E8"/>
    <w:rsid w:val="005168C3"/>
    <w:rsid w:val="00516A25"/>
    <w:rsid w:val="00516A9A"/>
    <w:rsid w:val="00516AD6"/>
    <w:rsid w:val="00516B57"/>
    <w:rsid w:val="00516DA8"/>
    <w:rsid w:val="00516E20"/>
    <w:rsid w:val="00516F02"/>
    <w:rsid w:val="0051708F"/>
    <w:rsid w:val="00517090"/>
    <w:rsid w:val="0051719B"/>
    <w:rsid w:val="00517275"/>
    <w:rsid w:val="005174A7"/>
    <w:rsid w:val="005175C0"/>
    <w:rsid w:val="005175FE"/>
    <w:rsid w:val="00517620"/>
    <w:rsid w:val="0051775B"/>
    <w:rsid w:val="00517848"/>
    <w:rsid w:val="005178FF"/>
    <w:rsid w:val="00517BCE"/>
    <w:rsid w:val="00517C6D"/>
    <w:rsid w:val="00517D0C"/>
    <w:rsid w:val="00517DEF"/>
    <w:rsid w:val="00517F4D"/>
    <w:rsid w:val="005200D6"/>
    <w:rsid w:val="00520193"/>
    <w:rsid w:val="00520389"/>
    <w:rsid w:val="0052049B"/>
    <w:rsid w:val="0052065F"/>
    <w:rsid w:val="00520AF5"/>
    <w:rsid w:val="00520F66"/>
    <w:rsid w:val="0052115C"/>
    <w:rsid w:val="0052127F"/>
    <w:rsid w:val="005212F4"/>
    <w:rsid w:val="0052134C"/>
    <w:rsid w:val="00521365"/>
    <w:rsid w:val="00521783"/>
    <w:rsid w:val="005217F2"/>
    <w:rsid w:val="005218C2"/>
    <w:rsid w:val="00521951"/>
    <w:rsid w:val="00521AB9"/>
    <w:rsid w:val="00521BA6"/>
    <w:rsid w:val="00521BB2"/>
    <w:rsid w:val="00521BD1"/>
    <w:rsid w:val="00521C25"/>
    <w:rsid w:val="00521C8B"/>
    <w:rsid w:val="00521F70"/>
    <w:rsid w:val="00522075"/>
    <w:rsid w:val="00522177"/>
    <w:rsid w:val="005221FC"/>
    <w:rsid w:val="0052225E"/>
    <w:rsid w:val="00522261"/>
    <w:rsid w:val="00522277"/>
    <w:rsid w:val="00522343"/>
    <w:rsid w:val="0052236C"/>
    <w:rsid w:val="005223B6"/>
    <w:rsid w:val="005223D4"/>
    <w:rsid w:val="005223E4"/>
    <w:rsid w:val="005224FD"/>
    <w:rsid w:val="0052254D"/>
    <w:rsid w:val="0052279C"/>
    <w:rsid w:val="00522824"/>
    <w:rsid w:val="0052284A"/>
    <w:rsid w:val="00522AF3"/>
    <w:rsid w:val="00522BB3"/>
    <w:rsid w:val="00522BE0"/>
    <w:rsid w:val="00522BF8"/>
    <w:rsid w:val="00522CEF"/>
    <w:rsid w:val="00522D42"/>
    <w:rsid w:val="00522DA2"/>
    <w:rsid w:val="00523131"/>
    <w:rsid w:val="00523208"/>
    <w:rsid w:val="00523306"/>
    <w:rsid w:val="0052330B"/>
    <w:rsid w:val="005233E4"/>
    <w:rsid w:val="00523538"/>
    <w:rsid w:val="0052362C"/>
    <w:rsid w:val="00523750"/>
    <w:rsid w:val="005237EC"/>
    <w:rsid w:val="00523B10"/>
    <w:rsid w:val="00523E68"/>
    <w:rsid w:val="00523FFC"/>
    <w:rsid w:val="00524000"/>
    <w:rsid w:val="005240F5"/>
    <w:rsid w:val="00524177"/>
    <w:rsid w:val="0052419E"/>
    <w:rsid w:val="005243C3"/>
    <w:rsid w:val="005245B3"/>
    <w:rsid w:val="00524728"/>
    <w:rsid w:val="005247AD"/>
    <w:rsid w:val="0052488C"/>
    <w:rsid w:val="0052488E"/>
    <w:rsid w:val="005248AB"/>
    <w:rsid w:val="00524937"/>
    <w:rsid w:val="00524954"/>
    <w:rsid w:val="00524972"/>
    <w:rsid w:val="00524A54"/>
    <w:rsid w:val="00524AE9"/>
    <w:rsid w:val="00524AFE"/>
    <w:rsid w:val="00524B83"/>
    <w:rsid w:val="00524B84"/>
    <w:rsid w:val="00524BC0"/>
    <w:rsid w:val="00524D8E"/>
    <w:rsid w:val="00524D99"/>
    <w:rsid w:val="00524DB0"/>
    <w:rsid w:val="00524DDC"/>
    <w:rsid w:val="00524E9D"/>
    <w:rsid w:val="00524F72"/>
    <w:rsid w:val="005250D2"/>
    <w:rsid w:val="00525182"/>
    <w:rsid w:val="005251E1"/>
    <w:rsid w:val="005251E5"/>
    <w:rsid w:val="0052533A"/>
    <w:rsid w:val="0052546D"/>
    <w:rsid w:val="00525484"/>
    <w:rsid w:val="0052555E"/>
    <w:rsid w:val="00525623"/>
    <w:rsid w:val="00525656"/>
    <w:rsid w:val="00525739"/>
    <w:rsid w:val="005257AA"/>
    <w:rsid w:val="005257B0"/>
    <w:rsid w:val="0052583A"/>
    <w:rsid w:val="005258BF"/>
    <w:rsid w:val="00525943"/>
    <w:rsid w:val="0052595C"/>
    <w:rsid w:val="00525975"/>
    <w:rsid w:val="00525980"/>
    <w:rsid w:val="005259FE"/>
    <w:rsid w:val="00525B9E"/>
    <w:rsid w:val="00525DAC"/>
    <w:rsid w:val="00525E53"/>
    <w:rsid w:val="00525E83"/>
    <w:rsid w:val="00525FE9"/>
    <w:rsid w:val="005260E8"/>
    <w:rsid w:val="00526175"/>
    <w:rsid w:val="005261DF"/>
    <w:rsid w:val="005262F2"/>
    <w:rsid w:val="0052632C"/>
    <w:rsid w:val="005263E0"/>
    <w:rsid w:val="005264D6"/>
    <w:rsid w:val="005265CC"/>
    <w:rsid w:val="00526621"/>
    <w:rsid w:val="00526714"/>
    <w:rsid w:val="0052678E"/>
    <w:rsid w:val="0052681B"/>
    <w:rsid w:val="0052686B"/>
    <w:rsid w:val="005268A5"/>
    <w:rsid w:val="00526A48"/>
    <w:rsid w:val="00526AB8"/>
    <w:rsid w:val="00526B54"/>
    <w:rsid w:val="00526BEF"/>
    <w:rsid w:val="00526F19"/>
    <w:rsid w:val="005270ED"/>
    <w:rsid w:val="005271A9"/>
    <w:rsid w:val="005271B6"/>
    <w:rsid w:val="005271C1"/>
    <w:rsid w:val="00527223"/>
    <w:rsid w:val="00527259"/>
    <w:rsid w:val="0052757F"/>
    <w:rsid w:val="00527641"/>
    <w:rsid w:val="005276A9"/>
    <w:rsid w:val="0052780A"/>
    <w:rsid w:val="00527851"/>
    <w:rsid w:val="00527922"/>
    <w:rsid w:val="005279CC"/>
    <w:rsid w:val="00527BF1"/>
    <w:rsid w:val="00527D6D"/>
    <w:rsid w:val="00527DEF"/>
    <w:rsid w:val="00527F20"/>
    <w:rsid w:val="00527FD9"/>
    <w:rsid w:val="00530099"/>
    <w:rsid w:val="00530136"/>
    <w:rsid w:val="005301B5"/>
    <w:rsid w:val="00530233"/>
    <w:rsid w:val="00530240"/>
    <w:rsid w:val="005302C9"/>
    <w:rsid w:val="005302D0"/>
    <w:rsid w:val="005303AD"/>
    <w:rsid w:val="0053040F"/>
    <w:rsid w:val="0053060F"/>
    <w:rsid w:val="00530676"/>
    <w:rsid w:val="005308EE"/>
    <w:rsid w:val="0053091A"/>
    <w:rsid w:val="00530953"/>
    <w:rsid w:val="005309CD"/>
    <w:rsid w:val="005309E2"/>
    <w:rsid w:val="005309E5"/>
    <w:rsid w:val="00530A6C"/>
    <w:rsid w:val="00530AA2"/>
    <w:rsid w:val="00530B16"/>
    <w:rsid w:val="00530B95"/>
    <w:rsid w:val="00530C54"/>
    <w:rsid w:val="00530D33"/>
    <w:rsid w:val="00530E8B"/>
    <w:rsid w:val="00530F0B"/>
    <w:rsid w:val="00530FB6"/>
    <w:rsid w:val="0053102C"/>
    <w:rsid w:val="00531155"/>
    <w:rsid w:val="0053115A"/>
    <w:rsid w:val="005311B5"/>
    <w:rsid w:val="00531246"/>
    <w:rsid w:val="00531341"/>
    <w:rsid w:val="0053136D"/>
    <w:rsid w:val="0053141F"/>
    <w:rsid w:val="00531460"/>
    <w:rsid w:val="0053149B"/>
    <w:rsid w:val="00531570"/>
    <w:rsid w:val="005315D0"/>
    <w:rsid w:val="005315F7"/>
    <w:rsid w:val="0053165F"/>
    <w:rsid w:val="0053168C"/>
    <w:rsid w:val="005316C8"/>
    <w:rsid w:val="00531717"/>
    <w:rsid w:val="005317E0"/>
    <w:rsid w:val="005317ED"/>
    <w:rsid w:val="005317F7"/>
    <w:rsid w:val="00531A45"/>
    <w:rsid w:val="00531A8A"/>
    <w:rsid w:val="00531A94"/>
    <w:rsid w:val="00531C78"/>
    <w:rsid w:val="00531DA1"/>
    <w:rsid w:val="00531DC7"/>
    <w:rsid w:val="00531E06"/>
    <w:rsid w:val="00531F52"/>
    <w:rsid w:val="00532051"/>
    <w:rsid w:val="00532065"/>
    <w:rsid w:val="00532095"/>
    <w:rsid w:val="005320C7"/>
    <w:rsid w:val="005321A7"/>
    <w:rsid w:val="005321ED"/>
    <w:rsid w:val="0053220F"/>
    <w:rsid w:val="00532227"/>
    <w:rsid w:val="005322B7"/>
    <w:rsid w:val="0053239C"/>
    <w:rsid w:val="0053266D"/>
    <w:rsid w:val="0053274C"/>
    <w:rsid w:val="0053275B"/>
    <w:rsid w:val="00532834"/>
    <w:rsid w:val="00532873"/>
    <w:rsid w:val="005328D1"/>
    <w:rsid w:val="00532ABB"/>
    <w:rsid w:val="00532DB4"/>
    <w:rsid w:val="00532DFB"/>
    <w:rsid w:val="00532F70"/>
    <w:rsid w:val="00533092"/>
    <w:rsid w:val="0053309D"/>
    <w:rsid w:val="00533180"/>
    <w:rsid w:val="005331E6"/>
    <w:rsid w:val="0053326F"/>
    <w:rsid w:val="00533445"/>
    <w:rsid w:val="0053345A"/>
    <w:rsid w:val="00533468"/>
    <w:rsid w:val="00533533"/>
    <w:rsid w:val="00533612"/>
    <w:rsid w:val="0053379E"/>
    <w:rsid w:val="005338C0"/>
    <w:rsid w:val="00533D4A"/>
    <w:rsid w:val="00533D7A"/>
    <w:rsid w:val="00533DBA"/>
    <w:rsid w:val="00533DD6"/>
    <w:rsid w:val="00533DE8"/>
    <w:rsid w:val="00533E80"/>
    <w:rsid w:val="00533F29"/>
    <w:rsid w:val="00533F62"/>
    <w:rsid w:val="0053401A"/>
    <w:rsid w:val="005340C4"/>
    <w:rsid w:val="00534229"/>
    <w:rsid w:val="0053423E"/>
    <w:rsid w:val="00534325"/>
    <w:rsid w:val="005345CA"/>
    <w:rsid w:val="005345FB"/>
    <w:rsid w:val="00534605"/>
    <w:rsid w:val="00534616"/>
    <w:rsid w:val="00534798"/>
    <w:rsid w:val="005347BC"/>
    <w:rsid w:val="0053492A"/>
    <w:rsid w:val="00534BF4"/>
    <w:rsid w:val="00534C2F"/>
    <w:rsid w:val="00534F90"/>
    <w:rsid w:val="00535049"/>
    <w:rsid w:val="005350F2"/>
    <w:rsid w:val="005350F8"/>
    <w:rsid w:val="005351BB"/>
    <w:rsid w:val="005352AC"/>
    <w:rsid w:val="005352CB"/>
    <w:rsid w:val="005356AA"/>
    <w:rsid w:val="005356B6"/>
    <w:rsid w:val="005358B3"/>
    <w:rsid w:val="005359C6"/>
    <w:rsid w:val="005359D1"/>
    <w:rsid w:val="00535AE1"/>
    <w:rsid w:val="00535BB5"/>
    <w:rsid w:val="00535C59"/>
    <w:rsid w:val="00535D27"/>
    <w:rsid w:val="00535E34"/>
    <w:rsid w:val="00535E5E"/>
    <w:rsid w:val="00535FF4"/>
    <w:rsid w:val="0053627A"/>
    <w:rsid w:val="005362EC"/>
    <w:rsid w:val="005363A9"/>
    <w:rsid w:val="005366E8"/>
    <w:rsid w:val="00536779"/>
    <w:rsid w:val="005367A6"/>
    <w:rsid w:val="005367D6"/>
    <w:rsid w:val="00536914"/>
    <w:rsid w:val="00536A00"/>
    <w:rsid w:val="00536A49"/>
    <w:rsid w:val="00536A72"/>
    <w:rsid w:val="00536AFF"/>
    <w:rsid w:val="00536B52"/>
    <w:rsid w:val="00536B89"/>
    <w:rsid w:val="00536E07"/>
    <w:rsid w:val="00536E19"/>
    <w:rsid w:val="00536E2A"/>
    <w:rsid w:val="00536EF3"/>
    <w:rsid w:val="005370A1"/>
    <w:rsid w:val="00537106"/>
    <w:rsid w:val="0053716B"/>
    <w:rsid w:val="00537272"/>
    <w:rsid w:val="005373CE"/>
    <w:rsid w:val="005374F7"/>
    <w:rsid w:val="00537538"/>
    <w:rsid w:val="00537721"/>
    <w:rsid w:val="005377B5"/>
    <w:rsid w:val="00537819"/>
    <w:rsid w:val="00537864"/>
    <w:rsid w:val="0053797C"/>
    <w:rsid w:val="00537A60"/>
    <w:rsid w:val="00537A62"/>
    <w:rsid w:val="00537B1E"/>
    <w:rsid w:val="00537BC7"/>
    <w:rsid w:val="00537DC5"/>
    <w:rsid w:val="00537EED"/>
    <w:rsid w:val="00540014"/>
    <w:rsid w:val="0054001D"/>
    <w:rsid w:val="005400A0"/>
    <w:rsid w:val="0054013F"/>
    <w:rsid w:val="00540166"/>
    <w:rsid w:val="00540234"/>
    <w:rsid w:val="00540240"/>
    <w:rsid w:val="005402EB"/>
    <w:rsid w:val="005403B5"/>
    <w:rsid w:val="005403F6"/>
    <w:rsid w:val="0054040D"/>
    <w:rsid w:val="0054044C"/>
    <w:rsid w:val="00540593"/>
    <w:rsid w:val="00540625"/>
    <w:rsid w:val="00540857"/>
    <w:rsid w:val="005408A7"/>
    <w:rsid w:val="005409F5"/>
    <w:rsid w:val="00540B1B"/>
    <w:rsid w:val="00540BCE"/>
    <w:rsid w:val="00540C27"/>
    <w:rsid w:val="00540D08"/>
    <w:rsid w:val="00540ECE"/>
    <w:rsid w:val="00540F4C"/>
    <w:rsid w:val="00541126"/>
    <w:rsid w:val="005412AB"/>
    <w:rsid w:val="005412B5"/>
    <w:rsid w:val="005412E1"/>
    <w:rsid w:val="0054140A"/>
    <w:rsid w:val="0054140D"/>
    <w:rsid w:val="00541419"/>
    <w:rsid w:val="0054142A"/>
    <w:rsid w:val="00541439"/>
    <w:rsid w:val="00541480"/>
    <w:rsid w:val="005416BE"/>
    <w:rsid w:val="005416CE"/>
    <w:rsid w:val="00541841"/>
    <w:rsid w:val="00541845"/>
    <w:rsid w:val="005418ED"/>
    <w:rsid w:val="00541900"/>
    <w:rsid w:val="0054195A"/>
    <w:rsid w:val="00541AC0"/>
    <w:rsid w:val="00541BCC"/>
    <w:rsid w:val="00541C9E"/>
    <w:rsid w:val="00541DA6"/>
    <w:rsid w:val="00541E7D"/>
    <w:rsid w:val="00541F09"/>
    <w:rsid w:val="00541F47"/>
    <w:rsid w:val="00541F88"/>
    <w:rsid w:val="005420A7"/>
    <w:rsid w:val="00542135"/>
    <w:rsid w:val="0054219D"/>
    <w:rsid w:val="005423B1"/>
    <w:rsid w:val="00542419"/>
    <w:rsid w:val="005424B6"/>
    <w:rsid w:val="005425D2"/>
    <w:rsid w:val="005426DB"/>
    <w:rsid w:val="00542859"/>
    <w:rsid w:val="00542A3D"/>
    <w:rsid w:val="00542AB4"/>
    <w:rsid w:val="00542ADC"/>
    <w:rsid w:val="00542B90"/>
    <w:rsid w:val="00542C65"/>
    <w:rsid w:val="00542CA9"/>
    <w:rsid w:val="00542CF9"/>
    <w:rsid w:val="00542E8D"/>
    <w:rsid w:val="00542EF9"/>
    <w:rsid w:val="00542F7B"/>
    <w:rsid w:val="00542FD2"/>
    <w:rsid w:val="00543016"/>
    <w:rsid w:val="00543037"/>
    <w:rsid w:val="00543147"/>
    <w:rsid w:val="0054316E"/>
    <w:rsid w:val="00543173"/>
    <w:rsid w:val="005431F2"/>
    <w:rsid w:val="0054346F"/>
    <w:rsid w:val="005434A8"/>
    <w:rsid w:val="005434C3"/>
    <w:rsid w:val="005435BF"/>
    <w:rsid w:val="005435D5"/>
    <w:rsid w:val="0054374C"/>
    <w:rsid w:val="00543783"/>
    <w:rsid w:val="00543866"/>
    <w:rsid w:val="005438D3"/>
    <w:rsid w:val="00543B4C"/>
    <w:rsid w:val="00543B58"/>
    <w:rsid w:val="00543B72"/>
    <w:rsid w:val="00543BC3"/>
    <w:rsid w:val="00543BCB"/>
    <w:rsid w:val="00543C5E"/>
    <w:rsid w:val="00543CDD"/>
    <w:rsid w:val="00543D29"/>
    <w:rsid w:val="00543D2D"/>
    <w:rsid w:val="00543DA7"/>
    <w:rsid w:val="00543DEC"/>
    <w:rsid w:val="00543DF1"/>
    <w:rsid w:val="005440C7"/>
    <w:rsid w:val="0054412C"/>
    <w:rsid w:val="00544329"/>
    <w:rsid w:val="005445D9"/>
    <w:rsid w:val="005445FF"/>
    <w:rsid w:val="00544751"/>
    <w:rsid w:val="0054477A"/>
    <w:rsid w:val="00544961"/>
    <w:rsid w:val="00544990"/>
    <w:rsid w:val="00544A74"/>
    <w:rsid w:val="00544BCB"/>
    <w:rsid w:val="00544C84"/>
    <w:rsid w:val="00544CBA"/>
    <w:rsid w:val="00544D71"/>
    <w:rsid w:val="00544D89"/>
    <w:rsid w:val="00544DB6"/>
    <w:rsid w:val="00544E25"/>
    <w:rsid w:val="00544E43"/>
    <w:rsid w:val="00544E60"/>
    <w:rsid w:val="00544ED9"/>
    <w:rsid w:val="00544EEB"/>
    <w:rsid w:val="00544F36"/>
    <w:rsid w:val="00544F63"/>
    <w:rsid w:val="00544FF1"/>
    <w:rsid w:val="005450DC"/>
    <w:rsid w:val="0054511A"/>
    <w:rsid w:val="005451A9"/>
    <w:rsid w:val="005451C8"/>
    <w:rsid w:val="0054529B"/>
    <w:rsid w:val="00545408"/>
    <w:rsid w:val="005455BA"/>
    <w:rsid w:val="00545668"/>
    <w:rsid w:val="00545711"/>
    <w:rsid w:val="00545805"/>
    <w:rsid w:val="005458AD"/>
    <w:rsid w:val="00545A5A"/>
    <w:rsid w:val="00545B4E"/>
    <w:rsid w:val="00545C63"/>
    <w:rsid w:val="00545EAD"/>
    <w:rsid w:val="00545F2D"/>
    <w:rsid w:val="00545F9D"/>
    <w:rsid w:val="00546142"/>
    <w:rsid w:val="00546241"/>
    <w:rsid w:val="00546282"/>
    <w:rsid w:val="00546287"/>
    <w:rsid w:val="005462BA"/>
    <w:rsid w:val="00546315"/>
    <w:rsid w:val="00546401"/>
    <w:rsid w:val="00546421"/>
    <w:rsid w:val="0054648A"/>
    <w:rsid w:val="005464A7"/>
    <w:rsid w:val="00546756"/>
    <w:rsid w:val="00546908"/>
    <w:rsid w:val="0054699C"/>
    <w:rsid w:val="00546AA7"/>
    <w:rsid w:val="00546B0A"/>
    <w:rsid w:val="00546B52"/>
    <w:rsid w:val="00546B65"/>
    <w:rsid w:val="00546D75"/>
    <w:rsid w:val="00546D80"/>
    <w:rsid w:val="00546DBF"/>
    <w:rsid w:val="00546F18"/>
    <w:rsid w:val="00546F1E"/>
    <w:rsid w:val="00546FC2"/>
    <w:rsid w:val="00547032"/>
    <w:rsid w:val="0054715C"/>
    <w:rsid w:val="005472B1"/>
    <w:rsid w:val="005472D7"/>
    <w:rsid w:val="005472DB"/>
    <w:rsid w:val="0054743D"/>
    <w:rsid w:val="005474A1"/>
    <w:rsid w:val="005474E3"/>
    <w:rsid w:val="005475B3"/>
    <w:rsid w:val="00547642"/>
    <w:rsid w:val="0054764D"/>
    <w:rsid w:val="00547699"/>
    <w:rsid w:val="005476EC"/>
    <w:rsid w:val="00547886"/>
    <w:rsid w:val="0054788C"/>
    <w:rsid w:val="005478C4"/>
    <w:rsid w:val="0054795E"/>
    <w:rsid w:val="00547A61"/>
    <w:rsid w:val="00547A97"/>
    <w:rsid w:val="00547ABA"/>
    <w:rsid w:val="00547B37"/>
    <w:rsid w:val="00547BF5"/>
    <w:rsid w:val="00547D40"/>
    <w:rsid w:val="00547DA8"/>
    <w:rsid w:val="00547DC0"/>
    <w:rsid w:val="00547E41"/>
    <w:rsid w:val="00550033"/>
    <w:rsid w:val="00550064"/>
    <w:rsid w:val="005500A0"/>
    <w:rsid w:val="005500DF"/>
    <w:rsid w:val="005500FC"/>
    <w:rsid w:val="005501D7"/>
    <w:rsid w:val="0055035E"/>
    <w:rsid w:val="00550471"/>
    <w:rsid w:val="00550491"/>
    <w:rsid w:val="00550556"/>
    <w:rsid w:val="00550752"/>
    <w:rsid w:val="00550807"/>
    <w:rsid w:val="00550924"/>
    <w:rsid w:val="00550932"/>
    <w:rsid w:val="00550973"/>
    <w:rsid w:val="005509B2"/>
    <w:rsid w:val="005509FD"/>
    <w:rsid w:val="00550A46"/>
    <w:rsid w:val="00550C2A"/>
    <w:rsid w:val="00550CEF"/>
    <w:rsid w:val="00550D65"/>
    <w:rsid w:val="00550E87"/>
    <w:rsid w:val="00550E89"/>
    <w:rsid w:val="00550EE0"/>
    <w:rsid w:val="00550F1A"/>
    <w:rsid w:val="00550F3D"/>
    <w:rsid w:val="00551215"/>
    <w:rsid w:val="00551452"/>
    <w:rsid w:val="0055150A"/>
    <w:rsid w:val="005515CA"/>
    <w:rsid w:val="00551661"/>
    <w:rsid w:val="00551689"/>
    <w:rsid w:val="00551737"/>
    <w:rsid w:val="0055173C"/>
    <w:rsid w:val="0055178A"/>
    <w:rsid w:val="005518DE"/>
    <w:rsid w:val="00551B16"/>
    <w:rsid w:val="00551B30"/>
    <w:rsid w:val="00551B59"/>
    <w:rsid w:val="00551BA0"/>
    <w:rsid w:val="00551C1A"/>
    <w:rsid w:val="00551C42"/>
    <w:rsid w:val="00551C6D"/>
    <w:rsid w:val="00551ECF"/>
    <w:rsid w:val="00551F27"/>
    <w:rsid w:val="0055204E"/>
    <w:rsid w:val="00552187"/>
    <w:rsid w:val="00552360"/>
    <w:rsid w:val="005523C5"/>
    <w:rsid w:val="005523EB"/>
    <w:rsid w:val="005524EB"/>
    <w:rsid w:val="0055250F"/>
    <w:rsid w:val="005525E6"/>
    <w:rsid w:val="00552643"/>
    <w:rsid w:val="005527FD"/>
    <w:rsid w:val="005528CB"/>
    <w:rsid w:val="00552ABB"/>
    <w:rsid w:val="00552B38"/>
    <w:rsid w:val="00552B9C"/>
    <w:rsid w:val="00552D1F"/>
    <w:rsid w:val="00552D3D"/>
    <w:rsid w:val="00552D77"/>
    <w:rsid w:val="00552D9C"/>
    <w:rsid w:val="00552D9E"/>
    <w:rsid w:val="00552E49"/>
    <w:rsid w:val="00552E55"/>
    <w:rsid w:val="00552F28"/>
    <w:rsid w:val="005530A4"/>
    <w:rsid w:val="00553373"/>
    <w:rsid w:val="005533AE"/>
    <w:rsid w:val="0055343F"/>
    <w:rsid w:val="0055344F"/>
    <w:rsid w:val="005534B6"/>
    <w:rsid w:val="005534E7"/>
    <w:rsid w:val="005534EB"/>
    <w:rsid w:val="005534EC"/>
    <w:rsid w:val="00553587"/>
    <w:rsid w:val="005535B9"/>
    <w:rsid w:val="00553603"/>
    <w:rsid w:val="00553604"/>
    <w:rsid w:val="00553687"/>
    <w:rsid w:val="0055368B"/>
    <w:rsid w:val="00553716"/>
    <w:rsid w:val="0055376B"/>
    <w:rsid w:val="00553800"/>
    <w:rsid w:val="005538A4"/>
    <w:rsid w:val="005538C3"/>
    <w:rsid w:val="00553A24"/>
    <w:rsid w:val="00553A60"/>
    <w:rsid w:val="00553B57"/>
    <w:rsid w:val="00553BC8"/>
    <w:rsid w:val="00553CDE"/>
    <w:rsid w:val="00553E08"/>
    <w:rsid w:val="00554028"/>
    <w:rsid w:val="00554138"/>
    <w:rsid w:val="005541F1"/>
    <w:rsid w:val="0055424C"/>
    <w:rsid w:val="00554337"/>
    <w:rsid w:val="00554350"/>
    <w:rsid w:val="005543DD"/>
    <w:rsid w:val="00554723"/>
    <w:rsid w:val="005547F3"/>
    <w:rsid w:val="00554843"/>
    <w:rsid w:val="0055492D"/>
    <w:rsid w:val="00554A1C"/>
    <w:rsid w:val="00554A9A"/>
    <w:rsid w:val="00554B48"/>
    <w:rsid w:val="00554B96"/>
    <w:rsid w:val="00554B9C"/>
    <w:rsid w:val="00554CA5"/>
    <w:rsid w:val="00554D54"/>
    <w:rsid w:val="00554DB5"/>
    <w:rsid w:val="00554E27"/>
    <w:rsid w:val="00554EDC"/>
    <w:rsid w:val="00554F03"/>
    <w:rsid w:val="00554F2F"/>
    <w:rsid w:val="00554F6B"/>
    <w:rsid w:val="00554F90"/>
    <w:rsid w:val="00555010"/>
    <w:rsid w:val="0055505E"/>
    <w:rsid w:val="0055507B"/>
    <w:rsid w:val="005550E7"/>
    <w:rsid w:val="00555107"/>
    <w:rsid w:val="0055510E"/>
    <w:rsid w:val="00555190"/>
    <w:rsid w:val="005551B6"/>
    <w:rsid w:val="005551FF"/>
    <w:rsid w:val="0055538F"/>
    <w:rsid w:val="005553E7"/>
    <w:rsid w:val="0055544B"/>
    <w:rsid w:val="00555475"/>
    <w:rsid w:val="00555584"/>
    <w:rsid w:val="005555C4"/>
    <w:rsid w:val="005556A6"/>
    <w:rsid w:val="00555784"/>
    <w:rsid w:val="00555933"/>
    <w:rsid w:val="00555ABC"/>
    <w:rsid w:val="00555AF5"/>
    <w:rsid w:val="00555B84"/>
    <w:rsid w:val="00555CBF"/>
    <w:rsid w:val="00555ED3"/>
    <w:rsid w:val="0055610D"/>
    <w:rsid w:val="00556194"/>
    <w:rsid w:val="005561AA"/>
    <w:rsid w:val="005562C0"/>
    <w:rsid w:val="005563DB"/>
    <w:rsid w:val="00556551"/>
    <w:rsid w:val="005565BE"/>
    <w:rsid w:val="0055663F"/>
    <w:rsid w:val="00556693"/>
    <w:rsid w:val="005566AC"/>
    <w:rsid w:val="005567AE"/>
    <w:rsid w:val="005567F4"/>
    <w:rsid w:val="00556926"/>
    <w:rsid w:val="00556A6A"/>
    <w:rsid w:val="00556AEC"/>
    <w:rsid w:val="00556C6D"/>
    <w:rsid w:val="00556EE2"/>
    <w:rsid w:val="00556EF6"/>
    <w:rsid w:val="005570D8"/>
    <w:rsid w:val="00557148"/>
    <w:rsid w:val="0055725D"/>
    <w:rsid w:val="0055726A"/>
    <w:rsid w:val="005572AA"/>
    <w:rsid w:val="005572F1"/>
    <w:rsid w:val="0055733E"/>
    <w:rsid w:val="00557479"/>
    <w:rsid w:val="005574A7"/>
    <w:rsid w:val="0055765B"/>
    <w:rsid w:val="005576C6"/>
    <w:rsid w:val="005576E8"/>
    <w:rsid w:val="005577ED"/>
    <w:rsid w:val="005579E4"/>
    <w:rsid w:val="00557C20"/>
    <w:rsid w:val="00557C47"/>
    <w:rsid w:val="00557CB9"/>
    <w:rsid w:val="00557CDF"/>
    <w:rsid w:val="00557DBC"/>
    <w:rsid w:val="00557DD5"/>
    <w:rsid w:val="00557EE9"/>
    <w:rsid w:val="00557F49"/>
    <w:rsid w:val="00557FD9"/>
    <w:rsid w:val="005600B4"/>
    <w:rsid w:val="00560121"/>
    <w:rsid w:val="00560141"/>
    <w:rsid w:val="00560174"/>
    <w:rsid w:val="0056020C"/>
    <w:rsid w:val="0056020D"/>
    <w:rsid w:val="00560243"/>
    <w:rsid w:val="005603BF"/>
    <w:rsid w:val="00560452"/>
    <w:rsid w:val="005606C4"/>
    <w:rsid w:val="00560703"/>
    <w:rsid w:val="005607C3"/>
    <w:rsid w:val="00560877"/>
    <w:rsid w:val="00560908"/>
    <w:rsid w:val="00560B94"/>
    <w:rsid w:val="00560C17"/>
    <w:rsid w:val="00560DAE"/>
    <w:rsid w:val="00560F74"/>
    <w:rsid w:val="00561004"/>
    <w:rsid w:val="0056115A"/>
    <w:rsid w:val="005611B3"/>
    <w:rsid w:val="00561294"/>
    <w:rsid w:val="0056138B"/>
    <w:rsid w:val="00561427"/>
    <w:rsid w:val="00561558"/>
    <w:rsid w:val="005616EC"/>
    <w:rsid w:val="00561828"/>
    <w:rsid w:val="00561B3F"/>
    <w:rsid w:val="00561CDA"/>
    <w:rsid w:val="00561DF2"/>
    <w:rsid w:val="00561DFE"/>
    <w:rsid w:val="00561EC8"/>
    <w:rsid w:val="00562086"/>
    <w:rsid w:val="005620F9"/>
    <w:rsid w:val="0056214D"/>
    <w:rsid w:val="005621A5"/>
    <w:rsid w:val="005621B5"/>
    <w:rsid w:val="00562290"/>
    <w:rsid w:val="00562322"/>
    <w:rsid w:val="005623AE"/>
    <w:rsid w:val="00562511"/>
    <w:rsid w:val="00562520"/>
    <w:rsid w:val="0056258D"/>
    <w:rsid w:val="005626BC"/>
    <w:rsid w:val="005626F0"/>
    <w:rsid w:val="005627CB"/>
    <w:rsid w:val="005629E8"/>
    <w:rsid w:val="00562AD1"/>
    <w:rsid w:val="00562ADA"/>
    <w:rsid w:val="00562B00"/>
    <w:rsid w:val="00562B5D"/>
    <w:rsid w:val="00562C41"/>
    <w:rsid w:val="00562C5D"/>
    <w:rsid w:val="00562DD3"/>
    <w:rsid w:val="00562EC7"/>
    <w:rsid w:val="00562FE6"/>
    <w:rsid w:val="005631BC"/>
    <w:rsid w:val="0056323E"/>
    <w:rsid w:val="005632EF"/>
    <w:rsid w:val="00563380"/>
    <w:rsid w:val="0056340B"/>
    <w:rsid w:val="0056353A"/>
    <w:rsid w:val="005635DD"/>
    <w:rsid w:val="005635E8"/>
    <w:rsid w:val="0056375F"/>
    <w:rsid w:val="00563791"/>
    <w:rsid w:val="00563888"/>
    <w:rsid w:val="0056395A"/>
    <w:rsid w:val="00563A0E"/>
    <w:rsid w:val="00563CEF"/>
    <w:rsid w:val="00563D13"/>
    <w:rsid w:val="00563D58"/>
    <w:rsid w:val="00563D90"/>
    <w:rsid w:val="00563DC1"/>
    <w:rsid w:val="00563F61"/>
    <w:rsid w:val="0056416E"/>
    <w:rsid w:val="00564252"/>
    <w:rsid w:val="0056428C"/>
    <w:rsid w:val="0056431F"/>
    <w:rsid w:val="00564606"/>
    <w:rsid w:val="005646C6"/>
    <w:rsid w:val="00564A72"/>
    <w:rsid w:val="00564B4F"/>
    <w:rsid w:val="00564BD7"/>
    <w:rsid w:val="00564C6D"/>
    <w:rsid w:val="00564D7E"/>
    <w:rsid w:val="00564E49"/>
    <w:rsid w:val="00564F33"/>
    <w:rsid w:val="00564F96"/>
    <w:rsid w:val="00565064"/>
    <w:rsid w:val="0056510E"/>
    <w:rsid w:val="00565168"/>
    <w:rsid w:val="0056516B"/>
    <w:rsid w:val="00565179"/>
    <w:rsid w:val="005651A5"/>
    <w:rsid w:val="005651B7"/>
    <w:rsid w:val="005652A8"/>
    <w:rsid w:val="00565396"/>
    <w:rsid w:val="005653F4"/>
    <w:rsid w:val="005654A1"/>
    <w:rsid w:val="005656DE"/>
    <w:rsid w:val="00565794"/>
    <w:rsid w:val="005658FF"/>
    <w:rsid w:val="00565914"/>
    <w:rsid w:val="00565A40"/>
    <w:rsid w:val="00565A7C"/>
    <w:rsid w:val="00565B4F"/>
    <w:rsid w:val="00565C49"/>
    <w:rsid w:val="00565C97"/>
    <w:rsid w:val="00565D51"/>
    <w:rsid w:val="00565D6E"/>
    <w:rsid w:val="00565EEB"/>
    <w:rsid w:val="00565F05"/>
    <w:rsid w:val="00566036"/>
    <w:rsid w:val="00566167"/>
    <w:rsid w:val="00566178"/>
    <w:rsid w:val="005662DA"/>
    <w:rsid w:val="0056636E"/>
    <w:rsid w:val="00566411"/>
    <w:rsid w:val="005665B1"/>
    <w:rsid w:val="00566603"/>
    <w:rsid w:val="0056660F"/>
    <w:rsid w:val="00566667"/>
    <w:rsid w:val="00566731"/>
    <w:rsid w:val="00566759"/>
    <w:rsid w:val="005668D5"/>
    <w:rsid w:val="005669B1"/>
    <w:rsid w:val="00566A59"/>
    <w:rsid w:val="00566C71"/>
    <w:rsid w:val="00566CBB"/>
    <w:rsid w:val="00566CE3"/>
    <w:rsid w:val="00566D10"/>
    <w:rsid w:val="00566E8E"/>
    <w:rsid w:val="005670E2"/>
    <w:rsid w:val="00567335"/>
    <w:rsid w:val="005673A6"/>
    <w:rsid w:val="005673B0"/>
    <w:rsid w:val="005674FE"/>
    <w:rsid w:val="005675F2"/>
    <w:rsid w:val="005675F8"/>
    <w:rsid w:val="0056768D"/>
    <w:rsid w:val="00567778"/>
    <w:rsid w:val="00567ACA"/>
    <w:rsid w:val="00567BB7"/>
    <w:rsid w:val="00567D1C"/>
    <w:rsid w:val="00567D38"/>
    <w:rsid w:val="00567DB9"/>
    <w:rsid w:val="00567E8B"/>
    <w:rsid w:val="00567EC1"/>
    <w:rsid w:val="00567FE1"/>
    <w:rsid w:val="00570046"/>
    <w:rsid w:val="00570123"/>
    <w:rsid w:val="00570133"/>
    <w:rsid w:val="005701C5"/>
    <w:rsid w:val="005703AE"/>
    <w:rsid w:val="00570527"/>
    <w:rsid w:val="00570557"/>
    <w:rsid w:val="00570712"/>
    <w:rsid w:val="005707DD"/>
    <w:rsid w:val="005708D6"/>
    <w:rsid w:val="00570A34"/>
    <w:rsid w:val="00570A9C"/>
    <w:rsid w:val="00570B8B"/>
    <w:rsid w:val="00570D59"/>
    <w:rsid w:val="00570DA5"/>
    <w:rsid w:val="00570EF3"/>
    <w:rsid w:val="00570F8F"/>
    <w:rsid w:val="0057107D"/>
    <w:rsid w:val="00571419"/>
    <w:rsid w:val="005714B1"/>
    <w:rsid w:val="0057152D"/>
    <w:rsid w:val="00571701"/>
    <w:rsid w:val="00571733"/>
    <w:rsid w:val="00571821"/>
    <w:rsid w:val="005719F9"/>
    <w:rsid w:val="00571A2A"/>
    <w:rsid w:val="00571A3B"/>
    <w:rsid w:val="00571BD5"/>
    <w:rsid w:val="00571C2A"/>
    <w:rsid w:val="00571CFC"/>
    <w:rsid w:val="00571D00"/>
    <w:rsid w:val="00571DD8"/>
    <w:rsid w:val="00571EAB"/>
    <w:rsid w:val="00571F50"/>
    <w:rsid w:val="00571FB9"/>
    <w:rsid w:val="00571FCF"/>
    <w:rsid w:val="00572067"/>
    <w:rsid w:val="00572360"/>
    <w:rsid w:val="005723A7"/>
    <w:rsid w:val="00572456"/>
    <w:rsid w:val="00572481"/>
    <w:rsid w:val="00572716"/>
    <w:rsid w:val="0057272E"/>
    <w:rsid w:val="00572772"/>
    <w:rsid w:val="005728A1"/>
    <w:rsid w:val="00572951"/>
    <w:rsid w:val="00572957"/>
    <w:rsid w:val="00572A01"/>
    <w:rsid w:val="00572A99"/>
    <w:rsid w:val="00572ACF"/>
    <w:rsid w:val="00572AD2"/>
    <w:rsid w:val="00572DDC"/>
    <w:rsid w:val="00572E85"/>
    <w:rsid w:val="00572F24"/>
    <w:rsid w:val="00572FC4"/>
    <w:rsid w:val="00572FD2"/>
    <w:rsid w:val="00572FD9"/>
    <w:rsid w:val="00572FE6"/>
    <w:rsid w:val="0057307C"/>
    <w:rsid w:val="005730BB"/>
    <w:rsid w:val="005730E7"/>
    <w:rsid w:val="00573172"/>
    <w:rsid w:val="00573265"/>
    <w:rsid w:val="005732BE"/>
    <w:rsid w:val="005733AC"/>
    <w:rsid w:val="005733EA"/>
    <w:rsid w:val="00573432"/>
    <w:rsid w:val="005734BB"/>
    <w:rsid w:val="00573578"/>
    <w:rsid w:val="0057362B"/>
    <w:rsid w:val="005737C1"/>
    <w:rsid w:val="00573830"/>
    <w:rsid w:val="00573A4F"/>
    <w:rsid w:val="00573BB3"/>
    <w:rsid w:val="00573C00"/>
    <w:rsid w:val="00573C03"/>
    <w:rsid w:val="00573D05"/>
    <w:rsid w:val="00573D56"/>
    <w:rsid w:val="00573EE9"/>
    <w:rsid w:val="00574080"/>
    <w:rsid w:val="00574180"/>
    <w:rsid w:val="00574219"/>
    <w:rsid w:val="0057434A"/>
    <w:rsid w:val="00574539"/>
    <w:rsid w:val="00574569"/>
    <w:rsid w:val="00574681"/>
    <w:rsid w:val="00574696"/>
    <w:rsid w:val="0057477F"/>
    <w:rsid w:val="005747B7"/>
    <w:rsid w:val="00574876"/>
    <w:rsid w:val="00574953"/>
    <w:rsid w:val="005749E2"/>
    <w:rsid w:val="005749EA"/>
    <w:rsid w:val="00574ACB"/>
    <w:rsid w:val="00574B41"/>
    <w:rsid w:val="00574B61"/>
    <w:rsid w:val="00574B7C"/>
    <w:rsid w:val="00574E22"/>
    <w:rsid w:val="00574FDE"/>
    <w:rsid w:val="005752F5"/>
    <w:rsid w:val="005753FD"/>
    <w:rsid w:val="00575494"/>
    <w:rsid w:val="005754A9"/>
    <w:rsid w:val="0057550E"/>
    <w:rsid w:val="0057554A"/>
    <w:rsid w:val="0057570A"/>
    <w:rsid w:val="005757B2"/>
    <w:rsid w:val="0057589E"/>
    <w:rsid w:val="005758CE"/>
    <w:rsid w:val="005759D7"/>
    <w:rsid w:val="005759DF"/>
    <w:rsid w:val="00575A1F"/>
    <w:rsid w:val="00575A5F"/>
    <w:rsid w:val="00575A63"/>
    <w:rsid w:val="00575B88"/>
    <w:rsid w:val="00575BD1"/>
    <w:rsid w:val="00575F90"/>
    <w:rsid w:val="00576156"/>
    <w:rsid w:val="0057615E"/>
    <w:rsid w:val="00576162"/>
    <w:rsid w:val="0057625E"/>
    <w:rsid w:val="00576376"/>
    <w:rsid w:val="00576382"/>
    <w:rsid w:val="00576423"/>
    <w:rsid w:val="005764BE"/>
    <w:rsid w:val="00576533"/>
    <w:rsid w:val="005765A6"/>
    <w:rsid w:val="00576601"/>
    <w:rsid w:val="00576618"/>
    <w:rsid w:val="005767CB"/>
    <w:rsid w:val="00576825"/>
    <w:rsid w:val="005769B3"/>
    <w:rsid w:val="005769FA"/>
    <w:rsid w:val="00576B47"/>
    <w:rsid w:val="00576B86"/>
    <w:rsid w:val="00576C2E"/>
    <w:rsid w:val="00576CE5"/>
    <w:rsid w:val="00576DB5"/>
    <w:rsid w:val="00576E24"/>
    <w:rsid w:val="00576F3D"/>
    <w:rsid w:val="00576F7D"/>
    <w:rsid w:val="00576FD7"/>
    <w:rsid w:val="00577003"/>
    <w:rsid w:val="0057709F"/>
    <w:rsid w:val="00577159"/>
    <w:rsid w:val="005771CD"/>
    <w:rsid w:val="005771EB"/>
    <w:rsid w:val="005772E9"/>
    <w:rsid w:val="005774B5"/>
    <w:rsid w:val="00577753"/>
    <w:rsid w:val="0057789A"/>
    <w:rsid w:val="005779D5"/>
    <w:rsid w:val="00577A34"/>
    <w:rsid w:val="00577AA0"/>
    <w:rsid w:val="00577B1E"/>
    <w:rsid w:val="00577B21"/>
    <w:rsid w:val="00577C0E"/>
    <w:rsid w:val="00577C24"/>
    <w:rsid w:val="00577CE5"/>
    <w:rsid w:val="00577E1F"/>
    <w:rsid w:val="00577F6C"/>
    <w:rsid w:val="00577FB9"/>
    <w:rsid w:val="00577FE5"/>
    <w:rsid w:val="00580081"/>
    <w:rsid w:val="005801A6"/>
    <w:rsid w:val="005802A8"/>
    <w:rsid w:val="005803B5"/>
    <w:rsid w:val="005803FE"/>
    <w:rsid w:val="005804B2"/>
    <w:rsid w:val="005804FB"/>
    <w:rsid w:val="0058056C"/>
    <w:rsid w:val="005805F5"/>
    <w:rsid w:val="005807F2"/>
    <w:rsid w:val="005809D5"/>
    <w:rsid w:val="00580BAF"/>
    <w:rsid w:val="00580D8F"/>
    <w:rsid w:val="00580E3C"/>
    <w:rsid w:val="0058114C"/>
    <w:rsid w:val="00581247"/>
    <w:rsid w:val="00581458"/>
    <w:rsid w:val="0058145E"/>
    <w:rsid w:val="00581544"/>
    <w:rsid w:val="005815BC"/>
    <w:rsid w:val="00581653"/>
    <w:rsid w:val="005817B3"/>
    <w:rsid w:val="005817D1"/>
    <w:rsid w:val="005817F7"/>
    <w:rsid w:val="00581909"/>
    <w:rsid w:val="0058193B"/>
    <w:rsid w:val="00581A00"/>
    <w:rsid w:val="00581A0A"/>
    <w:rsid w:val="00581B42"/>
    <w:rsid w:val="00581B43"/>
    <w:rsid w:val="00581B58"/>
    <w:rsid w:val="00581C23"/>
    <w:rsid w:val="00581DC9"/>
    <w:rsid w:val="00581F0F"/>
    <w:rsid w:val="00581FD7"/>
    <w:rsid w:val="00581FF9"/>
    <w:rsid w:val="00582013"/>
    <w:rsid w:val="00582043"/>
    <w:rsid w:val="00582084"/>
    <w:rsid w:val="00582174"/>
    <w:rsid w:val="0058217A"/>
    <w:rsid w:val="005821FB"/>
    <w:rsid w:val="00582236"/>
    <w:rsid w:val="0058224A"/>
    <w:rsid w:val="005823B9"/>
    <w:rsid w:val="0058245C"/>
    <w:rsid w:val="00582879"/>
    <w:rsid w:val="00582969"/>
    <w:rsid w:val="0058299A"/>
    <w:rsid w:val="005829A5"/>
    <w:rsid w:val="00582B90"/>
    <w:rsid w:val="00582DBE"/>
    <w:rsid w:val="00582E88"/>
    <w:rsid w:val="00582F4E"/>
    <w:rsid w:val="00582F76"/>
    <w:rsid w:val="00582FED"/>
    <w:rsid w:val="00583051"/>
    <w:rsid w:val="005830B2"/>
    <w:rsid w:val="0058314A"/>
    <w:rsid w:val="0058315E"/>
    <w:rsid w:val="00583290"/>
    <w:rsid w:val="005833D9"/>
    <w:rsid w:val="005834EA"/>
    <w:rsid w:val="005835B7"/>
    <w:rsid w:val="005835E7"/>
    <w:rsid w:val="0058360F"/>
    <w:rsid w:val="00583675"/>
    <w:rsid w:val="0058374E"/>
    <w:rsid w:val="005838F0"/>
    <w:rsid w:val="00583999"/>
    <w:rsid w:val="00583A17"/>
    <w:rsid w:val="00583A2B"/>
    <w:rsid w:val="00583A77"/>
    <w:rsid w:val="00583AEC"/>
    <w:rsid w:val="00583B2E"/>
    <w:rsid w:val="00583BF8"/>
    <w:rsid w:val="00583C4E"/>
    <w:rsid w:val="00583D89"/>
    <w:rsid w:val="00583D9B"/>
    <w:rsid w:val="00583DB7"/>
    <w:rsid w:val="00583F93"/>
    <w:rsid w:val="00584138"/>
    <w:rsid w:val="0058416F"/>
    <w:rsid w:val="005841D4"/>
    <w:rsid w:val="00584298"/>
    <w:rsid w:val="005842A8"/>
    <w:rsid w:val="005842B2"/>
    <w:rsid w:val="005843AC"/>
    <w:rsid w:val="005843D7"/>
    <w:rsid w:val="00584428"/>
    <w:rsid w:val="00584523"/>
    <w:rsid w:val="005845BE"/>
    <w:rsid w:val="00584618"/>
    <w:rsid w:val="0058461F"/>
    <w:rsid w:val="00584914"/>
    <w:rsid w:val="005849E1"/>
    <w:rsid w:val="00584B42"/>
    <w:rsid w:val="00584B7C"/>
    <w:rsid w:val="00584C36"/>
    <w:rsid w:val="00584D98"/>
    <w:rsid w:val="00584E71"/>
    <w:rsid w:val="00584F90"/>
    <w:rsid w:val="005850BF"/>
    <w:rsid w:val="005850E6"/>
    <w:rsid w:val="005851B9"/>
    <w:rsid w:val="00585334"/>
    <w:rsid w:val="005853D4"/>
    <w:rsid w:val="00585432"/>
    <w:rsid w:val="00585738"/>
    <w:rsid w:val="00585792"/>
    <w:rsid w:val="0058592A"/>
    <w:rsid w:val="00585A63"/>
    <w:rsid w:val="00585BC7"/>
    <w:rsid w:val="00585C3A"/>
    <w:rsid w:val="00585CD6"/>
    <w:rsid w:val="00585CDF"/>
    <w:rsid w:val="00585DF1"/>
    <w:rsid w:val="00585E75"/>
    <w:rsid w:val="00585FCF"/>
    <w:rsid w:val="00586043"/>
    <w:rsid w:val="0058605F"/>
    <w:rsid w:val="005861A8"/>
    <w:rsid w:val="00586423"/>
    <w:rsid w:val="005864EA"/>
    <w:rsid w:val="00586538"/>
    <w:rsid w:val="00586686"/>
    <w:rsid w:val="00586697"/>
    <w:rsid w:val="005867B0"/>
    <w:rsid w:val="005868DE"/>
    <w:rsid w:val="005869A9"/>
    <w:rsid w:val="005869F3"/>
    <w:rsid w:val="00586AE6"/>
    <w:rsid w:val="00586AF8"/>
    <w:rsid w:val="00586B3D"/>
    <w:rsid w:val="00586BC0"/>
    <w:rsid w:val="00586BC7"/>
    <w:rsid w:val="00586BD8"/>
    <w:rsid w:val="00586C46"/>
    <w:rsid w:val="00586DD2"/>
    <w:rsid w:val="00586DF1"/>
    <w:rsid w:val="00586DF2"/>
    <w:rsid w:val="00586E43"/>
    <w:rsid w:val="00586E45"/>
    <w:rsid w:val="005870F3"/>
    <w:rsid w:val="00587140"/>
    <w:rsid w:val="00587213"/>
    <w:rsid w:val="005872C7"/>
    <w:rsid w:val="0058744F"/>
    <w:rsid w:val="00587537"/>
    <w:rsid w:val="00587584"/>
    <w:rsid w:val="005875C3"/>
    <w:rsid w:val="0058766A"/>
    <w:rsid w:val="00587706"/>
    <w:rsid w:val="0058780A"/>
    <w:rsid w:val="00587850"/>
    <w:rsid w:val="0058787A"/>
    <w:rsid w:val="00587B6B"/>
    <w:rsid w:val="00587BEB"/>
    <w:rsid w:val="00587C1E"/>
    <w:rsid w:val="00587E3E"/>
    <w:rsid w:val="00587E5F"/>
    <w:rsid w:val="00590161"/>
    <w:rsid w:val="00590177"/>
    <w:rsid w:val="00590458"/>
    <w:rsid w:val="00590502"/>
    <w:rsid w:val="0059056C"/>
    <w:rsid w:val="00590609"/>
    <w:rsid w:val="00590706"/>
    <w:rsid w:val="0059081C"/>
    <w:rsid w:val="005908A3"/>
    <w:rsid w:val="005908D9"/>
    <w:rsid w:val="00590C51"/>
    <w:rsid w:val="00590DFD"/>
    <w:rsid w:val="00590E6C"/>
    <w:rsid w:val="00590EFE"/>
    <w:rsid w:val="00590FF7"/>
    <w:rsid w:val="00591005"/>
    <w:rsid w:val="0059100F"/>
    <w:rsid w:val="0059109E"/>
    <w:rsid w:val="005910FA"/>
    <w:rsid w:val="00591224"/>
    <w:rsid w:val="0059122B"/>
    <w:rsid w:val="005913A9"/>
    <w:rsid w:val="005913AB"/>
    <w:rsid w:val="005913AD"/>
    <w:rsid w:val="005914A4"/>
    <w:rsid w:val="0059153F"/>
    <w:rsid w:val="00591727"/>
    <w:rsid w:val="0059173F"/>
    <w:rsid w:val="00591A0A"/>
    <w:rsid w:val="00591A24"/>
    <w:rsid w:val="00591BDE"/>
    <w:rsid w:val="00591CD2"/>
    <w:rsid w:val="00591CF2"/>
    <w:rsid w:val="00591DFC"/>
    <w:rsid w:val="00591FCC"/>
    <w:rsid w:val="00591FDA"/>
    <w:rsid w:val="0059201C"/>
    <w:rsid w:val="0059217C"/>
    <w:rsid w:val="005921C5"/>
    <w:rsid w:val="00592230"/>
    <w:rsid w:val="00592358"/>
    <w:rsid w:val="0059277A"/>
    <w:rsid w:val="00592895"/>
    <w:rsid w:val="005928C9"/>
    <w:rsid w:val="0059290B"/>
    <w:rsid w:val="005929A9"/>
    <w:rsid w:val="005929BA"/>
    <w:rsid w:val="005929CA"/>
    <w:rsid w:val="00592B79"/>
    <w:rsid w:val="00592E8B"/>
    <w:rsid w:val="00592F00"/>
    <w:rsid w:val="00592F0D"/>
    <w:rsid w:val="00593275"/>
    <w:rsid w:val="00593318"/>
    <w:rsid w:val="00593395"/>
    <w:rsid w:val="005933B6"/>
    <w:rsid w:val="005933B8"/>
    <w:rsid w:val="0059343C"/>
    <w:rsid w:val="005935AD"/>
    <w:rsid w:val="00593669"/>
    <w:rsid w:val="00593713"/>
    <w:rsid w:val="005938B3"/>
    <w:rsid w:val="005938B8"/>
    <w:rsid w:val="00593A60"/>
    <w:rsid w:val="00593ADC"/>
    <w:rsid w:val="00593B46"/>
    <w:rsid w:val="00593B91"/>
    <w:rsid w:val="00593C07"/>
    <w:rsid w:val="00593C73"/>
    <w:rsid w:val="00593E0C"/>
    <w:rsid w:val="00593E6E"/>
    <w:rsid w:val="00593E83"/>
    <w:rsid w:val="00593FF3"/>
    <w:rsid w:val="0059403B"/>
    <w:rsid w:val="00594097"/>
    <w:rsid w:val="00594430"/>
    <w:rsid w:val="005945D0"/>
    <w:rsid w:val="00594621"/>
    <w:rsid w:val="005949CE"/>
    <w:rsid w:val="00594BE8"/>
    <w:rsid w:val="00594C18"/>
    <w:rsid w:val="00594D3C"/>
    <w:rsid w:val="00594D68"/>
    <w:rsid w:val="00594ED0"/>
    <w:rsid w:val="005950D3"/>
    <w:rsid w:val="00595147"/>
    <w:rsid w:val="005951D7"/>
    <w:rsid w:val="00595227"/>
    <w:rsid w:val="005952AE"/>
    <w:rsid w:val="0059533D"/>
    <w:rsid w:val="0059540F"/>
    <w:rsid w:val="0059552A"/>
    <w:rsid w:val="005956BD"/>
    <w:rsid w:val="00595726"/>
    <w:rsid w:val="00595942"/>
    <w:rsid w:val="005959A8"/>
    <w:rsid w:val="00595A40"/>
    <w:rsid w:val="00595AA3"/>
    <w:rsid w:val="00595E00"/>
    <w:rsid w:val="00595E39"/>
    <w:rsid w:val="00595E44"/>
    <w:rsid w:val="00595E6A"/>
    <w:rsid w:val="00595EE0"/>
    <w:rsid w:val="00595EED"/>
    <w:rsid w:val="0059608E"/>
    <w:rsid w:val="00596140"/>
    <w:rsid w:val="005963DD"/>
    <w:rsid w:val="00596440"/>
    <w:rsid w:val="005965CE"/>
    <w:rsid w:val="005965EE"/>
    <w:rsid w:val="005965F7"/>
    <w:rsid w:val="0059664D"/>
    <w:rsid w:val="005966E7"/>
    <w:rsid w:val="0059678A"/>
    <w:rsid w:val="00596810"/>
    <w:rsid w:val="005969DD"/>
    <w:rsid w:val="00596A7B"/>
    <w:rsid w:val="00596E8A"/>
    <w:rsid w:val="00597094"/>
    <w:rsid w:val="0059710C"/>
    <w:rsid w:val="00597144"/>
    <w:rsid w:val="0059716D"/>
    <w:rsid w:val="0059728E"/>
    <w:rsid w:val="005973B6"/>
    <w:rsid w:val="0059742B"/>
    <w:rsid w:val="00597431"/>
    <w:rsid w:val="00597504"/>
    <w:rsid w:val="00597602"/>
    <w:rsid w:val="00597655"/>
    <w:rsid w:val="005976F1"/>
    <w:rsid w:val="0059779E"/>
    <w:rsid w:val="005977E6"/>
    <w:rsid w:val="00597821"/>
    <w:rsid w:val="0059783C"/>
    <w:rsid w:val="00597855"/>
    <w:rsid w:val="00597925"/>
    <w:rsid w:val="0059793B"/>
    <w:rsid w:val="00597951"/>
    <w:rsid w:val="00597976"/>
    <w:rsid w:val="00597990"/>
    <w:rsid w:val="005979A7"/>
    <w:rsid w:val="005979A9"/>
    <w:rsid w:val="00597A2F"/>
    <w:rsid w:val="00597AB1"/>
    <w:rsid w:val="00597C5D"/>
    <w:rsid w:val="00597D27"/>
    <w:rsid w:val="00597E14"/>
    <w:rsid w:val="00597E1A"/>
    <w:rsid w:val="005A0002"/>
    <w:rsid w:val="005A016E"/>
    <w:rsid w:val="005A01DC"/>
    <w:rsid w:val="005A0231"/>
    <w:rsid w:val="005A02CD"/>
    <w:rsid w:val="005A0531"/>
    <w:rsid w:val="005A061A"/>
    <w:rsid w:val="005A06E5"/>
    <w:rsid w:val="005A086F"/>
    <w:rsid w:val="005A0975"/>
    <w:rsid w:val="005A0982"/>
    <w:rsid w:val="005A09EC"/>
    <w:rsid w:val="005A0A81"/>
    <w:rsid w:val="005A0B40"/>
    <w:rsid w:val="005A0BC0"/>
    <w:rsid w:val="005A0C0E"/>
    <w:rsid w:val="005A0C53"/>
    <w:rsid w:val="005A0D46"/>
    <w:rsid w:val="005A0DE5"/>
    <w:rsid w:val="005A0E01"/>
    <w:rsid w:val="005A0F8E"/>
    <w:rsid w:val="005A1161"/>
    <w:rsid w:val="005A1208"/>
    <w:rsid w:val="005A1250"/>
    <w:rsid w:val="005A125E"/>
    <w:rsid w:val="005A126F"/>
    <w:rsid w:val="005A1343"/>
    <w:rsid w:val="005A140D"/>
    <w:rsid w:val="005A149B"/>
    <w:rsid w:val="005A16CD"/>
    <w:rsid w:val="005A1720"/>
    <w:rsid w:val="005A1743"/>
    <w:rsid w:val="005A1754"/>
    <w:rsid w:val="005A1896"/>
    <w:rsid w:val="005A18F6"/>
    <w:rsid w:val="005A19DD"/>
    <w:rsid w:val="005A19E0"/>
    <w:rsid w:val="005A19ED"/>
    <w:rsid w:val="005A1B1B"/>
    <w:rsid w:val="005A1B5C"/>
    <w:rsid w:val="005A1BA9"/>
    <w:rsid w:val="005A1CDE"/>
    <w:rsid w:val="005A1CF8"/>
    <w:rsid w:val="005A1DBF"/>
    <w:rsid w:val="005A1DD1"/>
    <w:rsid w:val="005A1E42"/>
    <w:rsid w:val="005A1E83"/>
    <w:rsid w:val="005A1F6C"/>
    <w:rsid w:val="005A20CB"/>
    <w:rsid w:val="005A21C4"/>
    <w:rsid w:val="005A235C"/>
    <w:rsid w:val="005A236F"/>
    <w:rsid w:val="005A2392"/>
    <w:rsid w:val="005A239D"/>
    <w:rsid w:val="005A241E"/>
    <w:rsid w:val="005A24EF"/>
    <w:rsid w:val="005A2682"/>
    <w:rsid w:val="005A2748"/>
    <w:rsid w:val="005A275E"/>
    <w:rsid w:val="005A27E2"/>
    <w:rsid w:val="005A2821"/>
    <w:rsid w:val="005A287A"/>
    <w:rsid w:val="005A288D"/>
    <w:rsid w:val="005A2923"/>
    <w:rsid w:val="005A2990"/>
    <w:rsid w:val="005A2A00"/>
    <w:rsid w:val="005A2B21"/>
    <w:rsid w:val="005A2B96"/>
    <w:rsid w:val="005A2BD9"/>
    <w:rsid w:val="005A2C01"/>
    <w:rsid w:val="005A2C0F"/>
    <w:rsid w:val="005A2E6E"/>
    <w:rsid w:val="005A2E90"/>
    <w:rsid w:val="005A2EB5"/>
    <w:rsid w:val="005A2EFD"/>
    <w:rsid w:val="005A2EFE"/>
    <w:rsid w:val="005A2F6F"/>
    <w:rsid w:val="005A315B"/>
    <w:rsid w:val="005A31ED"/>
    <w:rsid w:val="005A32DD"/>
    <w:rsid w:val="005A3494"/>
    <w:rsid w:val="005A3549"/>
    <w:rsid w:val="005A3563"/>
    <w:rsid w:val="005A38BC"/>
    <w:rsid w:val="005A390D"/>
    <w:rsid w:val="005A391C"/>
    <w:rsid w:val="005A398D"/>
    <w:rsid w:val="005A39F6"/>
    <w:rsid w:val="005A3BDD"/>
    <w:rsid w:val="005A3C00"/>
    <w:rsid w:val="005A3D1C"/>
    <w:rsid w:val="005A3D74"/>
    <w:rsid w:val="005A3DF7"/>
    <w:rsid w:val="005A3E25"/>
    <w:rsid w:val="005A4134"/>
    <w:rsid w:val="005A4142"/>
    <w:rsid w:val="005A438E"/>
    <w:rsid w:val="005A43B2"/>
    <w:rsid w:val="005A43E0"/>
    <w:rsid w:val="005A43E4"/>
    <w:rsid w:val="005A448C"/>
    <w:rsid w:val="005A44F6"/>
    <w:rsid w:val="005A4504"/>
    <w:rsid w:val="005A45C0"/>
    <w:rsid w:val="005A4741"/>
    <w:rsid w:val="005A47F5"/>
    <w:rsid w:val="005A4895"/>
    <w:rsid w:val="005A4980"/>
    <w:rsid w:val="005A4A2F"/>
    <w:rsid w:val="005A4ADC"/>
    <w:rsid w:val="005A4B80"/>
    <w:rsid w:val="005A4B84"/>
    <w:rsid w:val="005A4C65"/>
    <w:rsid w:val="005A4CE3"/>
    <w:rsid w:val="005A4D4A"/>
    <w:rsid w:val="005A4DB0"/>
    <w:rsid w:val="005A4E4B"/>
    <w:rsid w:val="005A4E79"/>
    <w:rsid w:val="005A4F32"/>
    <w:rsid w:val="005A4FA5"/>
    <w:rsid w:val="005A4FDE"/>
    <w:rsid w:val="005A503B"/>
    <w:rsid w:val="005A519F"/>
    <w:rsid w:val="005A52C7"/>
    <w:rsid w:val="005A5328"/>
    <w:rsid w:val="005A53A5"/>
    <w:rsid w:val="005A53B1"/>
    <w:rsid w:val="005A5413"/>
    <w:rsid w:val="005A553D"/>
    <w:rsid w:val="005A556E"/>
    <w:rsid w:val="005A55A7"/>
    <w:rsid w:val="005A567E"/>
    <w:rsid w:val="005A56E9"/>
    <w:rsid w:val="005A5753"/>
    <w:rsid w:val="005A586B"/>
    <w:rsid w:val="005A58E2"/>
    <w:rsid w:val="005A5927"/>
    <w:rsid w:val="005A5933"/>
    <w:rsid w:val="005A594B"/>
    <w:rsid w:val="005A5A52"/>
    <w:rsid w:val="005A5AE2"/>
    <w:rsid w:val="005A5EF3"/>
    <w:rsid w:val="005A5EF4"/>
    <w:rsid w:val="005A611B"/>
    <w:rsid w:val="005A627E"/>
    <w:rsid w:val="005A6312"/>
    <w:rsid w:val="005A634A"/>
    <w:rsid w:val="005A63ED"/>
    <w:rsid w:val="005A6432"/>
    <w:rsid w:val="005A64A3"/>
    <w:rsid w:val="005A6720"/>
    <w:rsid w:val="005A6794"/>
    <w:rsid w:val="005A67C5"/>
    <w:rsid w:val="005A6806"/>
    <w:rsid w:val="005A68FF"/>
    <w:rsid w:val="005A6934"/>
    <w:rsid w:val="005A6A1D"/>
    <w:rsid w:val="005A6ADB"/>
    <w:rsid w:val="005A6B68"/>
    <w:rsid w:val="005A6B85"/>
    <w:rsid w:val="005A6B8B"/>
    <w:rsid w:val="005A6B9A"/>
    <w:rsid w:val="005A6C16"/>
    <w:rsid w:val="005A6C45"/>
    <w:rsid w:val="005A6D1F"/>
    <w:rsid w:val="005A6E36"/>
    <w:rsid w:val="005A6EA6"/>
    <w:rsid w:val="005A7138"/>
    <w:rsid w:val="005A715E"/>
    <w:rsid w:val="005A718F"/>
    <w:rsid w:val="005A7459"/>
    <w:rsid w:val="005A74F9"/>
    <w:rsid w:val="005A76BF"/>
    <w:rsid w:val="005A76EF"/>
    <w:rsid w:val="005A76FF"/>
    <w:rsid w:val="005A771D"/>
    <w:rsid w:val="005A7849"/>
    <w:rsid w:val="005A785A"/>
    <w:rsid w:val="005A7976"/>
    <w:rsid w:val="005A7A46"/>
    <w:rsid w:val="005A7B0A"/>
    <w:rsid w:val="005A7B14"/>
    <w:rsid w:val="005A7BBE"/>
    <w:rsid w:val="005A7D14"/>
    <w:rsid w:val="005A7E79"/>
    <w:rsid w:val="005A7EE8"/>
    <w:rsid w:val="005B02E5"/>
    <w:rsid w:val="005B033F"/>
    <w:rsid w:val="005B03E9"/>
    <w:rsid w:val="005B0455"/>
    <w:rsid w:val="005B04AC"/>
    <w:rsid w:val="005B0540"/>
    <w:rsid w:val="005B058D"/>
    <w:rsid w:val="005B05E3"/>
    <w:rsid w:val="005B0706"/>
    <w:rsid w:val="005B086E"/>
    <w:rsid w:val="005B08F1"/>
    <w:rsid w:val="005B09A5"/>
    <w:rsid w:val="005B0AC0"/>
    <w:rsid w:val="005B0B10"/>
    <w:rsid w:val="005B0B57"/>
    <w:rsid w:val="005B0CC4"/>
    <w:rsid w:val="005B0CD7"/>
    <w:rsid w:val="005B0EF5"/>
    <w:rsid w:val="005B0FC2"/>
    <w:rsid w:val="005B0FDE"/>
    <w:rsid w:val="005B105E"/>
    <w:rsid w:val="005B11BB"/>
    <w:rsid w:val="005B1223"/>
    <w:rsid w:val="005B139C"/>
    <w:rsid w:val="005B13DC"/>
    <w:rsid w:val="005B13EE"/>
    <w:rsid w:val="005B14D0"/>
    <w:rsid w:val="005B154B"/>
    <w:rsid w:val="005B1605"/>
    <w:rsid w:val="005B169E"/>
    <w:rsid w:val="005B16A3"/>
    <w:rsid w:val="005B1705"/>
    <w:rsid w:val="005B1753"/>
    <w:rsid w:val="005B17AD"/>
    <w:rsid w:val="005B185A"/>
    <w:rsid w:val="005B1B4A"/>
    <w:rsid w:val="005B1BCB"/>
    <w:rsid w:val="005B1D62"/>
    <w:rsid w:val="005B201C"/>
    <w:rsid w:val="005B2065"/>
    <w:rsid w:val="005B20C6"/>
    <w:rsid w:val="005B20F7"/>
    <w:rsid w:val="005B2181"/>
    <w:rsid w:val="005B224F"/>
    <w:rsid w:val="005B2258"/>
    <w:rsid w:val="005B238F"/>
    <w:rsid w:val="005B23B6"/>
    <w:rsid w:val="005B23E7"/>
    <w:rsid w:val="005B240E"/>
    <w:rsid w:val="005B2528"/>
    <w:rsid w:val="005B257A"/>
    <w:rsid w:val="005B26BA"/>
    <w:rsid w:val="005B270F"/>
    <w:rsid w:val="005B2735"/>
    <w:rsid w:val="005B2809"/>
    <w:rsid w:val="005B289F"/>
    <w:rsid w:val="005B29FE"/>
    <w:rsid w:val="005B2A62"/>
    <w:rsid w:val="005B2B0E"/>
    <w:rsid w:val="005B2BCD"/>
    <w:rsid w:val="005B2C04"/>
    <w:rsid w:val="005B2C4A"/>
    <w:rsid w:val="005B2D8F"/>
    <w:rsid w:val="005B2E38"/>
    <w:rsid w:val="005B2E62"/>
    <w:rsid w:val="005B2F72"/>
    <w:rsid w:val="005B31A9"/>
    <w:rsid w:val="005B3305"/>
    <w:rsid w:val="005B3344"/>
    <w:rsid w:val="005B3445"/>
    <w:rsid w:val="005B34FE"/>
    <w:rsid w:val="005B35C0"/>
    <w:rsid w:val="005B36B0"/>
    <w:rsid w:val="005B36B6"/>
    <w:rsid w:val="005B3714"/>
    <w:rsid w:val="005B37ED"/>
    <w:rsid w:val="005B3868"/>
    <w:rsid w:val="005B39B0"/>
    <w:rsid w:val="005B3A0D"/>
    <w:rsid w:val="005B3B70"/>
    <w:rsid w:val="005B3B94"/>
    <w:rsid w:val="005B3BA5"/>
    <w:rsid w:val="005B3C2F"/>
    <w:rsid w:val="005B3E46"/>
    <w:rsid w:val="005B3ECD"/>
    <w:rsid w:val="005B3F99"/>
    <w:rsid w:val="005B3FB8"/>
    <w:rsid w:val="005B3FC6"/>
    <w:rsid w:val="005B40A8"/>
    <w:rsid w:val="005B4210"/>
    <w:rsid w:val="005B4220"/>
    <w:rsid w:val="005B4287"/>
    <w:rsid w:val="005B430B"/>
    <w:rsid w:val="005B4416"/>
    <w:rsid w:val="005B447D"/>
    <w:rsid w:val="005B46E2"/>
    <w:rsid w:val="005B4784"/>
    <w:rsid w:val="005B47A0"/>
    <w:rsid w:val="005B4834"/>
    <w:rsid w:val="005B48E4"/>
    <w:rsid w:val="005B494D"/>
    <w:rsid w:val="005B49DE"/>
    <w:rsid w:val="005B4A5A"/>
    <w:rsid w:val="005B4AB5"/>
    <w:rsid w:val="005B4AE0"/>
    <w:rsid w:val="005B4C7F"/>
    <w:rsid w:val="005B4D38"/>
    <w:rsid w:val="005B4DF6"/>
    <w:rsid w:val="005B4E0E"/>
    <w:rsid w:val="005B4F4C"/>
    <w:rsid w:val="005B5066"/>
    <w:rsid w:val="005B507E"/>
    <w:rsid w:val="005B50B5"/>
    <w:rsid w:val="005B5193"/>
    <w:rsid w:val="005B530A"/>
    <w:rsid w:val="005B533B"/>
    <w:rsid w:val="005B5404"/>
    <w:rsid w:val="005B5444"/>
    <w:rsid w:val="005B54EE"/>
    <w:rsid w:val="005B5537"/>
    <w:rsid w:val="005B5632"/>
    <w:rsid w:val="005B5834"/>
    <w:rsid w:val="005B58C8"/>
    <w:rsid w:val="005B5BF8"/>
    <w:rsid w:val="005B5CC3"/>
    <w:rsid w:val="005B5D4A"/>
    <w:rsid w:val="005B5D5B"/>
    <w:rsid w:val="005B5E26"/>
    <w:rsid w:val="005B5EDD"/>
    <w:rsid w:val="005B5FEA"/>
    <w:rsid w:val="005B60C8"/>
    <w:rsid w:val="005B60E3"/>
    <w:rsid w:val="005B61AC"/>
    <w:rsid w:val="005B6286"/>
    <w:rsid w:val="005B63E4"/>
    <w:rsid w:val="005B657D"/>
    <w:rsid w:val="005B6619"/>
    <w:rsid w:val="005B671B"/>
    <w:rsid w:val="005B6780"/>
    <w:rsid w:val="005B6955"/>
    <w:rsid w:val="005B6958"/>
    <w:rsid w:val="005B6A1E"/>
    <w:rsid w:val="005B6CB1"/>
    <w:rsid w:val="005B6D42"/>
    <w:rsid w:val="005B6EAD"/>
    <w:rsid w:val="005B6F47"/>
    <w:rsid w:val="005B6F82"/>
    <w:rsid w:val="005B6FEF"/>
    <w:rsid w:val="005B7053"/>
    <w:rsid w:val="005B72BC"/>
    <w:rsid w:val="005B72D1"/>
    <w:rsid w:val="005B7383"/>
    <w:rsid w:val="005B7411"/>
    <w:rsid w:val="005B7517"/>
    <w:rsid w:val="005B751F"/>
    <w:rsid w:val="005B752D"/>
    <w:rsid w:val="005B7616"/>
    <w:rsid w:val="005B7662"/>
    <w:rsid w:val="005B76F0"/>
    <w:rsid w:val="005B7852"/>
    <w:rsid w:val="005B79A0"/>
    <w:rsid w:val="005B7A37"/>
    <w:rsid w:val="005B7ADF"/>
    <w:rsid w:val="005B7B7C"/>
    <w:rsid w:val="005B7C09"/>
    <w:rsid w:val="005B7CA1"/>
    <w:rsid w:val="005B7FB7"/>
    <w:rsid w:val="005C01A4"/>
    <w:rsid w:val="005C01B2"/>
    <w:rsid w:val="005C01C0"/>
    <w:rsid w:val="005C0285"/>
    <w:rsid w:val="005C0669"/>
    <w:rsid w:val="005C068B"/>
    <w:rsid w:val="005C0703"/>
    <w:rsid w:val="005C082C"/>
    <w:rsid w:val="005C09AB"/>
    <w:rsid w:val="005C0A24"/>
    <w:rsid w:val="005C0AF8"/>
    <w:rsid w:val="005C0C9A"/>
    <w:rsid w:val="005C0D23"/>
    <w:rsid w:val="005C0D2C"/>
    <w:rsid w:val="005C0D37"/>
    <w:rsid w:val="005C0D4D"/>
    <w:rsid w:val="005C0D5E"/>
    <w:rsid w:val="005C0F89"/>
    <w:rsid w:val="005C0FB5"/>
    <w:rsid w:val="005C121B"/>
    <w:rsid w:val="005C14B7"/>
    <w:rsid w:val="005C151E"/>
    <w:rsid w:val="005C187D"/>
    <w:rsid w:val="005C188C"/>
    <w:rsid w:val="005C19FE"/>
    <w:rsid w:val="005C1A00"/>
    <w:rsid w:val="005C1B48"/>
    <w:rsid w:val="005C1BDB"/>
    <w:rsid w:val="005C1C6D"/>
    <w:rsid w:val="005C1CB6"/>
    <w:rsid w:val="005C1E0E"/>
    <w:rsid w:val="005C1F37"/>
    <w:rsid w:val="005C1F5C"/>
    <w:rsid w:val="005C1FC6"/>
    <w:rsid w:val="005C1FEA"/>
    <w:rsid w:val="005C1FFF"/>
    <w:rsid w:val="005C2088"/>
    <w:rsid w:val="005C20DA"/>
    <w:rsid w:val="005C221E"/>
    <w:rsid w:val="005C227E"/>
    <w:rsid w:val="005C22AB"/>
    <w:rsid w:val="005C22B6"/>
    <w:rsid w:val="005C2540"/>
    <w:rsid w:val="005C2550"/>
    <w:rsid w:val="005C26D6"/>
    <w:rsid w:val="005C2742"/>
    <w:rsid w:val="005C2796"/>
    <w:rsid w:val="005C27CF"/>
    <w:rsid w:val="005C2873"/>
    <w:rsid w:val="005C2874"/>
    <w:rsid w:val="005C28BC"/>
    <w:rsid w:val="005C2A50"/>
    <w:rsid w:val="005C2BC6"/>
    <w:rsid w:val="005C2C84"/>
    <w:rsid w:val="005C2CAB"/>
    <w:rsid w:val="005C2CBA"/>
    <w:rsid w:val="005C2CFF"/>
    <w:rsid w:val="005C2D62"/>
    <w:rsid w:val="005C2DA6"/>
    <w:rsid w:val="005C2E2A"/>
    <w:rsid w:val="005C2F62"/>
    <w:rsid w:val="005C2FF1"/>
    <w:rsid w:val="005C302B"/>
    <w:rsid w:val="005C306E"/>
    <w:rsid w:val="005C3076"/>
    <w:rsid w:val="005C3096"/>
    <w:rsid w:val="005C31E5"/>
    <w:rsid w:val="005C33F8"/>
    <w:rsid w:val="005C36B3"/>
    <w:rsid w:val="005C36E5"/>
    <w:rsid w:val="005C3929"/>
    <w:rsid w:val="005C39A7"/>
    <w:rsid w:val="005C3AA9"/>
    <w:rsid w:val="005C3BC4"/>
    <w:rsid w:val="005C3C15"/>
    <w:rsid w:val="005C3C2D"/>
    <w:rsid w:val="005C3C4E"/>
    <w:rsid w:val="005C3D88"/>
    <w:rsid w:val="005C3E47"/>
    <w:rsid w:val="005C3EEC"/>
    <w:rsid w:val="005C3EFE"/>
    <w:rsid w:val="005C4222"/>
    <w:rsid w:val="005C4382"/>
    <w:rsid w:val="005C4491"/>
    <w:rsid w:val="005C4514"/>
    <w:rsid w:val="005C4548"/>
    <w:rsid w:val="005C4572"/>
    <w:rsid w:val="005C45B5"/>
    <w:rsid w:val="005C4686"/>
    <w:rsid w:val="005C479E"/>
    <w:rsid w:val="005C481A"/>
    <w:rsid w:val="005C4A87"/>
    <w:rsid w:val="005C4BDD"/>
    <w:rsid w:val="005C4C93"/>
    <w:rsid w:val="005C4EC0"/>
    <w:rsid w:val="005C4F13"/>
    <w:rsid w:val="005C52E9"/>
    <w:rsid w:val="005C5350"/>
    <w:rsid w:val="005C5370"/>
    <w:rsid w:val="005C53A2"/>
    <w:rsid w:val="005C543C"/>
    <w:rsid w:val="005C5442"/>
    <w:rsid w:val="005C5471"/>
    <w:rsid w:val="005C547E"/>
    <w:rsid w:val="005C54DA"/>
    <w:rsid w:val="005C55BE"/>
    <w:rsid w:val="005C5654"/>
    <w:rsid w:val="005C565E"/>
    <w:rsid w:val="005C5778"/>
    <w:rsid w:val="005C5784"/>
    <w:rsid w:val="005C5849"/>
    <w:rsid w:val="005C5949"/>
    <w:rsid w:val="005C59C3"/>
    <w:rsid w:val="005C59D1"/>
    <w:rsid w:val="005C5B61"/>
    <w:rsid w:val="005C5B81"/>
    <w:rsid w:val="005C5BF8"/>
    <w:rsid w:val="005C5CB9"/>
    <w:rsid w:val="005C5CD4"/>
    <w:rsid w:val="005C5D88"/>
    <w:rsid w:val="005C5E71"/>
    <w:rsid w:val="005C5ED4"/>
    <w:rsid w:val="005C5EDE"/>
    <w:rsid w:val="005C616A"/>
    <w:rsid w:val="005C6184"/>
    <w:rsid w:val="005C6462"/>
    <w:rsid w:val="005C656D"/>
    <w:rsid w:val="005C6688"/>
    <w:rsid w:val="005C67A3"/>
    <w:rsid w:val="005C6866"/>
    <w:rsid w:val="005C69CC"/>
    <w:rsid w:val="005C6A41"/>
    <w:rsid w:val="005C6A6A"/>
    <w:rsid w:val="005C6ACF"/>
    <w:rsid w:val="005C6B28"/>
    <w:rsid w:val="005C6B2E"/>
    <w:rsid w:val="005C6BD9"/>
    <w:rsid w:val="005C6C67"/>
    <w:rsid w:val="005C6C7B"/>
    <w:rsid w:val="005C6C88"/>
    <w:rsid w:val="005C6C92"/>
    <w:rsid w:val="005C6E2A"/>
    <w:rsid w:val="005C6E73"/>
    <w:rsid w:val="005C6E97"/>
    <w:rsid w:val="005C6E98"/>
    <w:rsid w:val="005C6EEA"/>
    <w:rsid w:val="005C6F5A"/>
    <w:rsid w:val="005C6FD2"/>
    <w:rsid w:val="005C6FF4"/>
    <w:rsid w:val="005C7016"/>
    <w:rsid w:val="005C7146"/>
    <w:rsid w:val="005C7269"/>
    <w:rsid w:val="005C727C"/>
    <w:rsid w:val="005C73C3"/>
    <w:rsid w:val="005C75A1"/>
    <w:rsid w:val="005C75CE"/>
    <w:rsid w:val="005C77FB"/>
    <w:rsid w:val="005C79E0"/>
    <w:rsid w:val="005C7A84"/>
    <w:rsid w:val="005C7B64"/>
    <w:rsid w:val="005C7B82"/>
    <w:rsid w:val="005C7C17"/>
    <w:rsid w:val="005C7C23"/>
    <w:rsid w:val="005C7C2A"/>
    <w:rsid w:val="005C7DD2"/>
    <w:rsid w:val="005C7E01"/>
    <w:rsid w:val="005C7E5E"/>
    <w:rsid w:val="005C7F5D"/>
    <w:rsid w:val="005D00C6"/>
    <w:rsid w:val="005D00CE"/>
    <w:rsid w:val="005D019A"/>
    <w:rsid w:val="005D029E"/>
    <w:rsid w:val="005D02F3"/>
    <w:rsid w:val="005D03F4"/>
    <w:rsid w:val="005D0425"/>
    <w:rsid w:val="005D044A"/>
    <w:rsid w:val="005D049E"/>
    <w:rsid w:val="005D05AA"/>
    <w:rsid w:val="005D0609"/>
    <w:rsid w:val="005D0981"/>
    <w:rsid w:val="005D0A09"/>
    <w:rsid w:val="005D0AD3"/>
    <w:rsid w:val="005D0B83"/>
    <w:rsid w:val="005D0B97"/>
    <w:rsid w:val="005D0BBD"/>
    <w:rsid w:val="005D0CD8"/>
    <w:rsid w:val="005D0CEB"/>
    <w:rsid w:val="005D0D2A"/>
    <w:rsid w:val="005D0D3D"/>
    <w:rsid w:val="005D0DB5"/>
    <w:rsid w:val="005D0DF6"/>
    <w:rsid w:val="005D0E9D"/>
    <w:rsid w:val="005D0F61"/>
    <w:rsid w:val="005D1057"/>
    <w:rsid w:val="005D1095"/>
    <w:rsid w:val="005D1350"/>
    <w:rsid w:val="005D1465"/>
    <w:rsid w:val="005D159C"/>
    <w:rsid w:val="005D1650"/>
    <w:rsid w:val="005D16C4"/>
    <w:rsid w:val="005D16C5"/>
    <w:rsid w:val="005D1738"/>
    <w:rsid w:val="005D17D9"/>
    <w:rsid w:val="005D180F"/>
    <w:rsid w:val="005D1870"/>
    <w:rsid w:val="005D19E0"/>
    <w:rsid w:val="005D1AD8"/>
    <w:rsid w:val="005D1B6E"/>
    <w:rsid w:val="005D1C80"/>
    <w:rsid w:val="005D1CAE"/>
    <w:rsid w:val="005D1D49"/>
    <w:rsid w:val="005D1FE3"/>
    <w:rsid w:val="005D2116"/>
    <w:rsid w:val="005D2208"/>
    <w:rsid w:val="005D221D"/>
    <w:rsid w:val="005D243A"/>
    <w:rsid w:val="005D24CD"/>
    <w:rsid w:val="005D282D"/>
    <w:rsid w:val="005D28C4"/>
    <w:rsid w:val="005D28D8"/>
    <w:rsid w:val="005D2955"/>
    <w:rsid w:val="005D2B24"/>
    <w:rsid w:val="005D2B83"/>
    <w:rsid w:val="005D2BC9"/>
    <w:rsid w:val="005D2C82"/>
    <w:rsid w:val="005D2C94"/>
    <w:rsid w:val="005D2E54"/>
    <w:rsid w:val="005D2E94"/>
    <w:rsid w:val="005D2E9A"/>
    <w:rsid w:val="005D2F3D"/>
    <w:rsid w:val="005D2F6A"/>
    <w:rsid w:val="005D308A"/>
    <w:rsid w:val="005D30A3"/>
    <w:rsid w:val="005D3164"/>
    <w:rsid w:val="005D31EA"/>
    <w:rsid w:val="005D3239"/>
    <w:rsid w:val="005D3290"/>
    <w:rsid w:val="005D32B1"/>
    <w:rsid w:val="005D3359"/>
    <w:rsid w:val="005D34E4"/>
    <w:rsid w:val="005D34F2"/>
    <w:rsid w:val="005D3531"/>
    <w:rsid w:val="005D35A0"/>
    <w:rsid w:val="005D35E0"/>
    <w:rsid w:val="005D3669"/>
    <w:rsid w:val="005D3696"/>
    <w:rsid w:val="005D370A"/>
    <w:rsid w:val="005D3776"/>
    <w:rsid w:val="005D39E5"/>
    <w:rsid w:val="005D3A08"/>
    <w:rsid w:val="005D3A56"/>
    <w:rsid w:val="005D3AC4"/>
    <w:rsid w:val="005D3C17"/>
    <w:rsid w:val="005D3C74"/>
    <w:rsid w:val="005D3CB2"/>
    <w:rsid w:val="005D3EAA"/>
    <w:rsid w:val="005D3EAE"/>
    <w:rsid w:val="005D3FDA"/>
    <w:rsid w:val="005D423D"/>
    <w:rsid w:val="005D42B2"/>
    <w:rsid w:val="005D431A"/>
    <w:rsid w:val="005D4381"/>
    <w:rsid w:val="005D43A9"/>
    <w:rsid w:val="005D44BA"/>
    <w:rsid w:val="005D44C4"/>
    <w:rsid w:val="005D44FA"/>
    <w:rsid w:val="005D450D"/>
    <w:rsid w:val="005D4537"/>
    <w:rsid w:val="005D4581"/>
    <w:rsid w:val="005D4837"/>
    <w:rsid w:val="005D48DF"/>
    <w:rsid w:val="005D48F7"/>
    <w:rsid w:val="005D4B9E"/>
    <w:rsid w:val="005D4CCE"/>
    <w:rsid w:val="005D4E24"/>
    <w:rsid w:val="005D4E3D"/>
    <w:rsid w:val="005D4ECF"/>
    <w:rsid w:val="005D4ED7"/>
    <w:rsid w:val="005D4F6F"/>
    <w:rsid w:val="005D5015"/>
    <w:rsid w:val="005D505E"/>
    <w:rsid w:val="005D506C"/>
    <w:rsid w:val="005D52AF"/>
    <w:rsid w:val="005D539D"/>
    <w:rsid w:val="005D54A7"/>
    <w:rsid w:val="005D54C0"/>
    <w:rsid w:val="005D54F5"/>
    <w:rsid w:val="005D55BD"/>
    <w:rsid w:val="005D55BE"/>
    <w:rsid w:val="005D5621"/>
    <w:rsid w:val="005D56FE"/>
    <w:rsid w:val="005D572D"/>
    <w:rsid w:val="005D57DC"/>
    <w:rsid w:val="005D599D"/>
    <w:rsid w:val="005D5ADA"/>
    <w:rsid w:val="005D5D25"/>
    <w:rsid w:val="005D5DBE"/>
    <w:rsid w:val="005D5E19"/>
    <w:rsid w:val="005D5E65"/>
    <w:rsid w:val="005D5F0A"/>
    <w:rsid w:val="005D5FE1"/>
    <w:rsid w:val="005D6043"/>
    <w:rsid w:val="005D6049"/>
    <w:rsid w:val="005D62D1"/>
    <w:rsid w:val="005D631B"/>
    <w:rsid w:val="005D6428"/>
    <w:rsid w:val="005D649F"/>
    <w:rsid w:val="005D6501"/>
    <w:rsid w:val="005D6687"/>
    <w:rsid w:val="005D6750"/>
    <w:rsid w:val="005D6756"/>
    <w:rsid w:val="005D6868"/>
    <w:rsid w:val="005D6A69"/>
    <w:rsid w:val="005D6ACD"/>
    <w:rsid w:val="005D6B1A"/>
    <w:rsid w:val="005D6B41"/>
    <w:rsid w:val="005D6BCC"/>
    <w:rsid w:val="005D6D01"/>
    <w:rsid w:val="005D6D8F"/>
    <w:rsid w:val="005D6E7E"/>
    <w:rsid w:val="005D724C"/>
    <w:rsid w:val="005D72B0"/>
    <w:rsid w:val="005D731E"/>
    <w:rsid w:val="005D73E5"/>
    <w:rsid w:val="005D74E2"/>
    <w:rsid w:val="005D75CF"/>
    <w:rsid w:val="005D764B"/>
    <w:rsid w:val="005D76BD"/>
    <w:rsid w:val="005D7711"/>
    <w:rsid w:val="005D772E"/>
    <w:rsid w:val="005D77B4"/>
    <w:rsid w:val="005D77DD"/>
    <w:rsid w:val="005D78FC"/>
    <w:rsid w:val="005D7906"/>
    <w:rsid w:val="005D79E5"/>
    <w:rsid w:val="005D7A22"/>
    <w:rsid w:val="005D7ABE"/>
    <w:rsid w:val="005D7AFC"/>
    <w:rsid w:val="005D7B64"/>
    <w:rsid w:val="005D7C1B"/>
    <w:rsid w:val="005D7CAB"/>
    <w:rsid w:val="005D7DCF"/>
    <w:rsid w:val="005D7E9E"/>
    <w:rsid w:val="005D7F23"/>
    <w:rsid w:val="005E003E"/>
    <w:rsid w:val="005E0060"/>
    <w:rsid w:val="005E0077"/>
    <w:rsid w:val="005E007E"/>
    <w:rsid w:val="005E016C"/>
    <w:rsid w:val="005E01CE"/>
    <w:rsid w:val="005E0204"/>
    <w:rsid w:val="005E0335"/>
    <w:rsid w:val="005E03B5"/>
    <w:rsid w:val="005E0552"/>
    <w:rsid w:val="005E06C2"/>
    <w:rsid w:val="005E09CB"/>
    <w:rsid w:val="005E09E3"/>
    <w:rsid w:val="005E0B2B"/>
    <w:rsid w:val="005E0D1C"/>
    <w:rsid w:val="005E0D1D"/>
    <w:rsid w:val="005E0DB7"/>
    <w:rsid w:val="005E0DD9"/>
    <w:rsid w:val="005E0F7E"/>
    <w:rsid w:val="005E0FCF"/>
    <w:rsid w:val="005E127E"/>
    <w:rsid w:val="005E1355"/>
    <w:rsid w:val="005E1380"/>
    <w:rsid w:val="005E13DC"/>
    <w:rsid w:val="005E15D2"/>
    <w:rsid w:val="005E16AF"/>
    <w:rsid w:val="005E1795"/>
    <w:rsid w:val="005E18A6"/>
    <w:rsid w:val="005E18C0"/>
    <w:rsid w:val="005E1A10"/>
    <w:rsid w:val="005E1A2E"/>
    <w:rsid w:val="005E1A90"/>
    <w:rsid w:val="005E1C0D"/>
    <w:rsid w:val="005E1C2D"/>
    <w:rsid w:val="005E1CFE"/>
    <w:rsid w:val="005E1D36"/>
    <w:rsid w:val="005E1D6A"/>
    <w:rsid w:val="005E1DE1"/>
    <w:rsid w:val="005E20A2"/>
    <w:rsid w:val="005E232C"/>
    <w:rsid w:val="005E2399"/>
    <w:rsid w:val="005E23C9"/>
    <w:rsid w:val="005E250B"/>
    <w:rsid w:val="005E250D"/>
    <w:rsid w:val="005E27FA"/>
    <w:rsid w:val="005E299A"/>
    <w:rsid w:val="005E29B0"/>
    <w:rsid w:val="005E2AC4"/>
    <w:rsid w:val="005E2ADA"/>
    <w:rsid w:val="005E2B47"/>
    <w:rsid w:val="005E2C28"/>
    <w:rsid w:val="005E2D07"/>
    <w:rsid w:val="005E2DB3"/>
    <w:rsid w:val="005E2E3B"/>
    <w:rsid w:val="005E2E44"/>
    <w:rsid w:val="005E2EDB"/>
    <w:rsid w:val="005E2F28"/>
    <w:rsid w:val="005E2F4B"/>
    <w:rsid w:val="005E2F68"/>
    <w:rsid w:val="005E316D"/>
    <w:rsid w:val="005E31AC"/>
    <w:rsid w:val="005E3394"/>
    <w:rsid w:val="005E34C9"/>
    <w:rsid w:val="005E3538"/>
    <w:rsid w:val="005E35CB"/>
    <w:rsid w:val="005E3658"/>
    <w:rsid w:val="005E383D"/>
    <w:rsid w:val="005E3888"/>
    <w:rsid w:val="005E3922"/>
    <w:rsid w:val="005E3948"/>
    <w:rsid w:val="005E3A7B"/>
    <w:rsid w:val="005E3ABA"/>
    <w:rsid w:val="005E3BD3"/>
    <w:rsid w:val="005E3C44"/>
    <w:rsid w:val="005E3CB4"/>
    <w:rsid w:val="005E3CD4"/>
    <w:rsid w:val="005E3D25"/>
    <w:rsid w:val="005E3DAB"/>
    <w:rsid w:val="005E3DB2"/>
    <w:rsid w:val="005E3F86"/>
    <w:rsid w:val="005E3FAE"/>
    <w:rsid w:val="005E4001"/>
    <w:rsid w:val="005E408C"/>
    <w:rsid w:val="005E411B"/>
    <w:rsid w:val="005E4216"/>
    <w:rsid w:val="005E43BD"/>
    <w:rsid w:val="005E44ED"/>
    <w:rsid w:val="005E450F"/>
    <w:rsid w:val="005E4820"/>
    <w:rsid w:val="005E4954"/>
    <w:rsid w:val="005E4977"/>
    <w:rsid w:val="005E4B23"/>
    <w:rsid w:val="005E4B38"/>
    <w:rsid w:val="005E4B83"/>
    <w:rsid w:val="005E4BCE"/>
    <w:rsid w:val="005E4C4C"/>
    <w:rsid w:val="005E4F39"/>
    <w:rsid w:val="005E50C1"/>
    <w:rsid w:val="005E523F"/>
    <w:rsid w:val="005E54EE"/>
    <w:rsid w:val="005E5558"/>
    <w:rsid w:val="005E56DF"/>
    <w:rsid w:val="005E570B"/>
    <w:rsid w:val="005E5731"/>
    <w:rsid w:val="005E5921"/>
    <w:rsid w:val="005E5997"/>
    <w:rsid w:val="005E5ADA"/>
    <w:rsid w:val="005E5B4C"/>
    <w:rsid w:val="005E5D45"/>
    <w:rsid w:val="005E5D95"/>
    <w:rsid w:val="005E5EA8"/>
    <w:rsid w:val="005E5F40"/>
    <w:rsid w:val="005E601E"/>
    <w:rsid w:val="005E6077"/>
    <w:rsid w:val="005E60E9"/>
    <w:rsid w:val="005E619C"/>
    <w:rsid w:val="005E63C2"/>
    <w:rsid w:val="005E65C2"/>
    <w:rsid w:val="005E667A"/>
    <w:rsid w:val="005E672A"/>
    <w:rsid w:val="005E675B"/>
    <w:rsid w:val="005E68E2"/>
    <w:rsid w:val="005E690C"/>
    <w:rsid w:val="005E6A25"/>
    <w:rsid w:val="005E6A53"/>
    <w:rsid w:val="005E6B9B"/>
    <w:rsid w:val="005E6D9D"/>
    <w:rsid w:val="005E6DC5"/>
    <w:rsid w:val="005E6EA9"/>
    <w:rsid w:val="005E6EB6"/>
    <w:rsid w:val="005E6FB5"/>
    <w:rsid w:val="005E707D"/>
    <w:rsid w:val="005E70F7"/>
    <w:rsid w:val="005E71EA"/>
    <w:rsid w:val="005E741B"/>
    <w:rsid w:val="005E7587"/>
    <w:rsid w:val="005E7589"/>
    <w:rsid w:val="005E76C6"/>
    <w:rsid w:val="005E76F8"/>
    <w:rsid w:val="005E7724"/>
    <w:rsid w:val="005E7726"/>
    <w:rsid w:val="005E7771"/>
    <w:rsid w:val="005E77E5"/>
    <w:rsid w:val="005E7843"/>
    <w:rsid w:val="005E7948"/>
    <w:rsid w:val="005E7AC0"/>
    <w:rsid w:val="005E7C2B"/>
    <w:rsid w:val="005E7C43"/>
    <w:rsid w:val="005E7E47"/>
    <w:rsid w:val="005F010D"/>
    <w:rsid w:val="005F0157"/>
    <w:rsid w:val="005F021C"/>
    <w:rsid w:val="005F02F2"/>
    <w:rsid w:val="005F03A1"/>
    <w:rsid w:val="005F05B2"/>
    <w:rsid w:val="005F05C2"/>
    <w:rsid w:val="005F05E1"/>
    <w:rsid w:val="005F0660"/>
    <w:rsid w:val="005F0710"/>
    <w:rsid w:val="005F0916"/>
    <w:rsid w:val="005F0A61"/>
    <w:rsid w:val="005F0D2A"/>
    <w:rsid w:val="005F0D39"/>
    <w:rsid w:val="005F0D83"/>
    <w:rsid w:val="005F0DA0"/>
    <w:rsid w:val="005F0ECC"/>
    <w:rsid w:val="005F0F77"/>
    <w:rsid w:val="005F0F7D"/>
    <w:rsid w:val="005F1009"/>
    <w:rsid w:val="005F1024"/>
    <w:rsid w:val="005F1126"/>
    <w:rsid w:val="005F1147"/>
    <w:rsid w:val="005F1169"/>
    <w:rsid w:val="005F11B0"/>
    <w:rsid w:val="005F11F2"/>
    <w:rsid w:val="005F11FC"/>
    <w:rsid w:val="005F128E"/>
    <w:rsid w:val="005F1312"/>
    <w:rsid w:val="005F13C6"/>
    <w:rsid w:val="005F1415"/>
    <w:rsid w:val="005F1703"/>
    <w:rsid w:val="005F1842"/>
    <w:rsid w:val="005F19CD"/>
    <w:rsid w:val="005F1A0E"/>
    <w:rsid w:val="005F1CBF"/>
    <w:rsid w:val="005F1E9C"/>
    <w:rsid w:val="005F1EDB"/>
    <w:rsid w:val="005F1FDF"/>
    <w:rsid w:val="005F200A"/>
    <w:rsid w:val="005F2039"/>
    <w:rsid w:val="005F2189"/>
    <w:rsid w:val="005F22F0"/>
    <w:rsid w:val="005F230B"/>
    <w:rsid w:val="005F250C"/>
    <w:rsid w:val="005F2694"/>
    <w:rsid w:val="005F2697"/>
    <w:rsid w:val="005F26E0"/>
    <w:rsid w:val="005F27C9"/>
    <w:rsid w:val="005F283C"/>
    <w:rsid w:val="005F2871"/>
    <w:rsid w:val="005F2999"/>
    <w:rsid w:val="005F2D65"/>
    <w:rsid w:val="005F2D94"/>
    <w:rsid w:val="005F2DAA"/>
    <w:rsid w:val="005F2FE9"/>
    <w:rsid w:val="005F3047"/>
    <w:rsid w:val="005F3106"/>
    <w:rsid w:val="005F316C"/>
    <w:rsid w:val="005F3174"/>
    <w:rsid w:val="005F31FD"/>
    <w:rsid w:val="005F32D6"/>
    <w:rsid w:val="005F3315"/>
    <w:rsid w:val="005F3346"/>
    <w:rsid w:val="005F334C"/>
    <w:rsid w:val="005F33CF"/>
    <w:rsid w:val="005F345D"/>
    <w:rsid w:val="005F34F5"/>
    <w:rsid w:val="005F3608"/>
    <w:rsid w:val="005F3809"/>
    <w:rsid w:val="005F3A57"/>
    <w:rsid w:val="005F3B15"/>
    <w:rsid w:val="005F3CA7"/>
    <w:rsid w:val="005F3CD8"/>
    <w:rsid w:val="005F3D38"/>
    <w:rsid w:val="005F3F20"/>
    <w:rsid w:val="005F3FC9"/>
    <w:rsid w:val="005F415C"/>
    <w:rsid w:val="005F4172"/>
    <w:rsid w:val="005F4242"/>
    <w:rsid w:val="005F4569"/>
    <w:rsid w:val="005F45E5"/>
    <w:rsid w:val="005F4700"/>
    <w:rsid w:val="005F4777"/>
    <w:rsid w:val="005F4779"/>
    <w:rsid w:val="005F47C0"/>
    <w:rsid w:val="005F47D3"/>
    <w:rsid w:val="005F4915"/>
    <w:rsid w:val="005F4B41"/>
    <w:rsid w:val="005F4BA9"/>
    <w:rsid w:val="005F4C32"/>
    <w:rsid w:val="005F4C9F"/>
    <w:rsid w:val="005F4E42"/>
    <w:rsid w:val="005F4F38"/>
    <w:rsid w:val="005F4F45"/>
    <w:rsid w:val="005F4FDF"/>
    <w:rsid w:val="005F5019"/>
    <w:rsid w:val="005F5200"/>
    <w:rsid w:val="005F5359"/>
    <w:rsid w:val="005F538B"/>
    <w:rsid w:val="005F53BC"/>
    <w:rsid w:val="005F53E1"/>
    <w:rsid w:val="005F5428"/>
    <w:rsid w:val="005F555C"/>
    <w:rsid w:val="005F57F4"/>
    <w:rsid w:val="005F58FB"/>
    <w:rsid w:val="005F595A"/>
    <w:rsid w:val="005F5AF9"/>
    <w:rsid w:val="005F5B26"/>
    <w:rsid w:val="005F5B34"/>
    <w:rsid w:val="005F5B79"/>
    <w:rsid w:val="005F5B85"/>
    <w:rsid w:val="005F5D4A"/>
    <w:rsid w:val="005F5E09"/>
    <w:rsid w:val="005F5ED6"/>
    <w:rsid w:val="005F5F33"/>
    <w:rsid w:val="005F6165"/>
    <w:rsid w:val="005F6385"/>
    <w:rsid w:val="005F641B"/>
    <w:rsid w:val="005F6447"/>
    <w:rsid w:val="005F64E1"/>
    <w:rsid w:val="005F6528"/>
    <w:rsid w:val="005F6531"/>
    <w:rsid w:val="005F6653"/>
    <w:rsid w:val="005F6782"/>
    <w:rsid w:val="005F67B4"/>
    <w:rsid w:val="005F6AB6"/>
    <w:rsid w:val="005F6B4A"/>
    <w:rsid w:val="005F6B82"/>
    <w:rsid w:val="005F6C0F"/>
    <w:rsid w:val="005F6CF4"/>
    <w:rsid w:val="005F6D92"/>
    <w:rsid w:val="005F70B9"/>
    <w:rsid w:val="005F70BE"/>
    <w:rsid w:val="005F70C9"/>
    <w:rsid w:val="005F7142"/>
    <w:rsid w:val="005F72C5"/>
    <w:rsid w:val="005F7312"/>
    <w:rsid w:val="005F737A"/>
    <w:rsid w:val="005F73FD"/>
    <w:rsid w:val="005F7566"/>
    <w:rsid w:val="005F7725"/>
    <w:rsid w:val="005F7751"/>
    <w:rsid w:val="005F7888"/>
    <w:rsid w:val="005F7954"/>
    <w:rsid w:val="005F7A8E"/>
    <w:rsid w:val="005F7ABA"/>
    <w:rsid w:val="005F7B4D"/>
    <w:rsid w:val="005F7B99"/>
    <w:rsid w:val="005F7BA4"/>
    <w:rsid w:val="005F7C50"/>
    <w:rsid w:val="005F7CB3"/>
    <w:rsid w:val="005F7D2D"/>
    <w:rsid w:val="005F7D3C"/>
    <w:rsid w:val="00600041"/>
    <w:rsid w:val="0060027F"/>
    <w:rsid w:val="006002FA"/>
    <w:rsid w:val="00600393"/>
    <w:rsid w:val="006003EF"/>
    <w:rsid w:val="0060049C"/>
    <w:rsid w:val="00600501"/>
    <w:rsid w:val="006005B2"/>
    <w:rsid w:val="006005B9"/>
    <w:rsid w:val="006005D3"/>
    <w:rsid w:val="006005DA"/>
    <w:rsid w:val="006007F9"/>
    <w:rsid w:val="00600807"/>
    <w:rsid w:val="00600828"/>
    <w:rsid w:val="0060082C"/>
    <w:rsid w:val="00600885"/>
    <w:rsid w:val="00600C14"/>
    <w:rsid w:val="00600C26"/>
    <w:rsid w:val="00600C86"/>
    <w:rsid w:val="00600CB7"/>
    <w:rsid w:val="00600E86"/>
    <w:rsid w:val="00601023"/>
    <w:rsid w:val="00601247"/>
    <w:rsid w:val="006014B5"/>
    <w:rsid w:val="006014D2"/>
    <w:rsid w:val="00601532"/>
    <w:rsid w:val="006017B1"/>
    <w:rsid w:val="00601800"/>
    <w:rsid w:val="0060189C"/>
    <w:rsid w:val="006019C6"/>
    <w:rsid w:val="00601B96"/>
    <w:rsid w:val="00601BF3"/>
    <w:rsid w:val="00601D60"/>
    <w:rsid w:val="00601DFC"/>
    <w:rsid w:val="00601E8A"/>
    <w:rsid w:val="00601EBC"/>
    <w:rsid w:val="00602040"/>
    <w:rsid w:val="00602087"/>
    <w:rsid w:val="006020E1"/>
    <w:rsid w:val="0060213C"/>
    <w:rsid w:val="00602204"/>
    <w:rsid w:val="00602236"/>
    <w:rsid w:val="006022FE"/>
    <w:rsid w:val="0060237C"/>
    <w:rsid w:val="00602464"/>
    <w:rsid w:val="00602475"/>
    <w:rsid w:val="006027DF"/>
    <w:rsid w:val="006029C9"/>
    <w:rsid w:val="00602A21"/>
    <w:rsid w:val="00602B4D"/>
    <w:rsid w:val="00602B4E"/>
    <w:rsid w:val="00602D57"/>
    <w:rsid w:val="00602D60"/>
    <w:rsid w:val="00602DA6"/>
    <w:rsid w:val="00602E78"/>
    <w:rsid w:val="00602EC1"/>
    <w:rsid w:val="00602FBB"/>
    <w:rsid w:val="0060307E"/>
    <w:rsid w:val="00603137"/>
    <w:rsid w:val="0060328D"/>
    <w:rsid w:val="006032A0"/>
    <w:rsid w:val="0060343C"/>
    <w:rsid w:val="006034E1"/>
    <w:rsid w:val="006038D6"/>
    <w:rsid w:val="00603AC5"/>
    <w:rsid w:val="00603B6E"/>
    <w:rsid w:val="00603B94"/>
    <w:rsid w:val="00603C26"/>
    <w:rsid w:val="00603C4E"/>
    <w:rsid w:val="00603CBA"/>
    <w:rsid w:val="00603D14"/>
    <w:rsid w:val="00604040"/>
    <w:rsid w:val="0060404C"/>
    <w:rsid w:val="006040BC"/>
    <w:rsid w:val="00604110"/>
    <w:rsid w:val="006041F3"/>
    <w:rsid w:val="00604276"/>
    <w:rsid w:val="00604286"/>
    <w:rsid w:val="006042E4"/>
    <w:rsid w:val="00604396"/>
    <w:rsid w:val="0060442B"/>
    <w:rsid w:val="0060454F"/>
    <w:rsid w:val="0060458B"/>
    <w:rsid w:val="006045B6"/>
    <w:rsid w:val="006045C8"/>
    <w:rsid w:val="0060461B"/>
    <w:rsid w:val="00604705"/>
    <w:rsid w:val="00604901"/>
    <w:rsid w:val="0060491F"/>
    <w:rsid w:val="00604AB2"/>
    <w:rsid w:val="00604AC8"/>
    <w:rsid w:val="00604BA2"/>
    <w:rsid w:val="00604E31"/>
    <w:rsid w:val="00604F0E"/>
    <w:rsid w:val="006052DB"/>
    <w:rsid w:val="00605322"/>
    <w:rsid w:val="00605336"/>
    <w:rsid w:val="0060542D"/>
    <w:rsid w:val="00605580"/>
    <w:rsid w:val="006056AC"/>
    <w:rsid w:val="006056D6"/>
    <w:rsid w:val="006059CE"/>
    <w:rsid w:val="00605B24"/>
    <w:rsid w:val="00605D09"/>
    <w:rsid w:val="00605DAD"/>
    <w:rsid w:val="00605E9C"/>
    <w:rsid w:val="00605FDD"/>
    <w:rsid w:val="0060604E"/>
    <w:rsid w:val="006060B0"/>
    <w:rsid w:val="006061C1"/>
    <w:rsid w:val="00606454"/>
    <w:rsid w:val="00606471"/>
    <w:rsid w:val="00606550"/>
    <w:rsid w:val="00606866"/>
    <w:rsid w:val="0060697D"/>
    <w:rsid w:val="00606A71"/>
    <w:rsid w:val="00606C0E"/>
    <w:rsid w:val="00606D24"/>
    <w:rsid w:val="00606D65"/>
    <w:rsid w:val="00606D9F"/>
    <w:rsid w:val="00606DD4"/>
    <w:rsid w:val="00606F87"/>
    <w:rsid w:val="00607148"/>
    <w:rsid w:val="0060718A"/>
    <w:rsid w:val="006071B7"/>
    <w:rsid w:val="00607299"/>
    <w:rsid w:val="006073A6"/>
    <w:rsid w:val="006073B3"/>
    <w:rsid w:val="00607410"/>
    <w:rsid w:val="0060749B"/>
    <w:rsid w:val="00607526"/>
    <w:rsid w:val="0060767E"/>
    <w:rsid w:val="00607896"/>
    <w:rsid w:val="0060795A"/>
    <w:rsid w:val="006079EA"/>
    <w:rsid w:val="00607BCD"/>
    <w:rsid w:val="00607E05"/>
    <w:rsid w:val="00607E35"/>
    <w:rsid w:val="00607EDD"/>
    <w:rsid w:val="00610078"/>
    <w:rsid w:val="006100A0"/>
    <w:rsid w:val="006100C6"/>
    <w:rsid w:val="0061013B"/>
    <w:rsid w:val="00610190"/>
    <w:rsid w:val="006101B8"/>
    <w:rsid w:val="00610277"/>
    <w:rsid w:val="006102FA"/>
    <w:rsid w:val="0061031E"/>
    <w:rsid w:val="00610411"/>
    <w:rsid w:val="006104C8"/>
    <w:rsid w:val="006104F5"/>
    <w:rsid w:val="006105E2"/>
    <w:rsid w:val="00610657"/>
    <w:rsid w:val="00610688"/>
    <w:rsid w:val="006106E0"/>
    <w:rsid w:val="006106EE"/>
    <w:rsid w:val="00610804"/>
    <w:rsid w:val="00610891"/>
    <w:rsid w:val="006108F5"/>
    <w:rsid w:val="00610902"/>
    <w:rsid w:val="00610A1D"/>
    <w:rsid w:val="00610AEC"/>
    <w:rsid w:val="00610BA9"/>
    <w:rsid w:val="00610BC1"/>
    <w:rsid w:val="00610E59"/>
    <w:rsid w:val="00610EB5"/>
    <w:rsid w:val="00610F35"/>
    <w:rsid w:val="00610F75"/>
    <w:rsid w:val="00610FBD"/>
    <w:rsid w:val="006110AA"/>
    <w:rsid w:val="00611127"/>
    <w:rsid w:val="0061112E"/>
    <w:rsid w:val="006111D0"/>
    <w:rsid w:val="00611235"/>
    <w:rsid w:val="00611241"/>
    <w:rsid w:val="00611296"/>
    <w:rsid w:val="006112A4"/>
    <w:rsid w:val="0061148D"/>
    <w:rsid w:val="00611553"/>
    <w:rsid w:val="00611617"/>
    <w:rsid w:val="006118A0"/>
    <w:rsid w:val="00611980"/>
    <w:rsid w:val="00611A87"/>
    <w:rsid w:val="00611C8A"/>
    <w:rsid w:val="00611D61"/>
    <w:rsid w:val="00611D65"/>
    <w:rsid w:val="00611F64"/>
    <w:rsid w:val="00611FC9"/>
    <w:rsid w:val="00611FDE"/>
    <w:rsid w:val="00612033"/>
    <w:rsid w:val="006120D6"/>
    <w:rsid w:val="006122FE"/>
    <w:rsid w:val="00612384"/>
    <w:rsid w:val="00612406"/>
    <w:rsid w:val="0061249A"/>
    <w:rsid w:val="006124C2"/>
    <w:rsid w:val="0061264A"/>
    <w:rsid w:val="00612691"/>
    <w:rsid w:val="006126A4"/>
    <w:rsid w:val="00612800"/>
    <w:rsid w:val="00612954"/>
    <w:rsid w:val="006129D9"/>
    <w:rsid w:val="00612A3D"/>
    <w:rsid w:val="00612AE3"/>
    <w:rsid w:val="00612C38"/>
    <w:rsid w:val="00612C44"/>
    <w:rsid w:val="00612CA9"/>
    <w:rsid w:val="00612D34"/>
    <w:rsid w:val="00612D95"/>
    <w:rsid w:val="00612DB3"/>
    <w:rsid w:val="00612E04"/>
    <w:rsid w:val="00612E44"/>
    <w:rsid w:val="00612E46"/>
    <w:rsid w:val="00612F20"/>
    <w:rsid w:val="0061302D"/>
    <w:rsid w:val="00613042"/>
    <w:rsid w:val="00613162"/>
    <w:rsid w:val="00613248"/>
    <w:rsid w:val="006132C4"/>
    <w:rsid w:val="006133A0"/>
    <w:rsid w:val="00613537"/>
    <w:rsid w:val="006136CE"/>
    <w:rsid w:val="006137E4"/>
    <w:rsid w:val="0061390D"/>
    <w:rsid w:val="0061393C"/>
    <w:rsid w:val="006139A8"/>
    <w:rsid w:val="00613ACD"/>
    <w:rsid w:val="00613B56"/>
    <w:rsid w:val="00613B58"/>
    <w:rsid w:val="00613C31"/>
    <w:rsid w:val="00613C56"/>
    <w:rsid w:val="00613CA8"/>
    <w:rsid w:val="00613DE6"/>
    <w:rsid w:val="00613E2B"/>
    <w:rsid w:val="00613F08"/>
    <w:rsid w:val="00613F20"/>
    <w:rsid w:val="006141A8"/>
    <w:rsid w:val="006141E7"/>
    <w:rsid w:val="0061421E"/>
    <w:rsid w:val="006142CE"/>
    <w:rsid w:val="0061431E"/>
    <w:rsid w:val="0061435B"/>
    <w:rsid w:val="0061441F"/>
    <w:rsid w:val="0061445F"/>
    <w:rsid w:val="00614470"/>
    <w:rsid w:val="006144EA"/>
    <w:rsid w:val="00614623"/>
    <w:rsid w:val="00614667"/>
    <w:rsid w:val="006146C4"/>
    <w:rsid w:val="006147C9"/>
    <w:rsid w:val="0061483A"/>
    <w:rsid w:val="00614A61"/>
    <w:rsid w:val="00614AA8"/>
    <w:rsid w:val="00614B20"/>
    <w:rsid w:val="00614B89"/>
    <w:rsid w:val="00614C20"/>
    <w:rsid w:val="00614C32"/>
    <w:rsid w:val="00614C4D"/>
    <w:rsid w:val="00614C5B"/>
    <w:rsid w:val="00614E23"/>
    <w:rsid w:val="00614E4D"/>
    <w:rsid w:val="00614E5D"/>
    <w:rsid w:val="00614E98"/>
    <w:rsid w:val="006151A3"/>
    <w:rsid w:val="006151F8"/>
    <w:rsid w:val="006152E5"/>
    <w:rsid w:val="006155F0"/>
    <w:rsid w:val="006157A7"/>
    <w:rsid w:val="006157AE"/>
    <w:rsid w:val="0061589C"/>
    <w:rsid w:val="006158FB"/>
    <w:rsid w:val="00615914"/>
    <w:rsid w:val="00615A46"/>
    <w:rsid w:val="00615AF2"/>
    <w:rsid w:val="00615B13"/>
    <w:rsid w:val="00615BD4"/>
    <w:rsid w:val="00615D81"/>
    <w:rsid w:val="00615DBB"/>
    <w:rsid w:val="00615E11"/>
    <w:rsid w:val="00615E46"/>
    <w:rsid w:val="00615F68"/>
    <w:rsid w:val="00616026"/>
    <w:rsid w:val="00616034"/>
    <w:rsid w:val="00616066"/>
    <w:rsid w:val="006162DA"/>
    <w:rsid w:val="00616330"/>
    <w:rsid w:val="0061640A"/>
    <w:rsid w:val="00616495"/>
    <w:rsid w:val="0061652B"/>
    <w:rsid w:val="0061655D"/>
    <w:rsid w:val="006165BB"/>
    <w:rsid w:val="0061667D"/>
    <w:rsid w:val="006166A5"/>
    <w:rsid w:val="00616753"/>
    <w:rsid w:val="006168F0"/>
    <w:rsid w:val="006169B3"/>
    <w:rsid w:val="006169F8"/>
    <w:rsid w:val="00616A40"/>
    <w:rsid w:val="00616A97"/>
    <w:rsid w:val="00616AEF"/>
    <w:rsid w:val="00616CA0"/>
    <w:rsid w:val="00616CDA"/>
    <w:rsid w:val="00616D6D"/>
    <w:rsid w:val="00616F19"/>
    <w:rsid w:val="00616F49"/>
    <w:rsid w:val="00616F95"/>
    <w:rsid w:val="0061707D"/>
    <w:rsid w:val="006170A8"/>
    <w:rsid w:val="006170DB"/>
    <w:rsid w:val="006170F6"/>
    <w:rsid w:val="0061716B"/>
    <w:rsid w:val="0061736A"/>
    <w:rsid w:val="006173C6"/>
    <w:rsid w:val="0061743E"/>
    <w:rsid w:val="0061744A"/>
    <w:rsid w:val="00617498"/>
    <w:rsid w:val="0061750B"/>
    <w:rsid w:val="00617531"/>
    <w:rsid w:val="0061753B"/>
    <w:rsid w:val="006175A1"/>
    <w:rsid w:val="0061772E"/>
    <w:rsid w:val="00617736"/>
    <w:rsid w:val="0061782A"/>
    <w:rsid w:val="006178BD"/>
    <w:rsid w:val="006178BE"/>
    <w:rsid w:val="00617983"/>
    <w:rsid w:val="00617AA6"/>
    <w:rsid w:val="00617BD4"/>
    <w:rsid w:val="00617CF0"/>
    <w:rsid w:val="00617D67"/>
    <w:rsid w:val="00617DA8"/>
    <w:rsid w:val="00617DC5"/>
    <w:rsid w:val="00617E09"/>
    <w:rsid w:val="00617E40"/>
    <w:rsid w:val="00617F26"/>
    <w:rsid w:val="00617F80"/>
    <w:rsid w:val="0062007B"/>
    <w:rsid w:val="0062009F"/>
    <w:rsid w:val="006201C3"/>
    <w:rsid w:val="006201ED"/>
    <w:rsid w:val="006202E2"/>
    <w:rsid w:val="006202F2"/>
    <w:rsid w:val="006202FF"/>
    <w:rsid w:val="006203AC"/>
    <w:rsid w:val="006203DD"/>
    <w:rsid w:val="0062040A"/>
    <w:rsid w:val="00620415"/>
    <w:rsid w:val="0062043A"/>
    <w:rsid w:val="0062053B"/>
    <w:rsid w:val="00620546"/>
    <w:rsid w:val="006205B9"/>
    <w:rsid w:val="00620601"/>
    <w:rsid w:val="006206D4"/>
    <w:rsid w:val="00620710"/>
    <w:rsid w:val="006207BC"/>
    <w:rsid w:val="0062086B"/>
    <w:rsid w:val="00620A99"/>
    <w:rsid w:val="00620AEE"/>
    <w:rsid w:val="00620CA2"/>
    <w:rsid w:val="00620D61"/>
    <w:rsid w:val="00620DBF"/>
    <w:rsid w:val="00620DF1"/>
    <w:rsid w:val="00620E7C"/>
    <w:rsid w:val="00620EFC"/>
    <w:rsid w:val="00620F6E"/>
    <w:rsid w:val="00620F7B"/>
    <w:rsid w:val="00621167"/>
    <w:rsid w:val="00621168"/>
    <w:rsid w:val="00621267"/>
    <w:rsid w:val="006214E0"/>
    <w:rsid w:val="00621549"/>
    <w:rsid w:val="00621562"/>
    <w:rsid w:val="00621686"/>
    <w:rsid w:val="00621708"/>
    <w:rsid w:val="006217FB"/>
    <w:rsid w:val="00621906"/>
    <w:rsid w:val="00621926"/>
    <w:rsid w:val="00621AA1"/>
    <w:rsid w:val="00621AE1"/>
    <w:rsid w:val="00621BF9"/>
    <w:rsid w:val="00621D5E"/>
    <w:rsid w:val="00621E38"/>
    <w:rsid w:val="00621ED2"/>
    <w:rsid w:val="006220C4"/>
    <w:rsid w:val="0062212C"/>
    <w:rsid w:val="006221C7"/>
    <w:rsid w:val="0062232A"/>
    <w:rsid w:val="006224E7"/>
    <w:rsid w:val="00622529"/>
    <w:rsid w:val="00622551"/>
    <w:rsid w:val="0062274C"/>
    <w:rsid w:val="00622768"/>
    <w:rsid w:val="0062286B"/>
    <w:rsid w:val="00622AAA"/>
    <w:rsid w:val="00622BD7"/>
    <w:rsid w:val="00622C27"/>
    <w:rsid w:val="00622CB0"/>
    <w:rsid w:val="00622D25"/>
    <w:rsid w:val="00622D73"/>
    <w:rsid w:val="00622D83"/>
    <w:rsid w:val="00622EE7"/>
    <w:rsid w:val="00623111"/>
    <w:rsid w:val="00623131"/>
    <w:rsid w:val="0062318C"/>
    <w:rsid w:val="00623286"/>
    <w:rsid w:val="0062331B"/>
    <w:rsid w:val="006233FA"/>
    <w:rsid w:val="00623402"/>
    <w:rsid w:val="006234C4"/>
    <w:rsid w:val="0062350C"/>
    <w:rsid w:val="0062352A"/>
    <w:rsid w:val="006235E4"/>
    <w:rsid w:val="00623621"/>
    <w:rsid w:val="006236A8"/>
    <w:rsid w:val="00623729"/>
    <w:rsid w:val="006237DA"/>
    <w:rsid w:val="006237F8"/>
    <w:rsid w:val="00623846"/>
    <w:rsid w:val="006238B7"/>
    <w:rsid w:val="006238E4"/>
    <w:rsid w:val="006238EB"/>
    <w:rsid w:val="00623925"/>
    <w:rsid w:val="0062392D"/>
    <w:rsid w:val="00623969"/>
    <w:rsid w:val="00623B30"/>
    <w:rsid w:val="00623B7B"/>
    <w:rsid w:val="00623B81"/>
    <w:rsid w:val="00623B97"/>
    <w:rsid w:val="00623D02"/>
    <w:rsid w:val="00623DBE"/>
    <w:rsid w:val="0062409F"/>
    <w:rsid w:val="006241CE"/>
    <w:rsid w:val="00624309"/>
    <w:rsid w:val="006243D1"/>
    <w:rsid w:val="006243F1"/>
    <w:rsid w:val="00624400"/>
    <w:rsid w:val="00624555"/>
    <w:rsid w:val="00624657"/>
    <w:rsid w:val="0062475D"/>
    <w:rsid w:val="0062476F"/>
    <w:rsid w:val="00624779"/>
    <w:rsid w:val="0062480D"/>
    <w:rsid w:val="006248F9"/>
    <w:rsid w:val="00624A4A"/>
    <w:rsid w:val="00624A57"/>
    <w:rsid w:val="00624B97"/>
    <w:rsid w:val="00624B99"/>
    <w:rsid w:val="00624B9B"/>
    <w:rsid w:val="00624C13"/>
    <w:rsid w:val="00624C48"/>
    <w:rsid w:val="00624C58"/>
    <w:rsid w:val="00624CE2"/>
    <w:rsid w:val="00624CFD"/>
    <w:rsid w:val="00624D03"/>
    <w:rsid w:val="00624E2F"/>
    <w:rsid w:val="00624E9F"/>
    <w:rsid w:val="00624EC0"/>
    <w:rsid w:val="00624F47"/>
    <w:rsid w:val="00624FC1"/>
    <w:rsid w:val="00625234"/>
    <w:rsid w:val="006253A6"/>
    <w:rsid w:val="006253BA"/>
    <w:rsid w:val="00625481"/>
    <w:rsid w:val="00625627"/>
    <w:rsid w:val="0062567A"/>
    <w:rsid w:val="0062570E"/>
    <w:rsid w:val="00625756"/>
    <w:rsid w:val="0062583E"/>
    <w:rsid w:val="00625AB0"/>
    <w:rsid w:val="00625C5E"/>
    <w:rsid w:val="00625E4A"/>
    <w:rsid w:val="00625E96"/>
    <w:rsid w:val="006262D5"/>
    <w:rsid w:val="006263B3"/>
    <w:rsid w:val="006263E4"/>
    <w:rsid w:val="0062640E"/>
    <w:rsid w:val="00626450"/>
    <w:rsid w:val="00626485"/>
    <w:rsid w:val="006265AD"/>
    <w:rsid w:val="00626629"/>
    <w:rsid w:val="0062670C"/>
    <w:rsid w:val="00626737"/>
    <w:rsid w:val="0062678C"/>
    <w:rsid w:val="006267CB"/>
    <w:rsid w:val="0062686B"/>
    <w:rsid w:val="006268F0"/>
    <w:rsid w:val="0062698B"/>
    <w:rsid w:val="006269CB"/>
    <w:rsid w:val="00626A3C"/>
    <w:rsid w:val="00626A80"/>
    <w:rsid w:val="00626C2C"/>
    <w:rsid w:val="00626C7F"/>
    <w:rsid w:val="00626C99"/>
    <w:rsid w:val="00626D27"/>
    <w:rsid w:val="00626DF8"/>
    <w:rsid w:val="00626E1D"/>
    <w:rsid w:val="00626E75"/>
    <w:rsid w:val="006270F8"/>
    <w:rsid w:val="0062715E"/>
    <w:rsid w:val="00627185"/>
    <w:rsid w:val="00627198"/>
    <w:rsid w:val="006271DA"/>
    <w:rsid w:val="00627229"/>
    <w:rsid w:val="006272BE"/>
    <w:rsid w:val="006274FE"/>
    <w:rsid w:val="006275D1"/>
    <w:rsid w:val="0062765A"/>
    <w:rsid w:val="00627773"/>
    <w:rsid w:val="00627877"/>
    <w:rsid w:val="00627A57"/>
    <w:rsid w:val="00627CB8"/>
    <w:rsid w:val="00627CE9"/>
    <w:rsid w:val="00627D53"/>
    <w:rsid w:val="00627E84"/>
    <w:rsid w:val="00627F12"/>
    <w:rsid w:val="00627F58"/>
    <w:rsid w:val="0063002F"/>
    <w:rsid w:val="00630079"/>
    <w:rsid w:val="00630135"/>
    <w:rsid w:val="00630140"/>
    <w:rsid w:val="006302E4"/>
    <w:rsid w:val="00630412"/>
    <w:rsid w:val="00630592"/>
    <w:rsid w:val="006305EE"/>
    <w:rsid w:val="00630650"/>
    <w:rsid w:val="006306A6"/>
    <w:rsid w:val="00630812"/>
    <w:rsid w:val="0063087F"/>
    <w:rsid w:val="006308BF"/>
    <w:rsid w:val="00630967"/>
    <w:rsid w:val="00630A92"/>
    <w:rsid w:val="00630D46"/>
    <w:rsid w:val="00630D7A"/>
    <w:rsid w:val="00630E23"/>
    <w:rsid w:val="00630E48"/>
    <w:rsid w:val="00630E56"/>
    <w:rsid w:val="00630E9F"/>
    <w:rsid w:val="00631023"/>
    <w:rsid w:val="006310C0"/>
    <w:rsid w:val="006310C9"/>
    <w:rsid w:val="006310CA"/>
    <w:rsid w:val="006311EF"/>
    <w:rsid w:val="006314A6"/>
    <w:rsid w:val="00631506"/>
    <w:rsid w:val="0063199A"/>
    <w:rsid w:val="00631A33"/>
    <w:rsid w:val="00631A6B"/>
    <w:rsid w:val="00631A78"/>
    <w:rsid w:val="00631ADE"/>
    <w:rsid w:val="00631B07"/>
    <w:rsid w:val="00631BC1"/>
    <w:rsid w:val="00631BCB"/>
    <w:rsid w:val="00631E03"/>
    <w:rsid w:val="00631E4B"/>
    <w:rsid w:val="00631F0B"/>
    <w:rsid w:val="00631F2F"/>
    <w:rsid w:val="00632293"/>
    <w:rsid w:val="006322AF"/>
    <w:rsid w:val="00632412"/>
    <w:rsid w:val="00632456"/>
    <w:rsid w:val="006327BC"/>
    <w:rsid w:val="006328AB"/>
    <w:rsid w:val="006328F4"/>
    <w:rsid w:val="00632977"/>
    <w:rsid w:val="00632A26"/>
    <w:rsid w:val="00632A34"/>
    <w:rsid w:val="00632A53"/>
    <w:rsid w:val="00632AF0"/>
    <w:rsid w:val="00632CF9"/>
    <w:rsid w:val="00632D0D"/>
    <w:rsid w:val="00632DE4"/>
    <w:rsid w:val="0063305D"/>
    <w:rsid w:val="0063316E"/>
    <w:rsid w:val="00633357"/>
    <w:rsid w:val="006333E8"/>
    <w:rsid w:val="00633526"/>
    <w:rsid w:val="00633650"/>
    <w:rsid w:val="00633672"/>
    <w:rsid w:val="0063367D"/>
    <w:rsid w:val="00633688"/>
    <w:rsid w:val="00633728"/>
    <w:rsid w:val="006337B2"/>
    <w:rsid w:val="00633971"/>
    <w:rsid w:val="006339E3"/>
    <w:rsid w:val="00633A32"/>
    <w:rsid w:val="00633A3E"/>
    <w:rsid w:val="00633ACB"/>
    <w:rsid w:val="00633B1C"/>
    <w:rsid w:val="00633B74"/>
    <w:rsid w:val="00633C60"/>
    <w:rsid w:val="00633C6D"/>
    <w:rsid w:val="00633D51"/>
    <w:rsid w:val="00633DBE"/>
    <w:rsid w:val="00633ECE"/>
    <w:rsid w:val="00633F14"/>
    <w:rsid w:val="00633F4E"/>
    <w:rsid w:val="00633FE8"/>
    <w:rsid w:val="00634042"/>
    <w:rsid w:val="00634171"/>
    <w:rsid w:val="0063423E"/>
    <w:rsid w:val="00634270"/>
    <w:rsid w:val="00634298"/>
    <w:rsid w:val="00634401"/>
    <w:rsid w:val="00634547"/>
    <w:rsid w:val="00634565"/>
    <w:rsid w:val="006345BF"/>
    <w:rsid w:val="006345F6"/>
    <w:rsid w:val="0063472B"/>
    <w:rsid w:val="0063475A"/>
    <w:rsid w:val="006347C4"/>
    <w:rsid w:val="006347D0"/>
    <w:rsid w:val="00634944"/>
    <w:rsid w:val="006349D9"/>
    <w:rsid w:val="00634DEF"/>
    <w:rsid w:val="00634EC2"/>
    <w:rsid w:val="0063521D"/>
    <w:rsid w:val="006355F8"/>
    <w:rsid w:val="006355FB"/>
    <w:rsid w:val="00635615"/>
    <w:rsid w:val="00635764"/>
    <w:rsid w:val="006357F2"/>
    <w:rsid w:val="006359A8"/>
    <w:rsid w:val="00635BEF"/>
    <w:rsid w:val="00635CCB"/>
    <w:rsid w:val="00635D28"/>
    <w:rsid w:val="00635D61"/>
    <w:rsid w:val="00635DF6"/>
    <w:rsid w:val="0063602D"/>
    <w:rsid w:val="00636062"/>
    <w:rsid w:val="00636080"/>
    <w:rsid w:val="006362F4"/>
    <w:rsid w:val="0063638C"/>
    <w:rsid w:val="006363BD"/>
    <w:rsid w:val="00636519"/>
    <w:rsid w:val="00636567"/>
    <w:rsid w:val="0063667F"/>
    <w:rsid w:val="006366EF"/>
    <w:rsid w:val="006367C4"/>
    <w:rsid w:val="00636819"/>
    <w:rsid w:val="0063682B"/>
    <w:rsid w:val="00636855"/>
    <w:rsid w:val="0063688B"/>
    <w:rsid w:val="006368A2"/>
    <w:rsid w:val="00636AC8"/>
    <w:rsid w:val="00636BA8"/>
    <w:rsid w:val="00636BD6"/>
    <w:rsid w:val="00636E5E"/>
    <w:rsid w:val="00636E64"/>
    <w:rsid w:val="00636E89"/>
    <w:rsid w:val="00636E8B"/>
    <w:rsid w:val="00636EFA"/>
    <w:rsid w:val="00636F13"/>
    <w:rsid w:val="0063709B"/>
    <w:rsid w:val="0063721B"/>
    <w:rsid w:val="0063724E"/>
    <w:rsid w:val="006372B5"/>
    <w:rsid w:val="00637315"/>
    <w:rsid w:val="006374DA"/>
    <w:rsid w:val="00637698"/>
    <w:rsid w:val="00637816"/>
    <w:rsid w:val="00637846"/>
    <w:rsid w:val="006378DD"/>
    <w:rsid w:val="00637AF2"/>
    <w:rsid w:val="00637B6C"/>
    <w:rsid w:val="00637BEF"/>
    <w:rsid w:val="00637D65"/>
    <w:rsid w:val="00637E8D"/>
    <w:rsid w:val="00637EC4"/>
    <w:rsid w:val="00637FE5"/>
    <w:rsid w:val="00640017"/>
    <w:rsid w:val="006400AE"/>
    <w:rsid w:val="006400FE"/>
    <w:rsid w:val="006401DE"/>
    <w:rsid w:val="00640229"/>
    <w:rsid w:val="00640341"/>
    <w:rsid w:val="0064038D"/>
    <w:rsid w:val="006404B0"/>
    <w:rsid w:val="0064069D"/>
    <w:rsid w:val="0064071E"/>
    <w:rsid w:val="0064072B"/>
    <w:rsid w:val="006407A2"/>
    <w:rsid w:val="006407C0"/>
    <w:rsid w:val="0064080F"/>
    <w:rsid w:val="006408E4"/>
    <w:rsid w:val="006408FB"/>
    <w:rsid w:val="00640A0C"/>
    <w:rsid w:val="00640AB1"/>
    <w:rsid w:val="00640AE1"/>
    <w:rsid w:val="00640B1E"/>
    <w:rsid w:val="00640BAC"/>
    <w:rsid w:val="00640C1B"/>
    <w:rsid w:val="00640C80"/>
    <w:rsid w:val="00640E26"/>
    <w:rsid w:val="00640E49"/>
    <w:rsid w:val="00640ED8"/>
    <w:rsid w:val="00641182"/>
    <w:rsid w:val="00641238"/>
    <w:rsid w:val="00641276"/>
    <w:rsid w:val="00641280"/>
    <w:rsid w:val="006412A4"/>
    <w:rsid w:val="00641341"/>
    <w:rsid w:val="0064138A"/>
    <w:rsid w:val="0064143B"/>
    <w:rsid w:val="006414F0"/>
    <w:rsid w:val="00641587"/>
    <w:rsid w:val="006415B9"/>
    <w:rsid w:val="0064169C"/>
    <w:rsid w:val="0064187C"/>
    <w:rsid w:val="006419DB"/>
    <w:rsid w:val="006419F1"/>
    <w:rsid w:val="00641D30"/>
    <w:rsid w:val="00641E8A"/>
    <w:rsid w:val="00642017"/>
    <w:rsid w:val="006422D9"/>
    <w:rsid w:val="006423D3"/>
    <w:rsid w:val="00642490"/>
    <w:rsid w:val="0064264D"/>
    <w:rsid w:val="006426FE"/>
    <w:rsid w:val="0064270E"/>
    <w:rsid w:val="006427B4"/>
    <w:rsid w:val="006427B7"/>
    <w:rsid w:val="0064280C"/>
    <w:rsid w:val="00642870"/>
    <w:rsid w:val="00642888"/>
    <w:rsid w:val="006428C4"/>
    <w:rsid w:val="006428D7"/>
    <w:rsid w:val="00642982"/>
    <w:rsid w:val="00642A01"/>
    <w:rsid w:val="00642A3C"/>
    <w:rsid w:val="00642ACA"/>
    <w:rsid w:val="00642B62"/>
    <w:rsid w:val="00642C4F"/>
    <w:rsid w:val="00642C8A"/>
    <w:rsid w:val="00642CD7"/>
    <w:rsid w:val="00642D73"/>
    <w:rsid w:val="00642DEF"/>
    <w:rsid w:val="00642EA2"/>
    <w:rsid w:val="00642EAE"/>
    <w:rsid w:val="00643017"/>
    <w:rsid w:val="0064309C"/>
    <w:rsid w:val="00643211"/>
    <w:rsid w:val="0064328B"/>
    <w:rsid w:val="006432DD"/>
    <w:rsid w:val="0064349A"/>
    <w:rsid w:val="006434D0"/>
    <w:rsid w:val="0064368B"/>
    <w:rsid w:val="006436AB"/>
    <w:rsid w:val="0064387A"/>
    <w:rsid w:val="0064387F"/>
    <w:rsid w:val="006439D2"/>
    <w:rsid w:val="00643FE6"/>
    <w:rsid w:val="00644016"/>
    <w:rsid w:val="006440F7"/>
    <w:rsid w:val="00644126"/>
    <w:rsid w:val="00644148"/>
    <w:rsid w:val="00644155"/>
    <w:rsid w:val="006441F2"/>
    <w:rsid w:val="00644260"/>
    <w:rsid w:val="006442C9"/>
    <w:rsid w:val="006442CC"/>
    <w:rsid w:val="006442F9"/>
    <w:rsid w:val="00644537"/>
    <w:rsid w:val="0064460F"/>
    <w:rsid w:val="00644628"/>
    <w:rsid w:val="00644776"/>
    <w:rsid w:val="00644792"/>
    <w:rsid w:val="00644808"/>
    <w:rsid w:val="0064485C"/>
    <w:rsid w:val="00644D31"/>
    <w:rsid w:val="00644D40"/>
    <w:rsid w:val="00644D42"/>
    <w:rsid w:val="00644D8B"/>
    <w:rsid w:val="00644DEE"/>
    <w:rsid w:val="00644E83"/>
    <w:rsid w:val="00644F69"/>
    <w:rsid w:val="00644F74"/>
    <w:rsid w:val="00645084"/>
    <w:rsid w:val="00645166"/>
    <w:rsid w:val="00645239"/>
    <w:rsid w:val="00645306"/>
    <w:rsid w:val="00645400"/>
    <w:rsid w:val="00645406"/>
    <w:rsid w:val="00645420"/>
    <w:rsid w:val="0064563E"/>
    <w:rsid w:val="006456A3"/>
    <w:rsid w:val="006456C9"/>
    <w:rsid w:val="006456EE"/>
    <w:rsid w:val="0064579D"/>
    <w:rsid w:val="0064592C"/>
    <w:rsid w:val="00645A83"/>
    <w:rsid w:val="00645C9F"/>
    <w:rsid w:val="00645CA8"/>
    <w:rsid w:val="00645CEE"/>
    <w:rsid w:val="00645E37"/>
    <w:rsid w:val="00645E46"/>
    <w:rsid w:val="00645EC5"/>
    <w:rsid w:val="006461B2"/>
    <w:rsid w:val="006462C5"/>
    <w:rsid w:val="0064637D"/>
    <w:rsid w:val="00646413"/>
    <w:rsid w:val="006464D6"/>
    <w:rsid w:val="006467EB"/>
    <w:rsid w:val="00646812"/>
    <w:rsid w:val="0064681E"/>
    <w:rsid w:val="00646993"/>
    <w:rsid w:val="00646B4B"/>
    <w:rsid w:val="00646C82"/>
    <w:rsid w:val="00646CA8"/>
    <w:rsid w:val="00646D15"/>
    <w:rsid w:val="00646EBE"/>
    <w:rsid w:val="0064709E"/>
    <w:rsid w:val="006470D6"/>
    <w:rsid w:val="0064726A"/>
    <w:rsid w:val="0064730E"/>
    <w:rsid w:val="00647341"/>
    <w:rsid w:val="006473A3"/>
    <w:rsid w:val="0064760B"/>
    <w:rsid w:val="00647968"/>
    <w:rsid w:val="00647A46"/>
    <w:rsid w:val="00647ADD"/>
    <w:rsid w:val="00647B7B"/>
    <w:rsid w:val="00647BB5"/>
    <w:rsid w:val="00647C1D"/>
    <w:rsid w:val="00647C3E"/>
    <w:rsid w:val="00647DD6"/>
    <w:rsid w:val="00647DF2"/>
    <w:rsid w:val="00647E47"/>
    <w:rsid w:val="0065006F"/>
    <w:rsid w:val="0065038F"/>
    <w:rsid w:val="00650391"/>
    <w:rsid w:val="006504BB"/>
    <w:rsid w:val="00650599"/>
    <w:rsid w:val="006505F8"/>
    <w:rsid w:val="00650633"/>
    <w:rsid w:val="00650678"/>
    <w:rsid w:val="00650739"/>
    <w:rsid w:val="00650768"/>
    <w:rsid w:val="006508C3"/>
    <w:rsid w:val="00650A52"/>
    <w:rsid w:val="00650A97"/>
    <w:rsid w:val="00650B11"/>
    <w:rsid w:val="00650BDC"/>
    <w:rsid w:val="00650BE9"/>
    <w:rsid w:val="00650C05"/>
    <w:rsid w:val="00650D15"/>
    <w:rsid w:val="00650D6B"/>
    <w:rsid w:val="00650E0E"/>
    <w:rsid w:val="00650F86"/>
    <w:rsid w:val="00650FEA"/>
    <w:rsid w:val="00650FF5"/>
    <w:rsid w:val="00651059"/>
    <w:rsid w:val="006510AC"/>
    <w:rsid w:val="00651174"/>
    <w:rsid w:val="00651263"/>
    <w:rsid w:val="00651265"/>
    <w:rsid w:val="006512A7"/>
    <w:rsid w:val="00651314"/>
    <w:rsid w:val="006513A0"/>
    <w:rsid w:val="00651562"/>
    <w:rsid w:val="00651686"/>
    <w:rsid w:val="006516DB"/>
    <w:rsid w:val="0065186D"/>
    <w:rsid w:val="0065193D"/>
    <w:rsid w:val="00651AD2"/>
    <w:rsid w:val="00651AD8"/>
    <w:rsid w:val="00651AFE"/>
    <w:rsid w:val="00651C6C"/>
    <w:rsid w:val="00651D3D"/>
    <w:rsid w:val="00651DF7"/>
    <w:rsid w:val="00652059"/>
    <w:rsid w:val="00652121"/>
    <w:rsid w:val="006522C5"/>
    <w:rsid w:val="0065263E"/>
    <w:rsid w:val="00652838"/>
    <w:rsid w:val="00652848"/>
    <w:rsid w:val="006528FA"/>
    <w:rsid w:val="00652924"/>
    <w:rsid w:val="00652934"/>
    <w:rsid w:val="00652956"/>
    <w:rsid w:val="00652AC9"/>
    <w:rsid w:val="00652AF0"/>
    <w:rsid w:val="00652B0A"/>
    <w:rsid w:val="00652BB8"/>
    <w:rsid w:val="00652CB9"/>
    <w:rsid w:val="00652CC9"/>
    <w:rsid w:val="00652F78"/>
    <w:rsid w:val="006530BA"/>
    <w:rsid w:val="00653107"/>
    <w:rsid w:val="0065310A"/>
    <w:rsid w:val="00653150"/>
    <w:rsid w:val="006531AF"/>
    <w:rsid w:val="0065333F"/>
    <w:rsid w:val="00653427"/>
    <w:rsid w:val="006534B1"/>
    <w:rsid w:val="0065358F"/>
    <w:rsid w:val="00653593"/>
    <w:rsid w:val="0065367B"/>
    <w:rsid w:val="00653691"/>
    <w:rsid w:val="00653753"/>
    <w:rsid w:val="00653868"/>
    <w:rsid w:val="006538E9"/>
    <w:rsid w:val="00653936"/>
    <w:rsid w:val="00653A10"/>
    <w:rsid w:val="00653A83"/>
    <w:rsid w:val="00653B46"/>
    <w:rsid w:val="00653B59"/>
    <w:rsid w:val="00653BA3"/>
    <w:rsid w:val="00653BD9"/>
    <w:rsid w:val="00653D55"/>
    <w:rsid w:val="00653D56"/>
    <w:rsid w:val="00653DEE"/>
    <w:rsid w:val="00653E2F"/>
    <w:rsid w:val="00653E8B"/>
    <w:rsid w:val="00653FA7"/>
    <w:rsid w:val="00654049"/>
    <w:rsid w:val="00654102"/>
    <w:rsid w:val="00654153"/>
    <w:rsid w:val="006541B9"/>
    <w:rsid w:val="00654264"/>
    <w:rsid w:val="00654388"/>
    <w:rsid w:val="006543F9"/>
    <w:rsid w:val="00654444"/>
    <w:rsid w:val="0065449A"/>
    <w:rsid w:val="00654601"/>
    <w:rsid w:val="00654634"/>
    <w:rsid w:val="006547B8"/>
    <w:rsid w:val="006549AE"/>
    <w:rsid w:val="00654A5D"/>
    <w:rsid w:val="00654A86"/>
    <w:rsid w:val="00654B0B"/>
    <w:rsid w:val="00654B73"/>
    <w:rsid w:val="00655032"/>
    <w:rsid w:val="006550F0"/>
    <w:rsid w:val="0065516F"/>
    <w:rsid w:val="00655289"/>
    <w:rsid w:val="006554CC"/>
    <w:rsid w:val="0065554A"/>
    <w:rsid w:val="0065554C"/>
    <w:rsid w:val="0065554E"/>
    <w:rsid w:val="006555B9"/>
    <w:rsid w:val="00655621"/>
    <w:rsid w:val="00655657"/>
    <w:rsid w:val="006556F7"/>
    <w:rsid w:val="0065572F"/>
    <w:rsid w:val="006557BE"/>
    <w:rsid w:val="006557D8"/>
    <w:rsid w:val="0065581F"/>
    <w:rsid w:val="0065585C"/>
    <w:rsid w:val="006558A1"/>
    <w:rsid w:val="006558B4"/>
    <w:rsid w:val="006558D1"/>
    <w:rsid w:val="00655994"/>
    <w:rsid w:val="006559C6"/>
    <w:rsid w:val="00655B6F"/>
    <w:rsid w:val="00655BA1"/>
    <w:rsid w:val="00655BC9"/>
    <w:rsid w:val="00655C5D"/>
    <w:rsid w:val="00655C89"/>
    <w:rsid w:val="00655C9D"/>
    <w:rsid w:val="00655D43"/>
    <w:rsid w:val="0065614F"/>
    <w:rsid w:val="00656239"/>
    <w:rsid w:val="00656251"/>
    <w:rsid w:val="006562FF"/>
    <w:rsid w:val="00656314"/>
    <w:rsid w:val="00656375"/>
    <w:rsid w:val="00656505"/>
    <w:rsid w:val="0065650D"/>
    <w:rsid w:val="006565FE"/>
    <w:rsid w:val="00656660"/>
    <w:rsid w:val="006566AA"/>
    <w:rsid w:val="00656705"/>
    <w:rsid w:val="00656724"/>
    <w:rsid w:val="00656941"/>
    <w:rsid w:val="00656B8E"/>
    <w:rsid w:val="00656BB0"/>
    <w:rsid w:val="00656C3D"/>
    <w:rsid w:val="00656C42"/>
    <w:rsid w:val="00656CC6"/>
    <w:rsid w:val="00656D71"/>
    <w:rsid w:val="00656E18"/>
    <w:rsid w:val="00656E42"/>
    <w:rsid w:val="00656EF9"/>
    <w:rsid w:val="00656FB7"/>
    <w:rsid w:val="0065701D"/>
    <w:rsid w:val="006570EB"/>
    <w:rsid w:val="00657168"/>
    <w:rsid w:val="006572C7"/>
    <w:rsid w:val="00657317"/>
    <w:rsid w:val="0065731D"/>
    <w:rsid w:val="0065737F"/>
    <w:rsid w:val="006573E6"/>
    <w:rsid w:val="006573E8"/>
    <w:rsid w:val="006576FB"/>
    <w:rsid w:val="00657862"/>
    <w:rsid w:val="006578A5"/>
    <w:rsid w:val="00657A12"/>
    <w:rsid w:val="00657A52"/>
    <w:rsid w:val="00657BEF"/>
    <w:rsid w:val="00657C0C"/>
    <w:rsid w:val="00657D2C"/>
    <w:rsid w:val="00657DC7"/>
    <w:rsid w:val="00660210"/>
    <w:rsid w:val="00660262"/>
    <w:rsid w:val="0066054D"/>
    <w:rsid w:val="0066055F"/>
    <w:rsid w:val="00660560"/>
    <w:rsid w:val="006605EA"/>
    <w:rsid w:val="006605F8"/>
    <w:rsid w:val="006606D2"/>
    <w:rsid w:val="0066075D"/>
    <w:rsid w:val="006607B0"/>
    <w:rsid w:val="006607F0"/>
    <w:rsid w:val="00660818"/>
    <w:rsid w:val="0066096A"/>
    <w:rsid w:val="0066099F"/>
    <w:rsid w:val="006609B0"/>
    <w:rsid w:val="00660AE5"/>
    <w:rsid w:val="00660EF9"/>
    <w:rsid w:val="00660FA0"/>
    <w:rsid w:val="00661089"/>
    <w:rsid w:val="0066117A"/>
    <w:rsid w:val="00661227"/>
    <w:rsid w:val="0066140B"/>
    <w:rsid w:val="0066150F"/>
    <w:rsid w:val="006615FC"/>
    <w:rsid w:val="00661615"/>
    <w:rsid w:val="0066166B"/>
    <w:rsid w:val="00661673"/>
    <w:rsid w:val="006616F2"/>
    <w:rsid w:val="00661781"/>
    <w:rsid w:val="00661821"/>
    <w:rsid w:val="00661864"/>
    <w:rsid w:val="006618FB"/>
    <w:rsid w:val="00661966"/>
    <w:rsid w:val="00661ADB"/>
    <w:rsid w:val="00661C20"/>
    <w:rsid w:val="00661C82"/>
    <w:rsid w:val="00662065"/>
    <w:rsid w:val="006620E5"/>
    <w:rsid w:val="00662183"/>
    <w:rsid w:val="00662313"/>
    <w:rsid w:val="00662408"/>
    <w:rsid w:val="00662571"/>
    <w:rsid w:val="0066263E"/>
    <w:rsid w:val="0066264B"/>
    <w:rsid w:val="006626BE"/>
    <w:rsid w:val="006627F3"/>
    <w:rsid w:val="00662833"/>
    <w:rsid w:val="00662962"/>
    <w:rsid w:val="00662995"/>
    <w:rsid w:val="00662B02"/>
    <w:rsid w:val="00662CD7"/>
    <w:rsid w:val="00662DB7"/>
    <w:rsid w:val="00662E5D"/>
    <w:rsid w:val="00663032"/>
    <w:rsid w:val="00663089"/>
    <w:rsid w:val="006630C2"/>
    <w:rsid w:val="0066314A"/>
    <w:rsid w:val="0066321C"/>
    <w:rsid w:val="00663241"/>
    <w:rsid w:val="006633F5"/>
    <w:rsid w:val="006633F6"/>
    <w:rsid w:val="0066342F"/>
    <w:rsid w:val="00663536"/>
    <w:rsid w:val="006635A7"/>
    <w:rsid w:val="006635F5"/>
    <w:rsid w:val="00663787"/>
    <w:rsid w:val="006637D6"/>
    <w:rsid w:val="00663A49"/>
    <w:rsid w:val="00663A88"/>
    <w:rsid w:val="00663B75"/>
    <w:rsid w:val="00663BA0"/>
    <w:rsid w:val="00663D8A"/>
    <w:rsid w:val="00663DAA"/>
    <w:rsid w:val="00663DF8"/>
    <w:rsid w:val="0066405A"/>
    <w:rsid w:val="006641EC"/>
    <w:rsid w:val="00664365"/>
    <w:rsid w:val="006643D3"/>
    <w:rsid w:val="00664497"/>
    <w:rsid w:val="00664663"/>
    <w:rsid w:val="0066477F"/>
    <w:rsid w:val="0066482A"/>
    <w:rsid w:val="006648E9"/>
    <w:rsid w:val="006649B8"/>
    <w:rsid w:val="00664BD7"/>
    <w:rsid w:val="00664C2C"/>
    <w:rsid w:val="00664CAC"/>
    <w:rsid w:val="00664DB9"/>
    <w:rsid w:val="00664E14"/>
    <w:rsid w:val="00664E47"/>
    <w:rsid w:val="00664EB6"/>
    <w:rsid w:val="00664ED9"/>
    <w:rsid w:val="0066500E"/>
    <w:rsid w:val="006650EA"/>
    <w:rsid w:val="00665124"/>
    <w:rsid w:val="00665166"/>
    <w:rsid w:val="0066535A"/>
    <w:rsid w:val="0066537C"/>
    <w:rsid w:val="006653BC"/>
    <w:rsid w:val="006654A8"/>
    <w:rsid w:val="006654C0"/>
    <w:rsid w:val="00665632"/>
    <w:rsid w:val="00665703"/>
    <w:rsid w:val="00665770"/>
    <w:rsid w:val="006658E7"/>
    <w:rsid w:val="006658FB"/>
    <w:rsid w:val="00665924"/>
    <w:rsid w:val="00665926"/>
    <w:rsid w:val="00665951"/>
    <w:rsid w:val="00665BE2"/>
    <w:rsid w:val="00665CD8"/>
    <w:rsid w:val="00665CFF"/>
    <w:rsid w:val="00665F36"/>
    <w:rsid w:val="00665F52"/>
    <w:rsid w:val="00665F5A"/>
    <w:rsid w:val="00665FA1"/>
    <w:rsid w:val="006660E3"/>
    <w:rsid w:val="0066610B"/>
    <w:rsid w:val="00666139"/>
    <w:rsid w:val="00666215"/>
    <w:rsid w:val="00666244"/>
    <w:rsid w:val="006663DC"/>
    <w:rsid w:val="006666F8"/>
    <w:rsid w:val="00666794"/>
    <w:rsid w:val="0066682C"/>
    <w:rsid w:val="00666872"/>
    <w:rsid w:val="00666949"/>
    <w:rsid w:val="0066698E"/>
    <w:rsid w:val="006669C0"/>
    <w:rsid w:val="00666A02"/>
    <w:rsid w:val="00666B33"/>
    <w:rsid w:val="00666BC9"/>
    <w:rsid w:val="00666C25"/>
    <w:rsid w:val="00666CD0"/>
    <w:rsid w:val="00666D27"/>
    <w:rsid w:val="00666DCE"/>
    <w:rsid w:val="00666DD0"/>
    <w:rsid w:val="00666F69"/>
    <w:rsid w:val="00666F71"/>
    <w:rsid w:val="00667083"/>
    <w:rsid w:val="00667106"/>
    <w:rsid w:val="00667163"/>
    <w:rsid w:val="00667271"/>
    <w:rsid w:val="0066736E"/>
    <w:rsid w:val="006674CB"/>
    <w:rsid w:val="00667668"/>
    <w:rsid w:val="00667860"/>
    <w:rsid w:val="0066789E"/>
    <w:rsid w:val="006678BD"/>
    <w:rsid w:val="006679F8"/>
    <w:rsid w:val="00667B43"/>
    <w:rsid w:val="00667BA2"/>
    <w:rsid w:val="00667D9B"/>
    <w:rsid w:val="00667E14"/>
    <w:rsid w:val="00667EC7"/>
    <w:rsid w:val="00667ED8"/>
    <w:rsid w:val="00670099"/>
    <w:rsid w:val="006700CA"/>
    <w:rsid w:val="00670104"/>
    <w:rsid w:val="006702FE"/>
    <w:rsid w:val="0067049F"/>
    <w:rsid w:val="0067059E"/>
    <w:rsid w:val="0067062F"/>
    <w:rsid w:val="0067068B"/>
    <w:rsid w:val="006706FD"/>
    <w:rsid w:val="006707AC"/>
    <w:rsid w:val="00670821"/>
    <w:rsid w:val="006708E2"/>
    <w:rsid w:val="00670A66"/>
    <w:rsid w:val="00670AED"/>
    <w:rsid w:val="00670B04"/>
    <w:rsid w:val="00670C28"/>
    <w:rsid w:val="00670DEF"/>
    <w:rsid w:val="00670EAD"/>
    <w:rsid w:val="0067100E"/>
    <w:rsid w:val="0067104A"/>
    <w:rsid w:val="00671078"/>
    <w:rsid w:val="00671099"/>
    <w:rsid w:val="006710E3"/>
    <w:rsid w:val="0067117A"/>
    <w:rsid w:val="00671359"/>
    <w:rsid w:val="006714A1"/>
    <w:rsid w:val="006714BB"/>
    <w:rsid w:val="00671500"/>
    <w:rsid w:val="00671522"/>
    <w:rsid w:val="00671527"/>
    <w:rsid w:val="0067152B"/>
    <w:rsid w:val="00671534"/>
    <w:rsid w:val="00671660"/>
    <w:rsid w:val="0067168B"/>
    <w:rsid w:val="006716D8"/>
    <w:rsid w:val="00671A34"/>
    <w:rsid w:val="00671BFA"/>
    <w:rsid w:val="00671C2F"/>
    <w:rsid w:val="00671C88"/>
    <w:rsid w:val="00671CC5"/>
    <w:rsid w:val="00671CE1"/>
    <w:rsid w:val="00671CFF"/>
    <w:rsid w:val="00671D3D"/>
    <w:rsid w:val="00671DF8"/>
    <w:rsid w:val="00671EA7"/>
    <w:rsid w:val="00671EC5"/>
    <w:rsid w:val="00671F19"/>
    <w:rsid w:val="00671FA8"/>
    <w:rsid w:val="0067204B"/>
    <w:rsid w:val="0067208D"/>
    <w:rsid w:val="006720A7"/>
    <w:rsid w:val="00672103"/>
    <w:rsid w:val="0067223D"/>
    <w:rsid w:val="00672246"/>
    <w:rsid w:val="00672381"/>
    <w:rsid w:val="0067238D"/>
    <w:rsid w:val="00672398"/>
    <w:rsid w:val="006723D2"/>
    <w:rsid w:val="0067244B"/>
    <w:rsid w:val="006725A0"/>
    <w:rsid w:val="006725FF"/>
    <w:rsid w:val="006726C1"/>
    <w:rsid w:val="00672798"/>
    <w:rsid w:val="0067286C"/>
    <w:rsid w:val="00672ACD"/>
    <w:rsid w:val="00672BA8"/>
    <w:rsid w:val="00672C26"/>
    <w:rsid w:val="00672C73"/>
    <w:rsid w:val="00672CA5"/>
    <w:rsid w:val="00672CDE"/>
    <w:rsid w:val="00672DEE"/>
    <w:rsid w:val="00672E5C"/>
    <w:rsid w:val="00672F34"/>
    <w:rsid w:val="00672F36"/>
    <w:rsid w:val="006732EA"/>
    <w:rsid w:val="0067338F"/>
    <w:rsid w:val="0067340C"/>
    <w:rsid w:val="0067348A"/>
    <w:rsid w:val="0067357F"/>
    <w:rsid w:val="006737BF"/>
    <w:rsid w:val="006737D4"/>
    <w:rsid w:val="00673B30"/>
    <w:rsid w:val="00673E73"/>
    <w:rsid w:val="0067418C"/>
    <w:rsid w:val="006741FE"/>
    <w:rsid w:val="0067427A"/>
    <w:rsid w:val="0067427C"/>
    <w:rsid w:val="006742A8"/>
    <w:rsid w:val="00674473"/>
    <w:rsid w:val="00674635"/>
    <w:rsid w:val="006746CC"/>
    <w:rsid w:val="0067479B"/>
    <w:rsid w:val="006747B5"/>
    <w:rsid w:val="00674859"/>
    <w:rsid w:val="00674A01"/>
    <w:rsid w:val="00674A9E"/>
    <w:rsid w:val="00674B43"/>
    <w:rsid w:val="00674C3A"/>
    <w:rsid w:val="00674C69"/>
    <w:rsid w:val="00674D9E"/>
    <w:rsid w:val="006750C2"/>
    <w:rsid w:val="006750F1"/>
    <w:rsid w:val="006752A7"/>
    <w:rsid w:val="00675358"/>
    <w:rsid w:val="006753B4"/>
    <w:rsid w:val="006753B7"/>
    <w:rsid w:val="0067543A"/>
    <w:rsid w:val="0067546D"/>
    <w:rsid w:val="006754BB"/>
    <w:rsid w:val="00675575"/>
    <w:rsid w:val="0067562D"/>
    <w:rsid w:val="00675673"/>
    <w:rsid w:val="006756FD"/>
    <w:rsid w:val="006757F2"/>
    <w:rsid w:val="0067581B"/>
    <w:rsid w:val="0067583B"/>
    <w:rsid w:val="006759AF"/>
    <w:rsid w:val="00675BA5"/>
    <w:rsid w:val="00675CB2"/>
    <w:rsid w:val="00675EC2"/>
    <w:rsid w:val="00675EEC"/>
    <w:rsid w:val="00675F77"/>
    <w:rsid w:val="00675FB7"/>
    <w:rsid w:val="006762E0"/>
    <w:rsid w:val="0067642D"/>
    <w:rsid w:val="0067648D"/>
    <w:rsid w:val="006764E5"/>
    <w:rsid w:val="006765CC"/>
    <w:rsid w:val="006765E4"/>
    <w:rsid w:val="006765FF"/>
    <w:rsid w:val="006767D5"/>
    <w:rsid w:val="00676835"/>
    <w:rsid w:val="00676872"/>
    <w:rsid w:val="0067693B"/>
    <w:rsid w:val="00676994"/>
    <w:rsid w:val="006769AF"/>
    <w:rsid w:val="00676A29"/>
    <w:rsid w:val="00676B77"/>
    <w:rsid w:val="00676BE2"/>
    <w:rsid w:val="00676BF4"/>
    <w:rsid w:val="00676C6B"/>
    <w:rsid w:val="00676CAD"/>
    <w:rsid w:val="00676D8D"/>
    <w:rsid w:val="00676DB8"/>
    <w:rsid w:val="00676E02"/>
    <w:rsid w:val="00677273"/>
    <w:rsid w:val="00677310"/>
    <w:rsid w:val="0067735A"/>
    <w:rsid w:val="0067743C"/>
    <w:rsid w:val="00677578"/>
    <w:rsid w:val="00677623"/>
    <w:rsid w:val="006776A7"/>
    <w:rsid w:val="0067778C"/>
    <w:rsid w:val="00677834"/>
    <w:rsid w:val="00677848"/>
    <w:rsid w:val="00677860"/>
    <w:rsid w:val="00677874"/>
    <w:rsid w:val="006779C7"/>
    <w:rsid w:val="00677A8C"/>
    <w:rsid w:val="00677AB8"/>
    <w:rsid w:val="00677C7D"/>
    <w:rsid w:val="00677C90"/>
    <w:rsid w:val="00677CB5"/>
    <w:rsid w:val="00677F04"/>
    <w:rsid w:val="00677FBB"/>
    <w:rsid w:val="0068000A"/>
    <w:rsid w:val="006800FF"/>
    <w:rsid w:val="006801E1"/>
    <w:rsid w:val="0068023F"/>
    <w:rsid w:val="00680275"/>
    <w:rsid w:val="006802F2"/>
    <w:rsid w:val="006802F3"/>
    <w:rsid w:val="0068045C"/>
    <w:rsid w:val="006804C6"/>
    <w:rsid w:val="00680597"/>
    <w:rsid w:val="006805C7"/>
    <w:rsid w:val="00680684"/>
    <w:rsid w:val="00680940"/>
    <w:rsid w:val="006809B2"/>
    <w:rsid w:val="00680B4B"/>
    <w:rsid w:val="00680B5D"/>
    <w:rsid w:val="00680BE2"/>
    <w:rsid w:val="00680C97"/>
    <w:rsid w:val="00680D64"/>
    <w:rsid w:val="00680E2E"/>
    <w:rsid w:val="00680F78"/>
    <w:rsid w:val="00680FE7"/>
    <w:rsid w:val="006811A0"/>
    <w:rsid w:val="00681315"/>
    <w:rsid w:val="00681331"/>
    <w:rsid w:val="006813BB"/>
    <w:rsid w:val="00681641"/>
    <w:rsid w:val="00681720"/>
    <w:rsid w:val="006817EF"/>
    <w:rsid w:val="006818BC"/>
    <w:rsid w:val="00681958"/>
    <w:rsid w:val="00681B11"/>
    <w:rsid w:val="00681C6E"/>
    <w:rsid w:val="00681CA3"/>
    <w:rsid w:val="00681CA9"/>
    <w:rsid w:val="00681CCC"/>
    <w:rsid w:val="00681DCA"/>
    <w:rsid w:val="00681E8C"/>
    <w:rsid w:val="00681EEF"/>
    <w:rsid w:val="00682062"/>
    <w:rsid w:val="006820C3"/>
    <w:rsid w:val="006820F8"/>
    <w:rsid w:val="00682210"/>
    <w:rsid w:val="006822EB"/>
    <w:rsid w:val="006823E9"/>
    <w:rsid w:val="006824C6"/>
    <w:rsid w:val="00682607"/>
    <w:rsid w:val="00682625"/>
    <w:rsid w:val="00682654"/>
    <w:rsid w:val="0068268B"/>
    <w:rsid w:val="00682917"/>
    <w:rsid w:val="00682C4F"/>
    <w:rsid w:val="00682F7B"/>
    <w:rsid w:val="00683084"/>
    <w:rsid w:val="006830B1"/>
    <w:rsid w:val="00683330"/>
    <w:rsid w:val="006833C1"/>
    <w:rsid w:val="00683402"/>
    <w:rsid w:val="0068341E"/>
    <w:rsid w:val="00683474"/>
    <w:rsid w:val="0068356D"/>
    <w:rsid w:val="0068374D"/>
    <w:rsid w:val="006838A5"/>
    <w:rsid w:val="006839B6"/>
    <w:rsid w:val="006839D2"/>
    <w:rsid w:val="006839FC"/>
    <w:rsid w:val="00683C08"/>
    <w:rsid w:val="00683C54"/>
    <w:rsid w:val="00683D7D"/>
    <w:rsid w:val="00683EC3"/>
    <w:rsid w:val="00683EF5"/>
    <w:rsid w:val="00683FCA"/>
    <w:rsid w:val="0068400B"/>
    <w:rsid w:val="006840C6"/>
    <w:rsid w:val="00684130"/>
    <w:rsid w:val="00684190"/>
    <w:rsid w:val="00684222"/>
    <w:rsid w:val="006843E6"/>
    <w:rsid w:val="00684457"/>
    <w:rsid w:val="006844F3"/>
    <w:rsid w:val="00684523"/>
    <w:rsid w:val="00684544"/>
    <w:rsid w:val="00684593"/>
    <w:rsid w:val="00684656"/>
    <w:rsid w:val="00684762"/>
    <w:rsid w:val="0068479F"/>
    <w:rsid w:val="00684A25"/>
    <w:rsid w:val="00684BCD"/>
    <w:rsid w:val="00684C0A"/>
    <w:rsid w:val="00684CC0"/>
    <w:rsid w:val="00684CD0"/>
    <w:rsid w:val="00684CE1"/>
    <w:rsid w:val="00684D35"/>
    <w:rsid w:val="00684D8D"/>
    <w:rsid w:val="00684DD8"/>
    <w:rsid w:val="00684EEF"/>
    <w:rsid w:val="00684F61"/>
    <w:rsid w:val="006852CA"/>
    <w:rsid w:val="006852E4"/>
    <w:rsid w:val="006852ED"/>
    <w:rsid w:val="00685412"/>
    <w:rsid w:val="00685557"/>
    <w:rsid w:val="00685645"/>
    <w:rsid w:val="006856B0"/>
    <w:rsid w:val="006857B5"/>
    <w:rsid w:val="0068584C"/>
    <w:rsid w:val="00685866"/>
    <w:rsid w:val="006858A4"/>
    <w:rsid w:val="006858B0"/>
    <w:rsid w:val="006858FF"/>
    <w:rsid w:val="00685932"/>
    <w:rsid w:val="00685A02"/>
    <w:rsid w:val="00685A4B"/>
    <w:rsid w:val="00685BAB"/>
    <w:rsid w:val="00685BF5"/>
    <w:rsid w:val="00685C68"/>
    <w:rsid w:val="00685C6F"/>
    <w:rsid w:val="00685C89"/>
    <w:rsid w:val="00685CF2"/>
    <w:rsid w:val="00685D48"/>
    <w:rsid w:val="00685D61"/>
    <w:rsid w:val="00685DEB"/>
    <w:rsid w:val="00685F0B"/>
    <w:rsid w:val="00686012"/>
    <w:rsid w:val="00686164"/>
    <w:rsid w:val="0068623C"/>
    <w:rsid w:val="006862A9"/>
    <w:rsid w:val="00686327"/>
    <w:rsid w:val="0068639B"/>
    <w:rsid w:val="006863DB"/>
    <w:rsid w:val="0068648E"/>
    <w:rsid w:val="006864A5"/>
    <w:rsid w:val="00686672"/>
    <w:rsid w:val="00686A01"/>
    <w:rsid w:val="00686AC2"/>
    <w:rsid w:val="00686BBB"/>
    <w:rsid w:val="00686CAB"/>
    <w:rsid w:val="00686D35"/>
    <w:rsid w:val="00686D92"/>
    <w:rsid w:val="00686E83"/>
    <w:rsid w:val="00686F8D"/>
    <w:rsid w:val="00686FD0"/>
    <w:rsid w:val="00687018"/>
    <w:rsid w:val="006870D3"/>
    <w:rsid w:val="00687120"/>
    <w:rsid w:val="006871C0"/>
    <w:rsid w:val="006871E2"/>
    <w:rsid w:val="00687266"/>
    <w:rsid w:val="006872FC"/>
    <w:rsid w:val="006873CA"/>
    <w:rsid w:val="0068741C"/>
    <w:rsid w:val="0068749E"/>
    <w:rsid w:val="006874EE"/>
    <w:rsid w:val="0068750E"/>
    <w:rsid w:val="006875C1"/>
    <w:rsid w:val="00687649"/>
    <w:rsid w:val="006877B2"/>
    <w:rsid w:val="006877F6"/>
    <w:rsid w:val="0068787F"/>
    <w:rsid w:val="006879FC"/>
    <w:rsid w:val="00687ABB"/>
    <w:rsid w:val="00687AC1"/>
    <w:rsid w:val="00687AF2"/>
    <w:rsid w:val="00687B56"/>
    <w:rsid w:val="00687BB4"/>
    <w:rsid w:val="00687BF5"/>
    <w:rsid w:val="00687C6C"/>
    <w:rsid w:val="00687C70"/>
    <w:rsid w:val="00687CB4"/>
    <w:rsid w:val="00687D03"/>
    <w:rsid w:val="0069000B"/>
    <w:rsid w:val="0069004A"/>
    <w:rsid w:val="0069005B"/>
    <w:rsid w:val="0069007D"/>
    <w:rsid w:val="006900FF"/>
    <w:rsid w:val="0069017E"/>
    <w:rsid w:val="0069023A"/>
    <w:rsid w:val="00690364"/>
    <w:rsid w:val="006903D7"/>
    <w:rsid w:val="0069045D"/>
    <w:rsid w:val="0069045E"/>
    <w:rsid w:val="00690476"/>
    <w:rsid w:val="0069055D"/>
    <w:rsid w:val="006905BA"/>
    <w:rsid w:val="006906A3"/>
    <w:rsid w:val="00690731"/>
    <w:rsid w:val="00690785"/>
    <w:rsid w:val="006907E1"/>
    <w:rsid w:val="00690BC5"/>
    <w:rsid w:val="00690BF5"/>
    <w:rsid w:val="00690C3D"/>
    <w:rsid w:val="00690DA8"/>
    <w:rsid w:val="00690F26"/>
    <w:rsid w:val="00690FA3"/>
    <w:rsid w:val="00690FAC"/>
    <w:rsid w:val="00690FC0"/>
    <w:rsid w:val="00690FC4"/>
    <w:rsid w:val="006910B1"/>
    <w:rsid w:val="006911AC"/>
    <w:rsid w:val="006911B2"/>
    <w:rsid w:val="0069138A"/>
    <w:rsid w:val="006913E1"/>
    <w:rsid w:val="00691563"/>
    <w:rsid w:val="00691573"/>
    <w:rsid w:val="006915F3"/>
    <w:rsid w:val="006916DE"/>
    <w:rsid w:val="00691758"/>
    <w:rsid w:val="006917CF"/>
    <w:rsid w:val="00691817"/>
    <w:rsid w:val="00691854"/>
    <w:rsid w:val="006918DB"/>
    <w:rsid w:val="006918F7"/>
    <w:rsid w:val="00691929"/>
    <w:rsid w:val="00691959"/>
    <w:rsid w:val="00691B95"/>
    <w:rsid w:val="00691BCD"/>
    <w:rsid w:val="00691BE3"/>
    <w:rsid w:val="00691C1D"/>
    <w:rsid w:val="00691D8A"/>
    <w:rsid w:val="00691DF4"/>
    <w:rsid w:val="00691E50"/>
    <w:rsid w:val="00691FB1"/>
    <w:rsid w:val="00691FCB"/>
    <w:rsid w:val="00691FF0"/>
    <w:rsid w:val="00692128"/>
    <w:rsid w:val="0069239A"/>
    <w:rsid w:val="006923AF"/>
    <w:rsid w:val="00692484"/>
    <w:rsid w:val="006924C7"/>
    <w:rsid w:val="006925DD"/>
    <w:rsid w:val="006927F0"/>
    <w:rsid w:val="00692889"/>
    <w:rsid w:val="006928D7"/>
    <w:rsid w:val="006928E0"/>
    <w:rsid w:val="00692AAD"/>
    <w:rsid w:val="00692BC5"/>
    <w:rsid w:val="00692BE3"/>
    <w:rsid w:val="00692CEE"/>
    <w:rsid w:val="0069303E"/>
    <w:rsid w:val="006930A9"/>
    <w:rsid w:val="006930C7"/>
    <w:rsid w:val="00693116"/>
    <w:rsid w:val="00693186"/>
    <w:rsid w:val="00693214"/>
    <w:rsid w:val="00693306"/>
    <w:rsid w:val="00693519"/>
    <w:rsid w:val="00693787"/>
    <w:rsid w:val="00693791"/>
    <w:rsid w:val="0069384D"/>
    <w:rsid w:val="0069386F"/>
    <w:rsid w:val="00693876"/>
    <w:rsid w:val="00693895"/>
    <w:rsid w:val="006938CB"/>
    <w:rsid w:val="006939D1"/>
    <w:rsid w:val="00693A56"/>
    <w:rsid w:val="00693B67"/>
    <w:rsid w:val="00693BE0"/>
    <w:rsid w:val="00693C4F"/>
    <w:rsid w:val="00693C53"/>
    <w:rsid w:val="00693FC8"/>
    <w:rsid w:val="00693FF1"/>
    <w:rsid w:val="006941B4"/>
    <w:rsid w:val="0069434C"/>
    <w:rsid w:val="00694422"/>
    <w:rsid w:val="0069450B"/>
    <w:rsid w:val="0069451B"/>
    <w:rsid w:val="00694523"/>
    <w:rsid w:val="00694633"/>
    <w:rsid w:val="006946DD"/>
    <w:rsid w:val="0069470C"/>
    <w:rsid w:val="00694761"/>
    <w:rsid w:val="006947A8"/>
    <w:rsid w:val="006947C2"/>
    <w:rsid w:val="00694817"/>
    <w:rsid w:val="00694C3C"/>
    <w:rsid w:val="00694D4F"/>
    <w:rsid w:val="00694D9F"/>
    <w:rsid w:val="00694E82"/>
    <w:rsid w:val="00694F31"/>
    <w:rsid w:val="00695011"/>
    <w:rsid w:val="00695139"/>
    <w:rsid w:val="0069513F"/>
    <w:rsid w:val="006952A5"/>
    <w:rsid w:val="006952B3"/>
    <w:rsid w:val="006952B6"/>
    <w:rsid w:val="00695312"/>
    <w:rsid w:val="006954D8"/>
    <w:rsid w:val="00695555"/>
    <w:rsid w:val="00695595"/>
    <w:rsid w:val="00695643"/>
    <w:rsid w:val="00695AC6"/>
    <w:rsid w:val="00695C96"/>
    <w:rsid w:val="00695DCC"/>
    <w:rsid w:val="00695E3F"/>
    <w:rsid w:val="00695EC7"/>
    <w:rsid w:val="00695ED5"/>
    <w:rsid w:val="00695EE0"/>
    <w:rsid w:val="00695F63"/>
    <w:rsid w:val="006961DF"/>
    <w:rsid w:val="006961F5"/>
    <w:rsid w:val="00696263"/>
    <w:rsid w:val="006962DF"/>
    <w:rsid w:val="00696352"/>
    <w:rsid w:val="0069674B"/>
    <w:rsid w:val="0069681E"/>
    <w:rsid w:val="006968B0"/>
    <w:rsid w:val="00696B68"/>
    <w:rsid w:val="00696C65"/>
    <w:rsid w:val="00696E60"/>
    <w:rsid w:val="00697157"/>
    <w:rsid w:val="0069718D"/>
    <w:rsid w:val="0069730A"/>
    <w:rsid w:val="00697383"/>
    <w:rsid w:val="006974D6"/>
    <w:rsid w:val="00697559"/>
    <w:rsid w:val="00697652"/>
    <w:rsid w:val="0069787D"/>
    <w:rsid w:val="006978ED"/>
    <w:rsid w:val="00697972"/>
    <w:rsid w:val="00697A86"/>
    <w:rsid w:val="00697AB9"/>
    <w:rsid w:val="00697B43"/>
    <w:rsid w:val="00697BB8"/>
    <w:rsid w:val="00697E50"/>
    <w:rsid w:val="00697F4B"/>
    <w:rsid w:val="006A0155"/>
    <w:rsid w:val="006A0191"/>
    <w:rsid w:val="006A019F"/>
    <w:rsid w:val="006A0277"/>
    <w:rsid w:val="006A02A3"/>
    <w:rsid w:val="006A0555"/>
    <w:rsid w:val="006A05E4"/>
    <w:rsid w:val="006A05E8"/>
    <w:rsid w:val="006A06DF"/>
    <w:rsid w:val="006A0824"/>
    <w:rsid w:val="006A0829"/>
    <w:rsid w:val="006A09AA"/>
    <w:rsid w:val="006A0B1F"/>
    <w:rsid w:val="006A0D29"/>
    <w:rsid w:val="006A0D8B"/>
    <w:rsid w:val="006A0E3F"/>
    <w:rsid w:val="006A0EE2"/>
    <w:rsid w:val="006A0F22"/>
    <w:rsid w:val="006A0F33"/>
    <w:rsid w:val="006A0F4C"/>
    <w:rsid w:val="006A1018"/>
    <w:rsid w:val="006A1036"/>
    <w:rsid w:val="006A105F"/>
    <w:rsid w:val="006A1186"/>
    <w:rsid w:val="006A1198"/>
    <w:rsid w:val="006A126F"/>
    <w:rsid w:val="006A1305"/>
    <w:rsid w:val="006A137D"/>
    <w:rsid w:val="006A143E"/>
    <w:rsid w:val="006A1457"/>
    <w:rsid w:val="006A1487"/>
    <w:rsid w:val="006A1565"/>
    <w:rsid w:val="006A15FE"/>
    <w:rsid w:val="006A1616"/>
    <w:rsid w:val="006A1654"/>
    <w:rsid w:val="006A16B5"/>
    <w:rsid w:val="006A1733"/>
    <w:rsid w:val="006A185A"/>
    <w:rsid w:val="006A187E"/>
    <w:rsid w:val="006A1B9F"/>
    <w:rsid w:val="006A1E96"/>
    <w:rsid w:val="006A1F30"/>
    <w:rsid w:val="006A1F53"/>
    <w:rsid w:val="006A203D"/>
    <w:rsid w:val="006A208F"/>
    <w:rsid w:val="006A21F7"/>
    <w:rsid w:val="006A22C5"/>
    <w:rsid w:val="006A23DD"/>
    <w:rsid w:val="006A23DE"/>
    <w:rsid w:val="006A2451"/>
    <w:rsid w:val="006A2517"/>
    <w:rsid w:val="006A25F9"/>
    <w:rsid w:val="006A260D"/>
    <w:rsid w:val="006A2695"/>
    <w:rsid w:val="006A284F"/>
    <w:rsid w:val="006A28DA"/>
    <w:rsid w:val="006A28F7"/>
    <w:rsid w:val="006A299B"/>
    <w:rsid w:val="006A29C8"/>
    <w:rsid w:val="006A2A22"/>
    <w:rsid w:val="006A2A44"/>
    <w:rsid w:val="006A2C16"/>
    <w:rsid w:val="006A2CB0"/>
    <w:rsid w:val="006A2E26"/>
    <w:rsid w:val="006A2E3C"/>
    <w:rsid w:val="006A301E"/>
    <w:rsid w:val="006A30A9"/>
    <w:rsid w:val="006A328A"/>
    <w:rsid w:val="006A32F4"/>
    <w:rsid w:val="006A3328"/>
    <w:rsid w:val="006A34D7"/>
    <w:rsid w:val="006A34FE"/>
    <w:rsid w:val="006A368F"/>
    <w:rsid w:val="006A371C"/>
    <w:rsid w:val="006A3790"/>
    <w:rsid w:val="006A3A49"/>
    <w:rsid w:val="006A3AED"/>
    <w:rsid w:val="006A3B80"/>
    <w:rsid w:val="006A3BC1"/>
    <w:rsid w:val="006A3C28"/>
    <w:rsid w:val="006A3DC6"/>
    <w:rsid w:val="006A3EC1"/>
    <w:rsid w:val="006A3F97"/>
    <w:rsid w:val="006A3FAD"/>
    <w:rsid w:val="006A3FF3"/>
    <w:rsid w:val="006A401C"/>
    <w:rsid w:val="006A407A"/>
    <w:rsid w:val="006A4200"/>
    <w:rsid w:val="006A4286"/>
    <w:rsid w:val="006A43BC"/>
    <w:rsid w:val="006A4420"/>
    <w:rsid w:val="006A4478"/>
    <w:rsid w:val="006A44C4"/>
    <w:rsid w:val="006A45E6"/>
    <w:rsid w:val="006A45F8"/>
    <w:rsid w:val="006A4674"/>
    <w:rsid w:val="006A46BD"/>
    <w:rsid w:val="006A46F0"/>
    <w:rsid w:val="006A4713"/>
    <w:rsid w:val="006A4804"/>
    <w:rsid w:val="006A482B"/>
    <w:rsid w:val="006A486A"/>
    <w:rsid w:val="006A489B"/>
    <w:rsid w:val="006A4908"/>
    <w:rsid w:val="006A4A10"/>
    <w:rsid w:val="006A4A3B"/>
    <w:rsid w:val="006A4B11"/>
    <w:rsid w:val="006A4CE7"/>
    <w:rsid w:val="006A4D90"/>
    <w:rsid w:val="006A4DDA"/>
    <w:rsid w:val="006A4ECA"/>
    <w:rsid w:val="006A4ECF"/>
    <w:rsid w:val="006A4FC1"/>
    <w:rsid w:val="006A5240"/>
    <w:rsid w:val="006A53A7"/>
    <w:rsid w:val="006A53DA"/>
    <w:rsid w:val="006A55C6"/>
    <w:rsid w:val="006A569E"/>
    <w:rsid w:val="006A56BD"/>
    <w:rsid w:val="006A56FC"/>
    <w:rsid w:val="006A57E0"/>
    <w:rsid w:val="006A5A85"/>
    <w:rsid w:val="006A5AB1"/>
    <w:rsid w:val="006A5B94"/>
    <w:rsid w:val="006A5BB6"/>
    <w:rsid w:val="006A5CFA"/>
    <w:rsid w:val="006A5E4C"/>
    <w:rsid w:val="006A5F2B"/>
    <w:rsid w:val="006A5F62"/>
    <w:rsid w:val="006A6367"/>
    <w:rsid w:val="006A6449"/>
    <w:rsid w:val="006A649A"/>
    <w:rsid w:val="006A6532"/>
    <w:rsid w:val="006A6660"/>
    <w:rsid w:val="006A6783"/>
    <w:rsid w:val="006A6A23"/>
    <w:rsid w:val="006A6A49"/>
    <w:rsid w:val="006A6A8D"/>
    <w:rsid w:val="006A6A8E"/>
    <w:rsid w:val="006A6AB5"/>
    <w:rsid w:val="006A6AC0"/>
    <w:rsid w:val="006A6AD6"/>
    <w:rsid w:val="006A6C55"/>
    <w:rsid w:val="006A6C65"/>
    <w:rsid w:val="006A6CC0"/>
    <w:rsid w:val="006A6E8D"/>
    <w:rsid w:val="006A6F90"/>
    <w:rsid w:val="006A6FA9"/>
    <w:rsid w:val="006A7053"/>
    <w:rsid w:val="006A72D2"/>
    <w:rsid w:val="006A7408"/>
    <w:rsid w:val="006A75A0"/>
    <w:rsid w:val="006A75C9"/>
    <w:rsid w:val="006A7608"/>
    <w:rsid w:val="006A767A"/>
    <w:rsid w:val="006A778D"/>
    <w:rsid w:val="006A7A8B"/>
    <w:rsid w:val="006A7D5E"/>
    <w:rsid w:val="006A7EFA"/>
    <w:rsid w:val="006A7F7F"/>
    <w:rsid w:val="006A7FDC"/>
    <w:rsid w:val="006A7FE6"/>
    <w:rsid w:val="006B0033"/>
    <w:rsid w:val="006B0266"/>
    <w:rsid w:val="006B026E"/>
    <w:rsid w:val="006B02BC"/>
    <w:rsid w:val="006B069B"/>
    <w:rsid w:val="006B0717"/>
    <w:rsid w:val="006B077D"/>
    <w:rsid w:val="006B07B4"/>
    <w:rsid w:val="006B08B6"/>
    <w:rsid w:val="006B0984"/>
    <w:rsid w:val="006B0B61"/>
    <w:rsid w:val="006B0C58"/>
    <w:rsid w:val="006B0C71"/>
    <w:rsid w:val="006B0F15"/>
    <w:rsid w:val="006B0FD2"/>
    <w:rsid w:val="006B1061"/>
    <w:rsid w:val="006B10BB"/>
    <w:rsid w:val="006B12A7"/>
    <w:rsid w:val="006B144F"/>
    <w:rsid w:val="006B1458"/>
    <w:rsid w:val="006B1465"/>
    <w:rsid w:val="006B1542"/>
    <w:rsid w:val="006B1722"/>
    <w:rsid w:val="006B19BA"/>
    <w:rsid w:val="006B1D25"/>
    <w:rsid w:val="006B1DB8"/>
    <w:rsid w:val="006B1DDB"/>
    <w:rsid w:val="006B1E3C"/>
    <w:rsid w:val="006B1EC9"/>
    <w:rsid w:val="006B1F40"/>
    <w:rsid w:val="006B2007"/>
    <w:rsid w:val="006B20AD"/>
    <w:rsid w:val="006B218B"/>
    <w:rsid w:val="006B2240"/>
    <w:rsid w:val="006B2419"/>
    <w:rsid w:val="006B2458"/>
    <w:rsid w:val="006B24D7"/>
    <w:rsid w:val="006B24F2"/>
    <w:rsid w:val="006B2556"/>
    <w:rsid w:val="006B259D"/>
    <w:rsid w:val="006B26E5"/>
    <w:rsid w:val="006B2831"/>
    <w:rsid w:val="006B2BC3"/>
    <w:rsid w:val="006B2C51"/>
    <w:rsid w:val="006B2C5A"/>
    <w:rsid w:val="006B2C7D"/>
    <w:rsid w:val="006B2CF5"/>
    <w:rsid w:val="006B2D70"/>
    <w:rsid w:val="006B2DBD"/>
    <w:rsid w:val="006B2E05"/>
    <w:rsid w:val="006B2F40"/>
    <w:rsid w:val="006B3028"/>
    <w:rsid w:val="006B30EC"/>
    <w:rsid w:val="006B310C"/>
    <w:rsid w:val="006B318B"/>
    <w:rsid w:val="006B31C1"/>
    <w:rsid w:val="006B32DF"/>
    <w:rsid w:val="006B3346"/>
    <w:rsid w:val="006B3440"/>
    <w:rsid w:val="006B34BB"/>
    <w:rsid w:val="006B3523"/>
    <w:rsid w:val="006B3613"/>
    <w:rsid w:val="006B363B"/>
    <w:rsid w:val="006B36B9"/>
    <w:rsid w:val="006B377C"/>
    <w:rsid w:val="006B38B9"/>
    <w:rsid w:val="006B3952"/>
    <w:rsid w:val="006B3990"/>
    <w:rsid w:val="006B3A60"/>
    <w:rsid w:val="006B3A69"/>
    <w:rsid w:val="006B3A76"/>
    <w:rsid w:val="006B3B86"/>
    <w:rsid w:val="006B3BC3"/>
    <w:rsid w:val="006B3BE0"/>
    <w:rsid w:val="006B3D6E"/>
    <w:rsid w:val="006B3DCE"/>
    <w:rsid w:val="006B3DE9"/>
    <w:rsid w:val="006B3E43"/>
    <w:rsid w:val="006B3EBC"/>
    <w:rsid w:val="006B4112"/>
    <w:rsid w:val="006B411F"/>
    <w:rsid w:val="006B4155"/>
    <w:rsid w:val="006B419E"/>
    <w:rsid w:val="006B41F0"/>
    <w:rsid w:val="006B41F6"/>
    <w:rsid w:val="006B41FE"/>
    <w:rsid w:val="006B422E"/>
    <w:rsid w:val="006B43AB"/>
    <w:rsid w:val="006B442D"/>
    <w:rsid w:val="006B44B8"/>
    <w:rsid w:val="006B4573"/>
    <w:rsid w:val="006B4607"/>
    <w:rsid w:val="006B463F"/>
    <w:rsid w:val="006B46BC"/>
    <w:rsid w:val="006B46DA"/>
    <w:rsid w:val="006B46FC"/>
    <w:rsid w:val="006B471C"/>
    <w:rsid w:val="006B4754"/>
    <w:rsid w:val="006B475D"/>
    <w:rsid w:val="006B481A"/>
    <w:rsid w:val="006B4878"/>
    <w:rsid w:val="006B48E6"/>
    <w:rsid w:val="006B48F8"/>
    <w:rsid w:val="006B49BD"/>
    <w:rsid w:val="006B49C6"/>
    <w:rsid w:val="006B4A56"/>
    <w:rsid w:val="006B4B78"/>
    <w:rsid w:val="006B4CC7"/>
    <w:rsid w:val="006B4CC9"/>
    <w:rsid w:val="006B4CFD"/>
    <w:rsid w:val="006B4DFA"/>
    <w:rsid w:val="006B4EBC"/>
    <w:rsid w:val="006B5081"/>
    <w:rsid w:val="006B52FC"/>
    <w:rsid w:val="006B54C7"/>
    <w:rsid w:val="006B54FA"/>
    <w:rsid w:val="006B559E"/>
    <w:rsid w:val="006B5793"/>
    <w:rsid w:val="006B57D7"/>
    <w:rsid w:val="006B5800"/>
    <w:rsid w:val="006B5841"/>
    <w:rsid w:val="006B5875"/>
    <w:rsid w:val="006B58AA"/>
    <w:rsid w:val="006B58B1"/>
    <w:rsid w:val="006B5920"/>
    <w:rsid w:val="006B5961"/>
    <w:rsid w:val="006B5985"/>
    <w:rsid w:val="006B59C3"/>
    <w:rsid w:val="006B59C6"/>
    <w:rsid w:val="006B5AE8"/>
    <w:rsid w:val="006B5B16"/>
    <w:rsid w:val="006B5BD8"/>
    <w:rsid w:val="006B5C57"/>
    <w:rsid w:val="006B5E9E"/>
    <w:rsid w:val="006B5F7A"/>
    <w:rsid w:val="006B602B"/>
    <w:rsid w:val="006B6164"/>
    <w:rsid w:val="006B6225"/>
    <w:rsid w:val="006B6241"/>
    <w:rsid w:val="006B6255"/>
    <w:rsid w:val="006B6348"/>
    <w:rsid w:val="006B6350"/>
    <w:rsid w:val="006B63AE"/>
    <w:rsid w:val="006B6449"/>
    <w:rsid w:val="006B6452"/>
    <w:rsid w:val="006B64B3"/>
    <w:rsid w:val="006B64DA"/>
    <w:rsid w:val="006B6505"/>
    <w:rsid w:val="006B66CE"/>
    <w:rsid w:val="006B67EA"/>
    <w:rsid w:val="006B6836"/>
    <w:rsid w:val="006B685F"/>
    <w:rsid w:val="006B6876"/>
    <w:rsid w:val="006B68B8"/>
    <w:rsid w:val="006B6ACC"/>
    <w:rsid w:val="006B6B7F"/>
    <w:rsid w:val="006B6B9D"/>
    <w:rsid w:val="006B6C97"/>
    <w:rsid w:val="006B6CF2"/>
    <w:rsid w:val="006B6DB7"/>
    <w:rsid w:val="006B6EA5"/>
    <w:rsid w:val="006B719B"/>
    <w:rsid w:val="006B71A5"/>
    <w:rsid w:val="006B721F"/>
    <w:rsid w:val="006B7354"/>
    <w:rsid w:val="006B74B5"/>
    <w:rsid w:val="006B756B"/>
    <w:rsid w:val="006B772F"/>
    <w:rsid w:val="006B77A5"/>
    <w:rsid w:val="006B77D4"/>
    <w:rsid w:val="006B7936"/>
    <w:rsid w:val="006B79D4"/>
    <w:rsid w:val="006B7F51"/>
    <w:rsid w:val="006B7FF2"/>
    <w:rsid w:val="006C017A"/>
    <w:rsid w:val="006C024A"/>
    <w:rsid w:val="006C0285"/>
    <w:rsid w:val="006C02CF"/>
    <w:rsid w:val="006C02F1"/>
    <w:rsid w:val="006C034F"/>
    <w:rsid w:val="006C0384"/>
    <w:rsid w:val="006C0621"/>
    <w:rsid w:val="006C0662"/>
    <w:rsid w:val="006C067C"/>
    <w:rsid w:val="006C08AE"/>
    <w:rsid w:val="006C08E2"/>
    <w:rsid w:val="006C08EF"/>
    <w:rsid w:val="006C08FC"/>
    <w:rsid w:val="006C0B00"/>
    <w:rsid w:val="006C0B4D"/>
    <w:rsid w:val="006C0C30"/>
    <w:rsid w:val="006C0D3D"/>
    <w:rsid w:val="006C0EB4"/>
    <w:rsid w:val="006C0EEA"/>
    <w:rsid w:val="006C0F3A"/>
    <w:rsid w:val="006C0FF0"/>
    <w:rsid w:val="006C104B"/>
    <w:rsid w:val="006C109B"/>
    <w:rsid w:val="006C10B8"/>
    <w:rsid w:val="006C10CA"/>
    <w:rsid w:val="006C11EA"/>
    <w:rsid w:val="006C12E0"/>
    <w:rsid w:val="006C14DE"/>
    <w:rsid w:val="006C14EA"/>
    <w:rsid w:val="006C14FE"/>
    <w:rsid w:val="006C1594"/>
    <w:rsid w:val="006C16CE"/>
    <w:rsid w:val="006C174C"/>
    <w:rsid w:val="006C1762"/>
    <w:rsid w:val="006C1773"/>
    <w:rsid w:val="006C1840"/>
    <w:rsid w:val="006C187F"/>
    <w:rsid w:val="006C190F"/>
    <w:rsid w:val="006C1A10"/>
    <w:rsid w:val="006C1A12"/>
    <w:rsid w:val="006C1A28"/>
    <w:rsid w:val="006C1A2F"/>
    <w:rsid w:val="006C1A43"/>
    <w:rsid w:val="006C1A7C"/>
    <w:rsid w:val="006C1A8D"/>
    <w:rsid w:val="006C1AE4"/>
    <w:rsid w:val="006C1C24"/>
    <w:rsid w:val="006C1CEA"/>
    <w:rsid w:val="006C1D19"/>
    <w:rsid w:val="006C1E09"/>
    <w:rsid w:val="006C1E83"/>
    <w:rsid w:val="006C202F"/>
    <w:rsid w:val="006C2039"/>
    <w:rsid w:val="006C20CB"/>
    <w:rsid w:val="006C20F4"/>
    <w:rsid w:val="006C2135"/>
    <w:rsid w:val="006C216B"/>
    <w:rsid w:val="006C21B7"/>
    <w:rsid w:val="006C2258"/>
    <w:rsid w:val="006C22BB"/>
    <w:rsid w:val="006C23A8"/>
    <w:rsid w:val="006C243B"/>
    <w:rsid w:val="006C24E8"/>
    <w:rsid w:val="006C25E5"/>
    <w:rsid w:val="006C26EE"/>
    <w:rsid w:val="006C26FC"/>
    <w:rsid w:val="006C2745"/>
    <w:rsid w:val="006C27A7"/>
    <w:rsid w:val="006C2904"/>
    <w:rsid w:val="006C2905"/>
    <w:rsid w:val="006C2923"/>
    <w:rsid w:val="006C299C"/>
    <w:rsid w:val="006C2A37"/>
    <w:rsid w:val="006C2BAE"/>
    <w:rsid w:val="006C2BEC"/>
    <w:rsid w:val="006C2D04"/>
    <w:rsid w:val="006C2D1E"/>
    <w:rsid w:val="006C2D6E"/>
    <w:rsid w:val="006C2DCC"/>
    <w:rsid w:val="006C2E5B"/>
    <w:rsid w:val="006C2EAB"/>
    <w:rsid w:val="006C2EED"/>
    <w:rsid w:val="006C307B"/>
    <w:rsid w:val="006C30AD"/>
    <w:rsid w:val="006C30C2"/>
    <w:rsid w:val="006C30E9"/>
    <w:rsid w:val="006C3193"/>
    <w:rsid w:val="006C3342"/>
    <w:rsid w:val="006C335A"/>
    <w:rsid w:val="006C35EC"/>
    <w:rsid w:val="006C36B5"/>
    <w:rsid w:val="006C36BE"/>
    <w:rsid w:val="006C371B"/>
    <w:rsid w:val="006C374A"/>
    <w:rsid w:val="006C3762"/>
    <w:rsid w:val="006C37A7"/>
    <w:rsid w:val="006C3930"/>
    <w:rsid w:val="006C39F6"/>
    <w:rsid w:val="006C3A5D"/>
    <w:rsid w:val="006C3D26"/>
    <w:rsid w:val="006C3E3C"/>
    <w:rsid w:val="006C3EB1"/>
    <w:rsid w:val="006C3FB8"/>
    <w:rsid w:val="006C401A"/>
    <w:rsid w:val="006C40EC"/>
    <w:rsid w:val="006C419F"/>
    <w:rsid w:val="006C41CB"/>
    <w:rsid w:val="006C42D7"/>
    <w:rsid w:val="006C4407"/>
    <w:rsid w:val="006C44D4"/>
    <w:rsid w:val="006C455E"/>
    <w:rsid w:val="006C466F"/>
    <w:rsid w:val="006C4912"/>
    <w:rsid w:val="006C493C"/>
    <w:rsid w:val="006C4969"/>
    <w:rsid w:val="006C49A3"/>
    <w:rsid w:val="006C49CB"/>
    <w:rsid w:val="006C4A85"/>
    <w:rsid w:val="006C4A99"/>
    <w:rsid w:val="006C4ACA"/>
    <w:rsid w:val="006C4C1E"/>
    <w:rsid w:val="006C4C42"/>
    <w:rsid w:val="006C4D95"/>
    <w:rsid w:val="006C4E79"/>
    <w:rsid w:val="006C4EA7"/>
    <w:rsid w:val="006C4FD7"/>
    <w:rsid w:val="006C504D"/>
    <w:rsid w:val="006C535C"/>
    <w:rsid w:val="006C53F6"/>
    <w:rsid w:val="006C54F2"/>
    <w:rsid w:val="006C5507"/>
    <w:rsid w:val="006C56A5"/>
    <w:rsid w:val="006C575E"/>
    <w:rsid w:val="006C58A3"/>
    <w:rsid w:val="006C5973"/>
    <w:rsid w:val="006C5A42"/>
    <w:rsid w:val="006C5A58"/>
    <w:rsid w:val="006C5C7A"/>
    <w:rsid w:val="006C5CF6"/>
    <w:rsid w:val="006C5F02"/>
    <w:rsid w:val="006C5F0B"/>
    <w:rsid w:val="006C5F3E"/>
    <w:rsid w:val="006C5F51"/>
    <w:rsid w:val="006C5FB4"/>
    <w:rsid w:val="006C5FF4"/>
    <w:rsid w:val="006C6019"/>
    <w:rsid w:val="006C6240"/>
    <w:rsid w:val="006C62E7"/>
    <w:rsid w:val="006C63AE"/>
    <w:rsid w:val="006C6425"/>
    <w:rsid w:val="006C6496"/>
    <w:rsid w:val="006C64AA"/>
    <w:rsid w:val="006C65AA"/>
    <w:rsid w:val="006C65AC"/>
    <w:rsid w:val="006C6650"/>
    <w:rsid w:val="006C6674"/>
    <w:rsid w:val="006C6696"/>
    <w:rsid w:val="006C6701"/>
    <w:rsid w:val="006C673E"/>
    <w:rsid w:val="006C686F"/>
    <w:rsid w:val="006C68BA"/>
    <w:rsid w:val="006C6909"/>
    <w:rsid w:val="006C6A1E"/>
    <w:rsid w:val="006C6A90"/>
    <w:rsid w:val="006C6C2C"/>
    <w:rsid w:val="006C6C37"/>
    <w:rsid w:val="006C6CCA"/>
    <w:rsid w:val="006C6D93"/>
    <w:rsid w:val="006C6E83"/>
    <w:rsid w:val="006C6F17"/>
    <w:rsid w:val="006C6F74"/>
    <w:rsid w:val="006C6FFD"/>
    <w:rsid w:val="006C700A"/>
    <w:rsid w:val="006C70CC"/>
    <w:rsid w:val="006C70DF"/>
    <w:rsid w:val="006C71E4"/>
    <w:rsid w:val="006C740F"/>
    <w:rsid w:val="006C7414"/>
    <w:rsid w:val="006C7478"/>
    <w:rsid w:val="006C74C2"/>
    <w:rsid w:val="006C75E9"/>
    <w:rsid w:val="006C7671"/>
    <w:rsid w:val="006C7714"/>
    <w:rsid w:val="006C772D"/>
    <w:rsid w:val="006C7815"/>
    <w:rsid w:val="006C783E"/>
    <w:rsid w:val="006C7863"/>
    <w:rsid w:val="006C786D"/>
    <w:rsid w:val="006C793E"/>
    <w:rsid w:val="006C7954"/>
    <w:rsid w:val="006C7AC0"/>
    <w:rsid w:val="006C7AF1"/>
    <w:rsid w:val="006C7B67"/>
    <w:rsid w:val="006C7D42"/>
    <w:rsid w:val="006C7DA8"/>
    <w:rsid w:val="006C7DC1"/>
    <w:rsid w:val="006C7F81"/>
    <w:rsid w:val="006C7F9B"/>
    <w:rsid w:val="006C7FEE"/>
    <w:rsid w:val="006D011B"/>
    <w:rsid w:val="006D02B7"/>
    <w:rsid w:val="006D02E0"/>
    <w:rsid w:val="006D04F6"/>
    <w:rsid w:val="006D053B"/>
    <w:rsid w:val="006D05C5"/>
    <w:rsid w:val="006D071D"/>
    <w:rsid w:val="006D09B8"/>
    <w:rsid w:val="006D0A26"/>
    <w:rsid w:val="006D0ADC"/>
    <w:rsid w:val="006D0C24"/>
    <w:rsid w:val="006D0C3F"/>
    <w:rsid w:val="006D0D3C"/>
    <w:rsid w:val="006D0E70"/>
    <w:rsid w:val="006D0E9B"/>
    <w:rsid w:val="006D0F07"/>
    <w:rsid w:val="006D0FE4"/>
    <w:rsid w:val="006D100D"/>
    <w:rsid w:val="006D1075"/>
    <w:rsid w:val="006D108E"/>
    <w:rsid w:val="006D116C"/>
    <w:rsid w:val="006D123A"/>
    <w:rsid w:val="006D1247"/>
    <w:rsid w:val="006D12AE"/>
    <w:rsid w:val="006D12D1"/>
    <w:rsid w:val="006D13DA"/>
    <w:rsid w:val="006D14B8"/>
    <w:rsid w:val="006D1759"/>
    <w:rsid w:val="006D180F"/>
    <w:rsid w:val="006D1845"/>
    <w:rsid w:val="006D1A2A"/>
    <w:rsid w:val="006D1BC4"/>
    <w:rsid w:val="006D1CA1"/>
    <w:rsid w:val="006D1D64"/>
    <w:rsid w:val="006D1E5B"/>
    <w:rsid w:val="006D1E9C"/>
    <w:rsid w:val="006D201E"/>
    <w:rsid w:val="006D2083"/>
    <w:rsid w:val="006D20BE"/>
    <w:rsid w:val="006D2117"/>
    <w:rsid w:val="006D21B3"/>
    <w:rsid w:val="006D22D2"/>
    <w:rsid w:val="006D241E"/>
    <w:rsid w:val="006D2443"/>
    <w:rsid w:val="006D24F7"/>
    <w:rsid w:val="006D25B1"/>
    <w:rsid w:val="006D262D"/>
    <w:rsid w:val="006D2680"/>
    <w:rsid w:val="006D26B0"/>
    <w:rsid w:val="006D27F5"/>
    <w:rsid w:val="006D28A6"/>
    <w:rsid w:val="006D2962"/>
    <w:rsid w:val="006D29DF"/>
    <w:rsid w:val="006D29F5"/>
    <w:rsid w:val="006D2B23"/>
    <w:rsid w:val="006D2C8F"/>
    <w:rsid w:val="006D2D35"/>
    <w:rsid w:val="006D2DF0"/>
    <w:rsid w:val="006D2E4B"/>
    <w:rsid w:val="006D2F37"/>
    <w:rsid w:val="006D3003"/>
    <w:rsid w:val="006D314A"/>
    <w:rsid w:val="006D322B"/>
    <w:rsid w:val="006D3235"/>
    <w:rsid w:val="006D32BE"/>
    <w:rsid w:val="006D3384"/>
    <w:rsid w:val="006D3424"/>
    <w:rsid w:val="006D34BB"/>
    <w:rsid w:val="006D3566"/>
    <w:rsid w:val="006D35CD"/>
    <w:rsid w:val="006D38A8"/>
    <w:rsid w:val="006D38BE"/>
    <w:rsid w:val="006D393F"/>
    <w:rsid w:val="006D39D2"/>
    <w:rsid w:val="006D3C36"/>
    <w:rsid w:val="006D3CEA"/>
    <w:rsid w:val="006D3F6C"/>
    <w:rsid w:val="006D405D"/>
    <w:rsid w:val="006D407D"/>
    <w:rsid w:val="006D409B"/>
    <w:rsid w:val="006D4103"/>
    <w:rsid w:val="006D410A"/>
    <w:rsid w:val="006D4143"/>
    <w:rsid w:val="006D4193"/>
    <w:rsid w:val="006D41C6"/>
    <w:rsid w:val="006D41FF"/>
    <w:rsid w:val="006D4607"/>
    <w:rsid w:val="006D4761"/>
    <w:rsid w:val="006D47A2"/>
    <w:rsid w:val="006D48AD"/>
    <w:rsid w:val="006D4937"/>
    <w:rsid w:val="006D4A74"/>
    <w:rsid w:val="006D4B61"/>
    <w:rsid w:val="006D4B6C"/>
    <w:rsid w:val="006D4BD2"/>
    <w:rsid w:val="006D4C4F"/>
    <w:rsid w:val="006D4C8D"/>
    <w:rsid w:val="006D4D3E"/>
    <w:rsid w:val="006D4D7E"/>
    <w:rsid w:val="006D4E3B"/>
    <w:rsid w:val="006D4E63"/>
    <w:rsid w:val="006D4F85"/>
    <w:rsid w:val="006D50E0"/>
    <w:rsid w:val="006D52BB"/>
    <w:rsid w:val="006D5393"/>
    <w:rsid w:val="006D53A8"/>
    <w:rsid w:val="006D54CA"/>
    <w:rsid w:val="006D55F3"/>
    <w:rsid w:val="006D55FA"/>
    <w:rsid w:val="006D5630"/>
    <w:rsid w:val="006D565F"/>
    <w:rsid w:val="006D57AC"/>
    <w:rsid w:val="006D57EE"/>
    <w:rsid w:val="006D584D"/>
    <w:rsid w:val="006D5876"/>
    <w:rsid w:val="006D592A"/>
    <w:rsid w:val="006D5933"/>
    <w:rsid w:val="006D5A84"/>
    <w:rsid w:val="006D5AF0"/>
    <w:rsid w:val="006D5B90"/>
    <w:rsid w:val="006D5D80"/>
    <w:rsid w:val="006D5D81"/>
    <w:rsid w:val="006D5D9C"/>
    <w:rsid w:val="006D5E86"/>
    <w:rsid w:val="006D5E9B"/>
    <w:rsid w:val="006D5EA9"/>
    <w:rsid w:val="006D5EB4"/>
    <w:rsid w:val="006D5F3C"/>
    <w:rsid w:val="006D60B7"/>
    <w:rsid w:val="006D60C6"/>
    <w:rsid w:val="006D6200"/>
    <w:rsid w:val="006D621A"/>
    <w:rsid w:val="006D62F6"/>
    <w:rsid w:val="006D647A"/>
    <w:rsid w:val="006D657B"/>
    <w:rsid w:val="006D65B7"/>
    <w:rsid w:val="006D68F3"/>
    <w:rsid w:val="006D6956"/>
    <w:rsid w:val="006D6965"/>
    <w:rsid w:val="006D6982"/>
    <w:rsid w:val="006D6987"/>
    <w:rsid w:val="006D69DA"/>
    <w:rsid w:val="006D6A28"/>
    <w:rsid w:val="006D6A8E"/>
    <w:rsid w:val="006D6BA5"/>
    <w:rsid w:val="006D6BA7"/>
    <w:rsid w:val="006D6D4F"/>
    <w:rsid w:val="006D6E2C"/>
    <w:rsid w:val="006D6EE7"/>
    <w:rsid w:val="006D70F1"/>
    <w:rsid w:val="006D717A"/>
    <w:rsid w:val="006D71FC"/>
    <w:rsid w:val="006D731A"/>
    <w:rsid w:val="006D7421"/>
    <w:rsid w:val="006D7474"/>
    <w:rsid w:val="006D748B"/>
    <w:rsid w:val="006D74AF"/>
    <w:rsid w:val="006D7601"/>
    <w:rsid w:val="006D7622"/>
    <w:rsid w:val="006D7659"/>
    <w:rsid w:val="006D76E4"/>
    <w:rsid w:val="006D7719"/>
    <w:rsid w:val="006D77B7"/>
    <w:rsid w:val="006D7834"/>
    <w:rsid w:val="006D78D5"/>
    <w:rsid w:val="006D79E8"/>
    <w:rsid w:val="006D7C17"/>
    <w:rsid w:val="006D7C2C"/>
    <w:rsid w:val="006D7C75"/>
    <w:rsid w:val="006D7D43"/>
    <w:rsid w:val="006D7D72"/>
    <w:rsid w:val="006D7D8B"/>
    <w:rsid w:val="006D7EFE"/>
    <w:rsid w:val="006D7F85"/>
    <w:rsid w:val="006D7FD1"/>
    <w:rsid w:val="006E0018"/>
    <w:rsid w:val="006E004A"/>
    <w:rsid w:val="006E01CB"/>
    <w:rsid w:val="006E025F"/>
    <w:rsid w:val="006E03FA"/>
    <w:rsid w:val="006E0575"/>
    <w:rsid w:val="006E05CD"/>
    <w:rsid w:val="006E05DE"/>
    <w:rsid w:val="006E06B1"/>
    <w:rsid w:val="006E06CD"/>
    <w:rsid w:val="006E074B"/>
    <w:rsid w:val="006E07E5"/>
    <w:rsid w:val="006E0957"/>
    <w:rsid w:val="006E09D9"/>
    <w:rsid w:val="006E0A15"/>
    <w:rsid w:val="006E0B2F"/>
    <w:rsid w:val="006E0C47"/>
    <w:rsid w:val="006E0DC0"/>
    <w:rsid w:val="006E0E06"/>
    <w:rsid w:val="006E0E20"/>
    <w:rsid w:val="006E0E30"/>
    <w:rsid w:val="006E0E75"/>
    <w:rsid w:val="006E0F31"/>
    <w:rsid w:val="006E0FB2"/>
    <w:rsid w:val="006E1039"/>
    <w:rsid w:val="006E10FF"/>
    <w:rsid w:val="006E1187"/>
    <w:rsid w:val="006E11A8"/>
    <w:rsid w:val="006E129F"/>
    <w:rsid w:val="006E1445"/>
    <w:rsid w:val="006E14A1"/>
    <w:rsid w:val="006E14AC"/>
    <w:rsid w:val="006E151D"/>
    <w:rsid w:val="006E1783"/>
    <w:rsid w:val="006E180D"/>
    <w:rsid w:val="006E192A"/>
    <w:rsid w:val="006E1993"/>
    <w:rsid w:val="006E19EA"/>
    <w:rsid w:val="006E1A15"/>
    <w:rsid w:val="006E1B29"/>
    <w:rsid w:val="006E1BCE"/>
    <w:rsid w:val="006E1C41"/>
    <w:rsid w:val="006E1CEC"/>
    <w:rsid w:val="006E1CF7"/>
    <w:rsid w:val="006E1D3C"/>
    <w:rsid w:val="006E1FA0"/>
    <w:rsid w:val="006E20B8"/>
    <w:rsid w:val="006E2103"/>
    <w:rsid w:val="006E21F3"/>
    <w:rsid w:val="006E2307"/>
    <w:rsid w:val="006E2476"/>
    <w:rsid w:val="006E26B9"/>
    <w:rsid w:val="006E26F9"/>
    <w:rsid w:val="006E2767"/>
    <w:rsid w:val="006E2AA0"/>
    <w:rsid w:val="006E2CC2"/>
    <w:rsid w:val="006E308A"/>
    <w:rsid w:val="006E30EC"/>
    <w:rsid w:val="006E3182"/>
    <w:rsid w:val="006E3307"/>
    <w:rsid w:val="006E3314"/>
    <w:rsid w:val="006E3388"/>
    <w:rsid w:val="006E33DF"/>
    <w:rsid w:val="006E3435"/>
    <w:rsid w:val="006E3563"/>
    <w:rsid w:val="006E3609"/>
    <w:rsid w:val="006E3681"/>
    <w:rsid w:val="006E3737"/>
    <w:rsid w:val="006E3797"/>
    <w:rsid w:val="006E383C"/>
    <w:rsid w:val="006E3876"/>
    <w:rsid w:val="006E394F"/>
    <w:rsid w:val="006E3A19"/>
    <w:rsid w:val="006E3A9D"/>
    <w:rsid w:val="006E3B68"/>
    <w:rsid w:val="006E3BB4"/>
    <w:rsid w:val="006E3C02"/>
    <w:rsid w:val="006E3C06"/>
    <w:rsid w:val="006E3D24"/>
    <w:rsid w:val="006E3D3A"/>
    <w:rsid w:val="006E3DA5"/>
    <w:rsid w:val="006E3E70"/>
    <w:rsid w:val="006E3E86"/>
    <w:rsid w:val="006E3E97"/>
    <w:rsid w:val="006E3EFF"/>
    <w:rsid w:val="006E3FDB"/>
    <w:rsid w:val="006E40A3"/>
    <w:rsid w:val="006E4196"/>
    <w:rsid w:val="006E429D"/>
    <w:rsid w:val="006E432F"/>
    <w:rsid w:val="006E4510"/>
    <w:rsid w:val="006E4657"/>
    <w:rsid w:val="006E472C"/>
    <w:rsid w:val="006E48A7"/>
    <w:rsid w:val="006E4B7B"/>
    <w:rsid w:val="006E4BEE"/>
    <w:rsid w:val="006E4C17"/>
    <w:rsid w:val="006E4DAD"/>
    <w:rsid w:val="006E4ED7"/>
    <w:rsid w:val="006E4F0B"/>
    <w:rsid w:val="006E4F2E"/>
    <w:rsid w:val="006E4F6D"/>
    <w:rsid w:val="006E50F5"/>
    <w:rsid w:val="006E5108"/>
    <w:rsid w:val="006E5249"/>
    <w:rsid w:val="006E52C8"/>
    <w:rsid w:val="006E540B"/>
    <w:rsid w:val="006E5416"/>
    <w:rsid w:val="006E565B"/>
    <w:rsid w:val="006E5736"/>
    <w:rsid w:val="006E589A"/>
    <w:rsid w:val="006E5988"/>
    <w:rsid w:val="006E5B70"/>
    <w:rsid w:val="006E5C78"/>
    <w:rsid w:val="006E5D3B"/>
    <w:rsid w:val="006E5D69"/>
    <w:rsid w:val="006E5DFC"/>
    <w:rsid w:val="006E5E41"/>
    <w:rsid w:val="006E602A"/>
    <w:rsid w:val="006E6182"/>
    <w:rsid w:val="006E61EF"/>
    <w:rsid w:val="006E6208"/>
    <w:rsid w:val="006E6295"/>
    <w:rsid w:val="006E62FB"/>
    <w:rsid w:val="006E645E"/>
    <w:rsid w:val="006E6497"/>
    <w:rsid w:val="006E67FB"/>
    <w:rsid w:val="006E6944"/>
    <w:rsid w:val="006E69A4"/>
    <w:rsid w:val="006E6A6B"/>
    <w:rsid w:val="006E6BB0"/>
    <w:rsid w:val="006E6BD2"/>
    <w:rsid w:val="006E6C60"/>
    <w:rsid w:val="006E6C79"/>
    <w:rsid w:val="006E6CDA"/>
    <w:rsid w:val="006E6D87"/>
    <w:rsid w:val="006E6DAF"/>
    <w:rsid w:val="006E6FE9"/>
    <w:rsid w:val="006E7043"/>
    <w:rsid w:val="006E71D0"/>
    <w:rsid w:val="006E7430"/>
    <w:rsid w:val="006E7490"/>
    <w:rsid w:val="006E74F1"/>
    <w:rsid w:val="006E754B"/>
    <w:rsid w:val="006E7594"/>
    <w:rsid w:val="006E75F6"/>
    <w:rsid w:val="006E769A"/>
    <w:rsid w:val="006E7725"/>
    <w:rsid w:val="006E7747"/>
    <w:rsid w:val="006E776B"/>
    <w:rsid w:val="006E79E4"/>
    <w:rsid w:val="006E7A01"/>
    <w:rsid w:val="006E7AAC"/>
    <w:rsid w:val="006E7C25"/>
    <w:rsid w:val="006E7D82"/>
    <w:rsid w:val="006E7F8E"/>
    <w:rsid w:val="006E7FF2"/>
    <w:rsid w:val="006F0052"/>
    <w:rsid w:val="006F0075"/>
    <w:rsid w:val="006F00AE"/>
    <w:rsid w:val="006F0121"/>
    <w:rsid w:val="006F02AD"/>
    <w:rsid w:val="006F02FB"/>
    <w:rsid w:val="006F03B7"/>
    <w:rsid w:val="006F0430"/>
    <w:rsid w:val="006F044B"/>
    <w:rsid w:val="006F046C"/>
    <w:rsid w:val="006F04FC"/>
    <w:rsid w:val="006F0525"/>
    <w:rsid w:val="006F05FB"/>
    <w:rsid w:val="006F067A"/>
    <w:rsid w:val="006F0722"/>
    <w:rsid w:val="006F07F1"/>
    <w:rsid w:val="006F0816"/>
    <w:rsid w:val="006F0855"/>
    <w:rsid w:val="006F0880"/>
    <w:rsid w:val="006F0917"/>
    <w:rsid w:val="006F0A86"/>
    <w:rsid w:val="006F0ADE"/>
    <w:rsid w:val="006F0C56"/>
    <w:rsid w:val="006F0C8B"/>
    <w:rsid w:val="006F0D25"/>
    <w:rsid w:val="006F0E86"/>
    <w:rsid w:val="006F0FDC"/>
    <w:rsid w:val="006F122B"/>
    <w:rsid w:val="006F1419"/>
    <w:rsid w:val="006F15A3"/>
    <w:rsid w:val="006F15AD"/>
    <w:rsid w:val="006F1626"/>
    <w:rsid w:val="006F1664"/>
    <w:rsid w:val="006F16ED"/>
    <w:rsid w:val="006F17DE"/>
    <w:rsid w:val="006F1803"/>
    <w:rsid w:val="006F1804"/>
    <w:rsid w:val="006F1847"/>
    <w:rsid w:val="006F189E"/>
    <w:rsid w:val="006F19D1"/>
    <w:rsid w:val="006F19D3"/>
    <w:rsid w:val="006F1A7C"/>
    <w:rsid w:val="006F1B71"/>
    <w:rsid w:val="006F1BC3"/>
    <w:rsid w:val="006F1C3E"/>
    <w:rsid w:val="006F1C76"/>
    <w:rsid w:val="006F1D3A"/>
    <w:rsid w:val="006F1DCA"/>
    <w:rsid w:val="006F1E1F"/>
    <w:rsid w:val="006F1E9F"/>
    <w:rsid w:val="006F2010"/>
    <w:rsid w:val="006F2354"/>
    <w:rsid w:val="006F2358"/>
    <w:rsid w:val="006F23D9"/>
    <w:rsid w:val="006F23DB"/>
    <w:rsid w:val="006F266C"/>
    <w:rsid w:val="006F266F"/>
    <w:rsid w:val="006F269D"/>
    <w:rsid w:val="006F2726"/>
    <w:rsid w:val="006F2857"/>
    <w:rsid w:val="006F287E"/>
    <w:rsid w:val="006F2920"/>
    <w:rsid w:val="006F29C2"/>
    <w:rsid w:val="006F2B0F"/>
    <w:rsid w:val="006F2B45"/>
    <w:rsid w:val="006F2B69"/>
    <w:rsid w:val="006F2D33"/>
    <w:rsid w:val="006F2D3E"/>
    <w:rsid w:val="006F2ECB"/>
    <w:rsid w:val="006F2ED3"/>
    <w:rsid w:val="006F2EF8"/>
    <w:rsid w:val="006F31D5"/>
    <w:rsid w:val="006F3204"/>
    <w:rsid w:val="006F331B"/>
    <w:rsid w:val="006F3368"/>
    <w:rsid w:val="006F3578"/>
    <w:rsid w:val="006F3583"/>
    <w:rsid w:val="006F3592"/>
    <w:rsid w:val="006F3651"/>
    <w:rsid w:val="006F3687"/>
    <w:rsid w:val="006F36BF"/>
    <w:rsid w:val="006F3961"/>
    <w:rsid w:val="006F3A53"/>
    <w:rsid w:val="006F3A54"/>
    <w:rsid w:val="006F3BB3"/>
    <w:rsid w:val="006F3C24"/>
    <w:rsid w:val="006F3D13"/>
    <w:rsid w:val="006F3E02"/>
    <w:rsid w:val="006F3E0F"/>
    <w:rsid w:val="006F3F05"/>
    <w:rsid w:val="006F3FCB"/>
    <w:rsid w:val="006F4306"/>
    <w:rsid w:val="006F43BD"/>
    <w:rsid w:val="006F441C"/>
    <w:rsid w:val="006F44B5"/>
    <w:rsid w:val="006F44DF"/>
    <w:rsid w:val="006F44ED"/>
    <w:rsid w:val="006F456E"/>
    <w:rsid w:val="006F45E1"/>
    <w:rsid w:val="006F46A0"/>
    <w:rsid w:val="006F4705"/>
    <w:rsid w:val="006F476F"/>
    <w:rsid w:val="006F47D2"/>
    <w:rsid w:val="006F47F0"/>
    <w:rsid w:val="006F481C"/>
    <w:rsid w:val="006F486E"/>
    <w:rsid w:val="006F4905"/>
    <w:rsid w:val="006F4A86"/>
    <w:rsid w:val="006F4C43"/>
    <w:rsid w:val="006F4C9B"/>
    <w:rsid w:val="006F4CA6"/>
    <w:rsid w:val="006F4D1D"/>
    <w:rsid w:val="006F4D6D"/>
    <w:rsid w:val="006F4DE4"/>
    <w:rsid w:val="006F4EF6"/>
    <w:rsid w:val="006F4FE5"/>
    <w:rsid w:val="006F503E"/>
    <w:rsid w:val="006F51DB"/>
    <w:rsid w:val="006F5204"/>
    <w:rsid w:val="006F5357"/>
    <w:rsid w:val="006F5466"/>
    <w:rsid w:val="006F547A"/>
    <w:rsid w:val="006F55C4"/>
    <w:rsid w:val="006F55D3"/>
    <w:rsid w:val="006F55F9"/>
    <w:rsid w:val="006F56DF"/>
    <w:rsid w:val="006F5746"/>
    <w:rsid w:val="006F57A6"/>
    <w:rsid w:val="006F5813"/>
    <w:rsid w:val="006F5AE4"/>
    <w:rsid w:val="006F5B67"/>
    <w:rsid w:val="006F5B84"/>
    <w:rsid w:val="006F5B85"/>
    <w:rsid w:val="006F5B9B"/>
    <w:rsid w:val="006F5B9E"/>
    <w:rsid w:val="006F5CFC"/>
    <w:rsid w:val="006F5E5C"/>
    <w:rsid w:val="006F5F0C"/>
    <w:rsid w:val="006F5F70"/>
    <w:rsid w:val="006F6150"/>
    <w:rsid w:val="006F625B"/>
    <w:rsid w:val="006F62F0"/>
    <w:rsid w:val="006F62F8"/>
    <w:rsid w:val="006F63D6"/>
    <w:rsid w:val="006F63EF"/>
    <w:rsid w:val="006F63FA"/>
    <w:rsid w:val="006F64EE"/>
    <w:rsid w:val="006F65DE"/>
    <w:rsid w:val="006F6664"/>
    <w:rsid w:val="006F66EB"/>
    <w:rsid w:val="006F687A"/>
    <w:rsid w:val="006F6A32"/>
    <w:rsid w:val="006F6A50"/>
    <w:rsid w:val="006F6ABA"/>
    <w:rsid w:val="006F6B75"/>
    <w:rsid w:val="006F6BC1"/>
    <w:rsid w:val="006F6D75"/>
    <w:rsid w:val="006F6DC0"/>
    <w:rsid w:val="006F6E1E"/>
    <w:rsid w:val="006F6ECE"/>
    <w:rsid w:val="006F6F39"/>
    <w:rsid w:val="006F6F51"/>
    <w:rsid w:val="006F6F8E"/>
    <w:rsid w:val="006F6FB3"/>
    <w:rsid w:val="006F6FED"/>
    <w:rsid w:val="006F7133"/>
    <w:rsid w:val="006F718A"/>
    <w:rsid w:val="006F791F"/>
    <w:rsid w:val="006F7938"/>
    <w:rsid w:val="006F7987"/>
    <w:rsid w:val="006F7B8D"/>
    <w:rsid w:val="006F7B92"/>
    <w:rsid w:val="006F7C30"/>
    <w:rsid w:val="006F7C6B"/>
    <w:rsid w:val="006F7C93"/>
    <w:rsid w:val="006F7D32"/>
    <w:rsid w:val="006F7E1C"/>
    <w:rsid w:val="006F7E60"/>
    <w:rsid w:val="006F7E87"/>
    <w:rsid w:val="006F7F76"/>
    <w:rsid w:val="006F7FA7"/>
    <w:rsid w:val="006F7FA9"/>
    <w:rsid w:val="007000CC"/>
    <w:rsid w:val="00700206"/>
    <w:rsid w:val="007003D9"/>
    <w:rsid w:val="007008D4"/>
    <w:rsid w:val="00700960"/>
    <w:rsid w:val="00700A8A"/>
    <w:rsid w:val="00700AFB"/>
    <w:rsid w:val="00700CD2"/>
    <w:rsid w:val="00700E74"/>
    <w:rsid w:val="00700E7B"/>
    <w:rsid w:val="00700F5B"/>
    <w:rsid w:val="00700F84"/>
    <w:rsid w:val="0070104B"/>
    <w:rsid w:val="007010B0"/>
    <w:rsid w:val="007010F7"/>
    <w:rsid w:val="0070127F"/>
    <w:rsid w:val="007012E8"/>
    <w:rsid w:val="00701455"/>
    <w:rsid w:val="00701488"/>
    <w:rsid w:val="007014E3"/>
    <w:rsid w:val="00701501"/>
    <w:rsid w:val="00701563"/>
    <w:rsid w:val="007015E2"/>
    <w:rsid w:val="0070161C"/>
    <w:rsid w:val="00701725"/>
    <w:rsid w:val="00701B02"/>
    <w:rsid w:val="00701BE0"/>
    <w:rsid w:val="00701C3F"/>
    <w:rsid w:val="00701D6B"/>
    <w:rsid w:val="00701DE6"/>
    <w:rsid w:val="00701F27"/>
    <w:rsid w:val="00701FD5"/>
    <w:rsid w:val="007020DA"/>
    <w:rsid w:val="007021A3"/>
    <w:rsid w:val="00702378"/>
    <w:rsid w:val="00702589"/>
    <w:rsid w:val="007025B0"/>
    <w:rsid w:val="007025B6"/>
    <w:rsid w:val="007025EC"/>
    <w:rsid w:val="00702691"/>
    <w:rsid w:val="007026AE"/>
    <w:rsid w:val="007026B1"/>
    <w:rsid w:val="007026E0"/>
    <w:rsid w:val="007027B5"/>
    <w:rsid w:val="00702837"/>
    <w:rsid w:val="00702850"/>
    <w:rsid w:val="00702864"/>
    <w:rsid w:val="007028C9"/>
    <w:rsid w:val="0070298D"/>
    <w:rsid w:val="007029CC"/>
    <w:rsid w:val="00702A33"/>
    <w:rsid w:val="00702BA9"/>
    <w:rsid w:val="00702BC2"/>
    <w:rsid w:val="00702CC2"/>
    <w:rsid w:val="00702DAE"/>
    <w:rsid w:val="00702E21"/>
    <w:rsid w:val="00702E62"/>
    <w:rsid w:val="00702F5E"/>
    <w:rsid w:val="00702FA6"/>
    <w:rsid w:val="00702FEE"/>
    <w:rsid w:val="00703052"/>
    <w:rsid w:val="007030CF"/>
    <w:rsid w:val="007031C5"/>
    <w:rsid w:val="007031F0"/>
    <w:rsid w:val="00703371"/>
    <w:rsid w:val="007035F2"/>
    <w:rsid w:val="007036A5"/>
    <w:rsid w:val="007036D9"/>
    <w:rsid w:val="007037E4"/>
    <w:rsid w:val="00703877"/>
    <w:rsid w:val="00703948"/>
    <w:rsid w:val="00703A31"/>
    <w:rsid w:val="00703AC1"/>
    <w:rsid w:val="00703B92"/>
    <w:rsid w:val="00703C1B"/>
    <w:rsid w:val="00703C1C"/>
    <w:rsid w:val="00703E61"/>
    <w:rsid w:val="00703F04"/>
    <w:rsid w:val="00703F67"/>
    <w:rsid w:val="00704192"/>
    <w:rsid w:val="007041BB"/>
    <w:rsid w:val="00704232"/>
    <w:rsid w:val="00704249"/>
    <w:rsid w:val="0070447E"/>
    <w:rsid w:val="00704491"/>
    <w:rsid w:val="007044E3"/>
    <w:rsid w:val="0070453E"/>
    <w:rsid w:val="007045CF"/>
    <w:rsid w:val="007047A4"/>
    <w:rsid w:val="007047BF"/>
    <w:rsid w:val="0070488F"/>
    <w:rsid w:val="0070489B"/>
    <w:rsid w:val="007048A0"/>
    <w:rsid w:val="007048C5"/>
    <w:rsid w:val="007049AA"/>
    <w:rsid w:val="00704B30"/>
    <w:rsid w:val="00704BA1"/>
    <w:rsid w:val="00704D33"/>
    <w:rsid w:val="00704D34"/>
    <w:rsid w:val="00704E70"/>
    <w:rsid w:val="00704F50"/>
    <w:rsid w:val="00705037"/>
    <w:rsid w:val="0070505A"/>
    <w:rsid w:val="00705145"/>
    <w:rsid w:val="00705162"/>
    <w:rsid w:val="007053A5"/>
    <w:rsid w:val="007054A6"/>
    <w:rsid w:val="00705525"/>
    <w:rsid w:val="0070554B"/>
    <w:rsid w:val="007055E9"/>
    <w:rsid w:val="00705733"/>
    <w:rsid w:val="0070576F"/>
    <w:rsid w:val="00705824"/>
    <w:rsid w:val="0070587F"/>
    <w:rsid w:val="007058BC"/>
    <w:rsid w:val="007059CF"/>
    <w:rsid w:val="007059F3"/>
    <w:rsid w:val="00705BD8"/>
    <w:rsid w:val="00705C4A"/>
    <w:rsid w:val="00705D25"/>
    <w:rsid w:val="00705D84"/>
    <w:rsid w:val="00705DCD"/>
    <w:rsid w:val="00705E2E"/>
    <w:rsid w:val="00705F14"/>
    <w:rsid w:val="00706081"/>
    <w:rsid w:val="00706204"/>
    <w:rsid w:val="0070639A"/>
    <w:rsid w:val="00706804"/>
    <w:rsid w:val="0070682E"/>
    <w:rsid w:val="0070685A"/>
    <w:rsid w:val="00706939"/>
    <w:rsid w:val="00706963"/>
    <w:rsid w:val="007069BC"/>
    <w:rsid w:val="00706ADC"/>
    <w:rsid w:val="00706BD2"/>
    <w:rsid w:val="00706C67"/>
    <w:rsid w:val="00706CAA"/>
    <w:rsid w:val="00706E50"/>
    <w:rsid w:val="00706F7B"/>
    <w:rsid w:val="00706F99"/>
    <w:rsid w:val="00707063"/>
    <w:rsid w:val="00707075"/>
    <w:rsid w:val="0070708B"/>
    <w:rsid w:val="00707181"/>
    <w:rsid w:val="007074F7"/>
    <w:rsid w:val="007075D9"/>
    <w:rsid w:val="007075DE"/>
    <w:rsid w:val="007078A3"/>
    <w:rsid w:val="0070798A"/>
    <w:rsid w:val="00707A5E"/>
    <w:rsid w:val="00707A8E"/>
    <w:rsid w:val="00707A9C"/>
    <w:rsid w:val="00707B9B"/>
    <w:rsid w:val="00707C9F"/>
    <w:rsid w:val="00707CC9"/>
    <w:rsid w:val="00707DD9"/>
    <w:rsid w:val="00707E92"/>
    <w:rsid w:val="00707F61"/>
    <w:rsid w:val="00707F6B"/>
    <w:rsid w:val="00710193"/>
    <w:rsid w:val="007103EF"/>
    <w:rsid w:val="0071040D"/>
    <w:rsid w:val="00710478"/>
    <w:rsid w:val="00710526"/>
    <w:rsid w:val="00710533"/>
    <w:rsid w:val="0071056D"/>
    <w:rsid w:val="00710614"/>
    <w:rsid w:val="00710713"/>
    <w:rsid w:val="0071071B"/>
    <w:rsid w:val="0071072C"/>
    <w:rsid w:val="0071078E"/>
    <w:rsid w:val="00710903"/>
    <w:rsid w:val="00710912"/>
    <w:rsid w:val="00710ACD"/>
    <w:rsid w:val="00710B34"/>
    <w:rsid w:val="00710BF3"/>
    <w:rsid w:val="00710C0E"/>
    <w:rsid w:val="00710C33"/>
    <w:rsid w:val="00710CD0"/>
    <w:rsid w:val="00710D93"/>
    <w:rsid w:val="00710DDE"/>
    <w:rsid w:val="00711295"/>
    <w:rsid w:val="00711530"/>
    <w:rsid w:val="00711597"/>
    <w:rsid w:val="007115DE"/>
    <w:rsid w:val="007117A4"/>
    <w:rsid w:val="0071185B"/>
    <w:rsid w:val="00711974"/>
    <w:rsid w:val="00711A8B"/>
    <w:rsid w:val="00711AD7"/>
    <w:rsid w:val="00711C22"/>
    <w:rsid w:val="00711D63"/>
    <w:rsid w:val="00711EC7"/>
    <w:rsid w:val="00711F84"/>
    <w:rsid w:val="00711FCA"/>
    <w:rsid w:val="00711FE5"/>
    <w:rsid w:val="007120E4"/>
    <w:rsid w:val="007121CE"/>
    <w:rsid w:val="007121E8"/>
    <w:rsid w:val="00712212"/>
    <w:rsid w:val="00712256"/>
    <w:rsid w:val="00712281"/>
    <w:rsid w:val="007122C8"/>
    <w:rsid w:val="007122F5"/>
    <w:rsid w:val="0071236F"/>
    <w:rsid w:val="007123AF"/>
    <w:rsid w:val="0071240A"/>
    <w:rsid w:val="0071245F"/>
    <w:rsid w:val="007124F2"/>
    <w:rsid w:val="007126A3"/>
    <w:rsid w:val="007127BA"/>
    <w:rsid w:val="00712818"/>
    <w:rsid w:val="007128B1"/>
    <w:rsid w:val="007128D2"/>
    <w:rsid w:val="007129CA"/>
    <w:rsid w:val="00712ACC"/>
    <w:rsid w:val="00712BBC"/>
    <w:rsid w:val="00712C07"/>
    <w:rsid w:val="00712C5D"/>
    <w:rsid w:val="00712CFB"/>
    <w:rsid w:val="00712E5C"/>
    <w:rsid w:val="00712E83"/>
    <w:rsid w:val="00712F75"/>
    <w:rsid w:val="00712FC2"/>
    <w:rsid w:val="00712FCA"/>
    <w:rsid w:val="00712FF9"/>
    <w:rsid w:val="00713156"/>
    <w:rsid w:val="00713162"/>
    <w:rsid w:val="00713414"/>
    <w:rsid w:val="0071342F"/>
    <w:rsid w:val="00713442"/>
    <w:rsid w:val="0071365D"/>
    <w:rsid w:val="00713661"/>
    <w:rsid w:val="00713700"/>
    <w:rsid w:val="00713704"/>
    <w:rsid w:val="0071374B"/>
    <w:rsid w:val="00713771"/>
    <w:rsid w:val="00713788"/>
    <w:rsid w:val="007138C0"/>
    <w:rsid w:val="00713995"/>
    <w:rsid w:val="007139E0"/>
    <w:rsid w:val="00713A36"/>
    <w:rsid w:val="00713AE7"/>
    <w:rsid w:val="00713B80"/>
    <w:rsid w:val="00713BAD"/>
    <w:rsid w:val="00713BF4"/>
    <w:rsid w:val="00713E1E"/>
    <w:rsid w:val="00713EB7"/>
    <w:rsid w:val="00713ED9"/>
    <w:rsid w:val="00713F5A"/>
    <w:rsid w:val="00713FB4"/>
    <w:rsid w:val="00714012"/>
    <w:rsid w:val="007140E6"/>
    <w:rsid w:val="00714165"/>
    <w:rsid w:val="0071425B"/>
    <w:rsid w:val="007142D3"/>
    <w:rsid w:val="00714369"/>
    <w:rsid w:val="007143CF"/>
    <w:rsid w:val="007143D1"/>
    <w:rsid w:val="007144A0"/>
    <w:rsid w:val="007144DF"/>
    <w:rsid w:val="0071458E"/>
    <w:rsid w:val="007145A3"/>
    <w:rsid w:val="007146A3"/>
    <w:rsid w:val="007146E1"/>
    <w:rsid w:val="0071474E"/>
    <w:rsid w:val="00714796"/>
    <w:rsid w:val="00714847"/>
    <w:rsid w:val="00714933"/>
    <w:rsid w:val="0071494F"/>
    <w:rsid w:val="007149CE"/>
    <w:rsid w:val="00714B64"/>
    <w:rsid w:val="00714C50"/>
    <w:rsid w:val="00714C88"/>
    <w:rsid w:val="00714D35"/>
    <w:rsid w:val="00714DC2"/>
    <w:rsid w:val="00714F57"/>
    <w:rsid w:val="00714FF8"/>
    <w:rsid w:val="0071507A"/>
    <w:rsid w:val="007150EB"/>
    <w:rsid w:val="00715195"/>
    <w:rsid w:val="00715282"/>
    <w:rsid w:val="0071528A"/>
    <w:rsid w:val="007152A5"/>
    <w:rsid w:val="007152EA"/>
    <w:rsid w:val="0071534F"/>
    <w:rsid w:val="007153BE"/>
    <w:rsid w:val="007153F3"/>
    <w:rsid w:val="007154A4"/>
    <w:rsid w:val="00715542"/>
    <w:rsid w:val="00715647"/>
    <w:rsid w:val="00715663"/>
    <w:rsid w:val="00715693"/>
    <w:rsid w:val="0071570B"/>
    <w:rsid w:val="0071581C"/>
    <w:rsid w:val="007158E5"/>
    <w:rsid w:val="007158FF"/>
    <w:rsid w:val="00715996"/>
    <w:rsid w:val="00715A28"/>
    <w:rsid w:val="00715B2E"/>
    <w:rsid w:val="00715BCC"/>
    <w:rsid w:val="00715D15"/>
    <w:rsid w:val="00715D17"/>
    <w:rsid w:val="00715D1F"/>
    <w:rsid w:val="00715E0B"/>
    <w:rsid w:val="00715E0D"/>
    <w:rsid w:val="00715E74"/>
    <w:rsid w:val="007160BB"/>
    <w:rsid w:val="007161B4"/>
    <w:rsid w:val="0071628F"/>
    <w:rsid w:val="0071637F"/>
    <w:rsid w:val="00716408"/>
    <w:rsid w:val="007164F3"/>
    <w:rsid w:val="00716522"/>
    <w:rsid w:val="007165CB"/>
    <w:rsid w:val="007166F2"/>
    <w:rsid w:val="007168E5"/>
    <w:rsid w:val="0071693D"/>
    <w:rsid w:val="0071697D"/>
    <w:rsid w:val="00716A65"/>
    <w:rsid w:val="00716AC4"/>
    <w:rsid w:val="00716BD6"/>
    <w:rsid w:val="00716C19"/>
    <w:rsid w:val="00716CC4"/>
    <w:rsid w:val="00716E69"/>
    <w:rsid w:val="00716EFF"/>
    <w:rsid w:val="00716F7F"/>
    <w:rsid w:val="00716FCC"/>
    <w:rsid w:val="00717096"/>
    <w:rsid w:val="007173DB"/>
    <w:rsid w:val="00717401"/>
    <w:rsid w:val="0071757F"/>
    <w:rsid w:val="00717632"/>
    <w:rsid w:val="00717717"/>
    <w:rsid w:val="00717900"/>
    <w:rsid w:val="007179A0"/>
    <w:rsid w:val="007179B9"/>
    <w:rsid w:val="00717D22"/>
    <w:rsid w:val="0072040F"/>
    <w:rsid w:val="00720427"/>
    <w:rsid w:val="0072043E"/>
    <w:rsid w:val="00720444"/>
    <w:rsid w:val="0072046A"/>
    <w:rsid w:val="007205F0"/>
    <w:rsid w:val="00720623"/>
    <w:rsid w:val="007206B1"/>
    <w:rsid w:val="00720798"/>
    <w:rsid w:val="007207E8"/>
    <w:rsid w:val="00720836"/>
    <w:rsid w:val="00720B15"/>
    <w:rsid w:val="00720C5A"/>
    <w:rsid w:val="00720C8F"/>
    <w:rsid w:val="00720CE7"/>
    <w:rsid w:val="00720D21"/>
    <w:rsid w:val="00720D87"/>
    <w:rsid w:val="00720DCE"/>
    <w:rsid w:val="00720DE3"/>
    <w:rsid w:val="00720ECE"/>
    <w:rsid w:val="00720FA7"/>
    <w:rsid w:val="00721037"/>
    <w:rsid w:val="00721056"/>
    <w:rsid w:val="007210E0"/>
    <w:rsid w:val="007211A2"/>
    <w:rsid w:val="007211BB"/>
    <w:rsid w:val="00721202"/>
    <w:rsid w:val="00721345"/>
    <w:rsid w:val="00721360"/>
    <w:rsid w:val="007213B5"/>
    <w:rsid w:val="00721441"/>
    <w:rsid w:val="007214B4"/>
    <w:rsid w:val="007215C9"/>
    <w:rsid w:val="0072161D"/>
    <w:rsid w:val="00721696"/>
    <w:rsid w:val="0072180E"/>
    <w:rsid w:val="007218B4"/>
    <w:rsid w:val="007219F1"/>
    <w:rsid w:val="00721A99"/>
    <w:rsid w:val="00721B1E"/>
    <w:rsid w:val="00721C0A"/>
    <w:rsid w:val="00721C71"/>
    <w:rsid w:val="00721C87"/>
    <w:rsid w:val="00721D12"/>
    <w:rsid w:val="00721EA9"/>
    <w:rsid w:val="00721F41"/>
    <w:rsid w:val="0072208A"/>
    <w:rsid w:val="00722139"/>
    <w:rsid w:val="007221B3"/>
    <w:rsid w:val="00722220"/>
    <w:rsid w:val="0072227E"/>
    <w:rsid w:val="007222C9"/>
    <w:rsid w:val="007222DD"/>
    <w:rsid w:val="007222E2"/>
    <w:rsid w:val="007223FB"/>
    <w:rsid w:val="00722504"/>
    <w:rsid w:val="00722549"/>
    <w:rsid w:val="00722566"/>
    <w:rsid w:val="007226AF"/>
    <w:rsid w:val="007228B9"/>
    <w:rsid w:val="00722A0E"/>
    <w:rsid w:val="00722A1E"/>
    <w:rsid w:val="00722A8D"/>
    <w:rsid w:val="00722AEE"/>
    <w:rsid w:val="00722BEB"/>
    <w:rsid w:val="00722C0B"/>
    <w:rsid w:val="00722E90"/>
    <w:rsid w:val="00722FB2"/>
    <w:rsid w:val="007230AF"/>
    <w:rsid w:val="007230C6"/>
    <w:rsid w:val="007230E9"/>
    <w:rsid w:val="00723152"/>
    <w:rsid w:val="0072328D"/>
    <w:rsid w:val="007232C8"/>
    <w:rsid w:val="0072337D"/>
    <w:rsid w:val="007233DD"/>
    <w:rsid w:val="007233E7"/>
    <w:rsid w:val="00723549"/>
    <w:rsid w:val="007236A6"/>
    <w:rsid w:val="007236AD"/>
    <w:rsid w:val="00723861"/>
    <w:rsid w:val="00723A97"/>
    <w:rsid w:val="00723AE0"/>
    <w:rsid w:val="00723B3D"/>
    <w:rsid w:val="00723FA6"/>
    <w:rsid w:val="00724295"/>
    <w:rsid w:val="007242B6"/>
    <w:rsid w:val="00724335"/>
    <w:rsid w:val="0072437D"/>
    <w:rsid w:val="007245CA"/>
    <w:rsid w:val="007246F1"/>
    <w:rsid w:val="00724726"/>
    <w:rsid w:val="00724885"/>
    <w:rsid w:val="0072488F"/>
    <w:rsid w:val="007249B4"/>
    <w:rsid w:val="00724A51"/>
    <w:rsid w:val="00724A83"/>
    <w:rsid w:val="00724AB9"/>
    <w:rsid w:val="00724B2D"/>
    <w:rsid w:val="00724B4B"/>
    <w:rsid w:val="00724B8D"/>
    <w:rsid w:val="00724BF9"/>
    <w:rsid w:val="00724C3A"/>
    <w:rsid w:val="00724CF5"/>
    <w:rsid w:val="00724EDC"/>
    <w:rsid w:val="0072513F"/>
    <w:rsid w:val="0072519A"/>
    <w:rsid w:val="00725266"/>
    <w:rsid w:val="00725357"/>
    <w:rsid w:val="00725415"/>
    <w:rsid w:val="0072561B"/>
    <w:rsid w:val="00725655"/>
    <w:rsid w:val="00725820"/>
    <w:rsid w:val="00725892"/>
    <w:rsid w:val="00725921"/>
    <w:rsid w:val="007259FE"/>
    <w:rsid w:val="00726115"/>
    <w:rsid w:val="0072613C"/>
    <w:rsid w:val="0072626A"/>
    <w:rsid w:val="00726415"/>
    <w:rsid w:val="00726529"/>
    <w:rsid w:val="00726600"/>
    <w:rsid w:val="007267BD"/>
    <w:rsid w:val="00726819"/>
    <w:rsid w:val="00726834"/>
    <w:rsid w:val="00726977"/>
    <w:rsid w:val="00726AB2"/>
    <w:rsid w:val="00726B97"/>
    <w:rsid w:val="00726BDC"/>
    <w:rsid w:val="00726BE1"/>
    <w:rsid w:val="00726C98"/>
    <w:rsid w:val="00726D7C"/>
    <w:rsid w:val="00726DF8"/>
    <w:rsid w:val="00726E06"/>
    <w:rsid w:val="00726E59"/>
    <w:rsid w:val="00726EB8"/>
    <w:rsid w:val="0072707C"/>
    <w:rsid w:val="00727088"/>
    <w:rsid w:val="00727121"/>
    <w:rsid w:val="00727333"/>
    <w:rsid w:val="007273E6"/>
    <w:rsid w:val="0072745F"/>
    <w:rsid w:val="0072748F"/>
    <w:rsid w:val="007274B5"/>
    <w:rsid w:val="007274CB"/>
    <w:rsid w:val="0072751C"/>
    <w:rsid w:val="007276FC"/>
    <w:rsid w:val="00727707"/>
    <w:rsid w:val="00727A55"/>
    <w:rsid w:val="00727C1E"/>
    <w:rsid w:val="00727DEB"/>
    <w:rsid w:val="00730271"/>
    <w:rsid w:val="00730277"/>
    <w:rsid w:val="00730362"/>
    <w:rsid w:val="00730371"/>
    <w:rsid w:val="00730431"/>
    <w:rsid w:val="0073048F"/>
    <w:rsid w:val="00730660"/>
    <w:rsid w:val="007306FF"/>
    <w:rsid w:val="00730734"/>
    <w:rsid w:val="007307C3"/>
    <w:rsid w:val="007307E3"/>
    <w:rsid w:val="00730AD6"/>
    <w:rsid w:val="00730B5C"/>
    <w:rsid w:val="00730CA3"/>
    <w:rsid w:val="00730E49"/>
    <w:rsid w:val="00730F6E"/>
    <w:rsid w:val="00730F94"/>
    <w:rsid w:val="00731056"/>
    <w:rsid w:val="00731097"/>
    <w:rsid w:val="0073119D"/>
    <w:rsid w:val="007311D2"/>
    <w:rsid w:val="007312A2"/>
    <w:rsid w:val="00731398"/>
    <w:rsid w:val="00731513"/>
    <w:rsid w:val="007316E9"/>
    <w:rsid w:val="00731761"/>
    <w:rsid w:val="007317B4"/>
    <w:rsid w:val="00731A96"/>
    <w:rsid w:val="00731CC7"/>
    <w:rsid w:val="00731DA1"/>
    <w:rsid w:val="00731DCD"/>
    <w:rsid w:val="00731E6F"/>
    <w:rsid w:val="00731F0B"/>
    <w:rsid w:val="00731F2E"/>
    <w:rsid w:val="00731F46"/>
    <w:rsid w:val="00732038"/>
    <w:rsid w:val="00732052"/>
    <w:rsid w:val="00732059"/>
    <w:rsid w:val="00732106"/>
    <w:rsid w:val="00732215"/>
    <w:rsid w:val="0073225D"/>
    <w:rsid w:val="00732262"/>
    <w:rsid w:val="007322F4"/>
    <w:rsid w:val="00732452"/>
    <w:rsid w:val="00732580"/>
    <w:rsid w:val="00732726"/>
    <w:rsid w:val="00732771"/>
    <w:rsid w:val="007327F1"/>
    <w:rsid w:val="00732872"/>
    <w:rsid w:val="00732931"/>
    <w:rsid w:val="00732A73"/>
    <w:rsid w:val="00732B0D"/>
    <w:rsid w:val="00732B74"/>
    <w:rsid w:val="00732C24"/>
    <w:rsid w:val="00732C3C"/>
    <w:rsid w:val="00732D1F"/>
    <w:rsid w:val="00732F9A"/>
    <w:rsid w:val="00732FE9"/>
    <w:rsid w:val="007330A9"/>
    <w:rsid w:val="00733144"/>
    <w:rsid w:val="007331AF"/>
    <w:rsid w:val="00733217"/>
    <w:rsid w:val="0073329B"/>
    <w:rsid w:val="00733308"/>
    <w:rsid w:val="00733480"/>
    <w:rsid w:val="007334FF"/>
    <w:rsid w:val="007335CF"/>
    <w:rsid w:val="0073381F"/>
    <w:rsid w:val="00733A1E"/>
    <w:rsid w:val="00733ABF"/>
    <w:rsid w:val="00733BEA"/>
    <w:rsid w:val="00733C1F"/>
    <w:rsid w:val="00733C66"/>
    <w:rsid w:val="00733D89"/>
    <w:rsid w:val="00733DA0"/>
    <w:rsid w:val="00733DD5"/>
    <w:rsid w:val="00733DFA"/>
    <w:rsid w:val="00733E41"/>
    <w:rsid w:val="00733EDE"/>
    <w:rsid w:val="00733F94"/>
    <w:rsid w:val="007340FC"/>
    <w:rsid w:val="007341D6"/>
    <w:rsid w:val="007342C9"/>
    <w:rsid w:val="007343D9"/>
    <w:rsid w:val="007343E6"/>
    <w:rsid w:val="00734490"/>
    <w:rsid w:val="007344E7"/>
    <w:rsid w:val="007345B9"/>
    <w:rsid w:val="00734639"/>
    <w:rsid w:val="0073466E"/>
    <w:rsid w:val="00734919"/>
    <w:rsid w:val="00734927"/>
    <w:rsid w:val="00734A6D"/>
    <w:rsid w:val="00734A7B"/>
    <w:rsid w:val="00734AED"/>
    <w:rsid w:val="00734C27"/>
    <w:rsid w:val="00734C35"/>
    <w:rsid w:val="00734DAE"/>
    <w:rsid w:val="00734EAE"/>
    <w:rsid w:val="00735180"/>
    <w:rsid w:val="007351C5"/>
    <w:rsid w:val="00735370"/>
    <w:rsid w:val="007353C0"/>
    <w:rsid w:val="0073557F"/>
    <w:rsid w:val="007356DC"/>
    <w:rsid w:val="00735798"/>
    <w:rsid w:val="007357B7"/>
    <w:rsid w:val="0073581D"/>
    <w:rsid w:val="00735A09"/>
    <w:rsid w:val="00735B3D"/>
    <w:rsid w:val="00735BCD"/>
    <w:rsid w:val="00735D2D"/>
    <w:rsid w:val="00735DCE"/>
    <w:rsid w:val="00735FAC"/>
    <w:rsid w:val="00735FC6"/>
    <w:rsid w:val="00736006"/>
    <w:rsid w:val="00736036"/>
    <w:rsid w:val="007361C0"/>
    <w:rsid w:val="00736245"/>
    <w:rsid w:val="007362E7"/>
    <w:rsid w:val="00736307"/>
    <w:rsid w:val="007363C3"/>
    <w:rsid w:val="00736425"/>
    <w:rsid w:val="00736459"/>
    <w:rsid w:val="0073649F"/>
    <w:rsid w:val="007364E6"/>
    <w:rsid w:val="007366A0"/>
    <w:rsid w:val="007366A3"/>
    <w:rsid w:val="007366A7"/>
    <w:rsid w:val="007366F8"/>
    <w:rsid w:val="007367B8"/>
    <w:rsid w:val="00736805"/>
    <w:rsid w:val="00736870"/>
    <w:rsid w:val="0073687A"/>
    <w:rsid w:val="007369F6"/>
    <w:rsid w:val="00736A67"/>
    <w:rsid w:val="00736CDB"/>
    <w:rsid w:val="00736F5D"/>
    <w:rsid w:val="007370AD"/>
    <w:rsid w:val="00737120"/>
    <w:rsid w:val="0073717E"/>
    <w:rsid w:val="007371D4"/>
    <w:rsid w:val="007371EC"/>
    <w:rsid w:val="0073730B"/>
    <w:rsid w:val="007373B1"/>
    <w:rsid w:val="007373D5"/>
    <w:rsid w:val="007375D6"/>
    <w:rsid w:val="0073776F"/>
    <w:rsid w:val="007378A8"/>
    <w:rsid w:val="00737B50"/>
    <w:rsid w:val="00737C00"/>
    <w:rsid w:val="00737CA0"/>
    <w:rsid w:val="00737DD6"/>
    <w:rsid w:val="00737E14"/>
    <w:rsid w:val="00737E31"/>
    <w:rsid w:val="00737E40"/>
    <w:rsid w:val="00737FB5"/>
    <w:rsid w:val="00737FCE"/>
    <w:rsid w:val="0074007F"/>
    <w:rsid w:val="0074013C"/>
    <w:rsid w:val="00740207"/>
    <w:rsid w:val="00740369"/>
    <w:rsid w:val="007403BF"/>
    <w:rsid w:val="007403CD"/>
    <w:rsid w:val="007404CE"/>
    <w:rsid w:val="00740664"/>
    <w:rsid w:val="007407D3"/>
    <w:rsid w:val="00740842"/>
    <w:rsid w:val="00740881"/>
    <w:rsid w:val="00740958"/>
    <w:rsid w:val="00740972"/>
    <w:rsid w:val="007409D2"/>
    <w:rsid w:val="00740D5F"/>
    <w:rsid w:val="00740F98"/>
    <w:rsid w:val="00740FFD"/>
    <w:rsid w:val="007410B9"/>
    <w:rsid w:val="007410C0"/>
    <w:rsid w:val="00741186"/>
    <w:rsid w:val="007411DA"/>
    <w:rsid w:val="0074123E"/>
    <w:rsid w:val="007412D4"/>
    <w:rsid w:val="007412D5"/>
    <w:rsid w:val="007412F5"/>
    <w:rsid w:val="00741354"/>
    <w:rsid w:val="0074137E"/>
    <w:rsid w:val="00741401"/>
    <w:rsid w:val="007415AA"/>
    <w:rsid w:val="007415E7"/>
    <w:rsid w:val="007415EC"/>
    <w:rsid w:val="00741623"/>
    <w:rsid w:val="007417EC"/>
    <w:rsid w:val="00741861"/>
    <w:rsid w:val="00741897"/>
    <w:rsid w:val="00741900"/>
    <w:rsid w:val="007419D3"/>
    <w:rsid w:val="00741B82"/>
    <w:rsid w:val="00741BED"/>
    <w:rsid w:val="00741C53"/>
    <w:rsid w:val="00741D04"/>
    <w:rsid w:val="00741DC5"/>
    <w:rsid w:val="0074201A"/>
    <w:rsid w:val="00742218"/>
    <w:rsid w:val="007422B5"/>
    <w:rsid w:val="0074231F"/>
    <w:rsid w:val="00742368"/>
    <w:rsid w:val="00742575"/>
    <w:rsid w:val="00742642"/>
    <w:rsid w:val="0074279A"/>
    <w:rsid w:val="007427D0"/>
    <w:rsid w:val="0074282D"/>
    <w:rsid w:val="007428C0"/>
    <w:rsid w:val="00742929"/>
    <w:rsid w:val="00742AD3"/>
    <w:rsid w:val="00742B0B"/>
    <w:rsid w:val="00742C86"/>
    <w:rsid w:val="00742CBC"/>
    <w:rsid w:val="00742CCE"/>
    <w:rsid w:val="00742D4A"/>
    <w:rsid w:val="00742DE1"/>
    <w:rsid w:val="00742E8B"/>
    <w:rsid w:val="00743011"/>
    <w:rsid w:val="0074302C"/>
    <w:rsid w:val="00743031"/>
    <w:rsid w:val="0074303C"/>
    <w:rsid w:val="007430F9"/>
    <w:rsid w:val="00743159"/>
    <w:rsid w:val="007431C2"/>
    <w:rsid w:val="007433AC"/>
    <w:rsid w:val="00743653"/>
    <w:rsid w:val="007438D1"/>
    <w:rsid w:val="0074397A"/>
    <w:rsid w:val="007439D2"/>
    <w:rsid w:val="00743B67"/>
    <w:rsid w:val="00743BB1"/>
    <w:rsid w:val="00743BC4"/>
    <w:rsid w:val="00743C7B"/>
    <w:rsid w:val="00743CF5"/>
    <w:rsid w:val="00743DAB"/>
    <w:rsid w:val="00743E35"/>
    <w:rsid w:val="00744148"/>
    <w:rsid w:val="00744167"/>
    <w:rsid w:val="00744252"/>
    <w:rsid w:val="007443F9"/>
    <w:rsid w:val="0074459A"/>
    <w:rsid w:val="007445A1"/>
    <w:rsid w:val="0074463C"/>
    <w:rsid w:val="00744645"/>
    <w:rsid w:val="0074472A"/>
    <w:rsid w:val="0074480E"/>
    <w:rsid w:val="0074482D"/>
    <w:rsid w:val="00744885"/>
    <w:rsid w:val="0074489F"/>
    <w:rsid w:val="007449A9"/>
    <w:rsid w:val="007449DE"/>
    <w:rsid w:val="00744A94"/>
    <w:rsid w:val="00744AD8"/>
    <w:rsid w:val="00744D37"/>
    <w:rsid w:val="00744D4C"/>
    <w:rsid w:val="00744DB3"/>
    <w:rsid w:val="00744FC6"/>
    <w:rsid w:val="00744FC8"/>
    <w:rsid w:val="007450A0"/>
    <w:rsid w:val="007450A9"/>
    <w:rsid w:val="007450AE"/>
    <w:rsid w:val="0074512D"/>
    <w:rsid w:val="0074527A"/>
    <w:rsid w:val="007452B7"/>
    <w:rsid w:val="00745390"/>
    <w:rsid w:val="007453BD"/>
    <w:rsid w:val="00745657"/>
    <w:rsid w:val="007457D0"/>
    <w:rsid w:val="00745869"/>
    <w:rsid w:val="00745943"/>
    <w:rsid w:val="007459D3"/>
    <w:rsid w:val="00745A3A"/>
    <w:rsid w:val="00745B11"/>
    <w:rsid w:val="00745B76"/>
    <w:rsid w:val="00745BA8"/>
    <w:rsid w:val="00745D38"/>
    <w:rsid w:val="00745DAD"/>
    <w:rsid w:val="00745E41"/>
    <w:rsid w:val="00745E8D"/>
    <w:rsid w:val="00745F10"/>
    <w:rsid w:val="00745F86"/>
    <w:rsid w:val="00746109"/>
    <w:rsid w:val="00746253"/>
    <w:rsid w:val="00746396"/>
    <w:rsid w:val="00746431"/>
    <w:rsid w:val="00746448"/>
    <w:rsid w:val="0074644E"/>
    <w:rsid w:val="00746593"/>
    <w:rsid w:val="007465A2"/>
    <w:rsid w:val="007466EC"/>
    <w:rsid w:val="00746717"/>
    <w:rsid w:val="0074677B"/>
    <w:rsid w:val="0074679F"/>
    <w:rsid w:val="0074693C"/>
    <w:rsid w:val="00746A08"/>
    <w:rsid w:val="00746A30"/>
    <w:rsid w:val="00746B28"/>
    <w:rsid w:val="00746F98"/>
    <w:rsid w:val="007470B9"/>
    <w:rsid w:val="00747188"/>
    <w:rsid w:val="007472EB"/>
    <w:rsid w:val="0074732E"/>
    <w:rsid w:val="0074735A"/>
    <w:rsid w:val="007474B1"/>
    <w:rsid w:val="007474B8"/>
    <w:rsid w:val="00747564"/>
    <w:rsid w:val="00747598"/>
    <w:rsid w:val="007475BC"/>
    <w:rsid w:val="007475F0"/>
    <w:rsid w:val="007476D7"/>
    <w:rsid w:val="0074774B"/>
    <w:rsid w:val="0074775A"/>
    <w:rsid w:val="00747776"/>
    <w:rsid w:val="00747842"/>
    <w:rsid w:val="007478C7"/>
    <w:rsid w:val="00747923"/>
    <w:rsid w:val="00747931"/>
    <w:rsid w:val="00747945"/>
    <w:rsid w:val="00747B3B"/>
    <w:rsid w:val="00747CA4"/>
    <w:rsid w:val="00747F18"/>
    <w:rsid w:val="00747F47"/>
    <w:rsid w:val="00747F62"/>
    <w:rsid w:val="00747F91"/>
    <w:rsid w:val="00747FC0"/>
    <w:rsid w:val="00750031"/>
    <w:rsid w:val="007500E9"/>
    <w:rsid w:val="00750125"/>
    <w:rsid w:val="00750267"/>
    <w:rsid w:val="00750270"/>
    <w:rsid w:val="007502DC"/>
    <w:rsid w:val="0075031F"/>
    <w:rsid w:val="0075045D"/>
    <w:rsid w:val="00750499"/>
    <w:rsid w:val="0075052D"/>
    <w:rsid w:val="00750787"/>
    <w:rsid w:val="0075082C"/>
    <w:rsid w:val="007509D1"/>
    <w:rsid w:val="007509DC"/>
    <w:rsid w:val="00750A9D"/>
    <w:rsid w:val="00750B91"/>
    <w:rsid w:val="00750C5A"/>
    <w:rsid w:val="00750D09"/>
    <w:rsid w:val="00750E79"/>
    <w:rsid w:val="00750F32"/>
    <w:rsid w:val="00750F6A"/>
    <w:rsid w:val="007510A6"/>
    <w:rsid w:val="007510FA"/>
    <w:rsid w:val="0075112D"/>
    <w:rsid w:val="0075113A"/>
    <w:rsid w:val="0075115E"/>
    <w:rsid w:val="007511F0"/>
    <w:rsid w:val="0075120B"/>
    <w:rsid w:val="00751230"/>
    <w:rsid w:val="0075127E"/>
    <w:rsid w:val="007512A9"/>
    <w:rsid w:val="00751334"/>
    <w:rsid w:val="007514A9"/>
    <w:rsid w:val="007514F4"/>
    <w:rsid w:val="00751541"/>
    <w:rsid w:val="00751649"/>
    <w:rsid w:val="0075164F"/>
    <w:rsid w:val="00751678"/>
    <w:rsid w:val="007516FF"/>
    <w:rsid w:val="0075181E"/>
    <w:rsid w:val="00751979"/>
    <w:rsid w:val="00751A67"/>
    <w:rsid w:val="00751B12"/>
    <w:rsid w:val="00751B7A"/>
    <w:rsid w:val="00751C42"/>
    <w:rsid w:val="00751C65"/>
    <w:rsid w:val="00751C89"/>
    <w:rsid w:val="00751D3C"/>
    <w:rsid w:val="00751E3B"/>
    <w:rsid w:val="00751F21"/>
    <w:rsid w:val="00751F29"/>
    <w:rsid w:val="00751F36"/>
    <w:rsid w:val="00751F52"/>
    <w:rsid w:val="00751F72"/>
    <w:rsid w:val="00751FD5"/>
    <w:rsid w:val="0075208D"/>
    <w:rsid w:val="0075224D"/>
    <w:rsid w:val="0075227C"/>
    <w:rsid w:val="00752318"/>
    <w:rsid w:val="007524BD"/>
    <w:rsid w:val="007524D6"/>
    <w:rsid w:val="007524F9"/>
    <w:rsid w:val="00752592"/>
    <w:rsid w:val="007525BF"/>
    <w:rsid w:val="007525E6"/>
    <w:rsid w:val="0075265B"/>
    <w:rsid w:val="007526B4"/>
    <w:rsid w:val="007526C2"/>
    <w:rsid w:val="00752767"/>
    <w:rsid w:val="0075276E"/>
    <w:rsid w:val="00752791"/>
    <w:rsid w:val="00752851"/>
    <w:rsid w:val="00752934"/>
    <w:rsid w:val="007529FD"/>
    <w:rsid w:val="00752A36"/>
    <w:rsid w:val="00752A80"/>
    <w:rsid w:val="00752C29"/>
    <w:rsid w:val="00752CB7"/>
    <w:rsid w:val="00752E58"/>
    <w:rsid w:val="00752EA9"/>
    <w:rsid w:val="00752EC6"/>
    <w:rsid w:val="00753064"/>
    <w:rsid w:val="00753140"/>
    <w:rsid w:val="007531EA"/>
    <w:rsid w:val="0075336B"/>
    <w:rsid w:val="007535B6"/>
    <w:rsid w:val="00753626"/>
    <w:rsid w:val="007536FC"/>
    <w:rsid w:val="00753835"/>
    <w:rsid w:val="0075389C"/>
    <w:rsid w:val="00753953"/>
    <w:rsid w:val="007539BB"/>
    <w:rsid w:val="00753A16"/>
    <w:rsid w:val="00753B2A"/>
    <w:rsid w:val="00753B7A"/>
    <w:rsid w:val="00753C8F"/>
    <w:rsid w:val="00753C96"/>
    <w:rsid w:val="00753D35"/>
    <w:rsid w:val="00753F1C"/>
    <w:rsid w:val="00753FDD"/>
    <w:rsid w:val="00753FF8"/>
    <w:rsid w:val="0075406F"/>
    <w:rsid w:val="007540E9"/>
    <w:rsid w:val="007541F1"/>
    <w:rsid w:val="007542D3"/>
    <w:rsid w:val="0075431D"/>
    <w:rsid w:val="00754388"/>
    <w:rsid w:val="007544DD"/>
    <w:rsid w:val="00754522"/>
    <w:rsid w:val="0075456E"/>
    <w:rsid w:val="007545F1"/>
    <w:rsid w:val="00754602"/>
    <w:rsid w:val="007547E4"/>
    <w:rsid w:val="007548EA"/>
    <w:rsid w:val="007548EC"/>
    <w:rsid w:val="007549A3"/>
    <w:rsid w:val="007549E4"/>
    <w:rsid w:val="00754B82"/>
    <w:rsid w:val="00754DAD"/>
    <w:rsid w:val="00754E54"/>
    <w:rsid w:val="00754FC8"/>
    <w:rsid w:val="00755168"/>
    <w:rsid w:val="00755209"/>
    <w:rsid w:val="00755218"/>
    <w:rsid w:val="0075521A"/>
    <w:rsid w:val="00755235"/>
    <w:rsid w:val="007552C9"/>
    <w:rsid w:val="00755306"/>
    <w:rsid w:val="00755429"/>
    <w:rsid w:val="007555A2"/>
    <w:rsid w:val="007555B1"/>
    <w:rsid w:val="00755627"/>
    <w:rsid w:val="00755687"/>
    <w:rsid w:val="00755703"/>
    <w:rsid w:val="00755766"/>
    <w:rsid w:val="00755854"/>
    <w:rsid w:val="00755880"/>
    <w:rsid w:val="00755921"/>
    <w:rsid w:val="00755A68"/>
    <w:rsid w:val="00755AAD"/>
    <w:rsid w:val="00755B78"/>
    <w:rsid w:val="00755D50"/>
    <w:rsid w:val="00755DC1"/>
    <w:rsid w:val="00755DDC"/>
    <w:rsid w:val="00755E63"/>
    <w:rsid w:val="00756000"/>
    <w:rsid w:val="007561EB"/>
    <w:rsid w:val="007563F8"/>
    <w:rsid w:val="00756554"/>
    <w:rsid w:val="007566D1"/>
    <w:rsid w:val="007566E8"/>
    <w:rsid w:val="00756951"/>
    <w:rsid w:val="007569C9"/>
    <w:rsid w:val="007569D1"/>
    <w:rsid w:val="00756BBB"/>
    <w:rsid w:val="00756C6B"/>
    <w:rsid w:val="00756DAC"/>
    <w:rsid w:val="00756DEA"/>
    <w:rsid w:val="00756EB4"/>
    <w:rsid w:val="0075707C"/>
    <w:rsid w:val="007570D7"/>
    <w:rsid w:val="00757111"/>
    <w:rsid w:val="0075718E"/>
    <w:rsid w:val="007571BF"/>
    <w:rsid w:val="00757214"/>
    <w:rsid w:val="00757586"/>
    <w:rsid w:val="0075771F"/>
    <w:rsid w:val="00757756"/>
    <w:rsid w:val="00757959"/>
    <w:rsid w:val="0075799C"/>
    <w:rsid w:val="007579E8"/>
    <w:rsid w:val="00757A21"/>
    <w:rsid w:val="00757AC9"/>
    <w:rsid w:val="00757BB6"/>
    <w:rsid w:val="00757BBF"/>
    <w:rsid w:val="00757D9F"/>
    <w:rsid w:val="00757DEC"/>
    <w:rsid w:val="00757E4C"/>
    <w:rsid w:val="00757F16"/>
    <w:rsid w:val="0076009B"/>
    <w:rsid w:val="00760152"/>
    <w:rsid w:val="007601D4"/>
    <w:rsid w:val="00760231"/>
    <w:rsid w:val="0076033A"/>
    <w:rsid w:val="0076034B"/>
    <w:rsid w:val="00760352"/>
    <w:rsid w:val="0076035C"/>
    <w:rsid w:val="0076036A"/>
    <w:rsid w:val="007603C6"/>
    <w:rsid w:val="00760435"/>
    <w:rsid w:val="007604FB"/>
    <w:rsid w:val="0076063F"/>
    <w:rsid w:val="00760682"/>
    <w:rsid w:val="00760725"/>
    <w:rsid w:val="00760734"/>
    <w:rsid w:val="007608AD"/>
    <w:rsid w:val="0076090D"/>
    <w:rsid w:val="007609B8"/>
    <w:rsid w:val="00760A51"/>
    <w:rsid w:val="00760A60"/>
    <w:rsid w:val="00760A7E"/>
    <w:rsid w:val="00760AEF"/>
    <w:rsid w:val="00760C0A"/>
    <w:rsid w:val="00760C6C"/>
    <w:rsid w:val="00760CEA"/>
    <w:rsid w:val="00760DDF"/>
    <w:rsid w:val="00760E02"/>
    <w:rsid w:val="00760E55"/>
    <w:rsid w:val="00760E6F"/>
    <w:rsid w:val="00760EC3"/>
    <w:rsid w:val="0076104F"/>
    <w:rsid w:val="0076106F"/>
    <w:rsid w:val="00761094"/>
    <w:rsid w:val="007610ED"/>
    <w:rsid w:val="0076114C"/>
    <w:rsid w:val="00761165"/>
    <w:rsid w:val="00761221"/>
    <w:rsid w:val="0076128D"/>
    <w:rsid w:val="007613CA"/>
    <w:rsid w:val="00761411"/>
    <w:rsid w:val="00761468"/>
    <w:rsid w:val="0076151F"/>
    <w:rsid w:val="0076155C"/>
    <w:rsid w:val="00761562"/>
    <w:rsid w:val="00761819"/>
    <w:rsid w:val="0076181F"/>
    <w:rsid w:val="0076187A"/>
    <w:rsid w:val="00761880"/>
    <w:rsid w:val="0076189B"/>
    <w:rsid w:val="00761920"/>
    <w:rsid w:val="007619C0"/>
    <w:rsid w:val="00761A1C"/>
    <w:rsid w:val="00761A75"/>
    <w:rsid w:val="00761C24"/>
    <w:rsid w:val="00761C51"/>
    <w:rsid w:val="00761D12"/>
    <w:rsid w:val="00761E05"/>
    <w:rsid w:val="00761E79"/>
    <w:rsid w:val="00761FB0"/>
    <w:rsid w:val="007620EC"/>
    <w:rsid w:val="007621C2"/>
    <w:rsid w:val="007621F3"/>
    <w:rsid w:val="00762243"/>
    <w:rsid w:val="00762451"/>
    <w:rsid w:val="007624DD"/>
    <w:rsid w:val="007624EC"/>
    <w:rsid w:val="0076267C"/>
    <w:rsid w:val="007626CF"/>
    <w:rsid w:val="0076272A"/>
    <w:rsid w:val="0076274B"/>
    <w:rsid w:val="007627AB"/>
    <w:rsid w:val="00762803"/>
    <w:rsid w:val="00762899"/>
    <w:rsid w:val="00762B94"/>
    <w:rsid w:val="00762BE0"/>
    <w:rsid w:val="00762BF6"/>
    <w:rsid w:val="00762D82"/>
    <w:rsid w:val="00762EC5"/>
    <w:rsid w:val="00763063"/>
    <w:rsid w:val="007630AC"/>
    <w:rsid w:val="007632AB"/>
    <w:rsid w:val="0076336F"/>
    <w:rsid w:val="007634C4"/>
    <w:rsid w:val="007634E5"/>
    <w:rsid w:val="00763556"/>
    <w:rsid w:val="0076361F"/>
    <w:rsid w:val="00763695"/>
    <w:rsid w:val="007636DA"/>
    <w:rsid w:val="007637B1"/>
    <w:rsid w:val="007637F6"/>
    <w:rsid w:val="00763821"/>
    <w:rsid w:val="00763839"/>
    <w:rsid w:val="00763882"/>
    <w:rsid w:val="00763985"/>
    <w:rsid w:val="007639A3"/>
    <w:rsid w:val="00763A5D"/>
    <w:rsid w:val="00763B52"/>
    <w:rsid w:val="00763C4B"/>
    <w:rsid w:val="00763C7E"/>
    <w:rsid w:val="00763D89"/>
    <w:rsid w:val="00763E6C"/>
    <w:rsid w:val="00763F3A"/>
    <w:rsid w:val="00763F6B"/>
    <w:rsid w:val="00764217"/>
    <w:rsid w:val="0076426A"/>
    <w:rsid w:val="00764366"/>
    <w:rsid w:val="007643CA"/>
    <w:rsid w:val="00764460"/>
    <w:rsid w:val="0076446E"/>
    <w:rsid w:val="007646CA"/>
    <w:rsid w:val="007646DE"/>
    <w:rsid w:val="00764716"/>
    <w:rsid w:val="0076474D"/>
    <w:rsid w:val="0076481D"/>
    <w:rsid w:val="00764975"/>
    <w:rsid w:val="00764A33"/>
    <w:rsid w:val="00764A7A"/>
    <w:rsid w:val="00764AF4"/>
    <w:rsid w:val="00764D2D"/>
    <w:rsid w:val="00764DB9"/>
    <w:rsid w:val="00764E11"/>
    <w:rsid w:val="00764FE3"/>
    <w:rsid w:val="00765031"/>
    <w:rsid w:val="00765045"/>
    <w:rsid w:val="00765254"/>
    <w:rsid w:val="007652EF"/>
    <w:rsid w:val="0076534E"/>
    <w:rsid w:val="0076540D"/>
    <w:rsid w:val="007654AD"/>
    <w:rsid w:val="00765565"/>
    <w:rsid w:val="00765695"/>
    <w:rsid w:val="00765705"/>
    <w:rsid w:val="0076590F"/>
    <w:rsid w:val="00765970"/>
    <w:rsid w:val="00765ADA"/>
    <w:rsid w:val="00765AF3"/>
    <w:rsid w:val="00765B50"/>
    <w:rsid w:val="00765C5F"/>
    <w:rsid w:val="00765CBC"/>
    <w:rsid w:val="00765D25"/>
    <w:rsid w:val="00765D9A"/>
    <w:rsid w:val="00765DD0"/>
    <w:rsid w:val="00765E3E"/>
    <w:rsid w:val="00765EDF"/>
    <w:rsid w:val="00765FED"/>
    <w:rsid w:val="007660BE"/>
    <w:rsid w:val="00766140"/>
    <w:rsid w:val="0076632B"/>
    <w:rsid w:val="00766474"/>
    <w:rsid w:val="00766487"/>
    <w:rsid w:val="007664B6"/>
    <w:rsid w:val="00766669"/>
    <w:rsid w:val="007666A6"/>
    <w:rsid w:val="00766715"/>
    <w:rsid w:val="0076676E"/>
    <w:rsid w:val="007668CD"/>
    <w:rsid w:val="007668D4"/>
    <w:rsid w:val="0076694D"/>
    <w:rsid w:val="007669E4"/>
    <w:rsid w:val="00766A30"/>
    <w:rsid w:val="00766B57"/>
    <w:rsid w:val="00766C7E"/>
    <w:rsid w:val="00766CFF"/>
    <w:rsid w:val="00766DDE"/>
    <w:rsid w:val="00766E2E"/>
    <w:rsid w:val="00766EF1"/>
    <w:rsid w:val="00766F1C"/>
    <w:rsid w:val="00767029"/>
    <w:rsid w:val="00767154"/>
    <w:rsid w:val="007671E6"/>
    <w:rsid w:val="00767249"/>
    <w:rsid w:val="007673D7"/>
    <w:rsid w:val="0076740B"/>
    <w:rsid w:val="00767522"/>
    <w:rsid w:val="0076754D"/>
    <w:rsid w:val="0076764E"/>
    <w:rsid w:val="007676B8"/>
    <w:rsid w:val="007676BE"/>
    <w:rsid w:val="0076782F"/>
    <w:rsid w:val="00767844"/>
    <w:rsid w:val="00767963"/>
    <w:rsid w:val="00767BE4"/>
    <w:rsid w:val="00767BED"/>
    <w:rsid w:val="00767C8D"/>
    <w:rsid w:val="00767DFF"/>
    <w:rsid w:val="00767E58"/>
    <w:rsid w:val="00767F57"/>
    <w:rsid w:val="00767F86"/>
    <w:rsid w:val="0077006E"/>
    <w:rsid w:val="007700DE"/>
    <w:rsid w:val="00770220"/>
    <w:rsid w:val="0077027C"/>
    <w:rsid w:val="00770334"/>
    <w:rsid w:val="0077033C"/>
    <w:rsid w:val="007704B9"/>
    <w:rsid w:val="0077053B"/>
    <w:rsid w:val="00770681"/>
    <w:rsid w:val="007706A5"/>
    <w:rsid w:val="007706E1"/>
    <w:rsid w:val="007706FE"/>
    <w:rsid w:val="00770728"/>
    <w:rsid w:val="0077073C"/>
    <w:rsid w:val="00770776"/>
    <w:rsid w:val="0077077F"/>
    <w:rsid w:val="0077080E"/>
    <w:rsid w:val="00770878"/>
    <w:rsid w:val="0077089F"/>
    <w:rsid w:val="0077091E"/>
    <w:rsid w:val="0077097B"/>
    <w:rsid w:val="00770B6A"/>
    <w:rsid w:val="00770D17"/>
    <w:rsid w:val="00770E49"/>
    <w:rsid w:val="00770F57"/>
    <w:rsid w:val="00771003"/>
    <w:rsid w:val="00771101"/>
    <w:rsid w:val="00771110"/>
    <w:rsid w:val="00771189"/>
    <w:rsid w:val="007711B6"/>
    <w:rsid w:val="007711B8"/>
    <w:rsid w:val="007712CA"/>
    <w:rsid w:val="00771489"/>
    <w:rsid w:val="007714A4"/>
    <w:rsid w:val="0077164B"/>
    <w:rsid w:val="007716AD"/>
    <w:rsid w:val="00771734"/>
    <w:rsid w:val="00771751"/>
    <w:rsid w:val="00771776"/>
    <w:rsid w:val="0077193D"/>
    <w:rsid w:val="00771974"/>
    <w:rsid w:val="00771A11"/>
    <w:rsid w:val="00771A3A"/>
    <w:rsid w:val="00771AF3"/>
    <w:rsid w:val="00771B5F"/>
    <w:rsid w:val="00771C4E"/>
    <w:rsid w:val="00771C91"/>
    <w:rsid w:val="00771CE5"/>
    <w:rsid w:val="00771CFE"/>
    <w:rsid w:val="00771D95"/>
    <w:rsid w:val="00771E77"/>
    <w:rsid w:val="00772015"/>
    <w:rsid w:val="007720CC"/>
    <w:rsid w:val="007721D6"/>
    <w:rsid w:val="0077226D"/>
    <w:rsid w:val="00772282"/>
    <w:rsid w:val="007722C3"/>
    <w:rsid w:val="0077234A"/>
    <w:rsid w:val="007723D2"/>
    <w:rsid w:val="007723E7"/>
    <w:rsid w:val="007724A6"/>
    <w:rsid w:val="007724AD"/>
    <w:rsid w:val="007724FB"/>
    <w:rsid w:val="00772508"/>
    <w:rsid w:val="0077258C"/>
    <w:rsid w:val="00772672"/>
    <w:rsid w:val="00772680"/>
    <w:rsid w:val="0077275C"/>
    <w:rsid w:val="00772803"/>
    <w:rsid w:val="00772897"/>
    <w:rsid w:val="007728F9"/>
    <w:rsid w:val="007729AB"/>
    <w:rsid w:val="00772B6F"/>
    <w:rsid w:val="00772B9F"/>
    <w:rsid w:val="00772BFB"/>
    <w:rsid w:val="00772C3D"/>
    <w:rsid w:val="00772C7A"/>
    <w:rsid w:val="00772C9C"/>
    <w:rsid w:val="00772D13"/>
    <w:rsid w:val="00772DAF"/>
    <w:rsid w:val="00772E81"/>
    <w:rsid w:val="007731A6"/>
    <w:rsid w:val="007731FB"/>
    <w:rsid w:val="0077322A"/>
    <w:rsid w:val="007733C5"/>
    <w:rsid w:val="007733E4"/>
    <w:rsid w:val="007733F4"/>
    <w:rsid w:val="0077342D"/>
    <w:rsid w:val="00773479"/>
    <w:rsid w:val="00773521"/>
    <w:rsid w:val="0077355B"/>
    <w:rsid w:val="007735E2"/>
    <w:rsid w:val="00773683"/>
    <w:rsid w:val="00773932"/>
    <w:rsid w:val="00773A94"/>
    <w:rsid w:val="00773ADC"/>
    <w:rsid w:val="00773DFB"/>
    <w:rsid w:val="0077425F"/>
    <w:rsid w:val="007742FC"/>
    <w:rsid w:val="00774344"/>
    <w:rsid w:val="00774373"/>
    <w:rsid w:val="00774531"/>
    <w:rsid w:val="00774567"/>
    <w:rsid w:val="0077457F"/>
    <w:rsid w:val="00774698"/>
    <w:rsid w:val="0077469F"/>
    <w:rsid w:val="007746F9"/>
    <w:rsid w:val="00774747"/>
    <w:rsid w:val="00774837"/>
    <w:rsid w:val="007748E4"/>
    <w:rsid w:val="00774953"/>
    <w:rsid w:val="00774993"/>
    <w:rsid w:val="00774A01"/>
    <w:rsid w:val="00774A52"/>
    <w:rsid w:val="00774B37"/>
    <w:rsid w:val="00774CF6"/>
    <w:rsid w:val="00774D3A"/>
    <w:rsid w:val="00774FA9"/>
    <w:rsid w:val="00775026"/>
    <w:rsid w:val="0077504D"/>
    <w:rsid w:val="00775078"/>
    <w:rsid w:val="007750E2"/>
    <w:rsid w:val="007751A2"/>
    <w:rsid w:val="007752AF"/>
    <w:rsid w:val="007752FA"/>
    <w:rsid w:val="00775332"/>
    <w:rsid w:val="007753C3"/>
    <w:rsid w:val="00775437"/>
    <w:rsid w:val="00775513"/>
    <w:rsid w:val="00775611"/>
    <w:rsid w:val="0077563B"/>
    <w:rsid w:val="00775648"/>
    <w:rsid w:val="0077567F"/>
    <w:rsid w:val="00775753"/>
    <w:rsid w:val="007757C0"/>
    <w:rsid w:val="007758BE"/>
    <w:rsid w:val="007758D0"/>
    <w:rsid w:val="00775977"/>
    <w:rsid w:val="007759C3"/>
    <w:rsid w:val="00775B71"/>
    <w:rsid w:val="00775C8C"/>
    <w:rsid w:val="00775CBF"/>
    <w:rsid w:val="00775CD5"/>
    <w:rsid w:val="00775EDE"/>
    <w:rsid w:val="00775F0C"/>
    <w:rsid w:val="00775FA3"/>
    <w:rsid w:val="00775FE1"/>
    <w:rsid w:val="00776113"/>
    <w:rsid w:val="007761E8"/>
    <w:rsid w:val="00776349"/>
    <w:rsid w:val="007763DC"/>
    <w:rsid w:val="007766A7"/>
    <w:rsid w:val="00776739"/>
    <w:rsid w:val="00776757"/>
    <w:rsid w:val="007768EF"/>
    <w:rsid w:val="00776AB0"/>
    <w:rsid w:val="00776B0C"/>
    <w:rsid w:val="00776B20"/>
    <w:rsid w:val="00776B90"/>
    <w:rsid w:val="00776B95"/>
    <w:rsid w:val="00776C05"/>
    <w:rsid w:val="00776DC5"/>
    <w:rsid w:val="00776DD3"/>
    <w:rsid w:val="00776E08"/>
    <w:rsid w:val="00776E32"/>
    <w:rsid w:val="00776EEF"/>
    <w:rsid w:val="00776F7F"/>
    <w:rsid w:val="00777029"/>
    <w:rsid w:val="00777058"/>
    <w:rsid w:val="00777421"/>
    <w:rsid w:val="0077753D"/>
    <w:rsid w:val="007775BC"/>
    <w:rsid w:val="00777613"/>
    <w:rsid w:val="0077765F"/>
    <w:rsid w:val="00777665"/>
    <w:rsid w:val="007777C5"/>
    <w:rsid w:val="007777D5"/>
    <w:rsid w:val="00777821"/>
    <w:rsid w:val="0077788F"/>
    <w:rsid w:val="00777A46"/>
    <w:rsid w:val="00777AE2"/>
    <w:rsid w:val="00777B01"/>
    <w:rsid w:val="00777B47"/>
    <w:rsid w:val="00777BF3"/>
    <w:rsid w:val="00777C7E"/>
    <w:rsid w:val="00777D05"/>
    <w:rsid w:val="00777DC8"/>
    <w:rsid w:val="00777DD6"/>
    <w:rsid w:val="00777E7B"/>
    <w:rsid w:val="00777E9E"/>
    <w:rsid w:val="00780026"/>
    <w:rsid w:val="00780096"/>
    <w:rsid w:val="007801F3"/>
    <w:rsid w:val="007802C1"/>
    <w:rsid w:val="0078038F"/>
    <w:rsid w:val="007804B3"/>
    <w:rsid w:val="0078057E"/>
    <w:rsid w:val="007806F5"/>
    <w:rsid w:val="007808C9"/>
    <w:rsid w:val="0078095E"/>
    <w:rsid w:val="00780960"/>
    <w:rsid w:val="00780ADA"/>
    <w:rsid w:val="00780C96"/>
    <w:rsid w:val="00780CF5"/>
    <w:rsid w:val="00780D8B"/>
    <w:rsid w:val="00780E53"/>
    <w:rsid w:val="00780EAF"/>
    <w:rsid w:val="00780F2E"/>
    <w:rsid w:val="00780F9C"/>
    <w:rsid w:val="00781050"/>
    <w:rsid w:val="007810B7"/>
    <w:rsid w:val="00781155"/>
    <w:rsid w:val="00781656"/>
    <w:rsid w:val="0078178E"/>
    <w:rsid w:val="007818A1"/>
    <w:rsid w:val="00781982"/>
    <w:rsid w:val="00781A31"/>
    <w:rsid w:val="00781A49"/>
    <w:rsid w:val="00781A6F"/>
    <w:rsid w:val="00781B1C"/>
    <w:rsid w:val="00781B71"/>
    <w:rsid w:val="00781C6F"/>
    <w:rsid w:val="00781E0B"/>
    <w:rsid w:val="00781E56"/>
    <w:rsid w:val="00781E60"/>
    <w:rsid w:val="00781FA4"/>
    <w:rsid w:val="0078202F"/>
    <w:rsid w:val="00782221"/>
    <w:rsid w:val="00782407"/>
    <w:rsid w:val="0078244E"/>
    <w:rsid w:val="00782469"/>
    <w:rsid w:val="0078248A"/>
    <w:rsid w:val="0078258E"/>
    <w:rsid w:val="007825F7"/>
    <w:rsid w:val="00782611"/>
    <w:rsid w:val="00782879"/>
    <w:rsid w:val="007828F8"/>
    <w:rsid w:val="00782920"/>
    <w:rsid w:val="007829FA"/>
    <w:rsid w:val="00782A29"/>
    <w:rsid w:val="00782A2F"/>
    <w:rsid w:val="00782A3D"/>
    <w:rsid w:val="00782A43"/>
    <w:rsid w:val="00782A53"/>
    <w:rsid w:val="00782B3F"/>
    <w:rsid w:val="00782B4E"/>
    <w:rsid w:val="00782B5C"/>
    <w:rsid w:val="00782C4A"/>
    <w:rsid w:val="00782DA1"/>
    <w:rsid w:val="00782DB7"/>
    <w:rsid w:val="00782ED8"/>
    <w:rsid w:val="00782F45"/>
    <w:rsid w:val="00783002"/>
    <w:rsid w:val="00783145"/>
    <w:rsid w:val="0078316F"/>
    <w:rsid w:val="007831B2"/>
    <w:rsid w:val="007831B8"/>
    <w:rsid w:val="0078322C"/>
    <w:rsid w:val="00783255"/>
    <w:rsid w:val="007832FC"/>
    <w:rsid w:val="007833EC"/>
    <w:rsid w:val="00783457"/>
    <w:rsid w:val="007834B9"/>
    <w:rsid w:val="0078351A"/>
    <w:rsid w:val="007835DD"/>
    <w:rsid w:val="007836DC"/>
    <w:rsid w:val="007837BB"/>
    <w:rsid w:val="007838AE"/>
    <w:rsid w:val="00783A49"/>
    <w:rsid w:val="00783B7B"/>
    <w:rsid w:val="00784025"/>
    <w:rsid w:val="007841F2"/>
    <w:rsid w:val="007842DC"/>
    <w:rsid w:val="0078437F"/>
    <w:rsid w:val="00784501"/>
    <w:rsid w:val="0078455B"/>
    <w:rsid w:val="007845FE"/>
    <w:rsid w:val="007847E8"/>
    <w:rsid w:val="00784960"/>
    <w:rsid w:val="00784AE5"/>
    <w:rsid w:val="00784B84"/>
    <w:rsid w:val="00784C2F"/>
    <w:rsid w:val="00784C5B"/>
    <w:rsid w:val="00784CAD"/>
    <w:rsid w:val="00784CC7"/>
    <w:rsid w:val="00784DD6"/>
    <w:rsid w:val="007850E7"/>
    <w:rsid w:val="00785141"/>
    <w:rsid w:val="00785261"/>
    <w:rsid w:val="00785308"/>
    <w:rsid w:val="00785348"/>
    <w:rsid w:val="00785373"/>
    <w:rsid w:val="00785382"/>
    <w:rsid w:val="00785482"/>
    <w:rsid w:val="0078559C"/>
    <w:rsid w:val="00785993"/>
    <w:rsid w:val="00785AF1"/>
    <w:rsid w:val="00785B2B"/>
    <w:rsid w:val="00785B50"/>
    <w:rsid w:val="00785BE8"/>
    <w:rsid w:val="00785E05"/>
    <w:rsid w:val="00786056"/>
    <w:rsid w:val="0078609A"/>
    <w:rsid w:val="00786128"/>
    <w:rsid w:val="007861FE"/>
    <w:rsid w:val="007862B5"/>
    <w:rsid w:val="007864C5"/>
    <w:rsid w:val="00786570"/>
    <w:rsid w:val="0078663F"/>
    <w:rsid w:val="007866C1"/>
    <w:rsid w:val="007866C7"/>
    <w:rsid w:val="007866DD"/>
    <w:rsid w:val="007867EE"/>
    <w:rsid w:val="00786972"/>
    <w:rsid w:val="007869E8"/>
    <w:rsid w:val="00786AA7"/>
    <w:rsid w:val="00786C15"/>
    <w:rsid w:val="00786CBB"/>
    <w:rsid w:val="00786CD1"/>
    <w:rsid w:val="00786DA7"/>
    <w:rsid w:val="00786DD3"/>
    <w:rsid w:val="00786F9C"/>
    <w:rsid w:val="00787027"/>
    <w:rsid w:val="00787070"/>
    <w:rsid w:val="007870E6"/>
    <w:rsid w:val="00787120"/>
    <w:rsid w:val="007874A1"/>
    <w:rsid w:val="00787541"/>
    <w:rsid w:val="00787543"/>
    <w:rsid w:val="00787599"/>
    <w:rsid w:val="007875A1"/>
    <w:rsid w:val="0078762B"/>
    <w:rsid w:val="00787636"/>
    <w:rsid w:val="0078769C"/>
    <w:rsid w:val="007876B6"/>
    <w:rsid w:val="0078777D"/>
    <w:rsid w:val="00787847"/>
    <w:rsid w:val="007878A0"/>
    <w:rsid w:val="007878A5"/>
    <w:rsid w:val="00787996"/>
    <w:rsid w:val="00787BDD"/>
    <w:rsid w:val="00787BE6"/>
    <w:rsid w:val="00787BF5"/>
    <w:rsid w:val="00787CA9"/>
    <w:rsid w:val="00787CAE"/>
    <w:rsid w:val="00787D26"/>
    <w:rsid w:val="00787F3F"/>
    <w:rsid w:val="00787F76"/>
    <w:rsid w:val="007901B3"/>
    <w:rsid w:val="007901F0"/>
    <w:rsid w:val="00790292"/>
    <w:rsid w:val="00790482"/>
    <w:rsid w:val="0079048B"/>
    <w:rsid w:val="0079056A"/>
    <w:rsid w:val="00790610"/>
    <w:rsid w:val="00790628"/>
    <w:rsid w:val="00790649"/>
    <w:rsid w:val="00790653"/>
    <w:rsid w:val="00790901"/>
    <w:rsid w:val="00790918"/>
    <w:rsid w:val="00790986"/>
    <w:rsid w:val="00790A62"/>
    <w:rsid w:val="00790BDA"/>
    <w:rsid w:val="00790C02"/>
    <w:rsid w:val="00790CE6"/>
    <w:rsid w:val="00790D49"/>
    <w:rsid w:val="00790E48"/>
    <w:rsid w:val="00790EBC"/>
    <w:rsid w:val="00790F39"/>
    <w:rsid w:val="0079105F"/>
    <w:rsid w:val="0079107D"/>
    <w:rsid w:val="007910EC"/>
    <w:rsid w:val="00791221"/>
    <w:rsid w:val="007912A0"/>
    <w:rsid w:val="007912B5"/>
    <w:rsid w:val="007916D3"/>
    <w:rsid w:val="00791748"/>
    <w:rsid w:val="00791769"/>
    <w:rsid w:val="007917BA"/>
    <w:rsid w:val="007918F0"/>
    <w:rsid w:val="00791A9D"/>
    <w:rsid w:val="00791AF5"/>
    <w:rsid w:val="00791BF5"/>
    <w:rsid w:val="00791DC3"/>
    <w:rsid w:val="00791F67"/>
    <w:rsid w:val="00791FB5"/>
    <w:rsid w:val="00791FE1"/>
    <w:rsid w:val="007922F0"/>
    <w:rsid w:val="007923AF"/>
    <w:rsid w:val="00792552"/>
    <w:rsid w:val="007925AB"/>
    <w:rsid w:val="007927D5"/>
    <w:rsid w:val="007928C1"/>
    <w:rsid w:val="00792B9B"/>
    <w:rsid w:val="00792BC3"/>
    <w:rsid w:val="00792C62"/>
    <w:rsid w:val="00792D22"/>
    <w:rsid w:val="00792D43"/>
    <w:rsid w:val="00792D76"/>
    <w:rsid w:val="00792E9A"/>
    <w:rsid w:val="00792EC0"/>
    <w:rsid w:val="00792F57"/>
    <w:rsid w:val="00792F58"/>
    <w:rsid w:val="00793043"/>
    <w:rsid w:val="007930EC"/>
    <w:rsid w:val="007930ED"/>
    <w:rsid w:val="007931D8"/>
    <w:rsid w:val="007931DB"/>
    <w:rsid w:val="007931F5"/>
    <w:rsid w:val="00793206"/>
    <w:rsid w:val="007932C8"/>
    <w:rsid w:val="007932E6"/>
    <w:rsid w:val="007933C2"/>
    <w:rsid w:val="007933DE"/>
    <w:rsid w:val="00793688"/>
    <w:rsid w:val="007936CE"/>
    <w:rsid w:val="00793722"/>
    <w:rsid w:val="0079385D"/>
    <w:rsid w:val="00793B5A"/>
    <w:rsid w:val="00793BD3"/>
    <w:rsid w:val="00793C37"/>
    <w:rsid w:val="00793E4B"/>
    <w:rsid w:val="00793F0D"/>
    <w:rsid w:val="00793F31"/>
    <w:rsid w:val="00794020"/>
    <w:rsid w:val="007940BF"/>
    <w:rsid w:val="00794147"/>
    <w:rsid w:val="007942B8"/>
    <w:rsid w:val="007943AA"/>
    <w:rsid w:val="00794783"/>
    <w:rsid w:val="007947F8"/>
    <w:rsid w:val="007949B3"/>
    <w:rsid w:val="00794A2E"/>
    <w:rsid w:val="00794C6F"/>
    <w:rsid w:val="00794CCA"/>
    <w:rsid w:val="00794F8D"/>
    <w:rsid w:val="00794FB6"/>
    <w:rsid w:val="0079525E"/>
    <w:rsid w:val="00795383"/>
    <w:rsid w:val="007953EE"/>
    <w:rsid w:val="007955AA"/>
    <w:rsid w:val="00795780"/>
    <w:rsid w:val="007957B8"/>
    <w:rsid w:val="00795B76"/>
    <w:rsid w:val="00795C6A"/>
    <w:rsid w:val="00795E06"/>
    <w:rsid w:val="00795E58"/>
    <w:rsid w:val="00795E8C"/>
    <w:rsid w:val="00795F4A"/>
    <w:rsid w:val="00795FC4"/>
    <w:rsid w:val="00795FCB"/>
    <w:rsid w:val="00796177"/>
    <w:rsid w:val="00796220"/>
    <w:rsid w:val="00796224"/>
    <w:rsid w:val="0079625C"/>
    <w:rsid w:val="007962B4"/>
    <w:rsid w:val="007963AB"/>
    <w:rsid w:val="007963BA"/>
    <w:rsid w:val="00796442"/>
    <w:rsid w:val="007964FC"/>
    <w:rsid w:val="00796601"/>
    <w:rsid w:val="0079665E"/>
    <w:rsid w:val="007966B2"/>
    <w:rsid w:val="007966F8"/>
    <w:rsid w:val="00796714"/>
    <w:rsid w:val="007969C0"/>
    <w:rsid w:val="007969F7"/>
    <w:rsid w:val="00796A62"/>
    <w:rsid w:val="00796B4F"/>
    <w:rsid w:val="00796B6F"/>
    <w:rsid w:val="00796BD8"/>
    <w:rsid w:val="00796C70"/>
    <w:rsid w:val="00796F15"/>
    <w:rsid w:val="00796F7D"/>
    <w:rsid w:val="00796F80"/>
    <w:rsid w:val="007970A6"/>
    <w:rsid w:val="007970B7"/>
    <w:rsid w:val="00797133"/>
    <w:rsid w:val="00797490"/>
    <w:rsid w:val="007974B1"/>
    <w:rsid w:val="0079767E"/>
    <w:rsid w:val="007976CC"/>
    <w:rsid w:val="007976D0"/>
    <w:rsid w:val="007976DA"/>
    <w:rsid w:val="007978BA"/>
    <w:rsid w:val="00797972"/>
    <w:rsid w:val="00797CA7"/>
    <w:rsid w:val="00797D3C"/>
    <w:rsid w:val="00797E94"/>
    <w:rsid w:val="00797F48"/>
    <w:rsid w:val="00797FC0"/>
    <w:rsid w:val="00797FCD"/>
    <w:rsid w:val="00797FD9"/>
    <w:rsid w:val="007A002F"/>
    <w:rsid w:val="007A0086"/>
    <w:rsid w:val="007A0087"/>
    <w:rsid w:val="007A01A9"/>
    <w:rsid w:val="007A03CC"/>
    <w:rsid w:val="007A051A"/>
    <w:rsid w:val="007A0526"/>
    <w:rsid w:val="007A0599"/>
    <w:rsid w:val="007A0649"/>
    <w:rsid w:val="007A065E"/>
    <w:rsid w:val="007A06E2"/>
    <w:rsid w:val="007A06FF"/>
    <w:rsid w:val="007A07C9"/>
    <w:rsid w:val="007A0828"/>
    <w:rsid w:val="007A09AC"/>
    <w:rsid w:val="007A0A16"/>
    <w:rsid w:val="007A0A8E"/>
    <w:rsid w:val="007A0AAA"/>
    <w:rsid w:val="007A0AB6"/>
    <w:rsid w:val="007A0AEC"/>
    <w:rsid w:val="007A0BEF"/>
    <w:rsid w:val="007A0BF6"/>
    <w:rsid w:val="007A0C12"/>
    <w:rsid w:val="007A0D1B"/>
    <w:rsid w:val="007A0E79"/>
    <w:rsid w:val="007A0EF5"/>
    <w:rsid w:val="007A0FE0"/>
    <w:rsid w:val="007A0FED"/>
    <w:rsid w:val="007A1164"/>
    <w:rsid w:val="007A11EA"/>
    <w:rsid w:val="007A1271"/>
    <w:rsid w:val="007A1363"/>
    <w:rsid w:val="007A14A6"/>
    <w:rsid w:val="007A1530"/>
    <w:rsid w:val="007A1651"/>
    <w:rsid w:val="007A167C"/>
    <w:rsid w:val="007A167F"/>
    <w:rsid w:val="007A16A3"/>
    <w:rsid w:val="007A1806"/>
    <w:rsid w:val="007A1893"/>
    <w:rsid w:val="007A1918"/>
    <w:rsid w:val="007A1C3A"/>
    <w:rsid w:val="007A1CCF"/>
    <w:rsid w:val="007A1D3C"/>
    <w:rsid w:val="007A1E09"/>
    <w:rsid w:val="007A1E6C"/>
    <w:rsid w:val="007A1EA8"/>
    <w:rsid w:val="007A1F24"/>
    <w:rsid w:val="007A1FF3"/>
    <w:rsid w:val="007A2180"/>
    <w:rsid w:val="007A2397"/>
    <w:rsid w:val="007A23F9"/>
    <w:rsid w:val="007A2433"/>
    <w:rsid w:val="007A2442"/>
    <w:rsid w:val="007A2465"/>
    <w:rsid w:val="007A2480"/>
    <w:rsid w:val="007A2550"/>
    <w:rsid w:val="007A274A"/>
    <w:rsid w:val="007A2849"/>
    <w:rsid w:val="007A28B1"/>
    <w:rsid w:val="007A2976"/>
    <w:rsid w:val="007A299C"/>
    <w:rsid w:val="007A2A1F"/>
    <w:rsid w:val="007A2ACA"/>
    <w:rsid w:val="007A2B21"/>
    <w:rsid w:val="007A2B35"/>
    <w:rsid w:val="007A2BFB"/>
    <w:rsid w:val="007A2C19"/>
    <w:rsid w:val="007A2CD2"/>
    <w:rsid w:val="007A2D54"/>
    <w:rsid w:val="007A2D9E"/>
    <w:rsid w:val="007A2E3B"/>
    <w:rsid w:val="007A2EBE"/>
    <w:rsid w:val="007A3138"/>
    <w:rsid w:val="007A31B8"/>
    <w:rsid w:val="007A31D9"/>
    <w:rsid w:val="007A324E"/>
    <w:rsid w:val="007A3275"/>
    <w:rsid w:val="007A33A0"/>
    <w:rsid w:val="007A3543"/>
    <w:rsid w:val="007A354D"/>
    <w:rsid w:val="007A3686"/>
    <w:rsid w:val="007A3702"/>
    <w:rsid w:val="007A38AF"/>
    <w:rsid w:val="007A38B6"/>
    <w:rsid w:val="007A38E7"/>
    <w:rsid w:val="007A3918"/>
    <w:rsid w:val="007A39BA"/>
    <w:rsid w:val="007A3A1C"/>
    <w:rsid w:val="007A3A46"/>
    <w:rsid w:val="007A3BBB"/>
    <w:rsid w:val="007A3C20"/>
    <w:rsid w:val="007A3C59"/>
    <w:rsid w:val="007A3CED"/>
    <w:rsid w:val="007A3D6E"/>
    <w:rsid w:val="007A4103"/>
    <w:rsid w:val="007A419B"/>
    <w:rsid w:val="007A429A"/>
    <w:rsid w:val="007A4359"/>
    <w:rsid w:val="007A449C"/>
    <w:rsid w:val="007A44ED"/>
    <w:rsid w:val="007A4512"/>
    <w:rsid w:val="007A4532"/>
    <w:rsid w:val="007A4887"/>
    <w:rsid w:val="007A48D1"/>
    <w:rsid w:val="007A49C8"/>
    <w:rsid w:val="007A4AF9"/>
    <w:rsid w:val="007A4EBD"/>
    <w:rsid w:val="007A4F4C"/>
    <w:rsid w:val="007A5061"/>
    <w:rsid w:val="007A50F8"/>
    <w:rsid w:val="007A5186"/>
    <w:rsid w:val="007A524B"/>
    <w:rsid w:val="007A528D"/>
    <w:rsid w:val="007A52F6"/>
    <w:rsid w:val="007A5399"/>
    <w:rsid w:val="007A54CB"/>
    <w:rsid w:val="007A5580"/>
    <w:rsid w:val="007A55DD"/>
    <w:rsid w:val="007A5693"/>
    <w:rsid w:val="007A56CC"/>
    <w:rsid w:val="007A576C"/>
    <w:rsid w:val="007A5927"/>
    <w:rsid w:val="007A5A4B"/>
    <w:rsid w:val="007A5A73"/>
    <w:rsid w:val="007A5F92"/>
    <w:rsid w:val="007A6114"/>
    <w:rsid w:val="007A62B5"/>
    <w:rsid w:val="007A63F5"/>
    <w:rsid w:val="007A6522"/>
    <w:rsid w:val="007A6553"/>
    <w:rsid w:val="007A6556"/>
    <w:rsid w:val="007A683B"/>
    <w:rsid w:val="007A690A"/>
    <w:rsid w:val="007A6914"/>
    <w:rsid w:val="007A69BA"/>
    <w:rsid w:val="007A6AFF"/>
    <w:rsid w:val="007A6B1D"/>
    <w:rsid w:val="007A6B8D"/>
    <w:rsid w:val="007A6C18"/>
    <w:rsid w:val="007A6C55"/>
    <w:rsid w:val="007A6D54"/>
    <w:rsid w:val="007A6D9C"/>
    <w:rsid w:val="007A6E01"/>
    <w:rsid w:val="007A6E9C"/>
    <w:rsid w:val="007A6EEE"/>
    <w:rsid w:val="007A6F06"/>
    <w:rsid w:val="007A6FD0"/>
    <w:rsid w:val="007A707A"/>
    <w:rsid w:val="007A70B3"/>
    <w:rsid w:val="007A7194"/>
    <w:rsid w:val="007A7212"/>
    <w:rsid w:val="007A73B4"/>
    <w:rsid w:val="007A7529"/>
    <w:rsid w:val="007A7608"/>
    <w:rsid w:val="007A77BA"/>
    <w:rsid w:val="007A7868"/>
    <w:rsid w:val="007A795C"/>
    <w:rsid w:val="007A799D"/>
    <w:rsid w:val="007A7ACC"/>
    <w:rsid w:val="007A7C34"/>
    <w:rsid w:val="007A7D0A"/>
    <w:rsid w:val="007A7E80"/>
    <w:rsid w:val="007B014B"/>
    <w:rsid w:val="007B022E"/>
    <w:rsid w:val="007B024D"/>
    <w:rsid w:val="007B0256"/>
    <w:rsid w:val="007B03D5"/>
    <w:rsid w:val="007B063D"/>
    <w:rsid w:val="007B0822"/>
    <w:rsid w:val="007B085C"/>
    <w:rsid w:val="007B0895"/>
    <w:rsid w:val="007B0DDA"/>
    <w:rsid w:val="007B0E59"/>
    <w:rsid w:val="007B123E"/>
    <w:rsid w:val="007B1402"/>
    <w:rsid w:val="007B1435"/>
    <w:rsid w:val="007B143C"/>
    <w:rsid w:val="007B146F"/>
    <w:rsid w:val="007B14AB"/>
    <w:rsid w:val="007B153F"/>
    <w:rsid w:val="007B1576"/>
    <w:rsid w:val="007B15BC"/>
    <w:rsid w:val="007B1680"/>
    <w:rsid w:val="007B16C3"/>
    <w:rsid w:val="007B17C1"/>
    <w:rsid w:val="007B183D"/>
    <w:rsid w:val="007B18A9"/>
    <w:rsid w:val="007B18C4"/>
    <w:rsid w:val="007B1A71"/>
    <w:rsid w:val="007B1B29"/>
    <w:rsid w:val="007B1BBC"/>
    <w:rsid w:val="007B1C24"/>
    <w:rsid w:val="007B1D46"/>
    <w:rsid w:val="007B1E8B"/>
    <w:rsid w:val="007B1F17"/>
    <w:rsid w:val="007B202E"/>
    <w:rsid w:val="007B204D"/>
    <w:rsid w:val="007B207C"/>
    <w:rsid w:val="007B2197"/>
    <w:rsid w:val="007B2236"/>
    <w:rsid w:val="007B22C2"/>
    <w:rsid w:val="007B23A5"/>
    <w:rsid w:val="007B24C4"/>
    <w:rsid w:val="007B2502"/>
    <w:rsid w:val="007B250D"/>
    <w:rsid w:val="007B2513"/>
    <w:rsid w:val="007B252A"/>
    <w:rsid w:val="007B2547"/>
    <w:rsid w:val="007B25D8"/>
    <w:rsid w:val="007B277E"/>
    <w:rsid w:val="007B27AA"/>
    <w:rsid w:val="007B283A"/>
    <w:rsid w:val="007B2891"/>
    <w:rsid w:val="007B2916"/>
    <w:rsid w:val="007B29F8"/>
    <w:rsid w:val="007B2AA4"/>
    <w:rsid w:val="007B2ACF"/>
    <w:rsid w:val="007B2B0C"/>
    <w:rsid w:val="007B2B53"/>
    <w:rsid w:val="007B2B7D"/>
    <w:rsid w:val="007B2BF1"/>
    <w:rsid w:val="007B2C66"/>
    <w:rsid w:val="007B2E21"/>
    <w:rsid w:val="007B2EB3"/>
    <w:rsid w:val="007B2FBD"/>
    <w:rsid w:val="007B30EA"/>
    <w:rsid w:val="007B31D2"/>
    <w:rsid w:val="007B323B"/>
    <w:rsid w:val="007B324D"/>
    <w:rsid w:val="007B3376"/>
    <w:rsid w:val="007B35D6"/>
    <w:rsid w:val="007B365F"/>
    <w:rsid w:val="007B37DC"/>
    <w:rsid w:val="007B384C"/>
    <w:rsid w:val="007B38E4"/>
    <w:rsid w:val="007B3976"/>
    <w:rsid w:val="007B3981"/>
    <w:rsid w:val="007B3B8D"/>
    <w:rsid w:val="007B3CB0"/>
    <w:rsid w:val="007B3CFC"/>
    <w:rsid w:val="007B3D3F"/>
    <w:rsid w:val="007B3D4F"/>
    <w:rsid w:val="007B4101"/>
    <w:rsid w:val="007B4267"/>
    <w:rsid w:val="007B428E"/>
    <w:rsid w:val="007B4401"/>
    <w:rsid w:val="007B4450"/>
    <w:rsid w:val="007B4577"/>
    <w:rsid w:val="007B45DF"/>
    <w:rsid w:val="007B481E"/>
    <w:rsid w:val="007B4892"/>
    <w:rsid w:val="007B491D"/>
    <w:rsid w:val="007B4992"/>
    <w:rsid w:val="007B4C8D"/>
    <w:rsid w:val="007B4D14"/>
    <w:rsid w:val="007B4DD0"/>
    <w:rsid w:val="007B4E7E"/>
    <w:rsid w:val="007B4F5A"/>
    <w:rsid w:val="007B5111"/>
    <w:rsid w:val="007B511E"/>
    <w:rsid w:val="007B51C9"/>
    <w:rsid w:val="007B527C"/>
    <w:rsid w:val="007B538E"/>
    <w:rsid w:val="007B53D1"/>
    <w:rsid w:val="007B5694"/>
    <w:rsid w:val="007B5762"/>
    <w:rsid w:val="007B5791"/>
    <w:rsid w:val="007B57AF"/>
    <w:rsid w:val="007B5B95"/>
    <w:rsid w:val="007B5C69"/>
    <w:rsid w:val="007B5C8D"/>
    <w:rsid w:val="007B5CD6"/>
    <w:rsid w:val="007B5E18"/>
    <w:rsid w:val="007B5F87"/>
    <w:rsid w:val="007B6018"/>
    <w:rsid w:val="007B612F"/>
    <w:rsid w:val="007B6169"/>
    <w:rsid w:val="007B619E"/>
    <w:rsid w:val="007B61F4"/>
    <w:rsid w:val="007B61F7"/>
    <w:rsid w:val="007B62B3"/>
    <w:rsid w:val="007B648D"/>
    <w:rsid w:val="007B64D3"/>
    <w:rsid w:val="007B654B"/>
    <w:rsid w:val="007B659C"/>
    <w:rsid w:val="007B65D1"/>
    <w:rsid w:val="007B65DA"/>
    <w:rsid w:val="007B66BA"/>
    <w:rsid w:val="007B66CE"/>
    <w:rsid w:val="007B6827"/>
    <w:rsid w:val="007B686F"/>
    <w:rsid w:val="007B68DB"/>
    <w:rsid w:val="007B6988"/>
    <w:rsid w:val="007B69BD"/>
    <w:rsid w:val="007B6A46"/>
    <w:rsid w:val="007B6A7C"/>
    <w:rsid w:val="007B6AE7"/>
    <w:rsid w:val="007B6B4F"/>
    <w:rsid w:val="007B6B6C"/>
    <w:rsid w:val="007B6BF9"/>
    <w:rsid w:val="007B6C07"/>
    <w:rsid w:val="007B6C4A"/>
    <w:rsid w:val="007B6C8F"/>
    <w:rsid w:val="007B6CBB"/>
    <w:rsid w:val="007B6D4B"/>
    <w:rsid w:val="007B6DB5"/>
    <w:rsid w:val="007B703F"/>
    <w:rsid w:val="007B726D"/>
    <w:rsid w:val="007B7442"/>
    <w:rsid w:val="007B74EB"/>
    <w:rsid w:val="007B7551"/>
    <w:rsid w:val="007B75FE"/>
    <w:rsid w:val="007B7876"/>
    <w:rsid w:val="007B792B"/>
    <w:rsid w:val="007B7A46"/>
    <w:rsid w:val="007B7A4A"/>
    <w:rsid w:val="007B7BF3"/>
    <w:rsid w:val="007B7C26"/>
    <w:rsid w:val="007B7D4D"/>
    <w:rsid w:val="007B7DBE"/>
    <w:rsid w:val="007B7EA4"/>
    <w:rsid w:val="007C004D"/>
    <w:rsid w:val="007C0118"/>
    <w:rsid w:val="007C0161"/>
    <w:rsid w:val="007C0193"/>
    <w:rsid w:val="007C020F"/>
    <w:rsid w:val="007C0496"/>
    <w:rsid w:val="007C04AF"/>
    <w:rsid w:val="007C0643"/>
    <w:rsid w:val="007C06F3"/>
    <w:rsid w:val="007C086B"/>
    <w:rsid w:val="007C08D3"/>
    <w:rsid w:val="007C09D7"/>
    <w:rsid w:val="007C0A35"/>
    <w:rsid w:val="007C0A8D"/>
    <w:rsid w:val="007C0C4B"/>
    <w:rsid w:val="007C0C4E"/>
    <w:rsid w:val="007C0CEA"/>
    <w:rsid w:val="007C0DB5"/>
    <w:rsid w:val="007C0E3F"/>
    <w:rsid w:val="007C0E71"/>
    <w:rsid w:val="007C10CA"/>
    <w:rsid w:val="007C10D6"/>
    <w:rsid w:val="007C1314"/>
    <w:rsid w:val="007C13A3"/>
    <w:rsid w:val="007C14B4"/>
    <w:rsid w:val="007C14F1"/>
    <w:rsid w:val="007C1504"/>
    <w:rsid w:val="007C1517"/>
    <w:rsid w:val="007C159F"/>
    <w:rsid w:val="007C16C2"/>
    <w:rsid w:val="007C1804"/>
    <w:rsid w:val="007C1848"/>
    <w:rsid w:val="007C1923"/>
    <w:rsid w:val="007C197E"/>
    <w:rsid w:val="007C1C01"/>
    <w:rsid w:val="007C1C46"/>
    <w:rsid w:val="007C1C7A"/>
    <w:rsid w:val="007C1DB9"/>
    <w:rsid w:val="007C23A6"/>
    <w:rsid w:val="007C23B9"/>
    <w:rsid w:val="007C2474"/>
    <w:rsid w:val="007C2571"/>
    <w:rsid w:val="007C2593"/>
    <w:rsid w:val="007C25B4"/>
    <w:rsid w:val="007C2636"/>
    <w:rsid w:val="007C2852"/>
    <w:rsid w:val="007C2A2B"/>
    <w:rsid w:val="007C2B3C"/>
    <w:rsid w:val="007C2C34"/>
    <w:rsid w:val="007C2C9E"/>
    <w:rsid w:val="007C2D9D"/>
    <w:rsid w:val="007C2EA3"/>
    <w:rsid w:val="007C2ED8"/>
    <w:rsid w:val="007C2F67"/>
    <w:rsid w:val="007C30E8"/>
    <w:rsid w:val="007C3136"/>
    <w:rsid w:val="007C3197"/>
    <w:rsid w:val="007C31CA"/>
    <w:rsid w:val="007C3207"/>
    <w:rsid w:val="007C3330"/>
    <w:rsid w:val="007C34DF"/>
    <w:rsid w:val="007C3623"/>
    <w:rsid w:val="007C3658"/>
    <w:rsid w:val="007C37F3"/>
    <w:rsid w:val="007C39C1"/>
    <w:rsid w:val="007C39E4"/>
    <w:rsid w:val="007C39EC"/>
    <w:rsid w:val="007C3A66"/>
    <w:rsid w:val="007C3A6A"/>
    <w:rsid w:val="007C3C36"/>
    <w:rsid w:val="007C3C73"/>
    <w:rsid w:val="007C3D19"/>
    <w:rsid w:val="007C3DBF"/>
    <w:rsid w:val="007C3F6E"/>
    <w:rsid w:val="007C40F4"/>
    <w:rsid w:val="007C4192"/>
    <w:rsid w:val="007C41C9"/>
    <w:rsid w:val="007C41E4"/>
    <w:rsid w:val="007C421C"/>
    <w:rsid w:val="007C4229"/>
    <w:rsid w:val="007C425F"/>
    <w:rsid w:val="007C437A"/>
    <w:rsid w:val="007C4396"/>
    <w:rsid w:val="007C4418"/>
    <w:rsid w:val="007C44E9"/>
    <w:rsid w:val="007C4799"/>
    <w:rsid w:val="007C4A6A"/>
    <w:rsid w:val="007C4B9E"/>
    <w:rsid w:val="007C4CA1"/>
    <w:rsid w:val="007C4EF4"/>
    <w:rsid w:val="007C4F05"/>
    <w:rsid w:val="007C5150"/>
    <w:rsid w:val="007C51DA"/>
    <w:rsid w:val="007C5280"/>
    <w:rsid w:val="007C53F8"/>
    <w:rsid w:val="007C54D4"/>
    <w:rsid w:val="007C54F1"/>
    <w:rsid w:val="007C5670"/>
    <w:rsid w:val="007C5713"/>
    <w:rsid w:val="007C584B"/>
    <w:rsid w:val="007C5877"/>
    <w:rsid w:val="007C58ED"/>
    <w:rsid w:val="007C5920"/>
    <w:rsid w:val="007C5B59"/>
    <w:rsid w:val="007C5D62"/>
    <w:rsid w:val="007C5E31"/>
    <w:rsid w:val="007C5E76"/>
    <w:rsid w:val="007C5F4E"/>
    <w:rsid w:val="007C60B1"/>
    <w:rsid w:val="007C626C"/>
    <w:rsid w:val="007C6361"/>
    <w:rsid w:val="007C63D6"/>
    <w:rsid w:val="007C6512"/>
    <w:rsid w:val="007C664B"/>
    <w:rsid w:val="007C68B8"/>
    <w:rsid w:val="007C693F"/>
    <w:rsid w:val="007C698E"/>
    <w:rsid w:val="007C69D6"/>
    <w:rsid w:val="007C6A97"/>
    <w:rsid w:val="007C6B68"/>
    <w:rsid w:val="007C6BD5"/>
    <w:rsid w:val="007C6CFC"/>
    <w:rsid w:val="007C6D37"/>
    <w:rsid w:val="007C6D96"/>
    <w:rsid w:val="007C6E9B"/>
    <w:rsid w:val="007C6F22"/>
    <w:rsid w:val="007C6F51"/>
    <w:rsid w:val="007C70D7"/>
    <w:rsid w:val="007C7163"/>
    <w:rsid w:val="007C725E"/>
    <w:rsid w:val="007C727D"/>
    <w:rsid w:val="007C72FE"/>
    <w:rsid w:val="007C7333"/>
    <w:rsid w:val="007C737A"/>
    <w:rsid w:val="007C74B9"/>
    <w:rsid w:val="007C74D9"/>
    <w:rsid w:val="007C763B"/>
    <w:rsid w:val="007C7691"/>
    <w:rsid w:val="007C76A6"/>
    <w:rsid w:val="007C770C"/>
    <w:rsid w:val="007C7819"/>
    <w:rsid w:val="007C78A7"/>
    <w:rsid w:val="007C78B1"/>
    <w:rsid w:val="007C7995"/>
    <w:rsid w:val="007C79B4"/>
    <w:rsid w:val="007C7B0B"/>
    <w:rsid w:val="007C7BE0"/>
    <w:rsid w:val="007C7C2D"/>
    <w:rsid w:val="007C7CBD"/>
    <w:rsid w:val="007C7CBE"/>
    <w:rsid w:val="007C7E1B"/>
    <w:rsid w:val="007C7E66"/>
    <w:rsid w:val="007C7F15"/>
    <w:rsid w:val="007C7F29"/>
    <w:rsid w:val="007D002A"/>
    <w:rsid w:val="007D00DC"/>
    <w:rsid w:val="007D02D0"/>
    <w:rsid w:val="007D0314"/>
    <w:rsid w:val="007D0370"/>
    <w:rsid w:val="007D03ED"/>
    <w:rsid w:val="007D0424"/>
    <w:rsid w:val="007D058D"/>
    <w:rsid w:val="007D060F"/>
    <w:rsid w:val="007D064D"/>
    <w:rsid w:val="007D0718"/>
    <w:rsid w:val="007D09CB"/>
    <w:rsid w:val="007D09E0"/>
    <w:rsid w:val="007D0A0B"/>
    <w:rsid w:val="007D0A0F"/>
    <w:rsid w:val="007D0B41"/>
    <w:rsid w:val="007D0C24"/>
    <w:rsid w:val="007D0CB2"/>
    <w:rsid w:val="007D0D6A"/>
    <w:rsid w:val="007D0DF0"/>
    <w:rsid w:val="007D0F63"/>
    <w:rsid w:val="007D0FF4"/>
    <w:rsid w:val="007D106E"/>
    <w:rsid w:val="007D10A0"/>
    <w:rsid w:val="007D10B7"/>
    <w:rsid w:val="007D1169"/>
    <w:rsid w:val="007D12CC"/>
    <w:rsid w:val="007D13B3"/>
    <w:rsid w:val="007D13B6"/>
    <w:rsid w:val="007D13ED"/>
    <w:rsid w:val="007D1449"/>
    <w:rsid w:val="007D14D3"/>
    <w:rsid w:val="007D1690"/>
    <w:rsid w:val="007D16AE"/>
    <w:rsid w:val="007D16BF"/>
    <w:rsid w:val="007D1789"/>
    <w:rsid w:val="007D1949"/>
    <w:rsid w:val="007D1D31"/>
    <w:rsid w:val="007D1D58"/>
    <w:rsid w:val="007D1DAB"/>
    <w:rsid w:val="007D1E26"/>
    <w:rsid w:val="007D1E55"/>
    <w:rsid w:val="007D1F41"/>
    <w:rsid w:val="007D219E"/>
    <w:rsid w:val="007D232D"/>
    <w:rsid w:val="007D24CB"/>
    <w:rsid w:val="007D2587"/>
    <w:rsid w:val="007D2700"/>
    <w:rsid w:val="007D273E"/>
    <w:rsid w:val="007D2797"/>
    <w:rsid w:val="007D2878"/>
    <w:rsid w:val="007D28B7"/>
    <w:rsid w:val="007D28EF"/>
    <w:rsid w:val="007D2B67"/>
    <w:rsid w:val="007D2C02"/>
    <w:rsid w:val="007D2CE2"/>
    <w:rsid w:val="007D2D17"/>
    <w:rsid w:val="007D2F99"/>
    <w:rsid w:val="007D3070"/>
    <w:rsid w:val="007D30A4"/>
    <w:rsid w:val="007D30BA"/>
    <w:rsid w:val="007D318C"/>
    <w:rsid w:val="007D3258"/>
    <w:rsid w:val="007D32DA"/>
    <w:rsid w:val="007D34DD"/>
    <w:rsid w:val="007D354D"/>
    <w:rsid w:val="007D363D"/>
    <w:rsid w:val="007D36B4"/>
    <w:rsid w:val="007D372D"/>
    <w:rsid w:val="007D3790"/>
    <w:rsid w:val="007D379E"/>
    <w:rsid w:val="007D38C0"/>
    <w:rsid w:val="007D3A17"/>
    <w:rsid w:val="007D3B2E"/>
    <w:rsid w:val="007D3B7F"/>
    <w:rsid w:val="007D3BCF"/>
    <w:rsid w:val="007D3BFF"/>
    <w:rsid w:val="007D3CB6"/>
    <w:rsid w:val="007D3CC2"/>
    <w:rsid w:val="007D3CE7"/>
    <w:rsid w:val="007D3D47"/>
    <w:rsid w:val="007D3E01"/>
    <w:rsid w:val="007D3EAA"/>
    <w:rsid w:val="007D3F1C"/>
    <w:rsid w:val="007D409B"/>
    <w:rsid w:val="007D41AC"/>
    <w:rsid w:val="007D41B0"/>
    <w:rsid w:val="007D43E9"/>
    <w:rsid w:val="007D4424"/>
    <w:rsid w:val="007D4491"/>
    <w:rsid w:val="007D4540"/>
    <w:rsid w:val="007D457D"/>
    <w:rsid w:val="007D45E5"/>
    <w:rsid w:val="007D45F2"/>
    <w:rsid w:val="007D4615"/>
    <w:rsid w:val="007D4702"/>
    <w:rsid w:val="007D4799"/>
    <w:rsid w:val="007D47BE"/>
    <w:rsid w:val="007D47DF"/>
    <w:rsid w:val="007D4890"/>
    <w:rsid w:val="007D49A9"/>
    <w:rsid w:val="007D49C9"/>
    <w:rsid w:val="007D4B7E"/>
    <w:rsid w:val="007D4E12"/>
    <w:rsid w:val="007D4EBA"/>
    <w:rsid w:val="007D4F00"/>
    <w:rsid w:val="007D4F6C"/>
    <w:rsid w:val="007D4FE3"/>
    <w:rsid w:val="007D5257"/>
    <w:rsid w:val="007D5338"/>
    <w:rsid w:val="007D547D"/>
    <w:rsid w:val="007D54F5"/>
    <w:rsid w:val="007D554B"/>
    <w:rsid w:val="007D554E"/>
    <w:rsid w:val="007D5650"/>
    <w:rsid w:val="007D56E5"/>
    <w:rsid w:val="007D56F8"/>
    <w:rsid w:val="007D573C"/>
    <w:rsid w:val="007D5A3F"/>
    <w:rsid w:val="007D5A4C"/>
    <w:rsid w:val="007D5A5C"/>
    <w:rsid w:val="007D5A77"/>
    <w:rsid w:val="007D5B80"/>
    <w:rsid w:val="007D5BE9"/>
    <w:rsid w:val="007D5F1A"/>
    <w:rsid w:val="007D6042"/>
    <w:rsid w:val="007D6073"/>
    <w:rsid w:val="007D611C"/>
    <w:rsid w:val="007D6207"/>
    <w:rsid w:val="007D6234"/>
    <w:rsid w:val="007D626F"/>
    <w:rsid w:val="007D6285"/>
    <w:rsid w:val="007D6487"/>
    <w:rsid w:val="007D6687"/>
    <w:rsid w:val="007D67E9"/>
    <w:rsid w:val="007D67F1"/>
    <w:rsid w:val="007D6811"/>
    <w:rsid w:val="007D68C8"/>
    <w:rsid w:val="007D6988"/>
    <w:rsid w:val="007D69FC"/>
    <w:rsid w:val="007D6B11"/>
    <w:rsid w:val="007D6B75"/>
    <w:rsid w:val="007D6BC6"/>
    <w:rsid w:val="007D6C40"/>
    <w:rsid w:val="007D6DCC"/>
    <w:rsid w:val="007D6E2F"/>
    <w:rsid w:val="007D6E34"/>
    <w:rsid w:val="007D6F9A"/>
    <w:rsid w:val="007D7038"/>
    <w:rsid w:val="007D706E"/>
    <w:rsid w:val="007D716B"/>
    <w:rsid w:val="007D7181"/>
    <w:rsid w:val="007D71EA"/>
    <w:rsid w:val="007D742D"/>
    <w:rsid w:val="007D744A"/>
    <w:rsid w:val="007D74A1"/>
    <w:rsid w:val="007D769F"/>
    <w:rsid w:val="007D788A"/>
    <w:rsid w:val="007D7914"/>
    <w:rsid w:val="007D79C9"/>
    <w:rsid w:val="007D79E0"/>
    <w:rsid w:val="007D79F3"/>
    <w:rsid w:val="007D7A7E"/>
    <w:rsid w:val="007D7C15"/>
    <w:rsid w:val="007D7C73"/>
    <w:rsid w:val="007D7CDC"/>
    <w:rsid w:val="007D7DDF"/>
    <w:rsid w:val="007D7F2F"/>
    <w:rsid w:val="007E001D"/>
    <w:rsid w:val="007E00FF"/>
    <w:rsid w:val="007E0120"/>
    <w:rsid w:val="007E0266"/>
    <w:rsid w:val="007E03EE"/>
    <w:rsid w:val="007E058F"/>
    <w:rsid w:val="007E0616"/>
    <w:rsid w:val="007E06B0"/>
    <w:rsid w:val="007E06EF"/>
    <w:rsid w:val="007E0704"/>
    <w:rsid w:val="007E0731"/>
    <w:rsid w:val="007E0733"/>
    <w:rsid w:val="007E0745"/>
    <w:rsid w:val="007E0769"/>
    <w:rsid w:val="007E07C7"/>
    <w:rsid w:val="007E0A03"/>
    <w:rsid w:val="007E0A48"/>
    <w:rsid w:val="007E0A49"/>
    <w:rsid w:val="007E0A7B"/>
    <w:rsid w:val="007E0B1B"/>
    <w:rsid w:val="007E0C49"/>
    <w:rsid w:val="007E0C6D"/>
    <w:rsid w:val="007E0CE7"/>
    <w:rsid w:val="007E0DB7"/>
    <w:rsid w:val="007E0E0E"/>
    <w:rsid w:val="007E0F08"/>
    <w:rsid w:val="007E1039"/>
    <w:rsid w:val="007E104D"/>
    <w:rsid w:val="007E10B2"/>
    <w:rsid w:val="007E1107"/>
    <w:rsid w:val="007E1189"/>
    <w:rsid w:val="007E11A0"/>
    <w:rsid w:val="007E1212"/>
    <w:rsid w:val="007E13A5"/>
    <w:rsid w:val="007E145E"/>
    <w:rsid w:val="007E1536"/>
    <w:rsid w:val="007E15C2"/>
    <w:rsid w:val="007E170D"/>
    <w:rsid w:val="007E1738"/>
    <w:rsid w:val="007E181B"/>
    <w:rsid w:val="007E1883"/>
    <w:rsid w:val="007E188D"/>
    <w:rsid w:val="007E18C5"/>
    <w:rsid w:val="007E18E2"/>
    <w:rsid w:val="007E1A7A"/>
    <w:rsid w:val="007E1B97"/>
    <w:rsid w:val="007E1BBC"/>
    <w:rsid w:val="007E1CAC"/>
    <w:rsid w:val="007E1EDE"/>
    <w:rsid w:val="007E1F2A"/>
    <w:rsid w:val="007E2023"/>
    <w:rsid w:val="007E21CD"/>
    <w:rsid w:val="007E22C7"/>
    <w:rsid w:val="007E232B"/>
    <w:rsid w:val="007E239E"/>
    <w:rsid w:val="007E24F8"/>
    <w:rsid w:val="007E25B8"/>
    <w:rsid w:val="007E2669"/>
    <w:rsid w:val="007E2709"/>
    <w:rsid w:val="007E279B"/>
    <w:rsid w:val="007E28ED"/>
    <w:rsid w:val="007E2A1A"/>
    <w:rsid w:val="007E2AD8"/>
    <w:rsid w:val="007E2C57"/>
    <w:rsid w:val="007E2D9E"/>
    <w:rsid w:val="007E2DEE"/>
    <w:rsid w:val="007E2E94"/>
    <w:rsid w:val="007E2F45"/>
    <w:rsid w:val="007E301C"/>
    <w:rsid w:val="007E3042"/>
    <w:rsid w:val="007E3072"/>
    <w:rsid w:val="007E3153"/>
    <w:rsid w:val="007E3161"/>
    <w:rsid w:val="007E31DA"/>
    <w:rsid w:val="007E32B6"/>
    <w:rsid w:val="007E32DF"/>
    <w:rsid w:val="007E345B"/>
    <w:rsid w:val="007E3462"/>
    <w:rsid w:val="007E3479"/>
    <w:rsid w:val="007E3582"/>
    <w:rsid w:val="007E358E"/>
    <w:rsid w:val="007E35AF"/>
    <w:rsid w:val="007E35E8"/>
    <w:rsid w:val="007E3762"/>
    <w:rsid w:val="007E37F5"/>
    <w:rsid w:val="007E3B13"/>
    <w:rsid w:val="007E3CF7"/>
    <w:rsid w:val="007E3D8F"/>
    <w:rsid w:val="007E3E8E"/>
    <w:rsid w:val="007E3EE2"/>
    <w:rsid w:val="007E3F66"/>
    <w:rsid w:val="007E3FA6"/>
    <w:rsid w:val="007E3FA8"/>
    <w:rsid w:val="007E4186"/>
    <w:rsid w:val="007E41D4"/>
    <w:rsid w:val="007E41DD"/>
    <w:rsid w:val="007E422D"/>
    <w:rsid w:val="007E42D5"/>
    <w:rsid w:val="007E4373"/>
    <w:rsid w:val="007E4382"/>
    <w:rsid w:val="007E44DB"/>
    <w:rsid w:val="007E44EB"/>
    <w:rsid w:val="007E45CC"/>
    <w:rsid w:val="007E4789"/>
    <w:rsid w:val="007E47D1"/>
    <w:rsid w:val="007E48D0"/>
    <w:rsid w:val="007E49A9"/>
    <w:rsid w:val="007E49CC"/>
    <w:rsid w:val="007E4B9A"/>
    <w:rsid w:val="007E4BBD"/>
    <w:rsid w:val="007E4D0E"/>
    <w:rsid w:val="007E4DCD"/>
    <w:rsid w:val="007E4E27"/>
    <w:rsid w:val="007E4EC2"/>
    <w:rsid w:val="007E4ED2"/>
    <w:rsid w:val="007E4FAE"/>
    <w:rsid w:val="007E500D"/>
    <w:rsid w:val="007E500F"/>
    <w:rsid w:val="007E5021"/>
    <w:rsid w:val="007E52D5"/>
    <w:rsid w:val="007E54F5"/>
    <w:rsid w:val="007E5676"/>
    <w:rsid w:val="007E5725"/>
    <w:rsid w:val="007E573A"/>
    <w:rsid w:val="007E5748"/>
    <w:rsid w:val="007E57AB"/>
    <w:rsid w:val="007E5860"/>
    <w:rsid w:val="007E58B7"/>
    <w:rsid w:val="007E5952"/>
    <w:rsid w:val="007E59A4"/>
    <w:rsid w:val="007E59CB"/>
    <w:rsid w:val="007E59E2"/>
    <w:rsid w:val="007E5A2F"/>
    <w:rsid w:val="007E5B2E"/>
    <w:rsid w:val="007E5B51"/>
    <w:rsid w:val="007E5B9D"/>
    <w:rsid w:val="007E5C12"/>
    <w:rsid w:val="007E5CD3"/>
    <w:rsid w:val="007E5CF2"/>
    <w:rsid w:val="007E5D15"/>
    <w:rsid w:val="007E5E24"/>
    <w:rsid w:val="007E5F7E"/>
    <w:rsid w:val="007E5FAC"/>
    <w:rsid w:val="007E604A"/>
    <w:rsid w:val="007E60C5"/>
    <w:rsid w:val="007E624B"/>
    <w:rsid w:val="007E624C"/>
    <w:rsid w:val="007E6355"/>
    <w:rsid w:val="007E6381"/>
    <w:rsid w:val="007E6385"/>
    <w:rsid w:val="007E63AD"/>
    <w:rsid w:val="007E651A"/>
    <w:rsid w:val="007E654B"/>
    <w:rsid w:val="007E6743"/>
    <w:rsid w:val="007E68FF"/>
    <w:rsid w:val="007E697B"/>
    <w:rsid w:val="007E6A17"/>
    <w:rsid w:val="007E6AEC"/>
    <w:rsid w:val="007E6B71"/>
    <w:rsid w:val="007E6CEB"/>
    <w:rsid w:val="007E6D84"/>
    <w:rsid w:val="007E6E7F"/>
    <w:rsid w:val="007E71E9"/>
    <w:rsid w:val="007E71F8"/>
    <w:rsid w:val="007E7495"/>
    <w:rsid w:val="007E74D5"/>
    <w:rsid w:val="007E7693"/>
    <w:rsid w:val="007E76D8"/>
    <w:rsid w:val="007E79A7"/>
    <w:rsid w:val="007E7A15"/>
    <w:rsid w:val="007E7B73"/>
    <w:rsid w:val="007E7D01"/>
    <w:rsid w:val="007E7E7D"/>
    <w:rsid w:val="007E7F2B"/>
    <w:rsid w:val="007F0023"/>
    <w:rsid w:val="007F009F"/>
    <w:rsid w:val="007F01D6"/>
    <w:rsid w:val="007F01DB"/>
    <w:rsid w:val="007F056C"/>
    <w:rsid w:val="007F059B"/>
    <w:rsid w:val="007F0739"/>
    <w:rsid w:val="007F0843"/>
    <w:rsid w:val="007F08E7"/>
    <w:rsid w:val="007F090D"/>
    <w:rsid w:val="007F0952"/>
    <w:rsid w:val="007F0C3C"/>
    <w:rsid w:val="007F0C46"/>
    <w:rsid w:val="007F0C48"/>
    <w:rsid w:val="007F0C53"/>
    <w:rsid w:val="007F0C8E"/>
    <w:rsid w:val="007F0D3D"/>
    <w:rsid w:val="007F0DC5"/>
    <w:rsid w:val="007F0E41"/>
    <w:rsid w:val="007F0EC5"/>
    <w:rsid w:val="007F0F41"/>
    <w:rsid w:val="007F0F66"/>
    <w:rsid w:val="007F0F84"/>
    <w:rsid w:val="007F10AA"/>
    <w:rsid w:val="007F10B0"/>
    <w:rsid w:val="007F1106"/>
    <w:rsid w:val="007F114F"/>
    <w:rsid w:val="007F11AC"/>
    <w:rsid w:val="007F11F1"/>
    <w:rsid w:val="007F137D"/>
    <w:rsid w:val="007F141E"/>
    <w:rsid w:val="007F15DF"/>
    <w:rsid w:val="007F16D2"/>
    <w:rsid w:val="007F174F"/>
    <w:rsid w:val="007F1836"/>
    <w:rsid w:val="007F19A3"/>
    <w:rsid w:val="007F1A91"/>
    <w:rsid w:val="007F1B98"/>
    <w:rsid w:val="007F1C16"/>
    <w:rsid w:val="007F1C27"/>
    <w:rsid w:val="007F1D37"/>
    <w:rsid w:val="007F1D81"/>
    <w:rsid w:val="007F1FD7"/>
    <w:rsid w:val="007F203E"/>
    <w:rsid w:val="007F2168"/>
    <w:rsid w:val="007F226E"/>
    <w:rsid w:val="007F23C5"/>
    <w:rsid w:val="007F2436"/>
    <w:rsid w:val="007F26A8"/>
    <w:rsid w:val="007F26F3"/>
    <w:rsid w:val="007F28FB"/>
    <w:rsid w:val="007F29A6"/>
    <w:rsid w:val="007F2AB2"/>
    <w:rsid w:val="007F2BE4"/>
    <w:rsid w:val="007F2D3F"/>
    <w:rsid w:val="007F2DA3"/>
    <w:rsid w:val="007F2E31"/>
    <w:rsid w:val="007F2EED"/>
    <w:rsid w:val="007F2F46"/>
    <w:rsid w:val="007F2F98"/>
    <w:rsid w:val="007F31C4"/>
    <w:rsid w:val="007F334C"/>
    <w:rsid w:val="007F339D"/>
    <w:rsid w:val="007F34E3"/>
    <w:rsid w:val="007F3539"/>
    <w:rsid w:val="007F35BF"/>
    <w:rsid w:val="007F35F6"/>
    <w:rsid w:val="007F3605"/>
    <w:rsid w:val="007F3812"/>
    <w:rsid w:val="007F38D8"/>
    <w:rsid w:val="007F3A26"/>
    <w:rsid w:val="007F3BD1"/>
    <w:rsid w:val="007F3C9E"/>
    <w:rsid w:val="007F3E00"/>
    <w:rsid w:val="007F3E91"/>
    <w:rsid w:val="007F4147"/>
    <w:rsid w:val="007F425F"/>
    <w:rsid w:val="007F428B"/>
    <w:rsid w:val="007F4298"/>
    <w:rsid w:val="007F42EC"/>
    <w:rsid w:val="007F42F2"/>
    <w:rsid w:val="007F4344"/>
    <w:rsid w:val="007F43EA"/>
    <w:rsid w:val="007F4490"/>
    <w:rsid w:val="007F4501"/>
    <w:rsid w:val="007F450F"/>
    <w:rsid w:val="007F452F"/>
    <w:rsid w:val="007F457B"/>
    <w:rsid w:val="007F457D"/>
    <w:rsid w:val="007F45AF"/>
    <w:rsid w:val="007F4602"/>
    <w:rsid w:val="007F4618"/>
    <w:rsid w:val="007F4672"/>
    <w:rsid w:val="007F46C2"/>
    <w:rsid w:val="007F4722"/>
    <w:rsid w:val="007F4954"/>
    <w:rsid w:val="007F49AC"/>
    <w:rsid w:val="007F4B44"/>
    <w:rsid w:val="007F4C1D"/>
    <w:rsid w:val="007F4C20"/>
    <w:rsid w:val="007F4D1C"/>
    <w:rsid w:val="007F4EA2"/>
    <w:rsid w:val="007F4F29"/>
    <w:rsid w:val="007F4F36"/>
    <w:rsid w:val="007F4FED"/>
    <w:rsid w:val="007F50B8"/>
    <w:rsid w:val="007F50C7"/>
    <w:rsid w:val="007F511D"/>
    <w:rsid w:val="007F51D3"/>
    <w:rsid w:val="007F5383"/>
    <w:rsid w:val="007F55D5"/>
    <w:rsid w:val="007F5624"/>
    <w:rsid w:val="007F57A4"/>
    <w:rsid w:val="007F57AC"/>
    <w:rsid w:val="007F57C2"/>
    <w:rsid w:val="007F58A5"/>
    <w:rsid w:val="007F58C8"/>
    <w:rsid w:val="007F58D8"/>
    <w:rsid w:val="007F5A22"/>
    <w:rsid w:val="007F5ADA"/>
    <w:rsid w:val="007F5AEF"/>
    <w:rsid w:val="007F5B1D"/>
    <w:rsid w:val="007F5BCB"/>
    <w:rsid w:val="007F5FC7"/>
    <w:rsid w:val="007F600E"/>
    <w:rsid w:val="007F61F4"/>
    <w:rsid w:val="007F63D4"/>
    <w:rsid w:val="007F6408"/>
    <w:rsid w:val="007F64F7"/>
    <w:rsid w:val="007F66CF"/>
    <w:rsid w:val="007F67BE"/>
    <w:rsid w:val="007F6A75"/>
    <w:rsid w:val="007F6B30"/>
    <w:rsid w:val="007F6C78"/>
    <w:rsid w:val="007F6C85"/>
    <w:rsid w:val="007F6CC5"/>
    <w:rsid w:val="007F6CEB"/>
    <w:rsid w:val="007F6DCE"/>
    <w:rsid w:val="007F6EA1"/>
    <w:rsid w:val="007F6F62"/>
    <w:rsid w:val="007F6FFD"/>
    <w:rsid w:val="007F7004"/>
    <w:rsid w:val="007F70BC"/>
    <w:rsid w:val="007F70C0"/>
    <w:rsid w:val="007F71DD"/>
    <w:rsid w:val="007F732A"/>
    <w:rsid w:val="007F7495"/>
    <w:rsid w:val="007F74EA"/>
    <w:rsid w:val="007F74F9"/>
    <w:rsid w:val="007F7535"/>
    <w:rsid w:val="007F757D"/>
    <w:rsid w:val="007F76EB"/>
    <w:rsid w:val="007F7826"/>
    <w:rsid w:val="007F795A"/>
    <w:rsid w:val="007F7BA9"/>
    <w:rsid w:val="007F7D00"/>
    <w:rsid w:val="007F7E2B"/>
    <w:rsid w:val="007F7F6A"/>
    <w:rsid w:val="008000B2"/>
    <w:rsid w:val="008000E1"/>
    <w:rsid w:val="00800112"/>
    <w:rsid w:val="0080014F"/>
    <w:rsid w:val="008003AF"/>
    <w:rsid w:val="008004CA"/>
    <w:rsid w:val="008004FA"/>
    <w:rsid w:val="00800661"/>
    <w:rsid w:val="00800703"/>
    <w:rsid w:val="00800719"/>
    <w:rsid w:val="00800736"/>
    <w:rsid w:val="0080096A"/>
    <w:rsid w:val="008009AE"/>
    <w:rsid w:val="00800C0D"/>
    <w:rsid w:val="00800C5F"/>
    <w:rsid w:val="00800CA2"/>
    <w:rsid w:val="00800D7F"/>
    <w:rsid w:val="00800DDF"/>
    <w:rsid w:val="00800E69"/>
    <w:rsid w:val="00800E72"/>
    <w:rsid w:val="00800EC0"/>
    <w:rsid w:val="00800FA6"/>
    <w:rsid w:val="008011D5"/>
    <w:rsid w:val="008012EF"/>
    <w:rsid w:val="008014B7"/>
    <w:rsid w:val="008014BF"/>
    <w:rsid w:val="0080152A"/>
    <w:rsid w:val="00801542"/>
    <w:rsid w:val="00801543"/>
    <w:rsid w:val="00801598"/>
    <w:rsid w:val="0080181D"/>
    <w:rsid w:val="00801825"/>
    <w:rsid w:val="00801861"/>
    <w:rsid w:val="00801AEF"/>
    <w:rsid w:val="00801B35"/>
    <w:rsid w:val="00801CDF"/>
    <w:rsid w:val="00801EAE"/>
    <w:rsid w:val="00801EF4"/>
    <w:rsid w:val="00801F1C"/>
    <w:rsid w:val="00801F8D"/>
    <w:rsid w:val="00801F9D"/>
    <w:rsid w:val="00801FB4"/>
    <w:rsid w:val="00802049"/>
    <w:rsid w:val="008021D6"/>
    <w:rsid w:val="008021DA"/>
    <w:rsid w:val="008021FA"/>
    <w:rsid w:val="0080225D"/>
    <w:rsid w:val="0080228D"/>
    <w:rsid w:val="008022DB"/>
    <w:rsid w:val="00802359"/>
    <w:rsid w:val="008024AC"/>
    <w:rsid w:val="00802506"/>
    <w:rsid w:val="008027B3"/>
    <w:rsid w:val="00802896"/>
    <w:rsid w:val="008029D5"/>
    <w:rsid w:val="00802B99"/>
    <w:rsid w:val="00802CCD"/>
    <w:rsid w:val="00802D83"/>
    <w:rsid w:val="00802D91"/>
    <w:rsid w:val="00802DCB"/>
    <w:rsid w:val="00802E15"/>
    <w:rsid w:val="00802E79"/>
    <w:rsid w:val="00802ED5"/>
    <w:rsid w:val="008030AC"/>
    <w:rsid w:val="0080322A"/>
    <w:rsid w:val="0080327C"/>
    <w:rsid w:val="0080333D"/>
    <w:rsid w:val="008033A6"/>
    <w:rsid w:val="008034B1"/>
    <w:rsid w:val="00803554"/>
    <w:rsid w:val="00803619"/>
    <w:rsid w:val="00803788"/>
    <w:rsid w:val="00803818"/>
    <w:rsid w:val="00803937"/>
    <w:rsid w:val="00803940"/>
    <w:rsid w:val="00803959"/>
    <w:rsid w:val="008039AB"/>
    <w:rsid w:val="00803A22"/>
    <w:rsid w:val="00803B2F"/>
    <w:rsid w:val="00803CCB"/>
    <w:rsid w:val="00803D00"/>
    <w:rsid w:val="00803E37"/>
    <w:rsid w:val="00803E86"/>
    <w:rsid w:val="00803EE7"/>
    <w:rsid w:val="00803F9C"/>
    <w:rsid w:val="00803FC9"/>
    <w:rsid w:val="00804039"/>
    <w:rsid w:val="00804041"/>
    <w:rsid w:val="00804056"/>
    <w:rsid w:val="008040CC"/>
    <w:rsid w:val="00804194"/>
    <w:rsid w:val="008041C5"/>
    <w:rsid w:val="0080442C"/>
    <w:rsid w:val="00804453"/>
    <w:rsid w:val="00804580"/>
    <w:rsid w:val="00804760"/>
    <w:rsid w:val="008047B0"/>
    <w:rsid w:val="008047BC"/>
    <w:rsid w:val="00804949"/>
    <w:rsid w:val="0080499D"/>
    <w:rsid w:val="00804A4C"/>
    <w:rsid w:val="00804ABB"/>
    <w:rsid w:val="00804B11"/>
    <w:rsid w:val="00804B34"/>
    <w:rsid w:val="00804B8C"/>
    <w:rsid w:val="00804BAC"/>
    <w:rsid w:val="00804D11"/>
    <w:rsid w:val="00804EE5"/>
    <w:rsid w:val="00804EEF"/>
    <w:rsid w:val="00805013"/>
    <w:rsid w:val="00805058"/>
    <w:rsid w:val="0080505E"/>
    <w:rsid w:val="00805114"/>
    <w:rsid w:val="0080518F"/>
    <w:rsid w:val="00805214"/>
    <w:rsid w:val="0080526E"/>
    <w:rsid w:val="00805341"/>
    <w:rsid w:val="00805423"/>
    <w:rsid w:val="008055BB"/>
    <w:rsid w:val="00805601"/>
    <w:rsid w:val="008056D8"/>
    <w:rsid w:val="008059B0"/>
    <w:rsid w:val="00805AFE"/>
    <w:rsid w:val="00805B41"/>
    <w:rsid w:val="00805B58"/>
    <w:rsid w:val="00805BD3"/>
    <w:rsid w:val="00805C23"/>
    <w:rsid w:val="00805DD7"/>
    <w:rsid w:val="008060A9"/>
    <w:rsid w:val="008060CF"/>
    <w:rsid w:val="00806165"/>
    <w:rsid w:val="00806312"/>
    <w:rsid w:val="00806320"/>
    <w:rsid w:val="0080632B"/>
    <w:rsid w:val="00806567"/>
    <w:rsid w:val="008065C8"/>
    <w:rsid w:val="00806600"/>
    <w:rsid w:val="00806629"/>
    <w:rsid w:val="008067B1"/>
    <w:rsid w:val="008067EB"/>
    <w:rsid w:val="008068D3"/>
    <w:rsid w:val="0080694D"/>
    <w:rsid w:val="008069D8"/>
    <w:rsid w:val="008069E7"/>
    <w:rsid w:val="00806AF1"/>
    <w:rsid w:val="00806B2D"/>
    <w:rsid w:val="00806C42"/>
    <w:rsid w:val="00806D66"/>
    <w:rsid w:val="00806E14"/>
    <w:rsid w:val="00806E58"/>
    <w:rsid w:val="00806E71"/>
    <w:rsid w:val="00807112"/>
    <w:rsid w:val="0080727D"/>
    <w:rsid w:val="008074DD"/>
    <w:rsid w:val="00807553"/>
    <w:rsid w:val="0080756C"/>
    <w:rsid w:val="0080761F"/>
    <w:rsid w:val="00807668"/>
    <w:rsid w:val="00807720"/>
    <w:rsid w:val="0080780C"/>
    <w:rsid w:val="00807816"/>
    <w:rsid w:val="00807830"/>
    <w:rsid w:val="0080798F"/>
    <w:rsid w:val="0080799D"/>
    <w:rsid w:val="008079B8"/>
    <w:rsid w:val="00807B7D"/>
    <w:rsid w:val="00807C1C"/>
    <w:rsid w:val="00807C56"/>
    <w:rsid w:val="00807C99"/>
    <w:rsid w:val="00807CA8"/>
    <w:rsid w:val="00807DFF"/>
    <w:rsid w:val="00807E96"/>
    <w:rsid w:val="00807EAE"/>
    <w:rsid w:val="00807F1D"/>
    <w:rsid w:val="0081011F"/>
    <w:rsid w:val="0081023A"/>
    <w:rsid w:val="00810266"/>
    <w:rsid w:val="0081026D"/>
    <w:rsid w:val="00810292"/>
    <w:rsid w:val="008102C4"/>
    <w:rsid w:val="008103AA"/>
    <w:rsid w:val="008104A1"/>
    <w:rsid w:val="008104DE"/>
    <w:rsid w:val="008104F1"/>
    <w:rsid w:val="00810574"/>
    <w:rsid w:val="008109D6"/>
    <w:rsid w:val="00810AE8"/>
    <w:rsid w:val="00810D30"/>
    <w:rsid w:val="00810F30"/>
    <w:rsid w:val="0081100C"/>
    <w:rsid w:val="008110FF"/>
    <w:rsid w:val="008112CD"/>
    <w:rsid w:val="00811318"/>
    <w:rsid w:val="00811324"/>
    <w:rsid w:val="00811345"/>
    <w:rsid w:val="008113BF"/>
    <w:rsid w:val="008113DD"/>
    <w:rsid w:val="008114F3"/>
    <w:rsid w:val="0081151A"/>
    <w:rsid w:val="00811647"/>
    <w:rsid w:val="008117B5"/>
    <w:rsid w:val="008117E4"/>
    <w:rsid w:val="008119E0"/>
    <w:rsid w:val="00811C07"/>
    <w:rsid w:val="00811C0F"/>
    <w:rsid w:val="00811C1B"/>
    <w:rsid w:val="00811CF6"/>
    <w:rsid w:val="00811D69"/>
    <w:rsid w:val="00811F32"/>
    <w:rsid w:val="00811F39"/>
    <w:rsid w:val="00811FAE"/>
    <w:rsid w:val="0081216D"/>
    <w:rsid w:val="008123D3"/>
    <w:rsid w:val="008123D7"/>
    <w:rsid w:val="00812514"/>
    <w:rsid w:val="00812600"/>
    <w:rsid w:val="008126C7"/>
    <w:rsid w:val="0081271A"/>
    <w:rsid w:val="0081276A"/>
    <w:rsid w:val="008127B2"/>
    <w:rsid w:val="00812947"/>
    <w:rsid w:val="0081299D"/>
    <w:rsid w:val="00812A98"/>
    <w:rsid w:val="00812B64"/>
    <w:rsid w:val="00812B90"/>
    <w:rsid w:val="00812BA4"/>
    <w:rsid w:val="00812C6D"/>
    <w:rsid w:val="00812CFF"/>
    <w:rsid w:val="00812D7E"/>
    <w:rsid w:val="00812E21"/>
    <w:rsid w:val="00812E52"/>
    <w:rsid w:val="00812E94"/>
    <w:rsid w:val="0081301D"/>
    <w:rsid w:val="00813030"/>
    <w:rsid w:val="00813069"/>
    <w:rsid w:val="00813214"/>
    <w:rsid w:val="008132C9"/>
    <w:rsid w:val="008132EA"/>
    <w:rsid w:val="0081332C"/>
    <w:rsid w:val="00813376"/>
    <w:rsid w:val="008134B9"/>
    <w:rsid w:val="008134DB"/>
    <w:rsid w:val="00813511"/>
    <w:rsid w:val="008136D4"/>
    <w:rsid w:val="00813713"/>
    <w:rsid w:val="00813738"/>
    <w:rsid w:val="0081395B"/>
    <w:rsid w:val="008139B6"/>
    <w:rsid w:val="008139F1"/>
    <w:rsid w:val="00813A1F"/>
    <w:rsid w:val="00813A38"/>
    <w:rsid w:val="00813A91"/>
    <w:rsid w:val="00813B31"/>
    <w:rsid w:val="00813B41"/>
    <w:rsid w:val="00813BBF"/>
    <w:rsid w:val="00813C53"/>
    <w:rsid w:val="00813C92"/>
    <w:rsid w:val="00813D9E"/>
    <w:rsid w:val="00813EC2"/>
    <w:rsid w:val="00813F96"/>
    <w:rsid w:val="00814048"/>
    <w:rsid w:val="00814257"/>
    <w:rsid w:val="0081429D"/>
    <w:rsid w:val="0081434A"/>
    <w:rsid w:val="0081435E"/>
    <w:rsid w:val="00814372"/>
    <w:rsid w:val="0081445C"/>
    <w:rsid w:val="0081447A"/>
    <w:rsid w:val="00814509"/>
    <w:rsid w:val="0081475C"/>
    <w:rsid w:val="00814784"/>
    <w:rsid w:val="0081486C"/>
    <w:rsid w:val="00814B1B"/>
    <w:rsid w:val="00814BAD"/>
    <w:rsid w:val="00814CE2"/>
    <w:rsid w:val="00814D80"/>
    <w:rsid w:val="00814DC0"/>
    <w:rsid w:val="00814DF6"/>
    <w:rsid w:val="00814E25"/>
    <w:rsid w:val="00814E2C"/>
    <w:rsid w:val="00814E47"/>
    <w:rsid w:val="00815088"/>
    <w:rsid w:val="00815166"/>
    <w:rsid w:val="00815170"/>
    <w:rsid w:val="00815200"/>
    <w:rsid w:val="0081535C"/>
    <w:rsid w:val="00815470"/>
    <w:rsid w:val="008154A5"/>
    <w:rsid w:val="008154FF"/>
    <w:rsid w:val="00815553"/>
    <w:rsid w:val="00815565"/>
    <w:rsid w:val="00815597"/>
    <w:rsid w:val="0081569B"/>
    <w:rsid w:val="00815741"/>
    <w:rsid w:val="0081581A"/>
    <w:rsid w:val="00815AFF"/>
    <w:rsid w:val="00815BB9"/>
    <w:rsid w:val="00815C0A"/>
    <w:rsid w:val="00815CB3"/>
    <w:rsid w:val="00815D87"/>
    <w:rsid w:val="008161B9"/>
    <w:rsid w:val="008161BF"/>
    <w:rsid w:val="008162FD"/>
    <w:rsid w:val="00816616"/>
    <w:rsid w:val="0081665C"/>
    <w:rsid w:val="008167F2"/>
    <w:rsid w:val="00816947"/>
    <w:rsid w:val="00816B5E"/>
    <w:rsid w:val="00816B60"/>
    <w:rsid w:val="00816B6C"/>
    <w:rsid w:val="00816BB5"/>
    <w:rsid w:val="00816C16"/>
    <w:rsid w:val="00816D20"/>
    <w:rsid w:val="00816E27"/>
    <w:rsid w:val="00816F5A"/>
    <w:rsid w:val="00816FB9"/>
    <w:rsid w:val="0081700A"/>
    <w:rsid w:val="00817055"/>
    <w:rsid w:val="0081709C"/>
    <w:rsid w:val="0081724E"/>
    <w:rsid w:val="00817392"/>
    <w:rsid w:val="008173DF"/>
    <w:rsid w:val="00817422"/>
    <w:rsid w:val="008174E2"/>
    <w:rsid w:val="00817518"/>
    <w:rsid w:val="0081766C"/>
    <w:rsid w:val="008176FA"/>
    <w:rsid w:val="00817877"/>
    <w:rsid w:val="00817889"/>
    <w:rsid w:val="0081788D"/>
    <w:rsid w:val="0081795A"/>
    <w:rsid w:val="0081799E"/>
    <w:rsid w:val="0081799F"/>
    <w:rsid w:val="008179AF"/>
    <w:rsid w:val="008179E0"/>
    <w:rsid w:val="00817AA8"/>
    <w:rsid w:val="00817AC9"/>
    <w:rsid w:val="00817B3A"/>
    <w:rsid w:val="00817BE8"/>
    <w:rsid w:val="00817BF6"/>
    <w:rsid w:val="00817C97"/>
    <w:rsid w:val="00817D52"/>
    <w:rsid w:val="00817DEF"/>
    <w:rsid w:val="00817E9E"/>
    <w:rsid w:val="00817FC4"/>
    <w:rsid w:val="00817FE5"/>
    <w:rsid w:val="00817FF2"/>
    <w:rsid w:val="00820490"/>
    <w:rsid w:val="008204E8"/>
    <w:rsid w:val="008204F7"/>
    <w:rsid w:val="0082056B"/>
    <w:rsid w:val="008205B0"/>
    <w:rsid w:val="00820627"/>
    <w:rsid w:val="008207EB"/>
    <w:rsid w:val="008208ED"/>
    <w:rsid w:val="00820A3B"/>
    <w:rsid w:val="00820A65"/>
    <w:rsid w:val="00820C0A"/>
    <w:rsid w:val="00820C1E"/>
    <w:rsid w:val="00820C5B"/>
    <w:rsid w:val="00820C5C"/>
    <w:rsid w:val="00820F5B"/>
    <w:rsid w:val="00821087"/>
    <w:rsid w:val="0082118F"/>
    <w:rsid w:val="008211A8"/>
    <w:rsid w:val="00821292"/>
    <w:rsid w:val="008212D8"/>
    <w:rsid w:val="008214DD"/>
    <w:rsid w:val="00821516"/>
    <w:rsid w:val="008218C3"/>
    <w:rsid w:val="00821A87"/>
    <w:rsid w:val="00821B77"/>
    <w:rsid w:val="00821C04"/>
    <w:rsid w:val="00821C62"/>
    <w:rsid w:val="00821C6A"/>
    <w:rsid w:val="00821CC9"/>
    <w:rsid w:val="00821E05"/>
    <w:rsid w:val="00821E9D"/>
    <w:rsid w:val="00821ED7"/>
    <w:rsid w:val="00821F32"/>
    <w:rsid w:val="00821FA0"/>
    <w:rsid w:val="00821FDF"/>
    <w:rsid w:val="008220B5"/>
    <w:rsid w:val="00822195"/>
    <w:rsid w:val="008221F4"/>
    <w:rsid w:val="008222D5"/>
    <w:rsid w:val="00822386"/>
    <w:rsid w:val="008224A2"/>
    <w:rsid w:val="00822513"/>
    <w:rsid w:val="00822558"/>
    <w:rsid w:val="00822581"/>
    <w:rsid w:val="0082258D"/>
    <w:rsid w:val="008227D7"/>
    <w:rsid w:val="00822810"/>
    <w:rsid w:val="00822811"/>
    <w:rsid w:val="0082283B"/>
    <w:rsid w:val="00822845"/>
    <w:rsid w:val="008228D6"/>
    <w:rsid w:val="00822A80"/>
    <w:rsid w:val="00822B39"/>
    <w:rsid w:val="00822BF7"/>
    <w:rsid w:val="00822CCD"/>
    <w:rsid w:val="00822CFC"/>
    <w:rsid w:val="00822D30"/>
    <w:rsid w:val="00822D33"/>
    <w:rsid w:val="00822EBD"/>
    <w:rsid w:val="00822F23"/>
    <w:rsid w:val="00822FD2"/>
    <w:rsid w:val="0082300F"/>
    <w:rsid w:val="0082310E"/>
    <w:rsid w:val="00823121"/>
    <w:rsid w:val="00823132"/>
    <w:rsid w:val="00823305"/>
    <w:rsid w:val="0082330E"/>
    <w:rsid w:val="008235AB"/>
    <w:rsid w:val="008236A1"/>
    <w:rsid w:val="00823709"/>
    <w:rsid w:val="00823726"/>
    <w:rsid w:val="00823798"/>
    <w:rsid w:val="008237D0"/>
    <w:rsid w:val="0082397F"/>
    <w:rsid w:val="008239DA"/>
    <w:rsid w:val="00823A49"/>
    <w:rsid w:val="00823B4B"/>
    <w:rsid w:val="00823C68"/>
    <w:rsid w:val="00823DA4"/>
    <w:rsid w:val="00824059"/>
    <w:rsid w:val="00824093"/>
    <w:rsid w:val="008241B7"/>
    <w:rsid w:val="008242FE"/>
    <w:rsid w:val="0082434D"/>
    <w:rsid w:val="0082439F"/>
    <w:rsid w:val="008243A7"/>
    <w:rsid w:val="0082451D"/>
    <w:rsid w:val="00824575"/>
    <w:rsid w:val="0082465B"/>
    <w:rsid w:val="008247E9"/>
    <w:rsid w:val="00824854"/>
    <w:rsid w:val="008248BB"/>
    <w:rsid w:val="00824908"/>
    <w:rsid w:val="008249A3"/>
    <w:rsid w:val="00824B95"/>
    <w:rsid w:val="00824C2D"/>
    <w:rsid w:val="00824C7F"/>
    <w:rsid w:val="0082503B"/>
    <w:rsid w:val="00825074"/>
    <w:rsid w:val="0082513A"/>
    <w:rsid w:val="00825199"/>
    <w:rsid w:val="008251F9"/>
    <w:rsid w:val="0082520B"/>
    <w:rsid w:val="0082524E"/>
    <w:rsid w:val="008252F8"/>
    <w:rsid w:val="00825500"/>
    <w:rsid w:val="0082560A"/>
    <w:rsid w:val="0082560C"/>
    <w:rsid w:val="008256D5"/>
    <w:rsid w:val="00825743"/>
    <w:rsid w:val="008258E3"/>
    <w:rsid w:val="0082590F"/>
    <w:rsid w:val="00825960"/>
    <w:rsid w:val="00825A65"/>
    <w:rsid w:val="00825AE2"/>
    <w:rsid w:val="00825CA5"/>
    <w:rsid w:val="00825D74"/>
    <w:rsid w:val="00825E71"/>
    <w:rsid w:val="00825E95"/>
    <w:rsid w:val="00825F5C"/>
    <w:rsid w:val="00825FCD"/>
    <w:rsid w:val="00825FD9"/>
    <w:rsid w:val="008260D8"/>
    <w:rsid w:val="008260F3"/>
    <w:rsid w:val="0082614C"/>
    <w:rsid w:val="00826251"/>
    <w:rsid w:val="00826318"/>
    <w:rsid w:val="008263EB"/>
    <w:rsid w:val="00826496"/>
    <w:rsid w:val="008264BB"/>
    <w:rsid w:val="008268B6"/>
    <w:rsid w:val="008268C9"/>
    <w:rsid w:val="008268D4"/>
    <w:rsid w:val="00826976"/>
    <w:rsid w:val="0082699F"/>
    <w:rsid w:val="00826ACA"/>
    <w:rsid w:val="00826BE1"/>
    <w:rsid w:val="00826C8F"/>
    <w:rsid w:val="00826D08"/>
    <w:rsid w:val="00826DC7"/>
    <w:rsid w:val="00826E52"/>
    <w:rsid w:val="00826EBF"/>
    <w:rsid w:val="00826EE1"/>
    <w:rsid w:val="00826F0F"/>
    <w:rsid w:val="00826F40"/>
    <w:rsid w:val="0082700D"/>
    <w:rsid w:val="00827069"/>
    <w:rsid w:val="00827113"/>
    <w:rsid w:val="0082722B"/>
    <w:rsid w:val="00827247"/>
    <w:rsid w:val="00827318"/>
    <w:rsid w:val="008274D5"/>
    <w:rsid w:val="00827693"/>
    <w:rsid w:val="0082785E"/>
    <w:rsid w:val="00827AA2"/>
    <w:rsid w:val="00827BFF"/>
    <w:rsid w:val="00827C81"/>
    <w:rsid w:val="00827CBC"/>
    <w:rsid w:val="00827D34"/>
    <w:rsid w:val="00827E8B"/>
    <w:rsid w:val="00830273"/>
    <w:rsid w:val="008303C7"/>
    <w:rsid w:val="00830435"/>
    <w:rsid w:val="008304B8"/>
    <w:rsid w:val="008305D1"/>
    <w:rsid w:val="0083063F"/>
    <w:rsid w:val="0083065A"/>
    <w:rsid w:val="0083071B"/>
    <w:rsid w:val="00830A2E"/>
    <w:rsid w:val="00830A70"/>
    <w:rsid w:val="00830C16"/>
    <w:rsid w:val="00830CF0"/>
    <w:rsid w:val="00830D2B"/>
    <w:rsid w:val="00830D88"/>
    <w:rsid w:val="00830DA2"/>
    <w:rsid w:val="00830EB5"/>
    <w:rsid w:val="00830ECA"/>
    <w:rsid w:val="00830ECB"/>
    <w:rsid w:val="00830F9C"/>
    <w:rsid w:val="00830FE6"/>
    <w:rsid w:val="0083108B"/>
    <w:rsid w:val="00831178"/>
    <w:rsid w:val="00831194"/>
    <w:rsid w:val="008311C1"/>
    <w:rsid w:val="0083122C"/>
    <w:rsid w:val="00831245"/>
    <w:rsid w:val="008313FB"/>
    <w:rsid w:val="00831532"/>
    <w:rsid w:val="00831659"/>
    <w:rsid w:val="008316ED"/>
    <w:rsid w:val="00831814"/>
    <w:rsid w:val="00831882"/>
    <w:rsid w:val="00831C50"/>
    <w:rsid w:val="00831CEF"/>
    <w:rsid w:val="00831D76"/>
    <w:rsid w:val="00831E37"/>
    <w:rsid w:val="00831E92"/>
    <w:rsid w:val="00831F14"/>
    <w:rsid w:val="00831F26"/>
    <w:rsid w:val="00831F87"/>
    <w:rsid w:val="00832061"/>
    <w:rsid w:val="0083208F"/>
    <w:rsid w:val="008321F1"/>
    <w:rsid w:val="00832256"/>
    <w:rsid w:val="008322FD"/>
    <w:rsid w:val="00832305"/>
    <w:rsid w:val="00832306"/>
    <w:rsid w:val="008324AE"/>
    <w:rsid w:val="00832838"/>
    <w:rsid w:val="00832909"/>
    <w:rsid w:val="00832938"/>
    <w:rsid w:val="008329AE"/>
    <w:rsid w:val="00832A8E"/>
    <w:rsid w:val="00832AD3"/>
    <w:rsid w:val="00832ADF"/>
    <w:rsid w:val="00832B2A"/>
    <w:rsid w:val="00832B91"/>
    <w:rsid w:val="00832BE4"/>
    <w:rsid w:val="00832BF0"/>
    <w:rsid w:val="00832C3C"/>
    <w:rsid w:val="00832C54"/>
    <w:rsid w:val="00832C57"/>
    <w:rsid w:val="00832F2A"/>
    <w:rsid w:val="00832F89"/>
    <w:rsid w:val="00833048"/>
    <w:rsid w:val="008330A3"/>
    <w:rsid w:val="0083320B"/>
    <w:rsid w:val="008332EB"/>
    <w:rsid w:val="00833367"/>
    <w:rsid w:val="00833402"/>
    <w:rsid w:val="0083342F"/>
    <w:rsid w:val="0083346E"/>
    <w:rsid w:val="008334DD"/>
    <w:rsid w:val="00833535"/>
    <w:rsid w:val="00833610"/>
    <w:rsid w:val="00833617"/>
    <w:rsid w:val="00833740"/>
    <w:rsid w:val="00833763"/>
    <w:rsid w:val="00833786"/>
    <w:rsid w:val="008339A7"/>
    <w:rsid w:val="008339F2"/>
    <w:rsid w:val="008339FD"/>
    <w:rsid w:val="00833A77"/>
    <w:rsid w:val="00833AA5"/>
    <w:rsid w:val="00833AD8"/>
    <w:rsid w:val="00833D44"/>
    <w:rsid w:val="00833DE3"/>
    <w:rsid w:val="00834066"/>
    <w:rsid w:val="0083409C"/>
    <w:rsid w:val="008341BA"/>
    <w:rsid w:val="00834287"/>
    <w:rsid w:val="008342EA"/>
    <w:rsid w:val="008343F7"/>
    <w:rsid w:val="00834464"/>
    <w:rsid w:val="008344FF"/>
    <w:rsid w:val="0083465D"/>
    <w:rsid w:val="0083476B"/>
    <w:rsid w:val="0083488C"/>
    <w:rsid w:val="008348BE"/>
    <w:rsid w:val="00834ACD"/>
    <w:rsid w:val="00834BDB"/>
    <w:rsid w:val="00834CDE"/>
    <w:rsid w:val="00834F44"/>
    <w:rsid w:val="00835033"/>
    <w:rsid w:val="00835036"/>
    <w:rsid w:val="00835076"/>
    <w:rsid w:val="00835134"/>
    <w:rsid w:val="008351E5"/>
    <w:rsid w:val="00835225"/>
    <w:rsid w:val="00835397"/>
    <w:rsid w:val="008353B4"/>
    <w:rsid w:val="008353E6"/>
    <w:rsid w:val="0083547D"/>
    <w:rsid w:val="00835489"/>
    <w:rsid w:val="008354ED"/>
    <w:rsid w:val="0083555A"/>
    <w:rsid w:val="0083578A"/>
    <w:rsid w:val="00835800"/>
    <w:rsid w:val="00835851"/>
    <w:rsid w:val="00835956"/>
    <w:rsid w:val="00835AA0"/>
    <w:rsid w:val="00835B29"/>
    <w:rsid w:val="00835C2D"/>
    <w:rsid w:val="00835FB4"/>
    <w:rsid w:val="008360BE"/>
    <w:rsid w:val="00836146"/>
    <w:rsid w:val="00836227"/>
    <w:rsid w:val="00836254"/>
    <w:rsid w:val="0083633E"/>
    <w:rsid w:val="00836499"/>
    <w:rsid w:val="008364CB"/>
    <w:rsid w:val="0083681C"/>
    <w:rsid w:val="00836B35"/>
    <w:rsid w:val="00836B63"/>
    <w:rsid w:val="00836BFC"/>
    <w:rsid w:val="00836DDA"/>
    <w:rsid w:val="00836DE5"/>
    <w:rsid w:val="00836E45"/>
    <w:rsid w:val="00836EEB"/>
    <w:rsid w:val="00836FAD"/>
    <w:rsid w:val="008370A6"/>
    <w:rsid w:val="0083713B"/>
    <w:rsid w:val="0083736E"/>
    <w:rsid w:val="00837377"/>
    <w:rsid w:val="00837488"/>
    <w:rsid w:val="00837588"/>
    <w:rsid w:val="008375EF"/>
    <w:rsid w:val="008378A1"/>
    <w:rsid w:val="008379E0"/>
    <w:rsid w:val="00837E99"/>
    <w:rsid w:val="00837FEC"/>
    <w:rsid w:val="008400AD"/>
    <w:rsid w:val="00840129"/>
    <w:rsid w:val="008401D4"/>
    <w:rsid w:val="008403D8"/>
    <w:rsid w:val="0084047E"/>
    <w:rsid w:val="00840697"/>
    <w:rsid w:val="008406F5"/>
    <w:rsid w:val="00840878"/>
    <w:rsid w:val="008408B5"/>
    <w:rsid w:val="00840A79"/>
    <w:rsid w:val="00840AAB"/>
    <w:rsid w:val="00840B06"/>
    <w:rsid w:val="00840B1A"/>
    <w:rsid w:val="00840BA3"/>
    <w:rsid w:val="00840BC7"/>
    <w:rsid w:val="00840CE9"/>
    <w:rsid w:val="00840D64"/>
    <w:rsid w:val="00840DDB"/>
    <w:rsid w:val="00840E2E"/>
    <w:rsid w:val="00840FE0"/>
    <w:rsid w:val="008410CD"/>
    <w:rsid w:val="00841199"/>
    <w:rsid w:val="008412C7"/>
    <w:rsid w:val="00841340"/>
    <w:rsid w:val="008414B5"/>
    <w:rsid w:val="00841518"/>
    <w:rsid w:val="008415E7"/>
    <w:rsid w:val="00841793"/>
    <w:rsid w:val="008417A8"/>
    <w:rsid w:val="008417BF"/>
    <w:rsid w:val="008418FB"/>
    <w:rsid w:val="00841AED"/>
    <w:rsid w:val="00841BCE"/>
    <w:rsid w:val="00841C2F"/>
    <w:rsid w:val="00841C3E"/>
    <w:rsid w:val="00841C5A"/>
    <w:rsid w:val="00841CD8"/>
    <w:rsid w:val="00841D39"/>
    <w:rsid w:val="00841F14"/>
    <w:rsid w:val="00841FBC"/>
    <w:rsid w:val="00841FF4"/>
    <w:rsid w:val="00842154"/>
    <w:rsid w:val="00842396"/>
    <w:rsid w:val="008424C9"/>
    <w:rsid w:val="00842501"/>
    <w:rsid w:val="008425B7"/>
    <w:rsid w:val="00842646"/>
    <w:rsid w:val="00842697"/>
    <w:rsid w:val="00842716"/>
    <w:rsid w:val="008427EA"/>
    <w:rsid w:val="008428E3"/>
    <w:rsid w:val="00842996"/>
    <w:rsid w:val="00842A07"/>
    <w:rsid w:val="00842A7E"/>
    <w:rsid w:val="00842B5D"/>
    <w:rsid w:val="00842C2B"/>
    <w:rsid w:val="00842D20"/>
    <w:rsid w:val="00842DAA"/>
    <w:rsid w:val="00842E37"/>
    <w:rsid w:val="00842F0E"/>
    <w:rsid w:val="00842F7A"/>
    <w:rsid w:val="00842FBC"/>
    <w:rsid w:val="00843010"/>
    <w:rsid w:val="00843249"/>
    <w:rsid w:val="00843390"/>
    <w:rsid w:val="0084354F"/>
    <w:rsid w:val="008436FB"/>
    <w:rsid w:val="008437B3"/>
    <w:rsid w:val="00843844"/>
    <w:rsid w:val="008438C4"/>
    <w:rsid w:val="008439AC"/>
    <w:rsid w:val="008439CA"/>
    <w:rsid w:val="00843A93"/>
    <w:rsid w:val="00843AE6"/>
    <w:rsid w:val="00843B08"/>
    <w:rsid w:val="00843B5E"/>
    <w:rsid w:val="00843BFD"/>
    <w:rsid w:val="00843C4B"/>
    <w:rsid w:val="00843C72"/>
    <w:rsid w:val="00843C75"/>
    <w:rsid w:val="00843CBE"/>
    <w:rsid w:val="00844006"/>
    <w:rsid w:val="0084408E"/>
    <w:rsid w:val="008440A2"/>
    <w:rsid w:val="00844103"/>
    <w:rsid w:val="008441A7"/>
    <w:rsid w:val="0084426A"/>
    <w:rsid w:val="0084429A"/>
    <w:rsid w:val="008442B0"/>
    <w:rsid w:val="0084450C"/>
    <w:rsid w:val="00844554"/>
    <w:rsid w:val="00844587"/>
    <w:rsid w:val="00844693"/>
    <w:rsid w:val="00844735"/>
    <w:rsid w:val="00844752"/>
    <w:rsid w:val="00844897"/>
    <w:rsid w:val="008448D4"/>
    <w:rsid w:val="008448D5"/>
    <w:rsid w:val="0084493E"/>
    <w:rsid w:val="00844996"/>
    <w:rsid w:val="00844AAE"/>
    <w:rsid w:val="00844BB7"/>
    <w:rsid w:val="00844BC5"/>
    <w:rsid w:val="00844BDA"/>
    <w:rsid w:val="00844C85"/>
    <w:rsid w:val="00844D4E"/>
    <w:rsid w:val="00844D79"/>
    <w:rsid w:val="00844DEA"/>
    <w:rsid w:val="00844EE6"/>
    <w:rsid w:val="00844FEE"/>
    <w:rsid w:val="008450DE"/>
    <w:rsid w:val="008450F7"/>
    <w:rsid w:val="00845254"/>
    <w:rsid w:val="0084532B"/>
    <w:rsid w:val="00845340"/>
    <w:rsid w:val="00845477"/>
    <w:rsid w:val="008455F8"/>
    <w:rsid w:val="0084561F"/>
    <w:rsid w:val="00845786"/>
    <w:rsid w:val="00845858"/>
    <w:rsid w:val="00845A21"/>
    <w:rsid w:val="00845A59"/>
    <w:rsid w:val="00845AE8"/>
    <w:rsid w:val="00845BE0"/>
    <w:rsid w:val="00845C33"/>
    <w:rsid w:val="00845D44"/>
    <w:rsid w:val="00845DB3"/>
    <w:rsid w:val="00845F3B"/>
    <w:rsid w:val="0084604C"/>
    <w:rsid w:val="0084612E"/>
    <w:rsid w:val="00846231"/>
    <w:rsid w:val="00846270"/>
    <w:rsid w:val="0084628E"/>
    <w:rsid w:val="00846388"/>
    <w:rsid w:val="008463DE"/>
    <w:rsid w:val="00846485"/>
    <w:rsid w:val="0084653E"/>
    <w:rsid w:val="008465DA"/>
    <w:rsid w:val="008466C6"/>
    <w:rsid w:val="0084673A"/>
    <w:rsid w:val="00846786"/>
    <w:rsid w:val="00846790"/>
    <w:rsid w:val="008467E8"/>
    <w:rsid w:val="0084694F"/>
    <w:rsid w:val="00846B1F"/>
    <w:rsid w:val="00846C7E"/>
    <w:rsid w:val="00846C91"/>
    <w:rsid w:val="00846CE8"/>
    <w:rsid w:val="00846D44"/>
    <w:rsid w:val="00846DE6"/>
    <w:rsid w:val="00846E7D"/>
    <w:rsid w:val="00846E92"/>
    <w:rsid w:val="00846E94"/>
    <w:rsid w:val="00846EE8"/>
    <w:rsid w:val="00847067"/>
    <w:rsid w:val="00847073"/>
    <w:rsid w:val="0084717C"/>
    <w:rsid w:val="0084726C"/>
    <w:rsid w:val="00847276"/>
    <w:rsid w:val="008472E9"/>
    <w:rsid w:val="00847355"/>
    <w:rsid w:val="008475F8"/>
    <w:rsid w:val="0084762F"/>
    <w:rsid w:val="008478E6"/>
    <w:rsid w:val="00847912"/>
    <w:rsid w:val="00847955"/>
    <w:rsid w:val="00847C1A"/>
    <w:rsid w:val="00847C20"/>
    <w:rsid w:val="00847DD7"/>
    <w:rsid w:val="00847E0D"/>
    <w:rsid w:val="00847EE2"/>
    <w:rsid w:val="00847F82"/>
    <w:rsid w:val="008500F6"/>
    <w:rsid w:val="0085023F"/>
    <w:rsid w:val="0085040D"/>
    <w:rsid w:val="00850434"/>
    <w:rsid w:val="00850445"/>
    <w:rsid w:val="00850446"/>
    <w:rsid w:val="00850470"/>
    <w:rsid w:val="008505BB"/>
    <w:rsid w:val="008505CA"/>
    <w:rsid w:val="008505D2"/>
    <w:rsid w:val="0085064B"/>
    <w:rsid w:val="00850658"/>
    <w:rsid w:val="0085066A"/>
    <w:rsid w:val="008506ED"/>
    <w:rsid w:val="00850777"/>
    <w:rsid w:val="008507F6"/>
    <w:rsid w:val="0085083A"/>
    <w:rsid w:val="008509BC"/>
    <w:rsid w:val="008509EE"/>
    <w:rsid w:val="00850DF0"/>
    <w:rsid w:val="00850E5E"/>
    <w:rsid w:val="00851010"/>
    <w:rsid w:val="008510BB"/>
    <w:rsid w:val="00851170"/>
    <w:rsid w:val="008511C4"/>
    <w:rsid w:val="008512AD"/>
    <w:rsid w:val="008513DA"/>
    <w:rsid w:val="0085151C"/>
    <w:rsid w:val="00851694"/>
    <w:rsid w:val="008516DD"/>
    <w:rsid w:val="0085178A"/>
    <w:rsid w:val="008517A4"/>
    <w:rsid w:val="008517C1"/>
    <w:rsid w:val="00851810"/>
    <w:rsid w:val="00851823"/>
    <w:rsid w:val="00851930"/>
    <w:rsid w:val="00851943"/>
    <w:rsid w:val="00851A72"/>
    <w:rsid w:val="00851C96"/>
    <w:rsid w:val="00851D0F"/>
    <w:rsid w:val="00851D14"/>
    <w:rsid w:val="00851EE6"/>
    <w:rsid w:val="00851F10"/>
    <w:rsid w:val="00852014"/>
    <w:rsid w:val="008522E2"/>
    <w:rsid w:val="00852519"/>
    <w:rsid w:val="00852544"/>
    <w:rsid w:val="00852820"/>
    <w:rsid w:val="008528E5"/>
    <w:rsid w:val="00852985"/>
    <w:rsid w:val="008529C0"/>
    <w:rsid w:val="00852C4C"/>
    <w:rsid w:val="00852C58"/>
    <w:rsid w:val="00852E06"/>
    <w:rsid w:val="00852E55"/>
    <w:rsid w:val="00852E68"/>
    <w:rsid w:val="00852E78"/>
    <w:rsid w:val="00853070"/>
    <w:rsid w:val="00853186"/>
    <w:rsid w:val="0085319A"/>
    <w:rsid w:val="0085320F"/>
    <w:rsid w:val="008532B8"/>
    <w:rsid w:val="0085333B"/>
    <w:rsid w:val="0085348B"/>
    <w:rsid w:val="0085353C"/>
    <w:rsid w:val="00853837"/>
    <w:rsid w:val="00853844"/>
    <w:rsid w:val="00853B25"/>
    <w:rsid w:val="00853BD7"/>
    <w:rsid w:val="00853C05"/>
    <w:rsid w:val="00853C5E"/>
    <w:rsid w:val="00853D27"/>
    <w:rsid w:val="00853E87"/>
    <w:rsid w:val="00853F03"/>
    <w:rsid w:val="008540F9"/>
    <w:rsid w:val="00854182"/>
    <w:rsid w:val="008542AB"/>
    <w:rsid w:val="008543E2"/>
    <w:rsid w:val="008544D0"/>
    <w:rsid w:val="00854579"/>
    <w:rsid w:val="00854595"/>
    <w:rsid w:val="008546B6"/>
    <w:rsid w:val="00854728"/>
    <w:rsid w:val="00854783"/>
    <w:rsid w:val="008548A2"/>
    <w:rsid w:val="008548DF"/>
    <w:rsid w:val="00854970"/>
    <w:rsid w:val="008549DA"/>
    <w:rsid w:val="00854A49"/>
    <w:rsid w:val="00854B4C"/>
    <w:rsid w:val="00854B60"/>
    <w:rsid w:val="00854B79"/>
    <w:rsid w:val="00854C3B"/>
    <w:rsid w:val="00854DCC"/>
    <w:rsid w:val="00854DCF"/>
    <w:rsid w:val="00854FCE"/>
    <w:rsid w:val="0085510F"/>
    <w:rsid w:val="00855118"/>
    <w:rsid w:val="00855147"/>
    <w:rsid w:val="00855160"/>
    <w:rsid w:val="00855178"/>
    <w:rsid w:val="0085519E"/>
    <w:rsid w:val="0085526F"/>
    <w:rsid w:val="008552E8"/>
    <w:rsid w:val="008554F1"/>
    <w:rsid w:val="00855580"/>
    <w:rsid w:val="008555C3"/>
    <w:rsid w:val="0085560D"/>
    <w:rsid w:val="008556D0"/>
    <w:rsid w:val="00855870"/>
    <w:rsid w:val="00855999"/>
    <w:rsid w:val="00855BE2"/>
    <w:rsid w:val="00855D6F"/>
    <w:rsid w:val="00855F06"/>
    <w:rsid w:val="00855F7E"/>
    <w:rsid w:val="00856052"/>
    <w:rsid w:val="00856059"/>
    <w:rsid w:val="008560ED"/>
    <w:rsid w:val="00856293"/>
    <w:rsid w:val="008562F6"/>
    <w:rsid w:val="00856416"/>
    <w:rsid w:val="00856423"/>
    <w:rsid w:val="00856435"/>
    <w:rsid w:val="0085644C"/>
    <w:rsid w:val="008565C8"/>
    <w:rsid w:val="008565FE"/>
    <w:rsid w:val="0085662F"/>
    <w:rsid w:val="00856851"/>
    <w:rsid w:val="008569E8"/>
    <w:rsid w:val="00856A5A"/>
    <w:rsid w:val="00856ABB"/>
    <w:rsid w:val="00856BC5"/>
    <w:rsid w:val="00856EDA"/>
    <w:rsid w:val="00856F4B"/>
    <w:rsid w:val="00856FFD"/>
    <w:rsid w:val="00857110"/>
    <w:rsid w:val="008572A1"/>
    <w:rsid w:val="008572CA"/>
    <w:rsid w:val="008573D5"/>
    <w:rsid w:val="008573FF"/>
    <w:rsid w:val="0085750D"/>
    <w:rsid w:val="008575A8"/>
    <w:rsid w:val="008575ED"/>
    <w:rsid w:val="008576A4"/>
    <w:rsid w:val="0085773B"/>
    <w:rsid w:val="008577C2"/>
    <w:rsid w:val="0085783F"/>
    <w:rsid w:val="00857877"/>
    <w:rsid w:val="008579F8"/>
    <w:rsid w:val="00857C03"/>
    <w:rsid w:val="00857C4A"/>
    <w:rsid w:val="00857F08"/>
    <w:rsid w:val="00857F24"/>
    <w:rsid w:val="00857F39"/>
    <w:rsid w:val="00857FBF"/>
    <w:rsid w:val="00857FD5"/>
    <w:rsid w:val="00857FD9"/>
    <w:rsid w:val="00860024"/>
    <w:rsid w:val="0086002D"/>
    <w:rsid w:val="0086007C"/>
    <w:rsid w:val="008600DB"/>
    <w:rsid w:val="00860164"/>
    <w:rsid w:val="00860471"/>
    <w:rsid w:val="008606A3"/>
    <w:rsid w:val="0086072B"/>
    <w:rsid w:val="008607D6"/>
    <w:rsid w:val="00860901"/>
    <w:rsid w:val="00860902"/>
    <w:rsid w:val="00860990"/>
    <w:rsid w:val="00860AB9"/>
    <w:rsid w:val="00860CD3"/>
    <w:rsid w:val="00860D10"/>
    <w:rsid w:val="00860D90"/>
    <w:rsid w:val="00860DCA"/>
    <w:rsid w:val="00860E50"/>
    <w:rsid w:val="00860EB1"/>
    <w:rsid w:val="00860EDC"/>
    <w:rsid w:val="00860F12"/>
    <w:rsid w:val="00861084"/>
    <w:rsid w:val="00861321"/>
    <w:rsid w:val="0086132C"/>
    <w:rsid w:val="008614A1"/>
    <w:rsid w:val="008614C5"/>
    <w:rsid w:val="0086153A"/>
    <w:rsid w:val="0086163F"/>
    <w:rsid w:val="0086172E"/>
    <w:rsid w:val="00861768"/>
    <w:rsid w:val="008618ED"/>
    <w:rsid w:val="008619DA"/>
    <w:rsid w:val="00861A57"/>
    <w:rsid w:val="00861A83"/>
    <w:rsid w:val="00861B73"/>
    <w:rsid w:val="00861C36"/>
    <w:rsid w:val="00861CB5"/>
    <w:rsid w:val="00861D09"/>
    <w:rsid w:val="00861D9C"/>
    <w:rsid w:val="00862025"/>
    <w:rsid w:val="0086212B"/>
    <w:rsid w:val="008621A0"/>
    <w:rsid w:val="008621C5"/>
    <w:rsid w:val="0086221D"/>
    <w:rsid w:val="00862281"/>
    <w:rsid w:val="00862298"/>
    <w:rsid w:val="00862355"/>
    <w:rsid w:val="0086240D"/>
    <w:rsid w:val="008624B0"/>
    <w:rsid w:val="008624B9"/>
    <w:rsid w:val="0086256F"/>
    <w:rsid w:val="0086259D"/>
    <w:rsid w:val="00862623"/>
    <w:rsid w:val="00862671"/>
    <w:rsid w:val="00862754"/>
    <w:rsid w:val="00862771"/>
    <w:rsid w:val="00862778"/>
    <w:rsid w:val="008628A7"/>
    <w:rsid w:val="00862951"/>
    <w:rsid w:val="00862B38"/>
    <w:rsid w:val="00862D35"/>
    <w:rsid w:val="00862D5A"/>
    <w:rsid w:val="00862ED1"/>
    <w:rsid w:val="00863089"/>
    <w:rsid w:val="00863116"/>
    <w:rsid w:val="008631BA"/>
    <w:rsid w:val="00863236"/>
    <w:rsid w:val="00863253"/>
    <w:rsid w:val="00863261"/>
    <w:rsid w:val="0086335F"/>
    <w:rsid w:val="00863367"/>
    <w:rsid w:val="00863372"/>
    <w:rsid w:val="00863374"/>
    <w:rsid w:val="0086345E"/>
    <w:rsid w:val="00863567"/>
    <w:rsid w:val="008635A4"/>
    <w:rsid w:val="00863612"/>
    <w:rsid w:val="00863628"/>
    <w:rsid w:val="0086366B"/>
    <w:rsid w:val="00863758"/>
    <w:rsid w:val="00863759"/>
    <w:rsid w:val="0086381D"/>
    <w:rsid w:val="008638FC"/>
    <w:rsid w:val="00863978"/>
    <w:rsid w:val="008639BF"/>
    <w:rsid w:val="00863A46"/>
    <w:rsid w:val="00863AAE"/>
    <w:rsid w:val="00863B5C"/>
    <w:rsid w:val="00863BD7"/>
    <w:rsid w:val="00863C30"/>
    <w:rsid w:val="00863DE5"/>
    <w:rsid w:val="00863E6F"/>
    <w:rsid w:val="00863E85"/>
    <w:rsid w:val="00863F22"/>
    <w:rsid w:val="00863F82"/>
    <w:rsid w:val="00863FDF"/>
    <w:rsid w:val="00864046"/>
    <w:rsid w:val="008640F6"/>
    <w:rsid w:val="008641B9"/>
    <w:rsid w:val="0086439F"/>
    <w:rsid w:val="008643E0"/>
    <w:rsid w:val="0086475C"/>
    <w:rsid w:val="008647E5"/>
    <w:rsid w:val="008649BF"/>
    <w:rsid w:val="00864A34"/>
    <w:rsid w:val="00864CE0"/>
    <w:rsid w:val="00864D8D"/>
    <w:rsid w:val="00864E15"/>
    <w:rsid w:val="00864E99"/>
    <w:rsid w:val="00864F1E"/>
    <w:rsid w:val="00864FBE"/>
    <w:rsid w:val="00865007"/>
    <w:rsid w:val="0086503C"/>
    <w:rsid w:val="008650BD"/>
    <w:rsid w:val="008650F3"/>
    <w:rsid w:val="0086510A"/>
    <w:rsid w:val="00865351"/>
    <w:rsid w:val="00865459"/>
    <w:rsid w:val="0086545A"/>
    <w:rsid w:val="008655BA"/>
    <w:rsid w:val="0086564F"/>
    <w:rsid w:val="00865728"/>
    <w:rsid w:val="00865765"/>
    <w:rsid w:val="008657FA"/>
    <w:rsid w:val="00865847"/>
    <w:rsid w:val="00865936"/>
    <w:rsid w:val="008659DE"/>
    <w:rsid w:val="008659ED"/>
    <w:rsid w:val="008659FC"/>
    <w:rsid w:val="00865A5E"/>
    <w:rsid w:val="00865A75"/>
    <w:rsid w:val="00865AD0"/>
    <w:rsid w:val="00865ADB"/>
    <w:rsid w:val="00865B85"/>
    <w:rsid w:val="00865BD5"/>
    <w:rsid w:val="00865CA2"/>
    <w:rsid w:val="00865CB6"/>
    <w:rsid w:val="00865CF8"/>
    <w:rsid w:val="00865E3C"/>
    <w:rsid w:val="00865F5E"/>
    <w:rsid w:val="00865FF0"/>
    <w:rsid w:val="00866056"/>
    <w:rsid w:val="008660D8"/>
    <w:rsid w:val="00866121"/>
    <w:rsid w:val="0086636E"/>
    <w:rsid w:val="008663BD"/>
    <w:rsid w:val="008663CF"/>
    <w:rsid w:val="00866412"/>
    <w:rsid w:val="00866464"/>
    <w:rsid w:val="008664E7"/>
    <w:rsid w:val="008664E8"/>
    <w:rsid w:val="008666D6"/>
    <w:rsid w:val="00866779"/>
    <w:rsid w:val="008667FF"/>
    <w:rsid w:val="00866916"/>
    <w:rsid w:val="00866C09"/>
    <w:rsid w:val="00866C99"/>
    <w:rsid w:val="00866D1F"/>
    <w:rsid w:val="00866E10"/>
    <w:rsid w:val="00866E34"/>
    <w:rsid w:val="008670FD"/>
    <w:rsid w:val="00867108"/>
    <w:rsid w:val="00867132"/>
    <w:rsid w:val="00867282"/>
    <w:rsid w:val="00867349"/>
    <w:rsid w:val="008673FF"/>
    <w:rsid w:val="008674B0"/>
    <w:rsid w:val="008674E2"/>
    <w:rsid w:val="00867571"/>
    <w:rsid w:val="0086758B"/>
    <w:rsid w:val="008675BE"/>
    <w:rsid w:val="008676B6"/>
    <w:rsid w:val="008676D7"/>
    <w:rsid w:val="008677C8"/>
    <w:rsid w:val="008677FD"/>
    <w:rsid w:val="0086781A"/>
    <w:rsid w:val="00867A31"/>
    <w:rsid w:val="00867A6A"/>
    <w:rsid w:val="00867B05"/>
    <w:rsid w:val="00867C2D"/>
    <w:rsid w:val="00867CAA"/>
    <w:rsid w:val="00867CCA"/>
    <w:rsid w:val="00867CF2"/>
    <w:rsid w:val="00867D32"/>
    <w:rsid w:val="00867F2E"/>
    <w:rsid w:val="00867F6B"/>
    <w:rsid w:val="00867F7B"/>
    <w:rsid w:val="00867FC6"/>
    <w:rsid w:val="00870099"/>
    <w:rsid w:val="008701DF"/>
    <w:rsid w:val="0087021C"/>
    <w:rsid w:val="00870265"/>
    <w:rsid w:val="0087034A"/>
    <w:rsid w:val="0087036D"/>
    <w:rsid w:val="00870565"/>
    <w:rsid w:val="008705C7"/>
    <w:rsid w:val="008706D3"/>
    <w:rsid w:val="008706F8"/>
    <w:rsid w:val="008707B3"/>
    <w:rsid w:val="00870849"/>
    <w:rsid w:val="00870863"/>
    <w:rsid w:val="00870888"/>
    <w:rsid w:val="008708CF"/>
    <w:rsid w:val="008708D6"/>
    <w:rsid w:val="00870964"/>
    <w:rsid w:val="008709FF"/>
    <w:rsid w:val="00870AB4"/>
    <w:rsid w:val="00870AD1"/>
    <w:rsid w:val="00870BE5"/>
    <w:rsid w:val="00870C99"/>
    <w:rsid w:val="00870F3C"/>
    <w:rsid w:val="00871042"/>
    <w:rsid w:val="008711A3"/>
    <w:rsid w:val="0087147B"/>
    <w:rsid w:val="0087149B"/>
    <w:rsid w:val="0087151F"/>
    <w:rsid w:val="008716DB"/>
    <w:rsid w:val="008716FA"/>
    <w:rsid w:val="008717D4"/>
    <w:rsid w:val="00871816"/>
    <w:rsid w:val="0087184C"/>
    <w:rsid w:val="00871ABE"/>
    <w:rsid w:val="00871BA4"/>
    <w:rsid w:val="00871BFA"/>
    <w:rsid w:val="00871C85"/>
    <w:rsid w:val="00871DD9"/>
    <w:rsid w:val="008720C5"/>
    <w:rsid w:val="00872365"/>
    <w:rsid w:val="00872401"/>
    <w:rsid w:val="008724E4"/>
    <w:rsid w:val="00872508"/>
    <w:rsid w:val="00872526"/>
    <w:rsid w:val="0087257C"/>
    <w:rsid w:val="008725BF"/>
    <w:rsid w:val="0087280E"/>
    <w:rsid w:val="0087285D"/>
    <w:rsid w:val="00872989"/>
    <w:rsid w:val="008729C2"/>
    <w:rsid w:val="00872B20"/>
    <w:rsid w:val="00872B3C"/>
    <w:rsid w:val="00872C14"/>
    <w:rsid w:val="00872C96"/>
    <w:rsid w:val="00872CE6"/>
    <w:rsid w:val="00872CF7"/>
    <w:rsid w:val="00872E8D"/>
    <w:rsid w:val="00872EA9"/>
    <w:rsid w:val="00872F44"/>
    <w:rsid w:val="00872FC7"/>
    <w:rsid w:val="00872FDC"/>
    <w:rsid w:val="00872FE7"/>
    <w:rsid w:val="00873142"/>
    <w:rsid w:val="00873216"/>
    <w:rsid w:val="008732A7"/>
    <w:rsid w:val="008736C8"/>
    <w:rsid w:val="00873812"/>
    <w:rsid w:val="0087394A"/>
    <w:rsid w:val="008739E2"/>
    <w:rsid w:val="00873B25"/>
    <w:rsid w:val="00873BE3"/>
    <w:rsid w:val="00873C19"/>
    <w:rsid w:val="00873C52"/>
    <w:rsid w:val="00873D33"/>
    <w:rsid w:val="00873D4E"/>
    <w:rsid w:val="00873E2B"/>
    <w:rsid w:val="00873F89"/>
    <w:rsid w:val="00874509"/>
    <w:rsid w:val="008745B1"/>
    <w:rsid w:val="008745DF"/>
    <w:rsid w:val="00874681"/>
    <w:rsid w:val="0087468C"/>
    <w:rsid w:val="00874712"/>
    <w:rsid w:val="008748BB"/>
    <w:rsid w:val="00874922"/>
    <w:rsid w:val="00874A45"/>
    <w:rsid w:val="00874B63"/>
    <w:rsid w:val="00874C60"/>
    <w:rsid w:val="00874C6B"/>
    <w:rsid w:val="00874E13"/>
    <w:rsid w:val="00874EC7"/>
    <w:rsid w:val="00874F6B"/>
    <w:rsid w:val="00875056"/>
    <w:rsid w:val="008750EA"/>
    <w:rsid w:val="00875150"/>
    <w:rsid w:val="008752AD"/>
    <w:rsid w:val="00875403"/>
    <w:rsid w:val="00875472"/>
    <w:rsid w:val="008754CB"/>
    <w:rsid w:val="00875564"/>
    <w:rsid w:val="008755F0"/>
    <w:rsid w:val="008756C3"/>
    <w:rsid w:val="0087582E"/>
    <w:rsid w:val="00875857"/>
    <w:rsid w:val="0087586B"/>
    <w:rsid w:val="00875904"/>
    <w:rsid w:val="0087599D"/>
    <w:rsid w:val="008759D1"/>
    <w:rsid w:val="00875A1E"/>
    <w:rsid w:val="00875A70"/>
    <w:rsid w:val="00875CA2"/>
    <w:rsid w:val="00875D93"/>
    <w:rsid w:val="00875EC1"/>
    <w:rsid w:val="00875EC6"/>
    <w:rsid w:val="008760C2"/>
    <w:rsid w:val="008760CE"/>
    <w:rsid w:val="0087615E"/>
    <w:rsid w:val="008761D0"/>
    <w:rsid w:val="0087633D"/>
    <w:rsid w:val="00876423"/>
    <w:rsid w:val="00876593"/>
    <w:rsid w:val="008765BD"/>
    <w:rsid w:val="00876616"/>
    <w:rsid w:val="00876744"/>
    <w:rsid w:val="008768CA"/>
    <w:rsid w:val="008769B8"/>
    <w:rsid w:val="00876B67"/>
    <w:rsid w:val="00876B68"/>
    <w:rsid w:val="00876BE1"/>
    <w:rsid w:val="00876BF8"/>
    <w:rsid w:val="00876D14"/>
    <w:rsid w:val="00876D19"/>
    <w:rsid w:val="00876D49"/>
    <w:rsid w:val="00876E31"/>
    <w:rsid w:val="00876EF6"/>
    <w:rsid w:val="00876F0D"/>
    <w:rsid w:val="00876F48"/>
    <w:rsid w:val="00876F61"/>
    <w:rsid w:val="00876F85"/>
    <w:rsid w:val="00876FA6"/>
    <w:rsid w:val="00877042"/>
    <w:rsid w:val="008771B4"/>
    <w:rsid w:val="00877268"/>
    <w:rsid w:val="008772A5"/>
    <w:rsid w:val="0087747B"/>
    <w:rsid w:val="008774A0"/>
    <w:rsid w:val="008774A3"/>
    <w:rsid w:val="008774F1"/>
    <w:rsid w:val="0087761D"/>
    <w:rsid w:val="00877764"/>
    <w:rsid w:val="0087776E"/>
    <w:rsid w:val="0087777A"/>
    <w:rsid w:val="00877A24"/>
    <w:rsid w:val="00877ABC"/>
    <w:rsid w:val="00877B28"/>
    <w:rsid w:val="00877BE6"/>
    <w:rsid w:val="00877F99"/>
    <w:rsid w:val="00880009"/>
    <w:rsid w:val="00880174"/>
    <w:rsid w:val="008801AD"/>
    <w:rsid w:val="008801BA"/>
    <w:rsid w:val="008801CC"/>
    <w:rsid w:val="00880272"/>
    <w:rsid w:val="008802CB"/>
    <w:rsid w:val="008802D5"/>
    <w:rsid w:val="008803D0"/>
    <w:rsid w:val="0088046E"/>
    <w:rsid w:val="00880645"/>
    <w:rsid w:val="00880646"/>
    <w:rsid w:val="00880656"/>
    <w:rsid w:val="008807C3"/>
    <w:rsid w:val="00880862"/>
    <w:rsid w:val="00880AEB"/>
    <w:rsid w:val="00880B3E"/>
    <w:rsid w:val="00880B5A"/>
    <w:rsid w:val="00880B60"/>
    <w:rsid w:val="00880B69"/>
    <w:rsid w:val="00880BC7"/>
    <w:rsid w:val="00880C18"/>
    <w:rsid w:val="00880D84"/>
    <w:rsid w:val="00880DDE"/>
    <w:rsid w:val="00880EE6"/>
    <w:rsid w:val="00880F5B"/>
    <w:rsid w:val="00880F62"/>
    <w:rsid w:val="00880F6F"/>
    <w:rsid w:val="00880FF7"/>
    <w:rsid w:val="00881042"/>
    <w:rsid w:val="0088114F"/>
    <w:rsid w:val="00881200"/>
    <w:rsid w:val="008812B3"/>
    <w:rsid w:val="008814BF"/>
    <w:rsid w:val="00881712"/>
    <w:rsid w:val="00881868"/>
    <w:rsid w:val="0088188B"/>
    <w:rsid w:val="008819B1"/>
    <w:rsid w:val="00881A50"/>
    <w:rsid w:val="00881A9A"/>
    <w:rsid w:val="00881AB5"/>
    <w:rsid w:val="00881BA8"/>
    <w:rsid w:val="00881BCC"/>
    <w:rsid w:val="00881BDE"/>
    <w:rsid w:val="00881C3D"/>
    <w:rsid w:val="00881C4E"/>
    <w:rsid w:val="00881CF2"/>
    <w:rsid w:val="00881D0E"/>
    <w:rsid w:val="00881D75"/>
    <w:rsid w:val="00881E40"/>
    <w:rsid w:val="00881E4E"/>
    <w:rsid w:val="00881E5D"/>
    <w:rsid w:val="00881E81"/>
    <w:rsid w:val="00881ED9"/>
    <w:rsid w:val="008820C3"/>
    <w:rsid w:val="00882111"/>
    <w:rsid w:val="008822D2"/>
    <w:rsid w:val="008825A0"/>
    <w:rsid w:val="008825A4"/>
    <w:rsid w:val="00882613"/>
    <w:rsid w:val="00882614"/>
    <w:rsid w:val="00882835"/>
    <w:rsid w:val="00882897"/>
    <w:rsid w:val="008828E1"/>
    <w:rsid w:val="00882AFB"/>
    <w:rsid w:val="00882BB0"/>
    <w:rsid w:val="00882BD0"/>
    <w:rsid w:val="00882E55"/>
    <w:rsid w:val="00882EB5"/>
    <w:rsid w:val="00882EF3"/>
    <w:rsid w:val="00882FE7"/>
    <w:rsid w:val="0088308C"/>
    <w:rsid w:val="00883092"/>
    <w:rsid w:val="008830DE"/>
    <w:rsid w:val="0088320F"/>
    <w:rsid w:val="008832F5"/>
    <w:rsid w:val="008833C0"/>
    <w:rsid w:val="0088340E"/>
    <w:rsid w:val="0088346A"/>
    <w:rsid w:val="00883610"/>
    <w:rsid w:val="0088361A"/>
    <w:rsid w:val="00883620"/>
    <w:rsid w:val="00883628"/>
    <w:rsid w:val="0088380C"/>
    <w:rsid w:val="00883812"/>
    <w:rsid w:val="00883867"/>
    <w:rsid w:val="0088387D"/>
    <w:rsid w:val="00883993"/>
    <w:rsid w:val="00883A09"/>
    <w:rsid w:val="00883AAB"/>
    <w:rsid w:val="00883B05"/>
    <w:rsid w:val="00883B6D"/>
    <w:rsid w:val="00883DD6"/>
    <w:rsid w:val="00883FB9"/>
    <w:rsid w:val="00883FC0"/>
    <w:rsid w:val="00884109"/>
    <w:rsid w:val="00884122"/>
    <w:rsid w:val="0088412C"/>
    <w:rsid w:val="00884140"/>
    <w:rsid w:val="00884160"/>
    <w:rsid w:val="00884264"/>
    <w:rsid w:val="008842BC"/>
    <w:rsid w:val="00884367"/>
    <w:rsid w:val="0088438C"/>
    <w:rsid w:val="0088454A"/>
    <w:rsid w:val="008845D0"/>
    <w:rsid w:val="00884750"/>
    <w:rsid w:val="008847E7"/>
    <w:rsid w:val="008847FF"/>
    <w:rsid w:val="00884913"/>
    <w:rsid w:val="00884A98"/>
    <w:rsid w:val="00884BB2"/>
    <w:rsid w:val="00884C03"/>
    <w:rsid w:val="00884C1F"/>
    <w:rsid w:val="00884E56"/>
    <w:rsid w:val="0088505C"/>
    <w:rsid w:val="0088507D"/>
    <w:rsid w:val="00885097"/>
    <w:rsid w:val="00885114"/>
    <w:rsid w:val="0088517C"/>
    <w:rsid w:val="0088518F"/>
    <w:rsid w:val="008851DE"/>
    <w:rsid w:val="00885261"/>
    <w:rsid w:val="008852CF"/>
    <w:rsid w:val="008852E6"/>
    <w:rsid w:val="00885322"/>
    <w:rsid w:val="0088542E"/>
    <w:rsid w:val="0088545B"/>
    <w:rsid w:val="0088561C"/>
    <w:rsid w:val="0088580F"/>
    <w:rsid w:val="00885862"/>
    <w:rsid w:val="0088595B"/>
    <w:rsid w:val="00885AF9"/>
    <w:rsid w:val="00885B5C"/>
    <w:rsid w:val="00885C47"/>
    <w:rsid w:val="00885C48"/>
    <w:rsid w:val="00885D81"/>
    <w:rsid w:val="00885DD3"/>
    <w:rsid w:val="00885E05"/>
    <w:rsid w:val="00885E30"/>
    <w:rsid w:val="00885E59"/>
    <w:rsid w:val="00885FBD"/>
    <w:rsid w:val="00885FE7"/>
    <w:rsid w:val="008861A3"/>
    <w:rsid w:val="0088627C"/>
    <w:rsid w:val="00886298"/>
    <w:rsid w:val="008862E0"/>
    <w:rsid w:val="00886337"/>
    <w:rsid w:val="00886408"/>
    <w:rsid w:val="00886697"/>
    <w:rsid w:val="008867C7"/>
    <w:rsid w:val="00886975"/>
    <w:rsid w:val="00886A1B"/>
    <w:rsid w:val="00886AB5"/>
    <w:rsid w:val="00886CBE"/>
    <w:rsid w:val="00886D20"/>
    <w:rsid w:val="00886D21"/>
    <w:rsid w:val="00886E33"/>
    <w:rsid w:val="00886E3E"/>
    <w:rsid w:val="00886E81"/>
    <w:rsid w:val="00886E94"/>
    <w:rsid w:val="00887064"/>
    <w:rsid w:val="0088708B"/>
    <w:rsid w:val="0088718B"/>
    <w:rsid w:val="008872B1"/>
    <w:rsid w:val="0088735E"/>
    <w:rsid w:val="00887381"/>
    <w:rsid w:val="00887409"/>
    <w:rsid w:val="008874E6"/>
    <w:rsid w:val="0088751C"/>
    <w:rsid w:val="008875FE"/>
    <w:rsid w:val="008876D2"/>
    <w:rsid w:val="008877E6"/>
    <w:rsid w:val="00887867"/>
    <w:rsid w:val="008878DD"/>
    <w:rsid w:val="008878E6"/>
    <w:rsid w:val="00887A64"/>
    <w:rsid w:val="00887A70"/>
    <w:rsid w:val="00887A86"/>
    <w:rsid w:val="00887B7B"/>
    <w:rsid w:val="00887B97"/>
    <w:rsid w:val="00887C6F"/>
    <w:rsid w:val="00887CBA"/>
    <w:rsid w:val="00887D26"/>
    <w:rsid w:val="00887D81"/>
    <w:rsid w:val="00887D8E"/>
    <w:rsid w:val="00887E3A"/>
    <w:rsid w:val="00887E48"/>
    <w:rsid w:val="00890073"/>
    <w:rsid w:val="0089031D"/>
    <w:rsid w:val="00890403"/>
    <w:rsid w:val="0089053E"/>
    <w:rsid w:val="008905BC"/>
    <w:rsid w:val="00890664"/>
    <w:rsid w:val="008906C7"/>
    <w:rsid w:val="0089074B"/>
    <w:rsid w:val="008907E9"/>
    <w:rsid w:val="00890888"/>
    <w:rsid w:val="00890998"/>
    <w:rsid w:val="00890A37"/>
    <w:rsid w:val="00890AC7"/>
    <w:rsid w:val="00890ACA"/>
    <w:rsid w:val="00890BBB"/>
    <w:rsid w:val="00890D41"/>
    <w:rsid w:val="00890DC5"/>
    <w:rsid w:val="00890E2C"/>
    <w:rsid w:val="00890ED5"/>
    <w:rsid w:val="00890FC1"/>
    <w:rsid w:val="008910A1"/>
    <w:rsid w:val="00891226"/>
    <w:rsid w:val="008912A5"/>
    <w:rsid w:val="00891335"/>
    <w:rsid w:val="008915E2"/>
    <w:rsid w:val="00891660"/>
    <w:rsid w:val="0089169F"/>
    <w:rsid w:val="008916A5"/>
    <w:rsid w:val="0089172B"/>
    <w:rsid w:val="00891759"/>
    <w:rsid w:val="00891775"/>
    <w:rsid w:val="0089177B"/>
    <w:rsid w:val="008917A6"/>
    <w:rsid w:val="0089182D"/>
    <w:rsid w:val="0089182E"/>
    <w:rsid w:val="0089182F"/>
    <w:rsid w:val="00891979"/>
    <w:rsid w:val="00891AB8"/>
    <w:rsid w:val="00891B50"/>
    <w:rsid w:val="00891C8A"/>
    <w:rsid w:val="00891C8F"/>
    <w:rsid w:val="00891CBD"/>
    <w:rsid w:val="00891EDE"/>
    <w:rsid w:val="00891F02"/>
    <w:rsid w:val="00891F88"/>
    <w:rsid w:val="0089219E"/>
    <w:rsid w:val="008922E0"/>
    <w:rsid w:val="00892550"/>
    <w:rsid w:val="008925AF"/>
    <w:rsid w:val="008925E5"/>
    <w:rsid w:val="008926CA"/>
    <w:rsid w:val="00892715"/>
    <w:rsid w:val="0089272C"/>
    <w:rsid w:val="00892822"/>
    <w:rsid w:val="0089286F"/>
    <w:rsid w:val="00892BE4"/>
    <w:rsid w:val="00892C03"/>
    <w:rsid w:val="00892CEC"/>
    <w:rsid w:val="00892CFD"/>
    <w:rsid w:val="00892D6C"/>
    <w:rsid w:val="00892ED6"/>
    <w:rsid w:val="00892F5F"/>
    <w:rsid w:val="00893137"/>
    <w:rsid w:val="00893146"/>
    <w:rsid w:val="0089323E"/>
    <w:rsid w:val="00893248"/>
    <w:rsid w:val="00893292"/>
    <w:rsid w:val="008933AA"/>
    <w:rsid w:val="008933B4"/>
    <w:rsid w:val="00893439"/>
    <w:rsid w:val="0089351D"/>
    <w:rsid w:val="008935DB"/>
    <w:rsid w:val="008937D5"/>
    <w:rsid w:val="0089385C"/>
    <w:rsid w:val="0089389D"/>
    <w:rsid w:val="00893AB8"/>
    <w:rsid w:val="00893B31"/>
    <w:rsid w:val="00893B39"/>
    <w:rsid w:val="00893B8A"/>
    <w:rsid w:val="00893C84"/>
    <w:rsid w:val="00893CA6"/>
    <w:rsid w:val="00893F4E"/>
    <w:rsid w:val="00893F66"/>
    <w:rsid w:val="00893FF4"/>
    <w:rsid w:val="0089404F"/>
    <w:rsid w:val="008940A5"/>
    <w:rsid w:val="00894308"/>
    <w:rsid w:val="00894348"/>
    <w:rsid w:val="0089444F"/>
    <w:rsid w:val="0089452F"/>
    <w:rsid w:val="00894541"/>
    <w:rsid w:val="008946AA"/>
    <w:rsid w:val="00894724"/>
    <w:rsid w:val="00894872"/>
    <w:rsid w:val="008948EC"/>
    <w:rsid w:val="00894A3E"/>
    <w:rsid w:val="00894C18"/>
    <w:rsid w:val="00894C3C"/>
    <w:rsid w:val="00894F99"/>
    <w:rsid w:val="00894F9A"/>
    <w:rsid w:val="00895029"/>
    <w:rsid w:val="0089506C"/>
    <w:rsid w:val="00895115"/>
    <w:rsid w:val="008952F5"/>
    <w:rsid w:val="008953CD"/>
    <w:rsid w:val="008953F4"/>
    <w:rsid w:val="008954E8"/>
    <w:rsid w:val="0089555F"/>
    <w:rsid w:val="00895938"/>
    <w:rsid w:val="008959A9"/>
    <w:rsid w:val="008959BA"/>
    <w:rsid w:val="008959E2"/>
    <w:rsid w:val="00895A25"/>
    <w:rsid w:val="00895AC4"/>
    <w:rsid w:val="00895B3B"/>
    <w:rsid w:val="00895CA6"/>
    <w:rsid w:val="00895E8D"/>
    <w:rsid w:val="00895EA2"/>
    <w:rsid w:val="00895F03"/>
    <w:rsid w:val="00895F12"/>
    <w:rsid w:val="00895F83"/>
    <w:rsid w:val="00896133"/>
    <w:rsid w:val="008961CA"/>
    <w:rsid w:val="008961F7"/>
    <w:rsid w:val="00896211"/>
    <w:rsid w:val="00896220"/>
    <w:rsid w:val="0089628C"/>
    <w:rsid w:val="00896456"/>
    <w:rsid w:val="00896533"/>
    <w:rsid w:val="00896660"/>
    <w:rsid w:val="008966D6"/>
    <w:rsid w:val="0089681B"/>
    <w:rsid w:val="00896848"/>
    <w:rsid w:val="008968C1"/>
    <w:rsid w:val="008969A5"/>
    <w:rsid w:val="00896A54"/>
    <w:rsid w:val="00896AA4"/>
    <w:rsid w:val="00896F5E"/>
    <w:rsid w:val="008972FA"/>
    <w:rsid w:val="0089766F"/>
    <w:rsid w:val="008977CC"/>
    <w:rsid w:val="008978BA"/>
    <w:rsid w:val="008978F2"/>
    <w:rsid w:val="0089799E"/>
    <w:rsid w:val="00897B36"/>
    <w:rsid w:val="00897CA2"/>
    <w:rsid w:val="00897CBD"/>
    <w:rsid w:val="00897CC9"/>
    <w:rsid w:val="00897CD5"/>
    <w:rsid w:val="00897CF8"/>
    <w:rsid w:val="00897DFE"/>
    <w:rsid w:val="00897E46"/>
    <w:rsid w:val="00897EBE"/>
    <w:rsid w:val="00897F17"/>
    <w:rsid w:val="00897F84"/>
    <w:rsid w:val="008A0120"/>
    <w:rsid w:val="008A0182"/>
    <w:rsid w:val="008A035C"/>
    <w:rsid w:val="008A03CD"/>
    <w:rsid w:val="008A044B"/>
    <w:rsid w:val="008A0669"/>
    <w:rsid w:val="008A067F"/>
    <w:rsid w:val="008A06C0"/>
    <w:rsid w:val="008A0817"/>
    <w:rsid w:val="008A08D1"/>
    <w:rsid w:val="008A08FA"/>
    <w:rsid w:val="008A09A6"/>
    <w:rsid w:val="008A09C7"/>
    <w:rsid w:val="008A0A6B"/>
    <w:rsid w:val="008A0BD0"/>
    <w:rsid w:val="008A0CC6"/>
    <w:rsid w:val="008A0DD1"/>
    <w:rsid w:val="008A0F03"/>
    <w:rsid w:val="008A0F48"/>
    <w:rsid w:val="008A113B"/>
    <w:rsid w:val="008A116B"/>
    <w:rsid w:val="008A11A5"/>
    <w:rsid w:val="008A122E"/>
    <w:rsid w:val="008A12C3"/>
    <w:rsid w:val="008A133C"/>
    <w:rsid w:val="008A138A"/>
    <w:rsid w:val="008A145C"/>
    <w:rsid w:val="008A1590"/>
    <w:rsid w:val="008A15A1"/>
    <w:rsid w:val="008A16AC"/>
    <w:rsid w:val="008A17A4"/>
    <w:rsid w:val="008A1E3F"/>
    <w:rsid w:val="008A1F43"/>
    <w:rsid w:val="008A1F5A"/>
    <w:rsid w:val="008A2051"/>
    <w:rsid w:val="008A20DF"/>
    <w:rsid w:val="008A20FC"/>
    <w:rsid w:val="008A2166"/>
    <w:rsid w:val="008A21C8"/>
    <w:rsid w:val="008A2421"/>
    <w:rsid w:val="008A2540"/>
    <w:rsid w:val="008A25A5"/>
    <w:rsid w:val="008A25D0"/>
    <w:rsid w:val="008A2612"/>
    <w:rsid w:val="008A2621"/>
    <w:rsid w:val="008A265E"/>
    <w:rsid w:val="008A266E"/>
    <w:rsid w:val="008A273E"/>
    <w:rsid w:val="008A27F7"/>
    <w:rsid w:val="008A290F"/>
    <w:rsid w:val="008A29AF"/>
    <w:rsid w:val="008A2ABD"/>
    <w:rsid w:val="008A2BE2"/>
    <w:rsid w:val="008A2D83"/>
    <w:rsid w:val="008A2DEA"/>
    <w:rsid w:val="008A2E0F"/>
    <w:rsid w:val="008A2ECA"/>
    <w:rsid w:val="008A2F03"/>
    <w:rsid w:val="008A2F86"/>
    <w:rsid w:val="008A2FB6"/>
    <w:rsid w:val="008A2FE7"/>
    <w:rsid w:val="008A2FFF"/>
    <w:rsid w:val="008A30A3"/>
    <w:rsid w:val="008A3214"/>
    <w:rsid w:val="008A3335"/>
    <w:rsid w:val="008A340F"/>
    <w:rsid w:val="008A34B2"/>
    <w:rsid w:val="008A3505"/>
    <w:rsid w:val="008A35B4"/>
    <w:rsid w:val="008A35EB"/>
    <w:rsid w:val="008A3A80"/>
    <w:rsid w:val="008A3BA1"/>
    <w:rsid w:val="008A3C2E"/>
    <w:rsid w:val="008A3C72"/>
    <w:rsid w:val="008A3C99"/>
    <w:rsid w:val="008A3EE8"/>
    <w:rsid w:val="008A406D"/>
    <w:rsid w:val="008A40ED"/>
    <w:rsid w:val="008A41F9"/>
    <w:rsid w:val="008A41FA"/>
    <w:rsid w:val="008A4244"/>
    <w:rsid w:val="008A432B"/>
    <w:rsid w:val="008A4385"/>
    <w:rsid w:val="008A43D3"/>
    <w:rsid w:val="008A463C"/>
    <w:rsid w:val="008A472E"/>
    <w:rsid w:val="008A488F"/>
    <w:rsid w:val="008A48CD"/>
    <w:rsid w:val="008A4945"/>
    <w:rsid w:val="008A49C3"/>
    <w:rsid w:val="008A4A2D"/>
    <w:rsid w:val="008A4AC4"/>
    <w:rsid w:val="008A4EF2"/>
    <w:rsid w:val="008A4F17"/>
    <w:rsid w:val="008A4F1D"/>
    <w:rsid w:val="008A4F94"/>
    <w:rsid w:val="008A50FB"/>
    <w:rsid w:val="008A51A8"/>
    <w:rsid w:val="008A52CA"/>
    <w:rsid w:val="008A52D9"/>
    <w:rsid w:val="008A534B"/>
    <w:rsid w:val="008A5368"/>
    <w:rsid w:val="008A5477"/>
    <w:rsid w:val="008A549F"/>
    <w:rsid w:val="008A55BB"/>
    <w:rsid w:val="008A56F0"/>
    <w:rsid w:val="008A5A67"/>
    <w:rsid w:val="008A5B80"/>
    <w:rsid w:val="008A5BC9"/>
    <w:rsid w:val="008A5C8F"/>
    <w:rsid w:val="008A5E9B"/>
    <w:rsid w:val="008A5EB3"/>
    <w:rsid w:val="008A5EF7"/>
    <w:rsid w:val="008A6062"/>
    <w:rsid w:val="008A6066"/>
    <w:rsid w:val="008A6155"/>
    <w:rsid w:val="008A61E4"/>
    <w:rsid w:val="008A6385"/>
    <w:rsid w:val="008A63AA"/>
    <w:rsid w:val="008A63DE"/>
    <w:rsid w:val="008A6440"/>
    <w:rsid w:val="008A6464"/>
    <w:rsid w:val="008A6478"/>
    <w:rsid w:val="008A6488"/>
    <w:rsid w:val="008A6606"/>
    <w:rsid w:val="008A6638"/>
    <w:rsid w:val="008A6673"/>
    <w:rsid w:val="008A66F1"/>
    <w:rsid w:val="008A67E8"/>
    <w:rsid w:val="008A6822"/>
    <w:rsid w:val="008A6830"/>
    <w:rsid w:val="008A68A5"/>
    <w:rsid w:val="008A68E1"/>
    <w:rsid w:val="008A68EE"/>
    <w:rsid w:val="008A6973"/>
    <w:rsid w:val="008A697B"/>
    <w:rsid w:val="008A69B2"/>
    <w:rsid w:val="008A6A52"/>
    <w:rsid w:val="008A6AFC"/>
    <w:rsid w:val="008A6D04"/>
    <w:rsid w:val="008A6DAF"/>
    <w:rsid w:val="008A6EAC"/>
    <w:rsid w:val="008A70D2"/>
    <w:rsid w:val="008A7232"/>
    <w:rsid w:val="008A728A"/>
    <w:rsid w:val="008A7337"/>
    <w:rsid w:val="008A73A0"/>
    <w:rsid w:val="008A7490"/>
    <w:rsid w:val="008A750D"/>
    <w:rsid w:val="008A75E7"/>
    <w:rsid w:val="008A7633"/>
    <w:rsid w:val="008A7703"/>
    <w:rsid w:val="008A7781"/>
    <w:rsid w:val="008A7885"/>
    <w:rsid w:val="008A7A52"/>
    <w:rsid w:val="008A7B0B"/>
    <w:rsid w:val="008A7B5D"/>
    <w:rsid w:val="008A7DEF"/>
    <w:rsid w:val="008B0041"/>
    <w:rsid w:val="008B00F3"/>
    <w:rsid w:val="008B0170"/>
    <w:rsid w:val="008B0297"/>
    <w:rsid w:val="008B02EB"/>
    <w:rsid w:val="008B02F6"/>
    <w:rsid w:val="008B036B"/>
    <w:rsid w:val="008B0612"/>
    <w:rsid w:val="008B0670"/>
    <w:rsid w:val="008B06BA"/>
    <w:rsid w:val="008B06D1"/>
    <w:rsid w:val="008B06FF"/>
    <w:rsid w:val="008B0784"/>
    <w:rsid w:val="008B095A"/>
    <w:rsid w:val="008B098B"/>
    <w:rsid w:val="008B0A4D"/>
    <w:rsid w:val="008B0BBF"/>
    <w:rsid w:val="008B0BC5"/>
    <w:rsid w:val="008B0D44"/>
    <w:rsid w:val="008B0F0D"/>
    <w:rsid w:val="008B0FF6"/>
    <w:rsid w:val="008B1102"/>
    <w:rsid w:val="008B110C"/>
    <w:rsid w:val="008B11D6"/>
    <w:rsid w:val="008B1233"/>
    <w:rsid w:val="008B1321"/>
    <w:rsid w:val="008B13F9"/>
    <w:rsid w:val="008B1433"/>
    <w:rsid w:val="008B1446"/>
    <w:rsid w:val="008B14FA"/>
    <w:rsid w:val="008B1539"/>
    <w:rsid w:val="008B1608"/>
    <w:rsid w:val="008B1789"/>
    <w:rsid w:val="008B188C"/>
    <w:rsid w:val="008B1A9F"/>
    <w:rsid w:val="008B1AA5"/>
    <w:rsid w:val="008B1BE3"/>
    <w:rsid w:val="008B1CB2"/>
    <w:rsid w:val="008B1CD8"/>
    <w:rsid w:val="008B1F09"/>
    <w:rsid w:val="008B1F1A"/>
    <w:rsid w:val="008B1FBF"/>
    <w:rsid w:val="008B2082"/>
    <w:rsid w:val="008B20F7"/>
    <w:rsid w:val="008B218D"/>
    <w:rsid w:val="008B23D0"/>
    <w:rsid w:val="008B2495"/>
    <w:rsid w:val="008B24B7"/>
    <w:rsid w:val="008B27EA"/>
    <w:rsid w:val="008B2858"/>
    <w:rsid w:val="008B2BB2"/>
    <w:rsid w:val="008B2C83"/>
    <w:rsid w:val="008B2DDA"/>
    <w:rsid w:val="008B2E63"/>
    <w:rsid w:val="008B2EC1"/>
    <w:rsid w:val="008B31C7"/>
    <w:rsid w:val="008B3273"/>
    <w:rsid w:val="008B3285"/>
    <w:rsid w:val="008B3337"/>
    <w:rsid w:val="008B33EB"/>
    <w:rsid w:val="008B3827"/>
    <w:rsid w:val="008B38AB"/>
    <w:rsid w:val="008B3964"/>
    <w:rsid w:val="008B3A09"/>
    <w:rsid w:val="008B3B63"/>
    <w:rsid w:val="008B3C1F"/>
    <w:rsid w:val="008B3C49"/>
    <w:rsid w:val="008B3C8A"/>
    <w:rsid w:val="008B3C8D"/>
    <w:rsid w:val="008B3CC8"/>
    <w:rsid w:val="008B3E4D"/>
    <w:rsid w:val="008B3ED9"/>
    <w:rsid w:val="008B3F95"/>
    <w:rsid w:val="008B3FB9"/>
    <w:rsid w:val="008B41C7"/>
    <w:rsid w:val="008B422B"/>
    <w:rsid w:val="008B4233"/>
    <w:rsid w:val="008B43B5"/>
    <w:rsid w:val="008B43F0"/>
    <w:rsid w:val="008B44B4"/>
    <w:rsid w:val="008B4571"/>
    <w:rsid w:val="008B4593"/>
    <w:rsid w:val="008B45F8"/>
    <w:rsid w:val="008B4854"/>
    <w:rsid w:val="008B48D4"/>
    <w:rsid w:val="008B49F6"/>
    <w:rsid w:val="008B4B01"/>
    <w:rsid w:val="008B4BBA"/>
    <w:rsid w:val="008B4C1A"/>
    <w:rsid w:val="008B4D86"/>
    <w:rsid w:val="008B4D93"/>
    <w:rsid w:val="008B4E04"/>
    <w:rsid w:val="008B4F5B"/>
    <w:rsid w:val="008B4FA2"/>
    <w:rsid w:val="008B51B2"/>
    <w:rsid w:val="008B51F7"/>
    <w:rsid w:val="008B5223"/>
    <w:rsid w:val="008B5264"/>
    <w:rsid w:val="008B52F9"/>
    <w:rsid w:val="008B53B4"/>
    <w:rsid w:val="008B5490"/>
    <w:rsid w:val="008B552E"/>
    <w:rsid w:val="008B5535"/>
    <w:rsid w:val="008B55EA"/>
    <w:rsid w:val="008B55ED"/>
    <w:rsid w:val="008B587B"/>
    <w:rsid w:val="008B5A9C"/>
    <w:rsid w:val="008B5ACC"/>
    <w:rsid w:val="008B5B48"/>
    <w:rsid w:val="008B5C7B"/>
    <w:rsid w:val="008B5CEC"/>
    <w:rsid w:val="008B5D24"/>
    <w:rsid w:val="008B5D62"/>
    <w:rsid w:val="008B5EB3"/>
    <w:rsid w:val="008B5F98"/>
    <w:rsid w:val="008B5FFC"/>
    <w:rsid w:val="008B6046"/>
    <w:rsid w:val="008B613B"/>
    <w:rsid w:val="008B61E8"/>
    <w:rsid w:val="008B6243"/>
    <w:rsid w:val="008B626D"/>
    <w:rsid w:val="008B62F8"/>
    <w:rsid w:val="008B63CB"/>
    <w:rsid w:val="008B64E0"/>
    <w:rsid w:val="008B6608"/>
    <w:rsid w:val="008B662B"/>
    <w:rsid w:val="008B66C2"/>
    <w:rsid w:val="008B6882"/>
    <w:rsid w:val="008B68ED"/>
    <w:rsid w:val="008B69A4"/>
    <w:rsid w:val="008B69DB"/>
    <w:rsid w:val="008B6A41"/>
    <w:rsid w:val="008B6B21"/>
    <w:rsid w:val="008B6B2D"/>
    <w:rsid w:val="008B6B54"/>
    <w:rsid w:val="008B6B89"/>
    <w:rsid w:val="008B6BBD"/>
    <w:rsid w:val="008B6E37"/>
    <w:rsid w:val="008B6EAB"/>
    <w:rsid w:val="008B6FFA"/>
    <w:rsid w:val="008B7024"/>
    <w:rsid w:val="008B71A9"/>
    <w:rsid w:val="008B72C3"/>
    <w:rsid w:val="008B732E"/>
    <w:rsid w:val="008B7362"/>
    <w:rsid w:val="008B74B1"/>
    <w:rsid w:val="008B79B3"/>
    <w:rsid w:val="008B7A99"/>
    <w:rsid w:val="008B7C1F"/>
    <w:rsid w:val="008B7C3F"/>
    <w:rsid w:val="008B7C57"/>
    <w:rsid w:val="008B7E7C"/>
    <w:rsid w:val="008B7FAD"/>
    <w:rsid w:val="008C003A"/>
    <w:rsid w:val="008C0076"/>
    <w:rsid w:val="008C0187"/>
    <w:rsid w:val="008C0246"/>
    <w:rsid w:val="008C02C0"/>
    <w:rsid w:val="008C03F8"/>
    <w:rsid w:val="008C04D8"/>
    <w:rsid w:val="008C04DF"/>
    <w:rsid w:val="008C04F8"/>
    <w:rsid w:val="008C05D0"/>
    <w:rsid w:val="008C05D6"/>
    <w:rsid w:val="008C08E3"/>
    <w:rsid w:val="008C0984"/>
    <w:rsid w:val="008C0C29"/>
    <w:rsid w:val="008C0C75"/>
    <w:rsid w:val="008C0D90"/>
    <w:rsid w:val="008C0E0B"/>
    <w:rsid w:val="008C0E41"/>
    <w:rsid w:val="008C0E5B"/>
    <w:rsid w:val="008C0E8D"/>
    <w:rsid w:val="008C1039"/>
    <w:rsid w:val="008C1154"/>
    <w:rsid w:val="008C11CB"/>
    <w:rsid w:val="008C1239"/>
    <w:rsid w:val="008C1247"/>
    <w:rsid w:val="008C1421"/>
    <w:rsid w:val="008C1480"/>
    <w:rsid w:val="008C14C6"/>
    <w:rsid w:val="008C1533"/>
    <w:rsid w:val="008C15DA"/>
    <w:rsid w:val="008C1896"/>
    <w:rsid w:val="008C18E7"/>
    <w:rsid w:val="008C1AD4"/>
    <w:rsid w:val="008C1C1B"/>
    <w:rsid w:val="008C1C73"/>
    <w:rsid w:val="008C1DCB"/>
    <w:rsid w:val="008C1ED3"/>
    <w:rsid w:val="008C1F24"/>
    <w:rsid w:val="008C1F64"/>
    <w:rsid w:val="008C1F9D"/>
    <w:rsid w:val="008C1FC3"/>
    <w:rsid w:val="008C1FF4"/>
    <w:rsid w:val="008C20F3"/>
    <w:rsid w:val="008C211D"/>
    <w:rsid w:val="008C2247"/>
    <w:rsid w:val="008C227B"/>
    <w:rsid w:val="008C22FD"/>
    <w:rsid w:val="008C2363"/>
    <w:rsid w:val="008C23D0"/>
    <w:rsid w:val="008C25A2"/>
    <w:rsid w:val="008C2626"/>
    <w:rsid w:val="008C2737"/>
    <w:rsid w:val="008C292C"/>
    <w:rsid w:val="008C299E"/>
    <w:rsid w:val="008C2BE9"/>
    <w:rsid w:val="008C2D20"/>
    <w:rsid w:val="008C2D49"/>
    <w:rsid w:val="008C2F11"/>
    <w:rsid w:val="008C2F2E"/>
    <w:rsid w:val="008C2F87"/>
    <w:rsid w:val="008C2F9F"/>
    <w:rsid w:val="008C2FAC"/>
    <w:rsid w:val="008C2FBB"/>
    <w:rsid w:val="008C317F"/>
    <w:rsid w:val="008C33D5"/>
    <w:rsid w:val="008C345F"/>
    <w:rsid w:val="008C34CA"/>
    <w:rsid w:val="008C375B"/>
    <w:rsid w:val="008C38F5"/>
    <w:rsid w:val="008C3A02"/>
    <w:rsid w:val="008C3C14"/>
    <w:rsid w:val="008C3CA1"/>
    <w:rsid w:val="008C3F61"/>
    <w:rsid w:val="008C3FCF"/>
    <w:rsid w:val="008C408F"/>
    <w:rsid w:val="008C414C"/>
    <w:rsid w:val="008C41A9"/>
    <w:rsid w:val="008C41FE"/>
    <w:rsid w:val="008C42AE"/>
    <w:rsid w:val="008C4467"/>
    <w:rsid w:val="008C44D3"/>
    <w:rsid w:val="008C4603"/>
    <w:rsid w:val="008C4609"/>
    <w:rsid w:val="008C46C8"/>
    <w:rsid w:val="008C47BA"/>
    <w:rsid w:val="008C4844"/>
    <w:rsid w:val="008C492F"/>
    <w:rsid w:val="008C4958"/>
    <w:rsid w:val="008C4969"/>
    <w:rsid w:val="008C49A8"/>
    <w:rsid w:val="008C4A30"/>
    <w:rsid w:val="008C4A72"/>
    <w:rsid w:val="008C4A78"/>
    <w:rsid w:val="008C4A83"/>
    <w:rsid w:val="008C4A8D"/>
    <w:rsid w:val="008C4B45"/>
    <w:rsid w:val="008C4BD3"/>
    <w:rsid w:val="008C4C5D"/>
    <w:rsid w:val="008C4D61"/>
    <w:rsid w:val="008C4E03"/>
    <w:rsid w:val="008C4F14"/>
    <w:rsid w:val="008C4FA3"/>
    <w:rsid w:val="008C4FE0"/>
    <w:rsid w:val="008C5237"/>
    <w:rsid w:val="008C539D"/>
    <w:rsid w:val="008C54FB"/>
    <w:rsid w:val="008C562F"/>
    <w:rsid w:val="008C5761"/>
    <w:rsid w:val="008C5870"/>
    <w:rsid w:val="008C59FC"/>
    <w:rsid w:val="008C5A1E"/>
    <w:rsid w:val="008C5A8A"/>
    <w:rsid w:val="008C5AF7"/>
    <w:rsid w:val="008C5B30"/>
    <w:rsid w:val="008C5B4A"/>
    <w:rsid w:val="008C5BE4"/>
    <w:rsid w:val="008C5C9F"/>
    <w:rsid w:val="008C5D41"/>
    <w:rsid w:val="008C5E69"/>
    <w:rsid w:val="008C5F53"/>
    <w:rsid w:val="008C5FC3"/>
    <w:rsid w:val="008C60B8"/>
    <w:rsid w:val="008C60C7"/>
    <w:rsid w:val="008C6158"/>
    <w:rsid w:val="008C6269"/>
    <w:rsid w:val="008C62A1"/>
    <w:rsid w:val="008C62FE"/>
    <w:rsid w:val="008C6481"/>
    <w:rsid w:val="008C6520"/>
    <w:rsid w:val="008C65C5"/>
    <w:rsid w:val="008C662B"/>
    <w:rsid w:val="008C6666"/>
    <w:rsid w:val="008C6695"/>
    <w:rsid w:val="008C669F"/>
    <w:rsid w:val="008C6734"/>
    <w:rsid w:val="008C697E"/>
    <w:rsid w:val="008C6984"/>
    <w:rsid w:val="008C6CD3"/>
    <w:rsid w:val="008C6D59"/>
    <w:rsid w:val="008C6E0A"/>
    <w:rsid w:val="008C6E33"/>
    <w:rsid w:val="008C6ECD"/>
    <w:rsid w:val="008C6EFA"/>
    <w:rsid w:val="008C6FC8"/>
    <w:rsid w:val="008C6FF5"/>
    <w:rsid w:val="008C700F"/>
    <w:rsid w:val="008C702E"/>
    <w:rsid w:val="008C71CE"/>
    <w:rsid w:val="008C722C"/>
    <w:rsid w:val="008C7249"/>
    <w:rsid w:val="008C748D"/>
    <w:rsid w:val="008C75A7"/>
    <w:rsid w:val="008C7682"/>
    <w:rsid w:val="008C7723"/>
    <w:rsid w:val="008C7752"/>
    <w:rsid w:val="008C77B6"/>
    <w:rsid w:val="008C77D9"/>
    <w:rsid w:val="008C78E2"/>
    <w:rsid w:val="008C7994"/>
    <w:rsid w:val="008C7A51"/>
    <w:rsid w:val="008C7A54"/>
    <w:rsid w:val="008C7A9E"/>
    <w:rsid w:val="008C7AB0"/>
    <w:rsid w:val="008C7BD9"/>
    <w:rsid w:val="008C7C89"/>
    <w:rsid w:val="008C7DD9"/>
    <w:rsid w:val="008C7EFF"/>
    <w:rsid w:val="008D01E3"/>
    <w:rsid w:val="008D01E7"/>
    <w:rsid w:val="008D0283"/>
    <w:rsid w:val="008D02B1"/>
    <w:rsid w:val="008D03BE"/>
    <w:rsid w:val="008D04C4"/>
    <w:rsid w:val="008D0509"/>
    <w:rsid w:val="008D05A5"/>
    <w:rsid w:val="008D05CF"/>
    <w:rsid w:val="008D0704"/>
    <w:rsid w:val="008D087F"/>
    <w:rsid w:val="008D0906"/>
    <w:rsid w:val="008D0BA0"/>
    <w:rsid w:val="008D0CA7"/>
    <w:rsid w:val="008D0CD1"/>
    <w:rsid w:val="008D0D6E"/>
    <w:rsid w:val="008D0E34"/>
    <w:rsid w:val="008D0E75"/>
    <w:rsid w:val="008D104D"/>
    <w:rsid w:val="008D10A8"/>
    <w:rsid w:val="008D124C"/>
    <w:rsid w:val="008D131C"/>
    <w:rsid w:val="008D138B"/>
    <w:rsid w:val="008D139C"/>
    <w:rsid w:val="008D140E"/>
    <w:rsid w:val="008D1423"/>
    <w:rsid w:val="008D1431"/>
    <w:rsid w:val="008D1740"/>
    <w:rsid w:val="008D17F5"/>
    <w:rsid w:val="008D189A"/>
    <w:rsid w:val="008D192E"/>
    <w:rsid w:val="008D1C76"/>
    <w:rsid w:val="008D1CEE"/>
    <w:rsid w:val="008D1D14"/>
    <w:rsid w:val="008D1DAA"/>
    <w:rsid w:val="008D1EBB"/>
    <w:rsid w:val="008D1F77"/>
    <w:rsid w:val="008D1FAD"/>
    <w:rsid w:val="008D1FBE"/>
    <w:rsid w:val="008D1FDD"/>
    <w:rsid w:val="008D20B8"/>
    <w:rsid w:val="008D20DB"/>
    <w:rsid w:val="008D2132"/>
    <w:rsid w:val="008D2154"/>
    <w:rsid w:val="008D2165"/>
    <w:rsid w:val="008D21B5"/>
    <w:rsid w:val="008D21E8"/>
    <w:rsid w:val="008D2201"/>
    <w:rsid w:val="008D222A"/>
    <w:rsid w:val="008D2342"/>
    <w:rsid w:val="008D2458"/>
    <w:rsid w:val="008D2626"/>
    <w:rsid w:val="008D274F"/>
    <w:rsid w:val="008D2768"/>
    <w:rsid w:val="008D27AD"/>
    <w:rsid w:val="008D27D6"/>
    <w:rsid w:val="008D2805"/>
    <w:rsid w:val="008D29D1"/>
    <w:rsid w:val="008D29E0"/>
    <w:rsid w:val="008D2A04"/>
    <w:rsid w:val="008D2B20"/>
    <w:rsid w:val="008D2B2D"/>
    <w:rsid w:val="008D2B3C"/>
    <w:rsid w:val="008D2B4E"/>
    <w:rsid w:val="008D2B58"/>
    <w:rsid w:val="008D2C6C"/>
    <w:rsid w:val="008D2CDE"/>
    <w:rsid w:val="008D2EA7"/>
    <w:rsid w:val="008D2EAE"/>
    <w:rsid w:val="008D2F5C"/>
    <w:rsid w:val="008D2FA9"/>
    <w:rsid w:val="008D319A"/>
    <w:rsid w:val="008D320A"/>
    <w:rsid w:val="008D32EC"/>
    <w:rsid w:val="008D336B"/>
    <w:rsid w:val="008D33BD"/>
    <w:rsid w:val="008D3469"/>
    <w:rsid w:val="008D37D9"/>
    <w:rsid w:val="008D38F6"/>
    <w:rsid w:val="008D39B4"/>
    <w:rsid w:val="008D3A8C"/>
    <w:rsid w:val="008D3B30"/>
    <w:rsid w:val="008D3C35"/>
    <w:rsid w:val="008D3C9C"/>
    <w:rsid w:val="008D3D31"/>
    <w:rsid w:val="008D3E51"/>
    <w:rsid w:val="008D3E6C"/>
    <w:rsid w:val="008D3EBC"/>
    <w:rsid w:val="008D3F35"/>
    <w:rsid w:val="008D3FCB"/>
    <w:rsid w:val="008D3FE7"/>
    <w:rsid w:val="008D4175"/>
    <w:rsid w:val="008D4190"/>
    <w:rsid w:val="008D43DF"/>
    <w:rsid w:val="008D4544"/>
    <w:rsid w:val="008D4740"/>
    <w:rsid w:val="008D4838"/>
    <w:rsid w:val="008D4888"/>
    <w:rsid w:val="008D4916"/>
    <w:rsid w:val="008D4B6A"/>
    <w:rsid w:val="008D4B76"/>
    <w:rsid w:val="008D4BB4"/>
    <w:rsid w:val="008D4C05"/>
    <w:rsid w:val="008D4C4A"/>
    <w:rsid w:val="008D4CFB"/>
    <w:rsid w:val="008D4D69"/>
    <w:rsid w:val="008D4DDB"/>
    <w:rsid w:val="008D4E26"/>
    <w:rsid w:val="008D4E4D"/>
    <w:rsid w:val="008D4F97"/>
    <w:rsid w:val="008D503D"/>
    <w:rsid w:val="008D5049"/>
    <w:rsid w:val="008D50C6"/>
    <w:rsid w:val="008D52FC"/>
    <w:rsid w:val="008D545C"/>
    <w:rsid w:val="008D5471"/>
    <w:rsid w:val="008D55D3"/>
    <w:rsid w:val="008D55D8"/>
    <w:rsid w:val="008D576C"/>
    <w:rsid w:val="008D5781"/>
    <w:rsid w:val="008D57CD"/>
    <w:rsid w:val="008D58F8"/>
    <w:rsid w:val="008D5923"/>
    <w:rsid w:val="008D59AC"/>
    <w:rsid w:val="008D5AA1"/>
    <w:rsid w:val="008D5B04"/>
    <w:rsid w:val="008D5C8F"/>
    <w:rsid w:val="008D5D03"/>
    <w:rsid w:val="008D5DF6"/>
    <w:rsid w:val="008D5DF7"/>
    <w:rsid w:val="008D5E7B"/>
    <w:rsid w:val="008D5EA0"/>
    <w:rsid w:val="008D5ED4"/>
    <w:rsid w:val="008D5F51"/>
    <w:rsid w:val="008D5F94"/>
    <w:rsid w:val="008D6056"/>
    <w:rsid w:val="008D6059"/>
    <w:rsid w:val="008D6090"/>
    <w:rsid w:val="008D627B"/>
    <w:rsid w:val="008D62D5"/>
    <w:rsid w:val="008D6327"/>
    <w:rsid w:val="008D63A2"/>
    <w:rsid w:val="008D63A4"/>
    <w:rsid w:val="008D6444"/>
    <w:rsid w:val="008D64DA"/>
    <w:rsid w:val="008D6652"/>
    <w:rsid w:val="008D6682"/>
    <w:rsid w:val="008D66F9"/>
    <w:rsid w:val="008D67F5"/>
    <w:rsid w:val="008D6897"/>
    <w:rsid w:val="008D695B"/>
    <w:rsid w:val="008D6A63"/>
    <w:rsid w:val="008D6A64"/>
    <w:rsid w:val="008D6AA5"/>
    <w:rsid w:val="008D6AFD"/>
    <w:rsid w:val="008D6B81"/>
    <w:rsid w:val="008D6B9A"/>
    <w:rsid w:val="008D6C33"/>
    <w:rsid w:val="008D6C76"/>
    <w:rsid w:val="008D6D0F"/>
    <w:rsid w:val="008D6D95"/>
    <w:rsid w:val="008D6F5B"/>
    <w:rsid w:val="008D6F88"/>
    <w:rsid w:val="008D6FC5"/>
    <w:rsid w:val="008D707D"/>
    <w:rsid w:val="008D70BA"/>
    <w:rsid w:val="008D7138"/>
    <w:rsid w:val="008D7147"/>
    <w:rsid w:val="008D72CB"/>
    <w:rsid w:val="008D73CD"/>
    <w:rsid w:val="008D7421"/>
    <w:rsid w:val="008D7540"/>
    <w:rsid w:val="008D767A"/>
    <w:rsid w:val="008D76DD"/>
    <w:rsid w:val="008D76F5"/>
    <w:rsid w:val="008D7700"/>
    <w:rsid w:val="008D77BE"/>
    <w:rsid w:val="008D789F"/>
    <w:rsid w:val="008D7A26"/>
    <w:rsid w:val="008D7C52"/>
    <w:rsid w:val="008D7CA6"/>
    <w:rsid w:val="008D7FE9"/>
    <w:rsid w:val="008E00DF"/>
    <w:rsid w:val="008E0149"/>
    <w:rsid w:val="008E0182"/>
    <w:rsid w:val="008E0183"/>
    <w:rsid w:val="008E01AA"/>
    <w:rsid w:val="008E01B6"/>
    <w:rsid w:val="008E0206"/>
    <w:rsid w:val="008E0311"/>
    <w:rsid w:val="008E04BE"/>
    <w:rsid w:val="008E09D0"/>
    <w:rsid w:val="008E0A0C"/>
    <w:rsid w:val="008E0A1E"/>
    <w:rsid w:val="008E0A78"/>
    <w:rsid w:val="008E0ABA"/>
    <w:rsid w:val="008E0CBA"/>
    <w:rsid w:val="008E0E57"/>
    <w:rsid w:val="008E1060"/>
    <w:rsid w:val="008E11A9"/>
    <w:rsid w:val="008E11D3"/>
    <w:rsid w:val="008E11DB"/>
    <w:rsid w:val="008E11FC"/>
    <w:rsid w:val="008E12BA"/>
    <w:rsid w:val="008E12D4"/>
    <w:rsid w:val="008E12D7"/>
    <w:rsid w:val="008E13FA"/>
    <w:rsid w:val="008E143E"/>
    <w:rsid w:val="008E1490"/>
    <w:rsid w:val="008E1540"/>
    <w:rsid w:val="008E1544"/>
    <w:rsid w:val="008E154A"/>
    <w:rsid w:val="008E1734"/>
    <w:rsid w:val="008E17C5"/>
    <w:rsid w:val="008E184D"/>
    <w:rsid w:val="008E18BD"/>
    <w:rsid w:val="008E19A9"/>
    <w:rsid w:val="008E19AA"/>
    <w:rsid w:val="008E1A28"/>
    <w:rsid w:val="008E1A38"/>
    <w:rsid w:val="008E1A83"/>
    <w:rsid w:val="008E1C6E"/>
    <w:rsid w:val="008E1CB2"/>
    <w:rsid w:val="008E1CC4"/>
    <w:rsid w:val="008E1D33"/>
    <w:rsid w:val="008E1E21"/>
    <w:rsid w:val="008E1E3D"/>
    <w:rsid w:val="008E20B8"/>
    <w:rsid w:val="008E2151"/>
    <w:rsid w:val="008E22C7"/>
    <w:rsid w:val="008E237D"/>
    <w:rsid w:val="008E24D4"/>
    <w:rsid w:val="008E27BD"/>
    <w:rsid w:val="008E27DA"/>
    <w:rsid w:val="008E2817"/>
    <w:rsid w:val="008E29B7"/>
    <w:rsid w:val="008E2B7A"/>
    <w:rsid w:val="008E2B94"/>
    <w:rsid w:val="008E2C07"/>
    <w:rsid w:val="008E2CF0"/>
    <w:rsid w:val="008E2E90"/>
    <w:rsid w:val="008E2EB8"/>
    <w:rsid w:val="008E2F52"/>
    <w:rsid w:val="008E3002"/>
    <w:rsid w:val="008E3080"/>
    <w:rsid w:val="008E3199"/>
    <w:rsid w:val="008E3249"/>
    <w:rsid w:val="008E3331"/>
    <w:rsid w:val="008E340D"/>
    <w:rsid w:val="008E35D3"/>
    <w:rsid w:val="008E372D"/>
    <w:rsid w:val="008E37E1"/>
    <w:rsid w:val="008E3952"/>
    <w:rsid w:val="008E398D"/>
    <w:rsid w:val="008E39AA"/>
    <w:rsid w:val="008E3ABA"/>
    <w:rsid w:val="008E3AFB"/>
    <w:rsid w:val="008E3C50"/>
    <w:rsid w:val="008E3CB6"/>
    <w:rsid w:val="008E3E29"/>
    <w:rsid w:val="008E3E52"/>
    <w:rsid w:val="008E3F82"/>
    <w:rsid w:val="008E402B"/>
    <w:rsid w:val="008E43AF"/>
    <w:rsid w:val="008E47CC"/>
    <w:rsid w:val="008E48A4"/>
    <w:rsid w:val="008E48CA"/>
    <w:rsid w:val="008E48CF"/>
    <w:rsid w:val="008E48FA"/>
    <w:rsid w:val="008E4A4E"/>
    <w:rsid w:val="008E4B53"/>
    <w:rsid w:val="008E4B8C"/>
    <w:rsid w:val="008E4BEF"/>
    <w:rsid w:val="008E4CD3"/>
    <w:rsid w:val="008E4D54"/>
    <w:rsid w:val="008E4E80"/>
    <w:rsid w:val="008E4E92"/>
    <w:rsid w:val="008E4F49"/>
    <w:rsid w:val="008E50AD"/>
    <w:rsid w:val="008E50F7"/>
    <w:rsid w:val="008E5201"/>
    <w:rsid w:val="008E5479"/>
    <w:rsid w:val="008E54E9"/>
    <w:rsid w:val="008E54F9"/>
    <w:rsid w:val="008E562C"/>
    <w:rsid w:val="008E563F"/>
    <w:rsid w:val="008E56A9"/>
    <w:rsid w:val="008E5989"/>
    <w:rsid w:val="008E59AC"/>
    <w:rsid w:val="008E59C1"/>
    <w:rsid w:val="008E5A1F"/>
    <w:rsid w:val="008E5AFC"/>
    <w:rsid w:val="008E5B6D"/>
    <w:rsid w:val="008E5DC3"/>
    <w:rsid w:val="008E5EF3"/>
    <w:rsid w:val="008E5FFA"/>
    <w:rsid w:val="008E6031"/>
    <w:rsid w:val="008E613B"/>
    <w:rsid w:val="008E61DE"/>
    <w:rsid w:val="008E6256"/>
    <w:rsid w:val="008E6382"/>
    <w:rsid w:val="008E64F6"/>
    <w:rsid w:val="008E656A"/>
    <w:rsid w:val="008E656F"/>
    <w:rsid w:val="008E6579"/>
    <w:rsid w:val="008E6774"/>
    <w:rsid w:val="008E679C"/>
    <w:rsid w:val="008E67F6"/>
    <w:rsid w:val="008E6872"/>
    <w:rsid w:val="008E6A52"/>
    <w:rsid w:val="008E6B21"/>
    <w:rsid w:val="008E6B43"/>
    <w:rsid w:val="008E6BBE"/>
    <w:rsid w:val="008E6BCC"/>
    <w:rsid w:val="008E6F6E"/>
    <w:rsid w:val="008E7114"/>
    <w:rsid w:val="008E71D9"/>
    <w:rsid w:val="008E71F7"/>
    <w:rsid w:val="008E720C"/>
    <w:rsid w:val="008E720D"/>
    <w:rsid w:val="008E737E"/>
    <w:rsid w:val="008E7391"/>
    <w:rsid w:val="008E7415"/>
    <w:rsid w:val="008E7503"/>
    <w:rsid w:val="008E7539"/>
    <w:rsid w:val="008E776B"/>
    <w:rsid w:val="008E7792"/>
    <w:rsid w:val="008E7831"/>
    <w:rsid w:val="008E795F"/>
    <w:rsid w:val="008E79B9"/>
    <w:rsid w:val="008E79FC"/>
    <w:rsid w:val="008E7B6D"/>
    <w:rsid w:val="008E7B90"/>
    <w:rsid w:val="008E7BE4"/>
    <w:rsid w:val="008E7C3F"/>
    <w:rsid w:val="008E7D61"/>
    <w:rsid w:val="008E7DE4"/>
    <w:rsid w:val="008E7EE7"/>
    <w:rsid w:val="008F0105"/>
    <w:rsid w:val="008F0136"/>
    <w:rsid w:val="008F038F"/>
    <w:rsid w:val="008F0439"/>
    <w:rsid w:val="008F0479"/>
    <w:rsid w:val="008F0620"/>
    <w:rsid w:val="008F065A"/>
    <w:rsid w:val="008F067A"/>
    <w:rsid w:val="008F06B1"/>
    <w:rsid w:val="008F095C"/>
    <w:rsid w:val="008F0A02"/>
    <w:rsid w:val="008F0A0A"/>
    <w:rsid w:val="008F0A4F"/>
    <w:rsid w:val="008F0A77"/>
    <w:rsid w:val="008F0B0E"/>
    <w:rsid w:val="008F0C74"/>
    <w:rsid w:val="008F0D06"/>
    <w:rsid w:val="008F0D7B"/>
    <w:rsid w:val="008F0DD2"/>
    <w:rsid w:val="008F0F62"/>
    <w:rsid w:val="008F0F8C"/>
    <w:rsid w:val="008F0FB0"/>
    <w:rsid w:val="008F100D"/>
    <w:rsid w:val="008F103E"/>
    <w:rsid w:val="008F110F"/>
    <w:rsid w:val="008F13EB"/>
    <w:rsid w:val="008F1400"/>
    <w:rsid w:val="008F15EC"/>
    <w:rsid w:val="008F1783"/>
    <w:rsid w:val="008F17A7"/>
    <w:rsid w:val="008F17C3"/>
    <w:rsid w:val="008F181B"/>
    <w:rsid w:val="008F188D"/>
    <w:rsid w:val="008F195C"/>
    <w:rsid w:val="008F1B5F"/>
    <w:rsid w:val="008F1BEC"/>
    <w:rsid w:val="008F1C26"/>
    <w:rsid w:val="008F1CF7"/>
    <w:rsid w:val="008F1E7F"/>
    <w:rsid w:val="008F1FA9"/>
    <w:rsid w:val="008F1FD4"/>
    <w:rsid w:val="008F1FE9"/>
    <w:rsid w:val="008F1FF2"/>
    <w:rsid w:val="008F2122"/>
    <w:rsid w:val="008F2138"/>
    <w:rsid w:val="008F2184"/>
    <w:rsid w:val="008F2186"/>
    <w:rsid w:val="008F21A9"/>
    <w:rsid w:val="008F21DE"/>
    <w:rsid w:val="008F22CE"/>
    <w:rsid w:val="008F23A4"/>
    <w:rsid w:val="008F23BF"/>
    <w:rsid w:val="008F241E"/>
    <w:rsid w:val="008F2428"/>
    <w:rsid w:val="008F2531"/>
    <w:rsid w:val="008F2568"/>
    <w:rsid w:val="008F25BD"/>
    <w:rsid w:val="008F2602"/>
    <w:rsid w:val="008F278F"/>
    <w:rsid w:val="008F2884"/>
    <w:rsid w:val="008F288A"/>
    <w:rsid w:val="008F296D"/>
    <w:rsid w:val="008F299C"/>
    <w:rsid w:val="008F2AD0"/>
    <w:rsid w:val="008F2C4A"/>
    <w:rsid w:val="008F2D07"/>
    <w:rsid w:val="008F2D21"/>
    <w:rsid w:val="008F2E41"/>
    <w:rsid w:val="008F300C"/>
    <w:rsid w:val="008F31E4"/>
    <w:rsid w:val="008F3317"/>
    <w:rsid w:val="008F34C8"/>
    <w:rsid w:val="008F3615"/>
    <w:rsid w:val="008F3616"/>
    <w:rsid w:val="008F36AB"/>
    <w:rsid w:val="008F3756"/>
    <w:rsid w:val="008F37C5"/>
    <w:rsid w:val="008F387F"/>
    <w:rsid w:val="008F38B7"/>
    <w:rsid w:val="008F39B7"/>
    <w:rsid w:val="008F3A56"/>
    <w:rsid w:val="008F3B19"/>
    <w:rsid w:val="008F3CAB"/>
    <w:rsid w:val="008F3D22"/>
    <w:rsid w:val="008F3E4D"/>
    <w:rsid w:val="008F3E87"/>
    <w:rsid w:val="008F4246"/>
    <w:rsid w:val="008F42DA"/>
    <w:rsid w:val="008F4376"/>
    <w:rsid w:val="008F43F2"/>
    <w:rsid w:val="008F4574"/>
    <w:rsid w:val="008F45C9"/>
    <w:rsid w:val="008F45DC"/>
    <w:rsid w:val="008F4605"/>
    <w:rsid w:val="008F4623"/>
    <w:rsid w:val="008F4650"/>
    <w:rsid w:val="008F4662"/>
    <w:rsid w:val="008F47D4"/>
    <w:rsid w:val="008F494E"/>
    <w:rsid w:val="008F4960"/>
    <w:rsid w:val="008F49BE"/>
    <w:rsid w:val="008F4B31"/>
    <w:rsid w:val="008F4C7E"/>
    <w:rsid w:val="008F4F01"/>
    <w:rsid w:val="008F4F32"/>
    <w:rsid w:val="008F4FA6"/>
    <w:rsid w:val="008F509F"/>
    <w:rsid w:val="008F512F"/>
    <w:rsid w:val="008F5155"/>
    <w:rsid w:val="008F524C"/>
    <w:rsid w:val="008F5300"/>
    <w:rsid w:val="008F53F4"/>
    <w:rsid w:val="008F541E"/>
    <w:rsid w:val="008F5563"/>
    <w:rsid w:val="008F55BC"/>
    <w:rsid w:val="008F56AF"/>
    <w:rsid w:val="008F5784"/>
    <w:rsid w:val="008F5867"/>
    <w:rsid w:val="008F5999"/>
    <w:rsid w:val="008F5B82"/>
    <w:rsid w:val="008F5BA7"/>
    <w:rsid w:val="008F5BD4"/>
    <w:rsid w:val="008F5CA4"/>
    <w:rsid w:val="008F5CBF"/>
    <w:rsid w:val="008F5CEE"/>
    <w:rsid w:val="008F5E52"/>
    <w:rsid w:val="008F5F20"/>
    <w:rsid w:val="008F614C"/>
    <w:rsid w:val="008F61A2"/>
    <w:rsid w:val="008F61F7"/>
    <w:rsid w:val="008F61FE"/>
    <w:rsid w:val="008F6213"/>
    <w:rsid w:val="008F62E1"/>
    <w:rsid w:val="008F6360"/>
    <w:rsid w:val="008F6376"/>
    <w:rsid w:val="008F637A"/>
    <w:rsid w:val="008F6512"/>
    <w:rsid w:val="008F65C8"/>
    <w:rsid w:val="008F65D8"/>
    <w:rsid w:val="008F660F"/>
    <w:rsid w:val="008F66A2"/>
    <w:rsid w:val="008F67A9"/>
    <w:rsid w:val="008F67C5"/>
    <w:rsid w:val="008F6829"/>
    <w:rsid w:val="008F6849"/>
    <w:rsid w:val="008F69C0"/>
    <w:rsid w:val="008F69CA"/>
    <w:rsid w:val="008F6B30"/>
    <w:rsid w:val="008F6B32"/>
    <w:rsid w:val="008F6C0C"/>
    <w:rsid w:val="008F6C47"/>
    <w:rsid w:val="008F6C6C"/>
    <w:rsid w:val="008F6C71"/>
    <w:rsid w:val="008F6CF1"/>
    <w:rsid w:val="008F6DE4"/>
    <w:rsid w:val="008F6E5A"/>
    <w:rsid w:val="008F6F93"/>
    <w:rsid w:val="008F7030"/>
    <w:rsid w:val="008F70FA"/>
    <w:rsid w:val="008F716E"/>
    <w:rsid w:val="008F7309"/>
    <w:rsid w:val="008F7360"/>
    <w:rsid w:val="008F75AE"/>
    <w:rsid w:val="008F77C6"/>
    <w:rsid w:val="008F795F"/>
    <w:rsid w:val="008F7A05"/>
    <w:rsid w:val="008F7D50"/>
    <w:rsid w:val="008F7EEC"/>
    <w:rsid w:val="008F7F48"/>
    <w:rsid w:val="008F918F"/>
    <w:rsid w:val="00900045"/>
    <w:rsid w:val="009000FA"/>
    <w:rsid w:val="0090016A"/>
    <w:rsid w:val="0090021E"/>
    <w:rsid w:val="00900421"/>
    <w:rsid w:val="0090049E"/>
    <w:rsid w:val="009004CE"/>
    <w:rsid w:val="00900531"/>
    <w:rsid w:val="009005C3"/>
    <w:rsid w:val="00900621"/>
    <w:rsid w:val="00900698"/>
    <w:rsid w:val="0090069C"/>
    <w:rsid w:val="00900859"/>
    <w:rsid w:val="009009F8"/>
    <w:rsid w:val="00900ABD"/>
    <w:rsid w:val="00900B4A"/>
    <w:rsid w:val="00900B77"/>
    <w:rsid w:val="00900B90"/>
    <w:rsid w:val="00900C5D"/>
    <w:rsid w:val="00900E0E"/>
    <w:rsid w:val="00900FE1"/>
    <w:rsid w:val="0090113A"/>
    <w:rsid w:val="0090141E"/>
    <w:rsid w:val="00901524"/>
    <w:rsid w:val="00901797"/>
    <w:rsid w:val="00901799"/>
    <w:rsid w:val="009018DC"/>
    <w:rsid w:val="00901928"/>
    <w:rsid w:val="009019D5"/>
    <w:rsid w:val="00901A45"/>
    <w:rsid w:val="00901D4F"/>
    <w:rsid w:val="00901DC8"/>
    <w:rsid w:val="00901E1A"/>
    <w:rsid w:val="00901E2E"/>
    <w:rsid w:val="00901EC1"/>
    <w:rsid w:val="009020E7"/>
    <w:rsid w:val="009020FC"/>
    <w:rsid w:val="009021EC"/>
    <w:rsid w:val="00902241"/>
    <w:rsid w:val="009023D2"/>
    <w:rsid w:val="0090248B"/>
    <w:rsid w:val="00902497"/>
    <w:rsid w:val="009024C6"/>
    <w:rsid w:val="009026D1"/>
    <w:rsid w:val="00902725"/>
    <w:rsid w:val="0090287A"/>
    <w:rsid w:val="009029F5"/>
    <w:rsid w:val="00902ACB"/>
    <w:rsid w:val="00902B0A"/>
    <w:rsid w:val="00902B4E"/>
    <w:rsid w:val="00902B6E"/>
    <w:rsid w:val="00902CE6"/>
    <w:rsid w:val="00902DD1"/>
    <w:rsid w:val="00902DDC"/>
    <w:rsid w:val="00902DF6"/>
    <w:rsid w:val="00902E69"/>
    <w:rsid w:val="00903082"/>
    <w:rsid w:val="0090312F"/>
    <w:rsid w:val="00903195"/>
    <w:rsid w:val="009031F4"/>
    <w:rsid w:val="009032E1"/>
    <w:rsid w:val="0090332E"/>
    <w:rsid w:val="009033CD"/>
    <w:rsid w:val="00903419"/>
    <w:rsid w:val="00903477"/>
    <w:rsid w:val="00903495"/>
    <w:rsid w:val="00903577"/>
    <w:rsid w:val="009035A4"/>
    <w:rsid w:val="009036DF"/>
    <w:rsid w:val="00903818"/>
    <w:rsid w:val="0090381F"/>
    <w:rsid w:val="00903A1E"/>
    <w:rsid w:val="00903A3E"/>
    <w:rsid w:val="00903A7B"/>
    <w:rsid w:val="00903BA0"/>
    <w:rsid w:val="00903C2B"/>
    <w:rsid w:val="00903CC3"/>
    <w:rsid w:val="00903D19"/>
    <w:rsid w:val="00903D84"/>
    <w:rsid w:val="00903DFF"/>
    <w:rsid w:val="00903E81"/>
    <w:rsid w:val="00903FB9"/>
    <w:rsid w:val="00903FCD"/>
    <w:rsid w:val="0090401F"/>
    <w:rsid w:val="00904052"/>
    <w:rsid w:val="00904054"/>
    <w:rsid w:val="00904262"/>
    <w:rsid w:val="00904334"/>
    <w:rsid w:val="00904361"/>
    <w:rsid w:val="00904390"/>
    <w:rsid w:val="009043BE"/>
    <w:rsid w:val="0090441A"/>
    <w:rsid w:val="00904475"/>
    <w:rsid w:val="009044A9"/>
    <w:rsid w:val="009045C8"/>
    <w:rsid w:val="0090460B"/>
    <w:rsid w:val="00904658"/>
    <w:rsid w:val="00904759"/>
    <w:rsid w:val="009047C7"/>
    <w:rsid w:val="00904836"/>
    <w:rsid w:val="009048C4"/>
    <w:rsid w:val="00904ADC"/>
    <w:rsid w:val="00904B6D"/>
    <w:rsid w:val="00904DDD"/>
    <w:rsid w:val="00904EDB"/>
    <w:rsid w:val="00904EE6"/>
    <w:rsid w:val="00904FBA"/>
    <w:rsid w:val="00904FD0"/>
    <w:rsid w:val="00905022"/>
    <w:rsid w:val="00905146"/>
    <w:rsid w:val="009052B7"/>
    <w:rsid w:val="009052BA"/>
    <w:rsid w:val="009052F6"/>
    <w:rsid w:val="00905370"/>
    <w:rsid w:val="009053DC"/>
    <w:rsid w:val="009053E0"/>
    <w:rsid w:val="00905529"/>
    <w:rsid w:val="0090567D"/>
    <w:rsid w:val="0090570B"/>
    <w:rsid w:val="00905783"/>
    <w:rsid w:val="00905786"/>
    <w:rsid w:val="009059D5"/>
    <w:rsid w:val="00905CAE"/>
    <w:rsid w:val="00905D0D"/>
    <w:rsid w:val="00905D71"/>
    <w:rsid w:val="00905D7D"/>
    <w:rsid w:val="00905E5B"/>
    <w:rsid w:val="00905FD6"/>
    <w:rsid w:val="00906006"/>
    <w:rsid w:val="00906099"/>
    <w:rsid w:val="0090620B"/>
    <w:rsid w:val="00906259"/>
    <w:rsid w:val="0090630D"/>
    <w:rsid w:val="009064C7"/>
    <w:rsid w:val="009065B1"/>
    <w:rsid w:val="009065E3"/>
    <w:rsid w:val="00906650"/>
    <w:rsid w:val="0090668F"/>
    <w:rsid w:val="00906A77"/>
    <w:rsid w:val="00906AE8"/>
    <w:rsid w:val="00906B4A"/>
    <w:rsid w:val="00906C6A"/>
    <w:rsid w:val="00906CF0"/>
    <w:rsid w:val="00906F47"/>
    <w:rsid w:val="00906F91"/>
    <w:rsid w:val="009070AE"/>
    <w:rsid w:val="0090723B"/>
    <w:rsid w:val="00907464"/>
    <w:rsid w:val="0090759F"/>
    <w:rsid w:val="009077BD"/>
    <w:rsid w:val="0090792A"/>
    <w:rsid w:val="00907A2E"/>
    <w:rsid w:val="00907C5D"/>
    <w:rsid w:val="00907CA6"/>
    <w:rsid w:val="00907CBA"/>
    <w:rsid w:val="00907CBE"/>
    <w:rsid w:val="00907D14"/>
    <w:rsid w:val="00907EDD"/>
    <w:rsid w:val="00907F4E"/>
    <w:rsid w:val="00910099"/>
    <w:rsid w:val="00910112"/>
    <w:rsid w:val="009102ED"/>
    <w:rsid w:val="009102FD"/>
    <w:rsid w:val="009103C9"/>
    <w:rsid w:val="00910450"/>
    <w:rsid w:val="00910468"/>
    <w:rsid w:val="009105A3"/>
    <w:rsid w:val="009105BD"/>
    <w:rsid w:val="009106F9"/>
    <w:rsid w:val="0091074D"/>
    <w:rsid w:val="009107CF"/>
    <w:rsid w:val="0091081F"/>
    <w:rsid w:val="0091082C"/>
    <w:rsid w:val="00910908"/>
    <w:rsid w:val="00910986"/>
    <w:rsid w:val="00910A2E"/>
    <w:rsid w:val="00910B2A"/>
    <w:rsid w:val="00910C57"/>
    <w:rsid w:val="00910D0E"/>
    <w:rsid w:val="00910E46"/>
    <w:rsid w:val="00910F11"/>
    <w:rsid w:val="00911006"/>
    <w:rsid w:val="00911125"/>
    <w:rsid w:val="009111A4"/>
    <w:rsid w:val="009111EA"/>
    <w:rsid w:val="009111F8"/>
    <w:rsid w:val="0091126C"/>
    <w:rsid w:val="0091127F"/>
    <w:rsid w:val="009112BA"/>
    <w:rsid w:val="009112FF"/>
    <w:rsid w:val="0091131E"/>
    <w:rsid w:val="00911526"/>
    <w:rsid w:val="009116B3"/>
    <w:rsid w:val="00911A6F"/>
    <w:rsid w:val="00911A8A"/>
    <w:rsid w:val="00911AD7"/>
    <w:rsid w:val="00911AE3"/>
    <w:rsid w:val="00911AF8"/>
    <w:rsid w:val="00911B1D"/>
    <w:rsid w:val="00911B2C"/>
    <w:rsid w:val="00911B94"/>
    <w:rsid w:val="00911CA0"/>
    <w:rsid w:val="00911DA8"/>
    <w:rsid w:val="00911EB8"/>
    <w:rsid w:val="00911ECA"/>
    <w:rsid w:val="00911F14"/>
    <w:rsid w:val="00911F28"/>
    <w:rsid w:val="00911FF4"/>
    <w:rsid w:val="00912283"/>
    <w:rsid w:val="00912296"/>
    <w:rsid w:val="00912337"/>
    <w:rsid w:val="009124DC"/>
    <w:rsid w:val="009125E7"/>
    <w:rsid w:val="009127C9"/>
    <w:rsid w:val="00912805"/>
    <w:rsid w:val="00912840"/>
    <w:rsid w:val="00912928"/>
    <w:rsid w:val="00912AC6"/>
    <w:rsid w:val="00912B54"/>
    <w:rsid w:val="00912B5C"/>
    <w:rsid w:val="00912D80"/>
    <w:rsid w:val="00913113"/>
    <w:rsid w:val="00913319"/>
    <w:rsid w:val="009133C7"/>
    <w:rsid w:val="00913480"/>
    <w:rsid w:val="00913540"/>
    <w:rsid w:val="00913542"/>
    <w:rsid w:val="00913636"/>
    <w:rsid w:val="009136E9"/>
    <w:rsid w:val="009136FF"/>
    <w:rsid w:val="0091380F"/>
    <w:rsid w:val="0091390F"/>
    <w:rsid w:val="00913932"/>
    <w:rsid w:val="00913934"/>
    <w:rsid w:val="00913AEF"/>
    <w:rsid w:val="00913BB7"/>
    <w:rsid w:val="00913DAB"/>
    <w:rsid w:val="00913E5D"/>
    <w:rsid w:val="00913E89"/>
    <w:rsid w:val="00913F66"/>
    <w:rsid w:val="009140C2"/>
    <w:rsid w:val="00914159"/>
    <w:rsid w:val="0091422B"/>
    <w:rsid w:val="0091427F"/>
    <w:rsid w:val="009142F3"/>
    <w:rsid w:val="009143CB"/>
    <w:rsid w:val="00914412"/>
    <w:rsid w:val="009145A7"/>
    <w:rsid w:val="00914785"/>
    <w:rsid w:val="009147B4"/>
    <w:rsid w:val="009147D3"/>
    <w:rsid w:val="009147EE"/>
    <w:rsid w:val="00914906"/>
    <w:rsid w:val="00914AA9"/>
    <w:rsid w:val="00914CE3"/>
    <w:rsid w:val="00914DD1"/>
    <w:rsid w:val="00914EA2"/>
    <w:rsid w:val="00914F34"/>
    <w:rsid w:val="00914FCA"/>
    <w:rsid w:val="00915026"/>
    <w:rsid w:val="00915297"/>
    <w:rsid w:val="00915359"/>
    <w:rsid w:val="009153C8"/>
    <w:rsid w:val="009155E2"/>
    <w:rsid w:val="00915730"/>
    <w:rsid w:val="00915733"/>
    <w:rsid w:val="00915783"/>
    <w:rsid w:val="0091581E"/>
    <w:rsid w:val="009158DC"/>
    <w:rsid w:val="0091592D"/>
    <w:rsid w:val="009159A0"/>
    <w:rsid w:val="009159BD"/>
    <w:rsid w:val="009159BE"/>
    <w:rsid w:val="00915A0E"/>
    <w:rsid w:val="00915AEA"/>
    <w:rsid w:val="00915B71"/>
    <w:rsid w:val="00915C0C"/>
    <w:rsid w:val="00915CA6"/>
    <w:rsid w:val="00915CBC"/>
    <w:rsid w:val="00915DBA"/>
    <w:rsid w:val="00915ECF"/>
    <w:rsid w:val="00915EDD"/>
    <w:rsid w:val="00916026"/>
    <w:rsid w:val="009160B8"/>
    <w:rsid w:val="009160C2"/>
    <w:rsid w:val="0091631C"/>
    <w:rsid w:val="0091633C"/>
    <w:rsid w:val="00916344"/>
    <w:rsid w:val="009166ED"/>
    <w:rsid w:val="009167C8"/>
    <w:rsid w:val="0091681E"/>
    <w:rsid w:val="00916930"/>
    <w:rsid w:val="00916A17"/>
    <w:rsid w:val="00916A22"/>
    <w:rsid w:val="00916A68"/>
    <w:rsid w:val="00916A86"/>
    <w:rsid w:val="00916C33"/>
    <w:rsid w:val="00916D25"/>
    <w:rsid w:val="00916E0B"/>
    <w:rsid w:val="00916FE3"/>
    <w:rsid w:val="009171C9"/>
    <w:rsid w:val="0091729E"/>
    <w:rsid w:val="00917343"/>
    <w:rsid w:val="00917344"/>
    <w:rsid w:val="0091745F"/>
    <w:rsid w:val="0091749A"/>
    <w:rsid w:val="009174FF"/>
    <w:rsid w:val="00917691"/>
    <w:rsid w:val="009176A0"/>
    <w:rsid w:val="00917737"/>
    <w:rsid w:val="00917777"/>
    <w:rsid w:val="009177AC"/>
    <w:rsid w:val="009177EB"/>
    <w:rsid w:val="0091785E"/>
    <w:rsid w:val="009178BE"/>
    <w:rsid w:val="00917916"/>
    <w:rsid w:val="009179E0"/>
    <w:rsid w:val="00917A81"/>
    <w:rsid w:val="00917ACE"/>
    <w:rsid w:val="00917C61"/>
    <w:rsid w:val="00917D9C"/>
    <w:rsid w:val="00917DAC"/>
    <w:rsid w:val="00917E41"/>
    <w:rsid w:val="00917EC1"/>
    <w:rsid w:val="00917EEA"/>
    <w:rsid w:val="00917EF4"/>
    <w:rsid w:val="00917F7C"/>
    <w:rsid w:val="0092002C"/>
    <w:rsid w:val="0092007F"/>
    <w:rsid w:val="00920230"/>
    <w:rsid w:val="0092032B"/>
    <w:rsid w:val="0092038F"/>
    <w:rsid w:val="00920403"/>
    <w:rsid w:val="00920434"/>
    <w:rsid w:val="009204E2"/>
    <w:rsid w:val="00920521"/>
    <w:rsid w:val="009205D8"/>
    <w:rsid w:val="009207E7"/>
    <w:rsid w:val="0092084D"/>
    <w:rsid w:val="009209B9"/>
    <w:rsid w:val="00920A30"/>
    <w:rsid w:val="00920C4A"/>
    <w:rsid w:val="00920D1F"/>
    <w:rsid w:val="00920DB2"/>
    <w:rsid w:val="00920FD2"/>
    <w:rsid w:val="00921067"/>
    <w:rsid w:val="009210B1"/>
    <w:rsid w:val="00921129"/>
    <w:rsid w:val="00921160"/>
    <w:rsid w:val="0092119C"/>
    <w:rsid w:val="009213AC"/>
    <w:rsid w:val="00921469"/>
    <w:rsid w:val="00921473"/>
    <w:rsid w:val="0092159C"/>
    <w:rsid w:val="009215B2"/>
    <w:rsid w:val="009215DE"/>
    <w:rsid w:val="009215E6"/>
    <w:rsid w:val="0092175F"/>
    <w:rsid w:val="0092185A"/>
    <w:rsid w:val="009218DE"/>
    <w:rsid w:val="009219F1"/>
    <w:rsid w:val="00921A7E"/>
    <w:rsid w:val="00921BDC"/>
    <w:rsid w:val="00921D84"/>
    <w:rsid w:val="00921E1C"/>
    <w:rsid w:val="00921E44"/>
    <w:rsid w:val="00921E62"/>
    <w:rsid w:val="00921ECF"/>
    <w:rsid w:val="00921F4E"/>
    <w:rsid w:val="00922188"/>
    <w:rsid w:val="00922284"/>
    <w:rsid w:val="00922417"/>
    <w:rsid w:val="009225F0"/>
    <w:rsid w:val="0092260A"/>
    <w:rsid w:val="009227C7"/>
    <w:rsid w:val="009227CD"/>
    <w:rsid w:val="0092297C"/>
    <w:rsid w:val="00922A9F"/>
    <w:rsid w:val="00922B3D"/>
    <w:rsid w:val="00922B69"/>
    <w:rsid w:val="00922BD6"/>
    <w:rsid w:val="00922C28"/>
    <w:rsid w:val="00922DED"/>
    <w:rsid w:val="00922E39"/>
    <w:rsid w:val="00922EA0"/>
    <w:rsid w:val="00922ECD"/>
    <w:rsid w:val="00922F58"/>
    <w:rsid w:val="00923178"/>
    <w:rsid w:val="00923289"/>
    <w:rsid w:val="00923305"/>
    <w:rsid w:val="009233D7"/>
    <w:rsid w:val="009233F4"/>
    <w:rsid w:val="00923550"/>
    <w:rsid w:val="0092364F"/>
    <w:rsid w:val="009236A4"/>
    <w:rsid w:val="009237A4"/>
    <w:rsid w:val="00923811"/>
    <w:rsid w:val="0092391E"/>
    <w:rsid w:val="0092397B"/>
    <w:rsid w:val="00923A01"/>
    <w:rsid w:val="00923A13"/>
    <w:rsid w:val="00923BA8"/>
    <w:rsid w:val="00923CDC"/>
    <w:rsid w:val="00923DFD"/>
    <w:rsid w:val="00923E11"/>
    <w:rsid w:val="00923ED2"/>
    <w:rsid w:val="00923F1E"/>
    <w:rsid w:val="00923F8F"/>
    <w:rsid w:val="0092401F"/>
    <w:rsid w:val="009241AE"/>
    <w:rsid w:val="009241BD"/>
    <w:rsid w:val="00924377"/>
    <w:rsid w:val="009243B0"/>
    <w:rsid w:val="00924502"/>
    <w:rsid w:val="0092463C"/>
    <w:rsid w:val="00924694"/>
    <w:rsid w:val="009246B3"/>
    <w:rsid w:val="009247B0"/>
    <w:rsid w:val="00924868"/>
    <w:rsid w:val="009248A6"/>
    <w:rsid w:val="00924BEF"/>
    <w:rsid w:val="00924C27"/>
    <w:rsid w:val="00924C75"/>
    <w:rsid w:val="00924D32"/>
    <w:rsid w:val="00924F2B"/>
    <w:rsid w:val="00924FAC"/>
    <w:rsid w:val="00924FFE"/>
    <w:rsid w:val="0092504F"/>
    <w:rsid w:val="0092514D"/>
    <w:rsid w:val="0092517A"/>
    <w:rsid w:val="009251EB"/>
    <w:rsid w:val="0092527C"/>
    <w:rsid w:val="00925459"/>
    <w:rsid w:val="0092547E"/>
    <w:rsid w:val="0092562D"/>
    <w:rsid w:val="0092568A"/>
    <w:rsid w:val="009256B9"/>
    <w:rsid w:val="009256BF"/>
    <w:rsid w:val="009257CB"/>
    <w:rsid w:val="009258BA"/>
    <w:rsid w:val="009258F3"/>
    <w:rsid w:val="00925B1C"/>
    <w:rsid w:val="00925BB6"/>
    <w:rsid w:val="00925C1D"/>
    <w:rsid w:val="00925D87"/>
    <w:rsid w:val="00925DA9"/>
    <w:rsid w:val="00925DD9"/>
    <w:rsid w:val="00925E1D"/>
    <w:rsid w:val="00925E35"/>
    <w:rsid w:val="00925EEC"/>
    <w:rsid w:val="00925F2E"/>
    <w:rsid w:val="00925F30"/>
    <w:rsid w:val="00925FA2"/>
    <w:rsid w:val="00926101"/>
    <w:rsid w:val="0092617C"/>
    <w:rsid w:val="00926294"/>
    <w:rsid w:val="009262F4"/>
    <w:rsid w:val="0092646A"/>
    <w:rsid w:val="009264E4"/>
    <w:rsid w:val="00926659"/>
    <w:rsid w:val="009267B4"/>
    <w:rsid w:val="009268DA"/>
    <w:rsid w:val="00926A48"/>
    <w:rsid w:val="00926B27"/>
    <w:rsid w:val="00926B9E"/>
    <w:rsid w:val="00926BA3"/>
    <w:rsid w:val="00926BDB"/>
    <w:rsid w:val="00926C77"/>
    <w:rsid w:val="00926C7A"/>
    <w:rsid w:val="00926CAC"/>
    <w:rsid w:val="0092705E"/>
    <w:rsid w:val="00927086"/>
    <w:rsid w:val="009270C4"/>
    <w:rsid w:val="00927176"/>
    <w:rsid w:val="00927250"/>
    <w:rsid w:val="009272C6"/>
    <w:rsid w:val="009273D9"/>
    <w:rsid w:val="009275F8"/>
    <w:rsid w:val="0092762C"/>
    <w:rsid w:val="009277ED"/>
    <w:rsid w:val="00927817"/>
    <w:rsid w:val="0092790B"/>
    <w:rsid w:val="00927C2A"/>
    <w:rsid w:val="00927C3E"/>
    <w:rsid w:val="00927F7D"/>
    <w:rsid w:val="00930020"/>
    <w:rsid w:val="00930025"/>
    <w:rsid w:val="0093005C"/>
    <w:rsid w:val="009300BD"/>
    <w:rsid w:val="009300F4"/>
    <w:rsid w:val="009301F6"/>
    <w:rsid w:val="009302F6"/>
    <w:rsid w:val="00930305"/>
    <w:rsid w:val="00930357"/>
    <w:rsid w:val="0093039D"/>
    <w:rsid w:val="00930516"/>
    <w:rsid w:val="0093054E"/>
    <w:rsid w:val="00930571"/>
    <w:rsid w:val="0093057F"/>
    <w:rsid w:val="009306C1"/>
    <w:rsid w:val="009306FB"/>
    <w:rsid w:val="009307E0"/>
    <w:rsid w:val="009308DD"/>
    <w:rsid w:val="00930AAE"/>
    <w:rsid w:val="00930B05"/>
    <w:rsid w:val="00930B3D"/>
    <w:rsid w:val="00930B44"/>
    <w:rsid w:val="00930B81"/>
    <w:rsid w:val="00930B8B"/>
    <w:rsid w:val="00930BA2"/>
    <w:rsid w:val="00930DC0"/>
    <w:rsid w:val="00930DC6"/>
    <w:rsid w:val="00930E43"/>
    <w:rsid w:val="00930F3D"/>
    <w:rsid w:val="00930FB1"/>
    <w:rsid w:val="009311DA"/>
    <w:rsid w:val="00931297"/>
    <w:rsid w:val="009313A4"/>
    <w:rsid w:val="00931404"/>
    <w:rsid w:val="00931468"/>
    <w:rsid w:val="009314C6"/>
    <w:rsid w:val="00931510"/>
    <w:rsid w:val="0093162A"/>
    <w:rsid w:val="0093164F"/>
    <w:rsid w:val="0093170F"/>
    <w:rsid w:val="00931728"/>
    <w:rsid w:val="00931766"/>
    <w:rsid w:val="009317AD"/>
    <w:rsid w:val="0093187A"/>
    <w:rsid w:val="00931946"/>
    <w:rsid w:val="00931AC5"/>
    <w:rsid w:val="00931BC2"/>
    <w:rsid w:val="00931C19"/>
    <w:rsid w:val="00931C9C"/>
    <w:rsid w:val="00931D21"/>
    <w:rsid w:val="00931D30"/>
    <w:rsid w:val="00931DCA"/>
    <w:rsid w:val="00931E8C"/>
    <w:rsid w:val="00931EAE"/>
    <w:rsid w:val="00931F92"/>
    <w:rsid w:val="00932015"/>
    <w:rsid w:val="0093207D"/>
    <w:rsid w:val="009320AB"/>
    <w:rsid w:val="00932257"/>
    <w:rsid w:val="00932293"/>
    <w:rsid w:val="00932371"/>
    <w:rsid w:val="009323AA"/>
    <w:rsid w:val="00932466"/>
    <w:rsid w:val="00932471"/>
    <w:rsid w:val="00932478"/>
    <w:rsid w:val="009324B0"/>
    <w:rsid w:val="0093254E"/>
    <w:rsid w:val="00932640"/>
    <w:rsid w:val="009326FC"/>
    <w:rsid w:val="00932826"/>
    <w:rsid w:val="00932878"/>
    <w:rsid w:val="0093290D"/>
    <w:rsid w:val="00932998"/>
    <w:rsid w:val="00932B6F"/>
    <w:rsid w:val="00932BD1"/>
    <w:rsid w:val="00932C88"/>
    <w:rsid w:val="00932D1A"/>
    <w:rsid w:val="00932EAA"/>
    <w:rsid w:val="00932FC4"/>
    <w:rsid w:val="00932FC9"/>
    <w:rsid w:val="009330C9"/>
    <w:rsid w:val="009330DB"/>
    <w:rsid w:val="009332CA"/>
    <w:rsid w:val="00933365"/>
    <w:rsid w:val="009333AB"/>
    <w:rsid w:val="0093356C"/>
    <w:rsid w:val="009335C3"/>
    <w:rsid w:val="009336C9"/>
    <w:rsid w:val="00933702"/>
    <w:rsid w:val="00933842"/>
    <w:rsid w:val="009338BF"/>
    <w:rsid w:val="00933A3B"/>
    <w:rsid w:val="00933AC2"/>
    <w:rsid w:val="00933AE9"/>
    <w:rsid w:val="00933B60"/>
    <w:rsid w:val="00933B6F"/>
    <w:rsid w:val="00933B82"/>
    <w:rsid w:val="00933C83"/>
    <w:rsid w:val="00933CDE"/>
    <w:rsid w:val="00933DD8"/>
    <w:rsid w:val="00933E12"/>
    <w:rsid w:val="009340FC"/>
    <w:rsid w:val="00934115"/>
    <w:rsid w:val="009342A4"/>
    <w:rsid w:val="009343B4"/>
    <w:rsid w:val="0093445B"/>
    <w:rsid w:val="00934465"/>
    <w:rsid w:val="00934471"/>
    <w:rsid w:val="009347EC"/>
    <w:rsid w:val="0093484E"/>
    <w:rsid w:val="0093489B"/>
    <w:rsid w:val="00934921"/>
    <w:rsid w:val="00934C20"/>
    <w:rsid w:val="00934C7C"/>
    <w:rsid w:val="00934DA8"/>
    <w:rsid w:val="00934E0A"/>
    <w:rsid w:val="00934F20"/>
    <w:rsid w:val="0093500A"/>
    <w:rsid w:val="00935020"/>
    <w:rsid w:val="00935230"/>
    <w:rsid w:val="009353F9"/>
    <w:rsid w:val="00935418"/>
    <w:rsid w:val="00935469"/>
    <w:rsid w:val="00935620"/>
    <w:rsid w:val="00935888"/>
    <w:rsid w:val="009359C0"/>
    <w:rsid w:val="00935B07"/>
    <w:rsid w:val="00935B7B"/>
    <w:rsid w:val="00935C13"/>
    <w:rsid w:val="00935D2A"/>
    <w:rsid w:val="00935D46"/>
    <w:rsid w:val="00935D73"/>
    <w:rsid w:val="00935E1D"/>
    <w:rsid w:val="00935E27"/>
    <w:rsid w:val="00935EF0"/>
    <w:rsid w:val="00935F2C"/>
    <w:rsid w:val="00936074"/>
    <w:rsid w:val="00936084"/>
    <w:rsid w:val="00936209"/>
    <w:rsid w:val="009362D0"/>
    <w:rsid w:val="009362DA"/>
    <w:rsid w:val="009363C2"/>
    <w:rsid w:val="00936408"/>
    <w:rsid w:val="009366B1"/>
    <w:rsid w:val="009367F8"/>
    <w:rsid w:val="00936872"/>
    <w:rsid w:val="00936968"/>
    <w:rsid w:val="00936AC2"/>
    <w:rsid w:val="00936C6E"/>
    <w:rsid w:val="00936C85"/>
    <w:rsid w:val="00936EA2"/>
    <w:rsid w:val="00937006"/>
    <w:rsid w:val="00937027"/>
    <w:rsid w:val="00937143"/>
    <w:rsid w:val="009372BF"/>
    <w:rsid w:val="009373A1"/>
    <w:rsid w:val="0093740D"/>
    <w:rsid w:val="0093753A"/>
    <w:rsid w:val="00937540"/>
    <w:rsid w:val="0093760E"/>
    <w:rsid w:val="009376C7"/>
    <w:rsid w:val="00937705"/>
    <w:rsid w:val="0093775F"/>
    <w:rsid w:val="0093792C"/>
    <w:rsid w:val="009379AD"/>
    <w:rsid w:val="00937BE6"/>
    <w:rsid w:val="00937D74"/>
    <w:rsid w:val="00937E5B"/>
    <w:rsid w:val="00937EA8"/>
    <w:rsid w:val="00937F96"/>
    <w:rsid w:val="00937FC5"/>
    <w:rsid w:val="00940166"/>
    <w:rsid w:val="009401B0"/>
    <w:rsid w:val="009401ED"/>
    <w:rsid w:val="009404AB"/>
    <w:rsid w:val="009404C4"/>
    <w:rsid w:val="00940541"/>
    <w:rsid w:val="009405CE"/>
    <w:rsid w:val="0094066B"/>
    <w:rsid w:val="0094076C"/>
    <w:rsid w:val="009407D4"/>
    <w:rsid w:val="0094088F"/>
    <w:rsid w:val="00940A54"/>
    <w:rsid w:val="00940B9C"/>
    <w:rsid w:val="00940C43"/>
    <w:rsid w:val="00940D10"/>
    <w:rsid w:val="009410C8"/>
    <w:rsid w:val="009410EF"/>
    <w:rsid w:val="00941122"/>
    <w:rsid w:val="00941192"/>
    <w:rsid w:val="0094119B"/>
    <w:rsid w:val="009412EF"/>
    <w:rsid w:val="0094139D"/>
    <w:rsid w:val="009413A1"/>
    <w:rsid w:val="0094146D"/>
    <w:rsid w:val="009416AF"/>
    <w:rsid w:val="0094195B"/>
    <w:rsid w:val="00941A98"/>
    <w:rsid w:val="00941AFC"/>
    <w:rsid w:val="00941B28"/>
    <w:rsid w:val="00941CA5"/>
    <w:rsid w:val="00941E14"/>
    <w:rsid w:val="00942082"/>
    <w:rsid w:val="00942176"/>
    <w:rsid w:val="009421D7"/>
    <w:rsid w:val="009421FB"/>
    <w:rsid w:val="0094235C"/>
    <w:rsid w:val="009424BF"/>
    <w:rsid w:val="0094253C"/>
    <w:rsid w:val="00942540"/>
    <w:rsid w:val="0094258D"/>
    <w:rsid w:val="009425BC"/>
    <w:rsid w:val="009425C5"/>
    <w:rsid w:val="0094268A"/>
    <w:rsid w:val="0094281D"/>
    <w:rsid w:val="009429AE"/>
    <w:rsid w:val="009429DF"/>
    <w:rsid w:val="009429F0"/>
    <w:rsid w:val="00942C5C"/>
    <w:rsid w:val="00942D4B"/>
    <w:rsid w:val="00942D7D"/>
    <w:rsid w:val="00942DA0"/>
    <w:rsid w:val="00942E9A"/>
    <w:rsid w:val="00942EB1"/>
    <w:rsid w:val="00942EDE"/>
    <w:rsid w:val="00942EE3"/>
    <w:rsid w:val="00942F8A"/>
    <w:rsid w:val="00943053"/>
    <w:rsid w:val="00943095"/>
    <w:rsid w:val="009431B4"/>
    <w:rsid w:val="009431CD"/>
    <w:rsid w:val="0094325E"/>
    <w:rsid w:val="009432F0"/>
    <w:rsid w:val="00943369"/>
    <w:rsid w:val="00943396"/>
    <w:rsid w:val="009434A5"/>
    <w:rsid w:val="0094356E"/>
    <w:rsid w:val="0094382E"/>
    <w:rsid w:val="00943894"/>
    <w:rsid w:val="0094393C"/>
    <w:rsid w:val="009439DF"/>
    <w:rsid w:val="00943B0A"/>
    <w:rsid w:val="00943C3F"/>
    <w:rsid w:val="00943C9C"/>
    <w:rsid w:val="00943E30"/>
    <w:rsid w:val="00943E4F"/>
    <w:rsid w:val="00943E8A"/>
    <w:rsid w:val="00943EC5"/>
    <w:rsid w:val="0094415D"/>
    <w:rsid w:val="009441B9"/>
    <w:rsid w:val="009441DE"/>
    <w:rsid w:val="0094442E"/>
    <w:rsid w:val="00944434"/>
    <w:rsid w:val="009444DE"/>
    <w:rsid w:val="00944522"/>
    <w:rsid w:val="00944542"/>
    <w:rsid w:val="009445F0"/>
    <w:rsid w:val="009446F2"/>
    <w:rsid w:val="00944757"/>
    <w:rsid w:val="0094481A"/>
    <w:rsid w:val="0094486E"/>
    <w:rsid w:val="0094488F"/>
    <w:rsid w:val="00944996"/>
    <w:rsid w:val="00944AC3"/>
    <w:rsid w:val="00944AD0"/>
    <w:rsid w:val="00944B97"/>
    <w:rsid w:val="00944BE0"/>
    <w:rsid w:val="00944E04"/>
    <w:rsid w:val="00944FEC"/>
    <w:rsid w:val="0094504A"/>
    <w:rsid w:val="009453A4"/>
    <w:rsid w:val="0094544E"/>
    <w:rsid w:val="00945510"/>
    <w:rsid w:val="00945531"/>
    <w:rsid w:val="00945633"/>
    <w:rsid w:val="00945847"/>
    <w:rsid w:val="009459AF"/>
    <w:rsid w:val="00945A26"/>
    <w:rsid w:val="00945A77"/>
    <w:rsid w:val="00945A95"/>
    <w:rsid w:val="00945A9F"/>
    <w:rsid w:val="00945BB9"/>
    <w:rsid w:val="00945CB2"/>
    <w:rsid w:val="00945D76"/>
    <w:rsid w:val="00945E19"/>
    <w:rsid w:val="00946036"/>
    <w:rsid w:val="009461B9"/>
    <w:rsid w:val="009462A4"/>
    <w:rsid w:val="009464E9"/>
    <w:rsid w:val="009464F1"/>
    <w:rsid w:val="0094656D"/>
    <w:rsid w:val="009466CB"/>
    <w:rsid w:val="009467C2"/>
    <w:rsid w:val="00946AC1"/>
    <w:rsid w:val="00946CFE"/>
    <w:rsid w:val="00946D2F"/>
    <w:rsid w:val="00946D45"/>
    <w:rsid w:val="00946D48"/>
    <w:rsid w:val="00946DC6"/>
    <w:rsid w:val="00946FB4"/>
    <w:rsid w:val="009470CA"/>
    <w:rsid w:val="0094710E"/>
    <w:rsid w:val="009471E7"/>
    <w:rsid w:val="009473AB"/>
    <w:rsid w:val="009474F9"/>
    <w:rsid w:val="0094750D"/>
    <w:rsid w:val="00947529"/>
    <w:rsid w:val="009476C2"/>
    <w:rsid w:val="009476DA"/>
    <w:rsid w:val="0094788F"/>
    <w:rsid w:val="0094796A"/>
    <w:rsid w:val="00947A65"/>
    <w:rsid w:val="00947AAA"/>
    <w:rsid w:val="00947C2D"/>
    <w:rsid w:val="00947E4E"/>
    <w:rsid w:val="00947E5E"/>
    <w:rsid w:val="00947EA0"/>
    <w:rsid w:val="00947ED2"/>
    <w:rsid w:val="00947FC1"/>
    <w:rsid w:val="00947FDD"/>
    <w:rsid w:val="00950090"/>
    <w:rsid w:val="0095010E"/>
    <w:rsid w:val="009501C3"/>
    <w:rsid w:val="009501D2"/>
    <w:rsid w:val="00950313"/>
    <w:rsid w:val="00950392"/>
    <w:rsid w:val="0095039D"/>
    <w:rsid w:val="009503DE"/>
    <w:rsid w:val="009504A0"/>
    <w:rsid w:val="0095053C"/>
    <w:rsid w:val="00950670"/>
    <w:rsid w:val="009506A0"/>
    <w:rsid w:val="009506A6"/>
    <w:rsid w:val="009506AB"/>
    <w:rsid w:val="00950839"/>
    <w:rsid w:val="0095083E"/>
    <w:rsid w:val="00950A96"/>
    <w:rsid w:val="00950AB8"/>
    <w:rsid w:val="00950D38"/>
    <w:rsid w:val="00950D4E"/>
    <w:rsid w:val="00950EA6"/>
    <w:rsid w:val="00950F1C"/>
    <w:rsid w:val="00950F42"/>
    <w:rsid w:val="00950F57"/>
    <w:rsid w:val="00951036"/>
    <w:rsid w:val="009510BD"/>
    <w:rsid w:val="009512C2"/>
    <w:rsid w:val="00951313"/>
    <w:rsid w:val="0095143F"/>
    <w:rsid w:val="0095147C"/>
    <w:rsid w:val="00951492"/>
    <w:rsid w:val="00951523"/>
    <w:rsid w:val="0095158C"/>
    <w:rsid w:val="009515F9"/>
    <w:rsid w:val="00951867"/>
    <w:rsid w:val="00951A35"/>
    <w:rsid w:val="00951AC1"/>
    <w:rsid w:val="00951B82"/>
    <w:rsid w:val="00951E4F"/>
    <w:rsid w:val="00951E64"/>
    <w:rsid w:val="00951EB1"/>
    <w:rsid w:val="00951F7A"/>
    <w:rsid w:val="009522CC"/>
    <w:rsid w:val="009522FD"/>
    <w:rsid w:val="00952326"/>
    <w:rsid w:val="00952340"/>
    <w:rsid w:val="00952371"/>
    <w:rsid w:val="00952372"/>
    <w:rsid w:val="0095258F"/>
    <w:rsid w:val="00952600"/>
    <w:rsid w:val="00952635"/>
    <w:rsid w:val="009526BD"/>
    <w:rsid w:val="00952759"/>
    <w:rsid w:val="009527A0"/>
    <w:rsid w:val="0095290B"/>
    <w:rsid w:val="00952AEE"/>
    <w:rsid w:val="00952B35"/>
    <w:rsid w:val="00952B40"/>
    <w:rsid w:val="00952B92"/>
    <w:rsid w:val="00952BA7"/>
    <w:rsid w:val="00952D51"/>
    <w:rsid w:val="00952E11"/>
    <w:rsid w:val="00952E86"/>
    <w:rsid w:val="00952FA5"/>
    <w:rsid w:val="00952FBA"/>
    <w:rsid w:val="00952FDF"/>
    <w:rsid w:val="00952FFF"/>
    <w:rsid w:val="00953000"/>
    <w:rsid w:val="00953032"/>
    <w:rsid w:val="009531F1"/>
    <w:rsid w:val="0095323A"/>
    <w:rsid w:val="0095332E"/>
    <w:rsid w:val="00953377"/>
    <w:rsid w:val="0095375D"/>
    <w:rsid w:val="009538EF"/>
    <w:rsid w:val="00953A11"/>
    <w:rsid w:val="00953A81"/>
    <w:rsid w:val="00953C63"/>
    <w:rsid w:val="00953CBA"/>
    <w:rsid w:val="00953D4F"/>
    <w:rsid w:val="00953DFE"/>
    <w:rsid w:val="00953E83"/>
    <w:rsid w:val="00953EF6"/>
    <w:rsid w:val="00954115"/>
    <w:rsid w:val="00954136"/>
    <w:rsid w:val="00954242"/>
    <w:rsid w:val="009543E3"/>
    <w:rsid w:val="009545CC"/>
    <w:rsid w:val="009545D7"/>
    <w:rsid w:val="009545F8"/>
    <w:rsid w:val="0095465B"/>
    <w:rsid w:val="009546AB"/>
    <w:rsid w:val="00954736"/>
    <w:rsid w:val="00954788"/>
    <w:rsid w:val="00954815"/>
    <w:rsid w:val="00954832"/>
    <w:rsid w:val="0095490B"/>
    <w:rsid w:val="00954B43"/>
    <w:rsid w:val="00954D31"/>
    <w:rsid w:val="00954DFA"/>
    <w:rsid w:val="00954ED8"/>
    <w:rsid w:val="009550B3"/>
    <w:rsid w:val="009551FF"/>
    <w:rsid w:val="00955253"/>
    <w:rsid w:val="00955279"/>
    <w:rsid w:val="0095528C"/>
    <w:rsid w:val="009552ED"/>
    <w:rsid w:val="00955389"/>
    <w:rsid w:val="0095543D"/>
    <w:rsid w:val="00955468"/>
    <w:rsid w:val="00955508"/>
    <w:rsid w:val="00955615"/>
    <w:rsid w:val="0095568E"/>
    <w:rsid w:val="009556AE"/>
    <w:rsid w:val="00955858"/>
    <w:rsid w:val="009558B9"/>
    <w:rsid w:val="009559B4"/>
    <w:rsid w:val="00955AAD"/>
    <w:rsid w:val="00955BBE"/>
    <w:rsid w:val="00955C85"/>
    <w:rsid w:val="00955D0B"/>
    <w:rsid w:val="00955D69"/>
    <w:rsid w:val="00955E01"/>
    <w:rsid w:val="00955F92"/>
    <w:rsid w:val="00955FC8"/>
    <w:rsid w:val="00955FCD"/>
    <w:rsid w:val="009563B3"/>
    <w:rsid w:val="00956591"/>
    <w:rsid w:val="0095672D"/>
    <w:rsid w:val="00956850"/>
    <w:rsid w:val="009568AB"/>
    <w:rsid w:val="009568AC"/>
    <w:rsid w:val="009568BA"/>
    <w:rsid w:val="009568EB"/>
    <w:rsid w:val="0095693E"/>
    <w:rsid w:val="009569F0"/>
    <w:rsid w:val="00956A2B"/>
    <w:rsid w:val="00956AE9"/>
    <w:rsid w:val="00956B73"/>
    <w:rsid w:val="00956C00"/>
    <w:rsid w:val="00956C9A"/>
    <w:rsid w:val="00956CBE"/>
    <w:rsid w:val="00956CEF"/>
    <w:rsid w:val="00956EDD"/>
    <w:rsid w:val="00957019"/>
    <w:rsid w:val="009570B7"/>
    <w:rsid w:val="009570E1"/>
    <w:rsid w:val="00957167"/>
    <w:rsid w:val="0095716A"/>
    <w:rsid w:val="009571AD"/>
    <w:rsid w:val="00957474"/>
    <w:rsid w:val="00957545"/>
    <w:rsid w:val="009575AF"/>
    <w:rsid w:val="00957747"/>
    <w:rsid w:val="009577DF"/>
    <w:rsid w:val="00957859"/>
    <w:rsid w:val="0095791D"/>
    <w:rsid w:val="00957982"/>
    <w:rsid w:val="00957A80"/>
    <w:rsid w:val="00957D9D"/>
    <w:rsid w:val="00957E16"/>
    <w:rsid w:val="00957FBC"/>
    <w:rsid w:val="00957FC5"/>
    <w:rsid w:val="00957FD5"/>
    <w:rsid w:val="00960000"/>
    <w:rsid w:val="009600B8"/>
    <w:rsid w:val="009600BF"/>
    <w:rsid w:val="009600D9"/>
    <w:rsid w:val="00960121"/>
    <w:rsid w:val="00960257"/>
    <w:rsid w:val="00960263"/>
    <w:rsid w:val="0096028E"/>
    <w:rsid w:val="00960434"/>
    <w:rsid w:val="00960505"/>
    <w:rsid w:val="00960663"/>
    <w:rsid w:val="00960793"/>
    <w:rsid w:val="00960CA1"/>
    <w:rsid w:val="00960CF1"/>
    <w:rsid w:val="00960D98"/>
    <w:rsid w:val="00960D9A"/>
    <w:rsid w:val="00960DA1"/>
    <w:rsid w:val="00960DE7"/>
    <w:rsid w:val="00960E44"/>
    <w:rsid w:val="00960E8D"/>
    <w:rsid w:val="00960EA3"/>
    <w:rsid w:val="00961147"/>
    <w:rsid w:val="009612A8"/>
    <w:rsid w:val="009612B1"/>
    <w:rsid w:val="00961531"/>
    <w:rsid w:val="009615E1"/>
    <w:rsid w:val="0096172D"/>
    <w:rsid w:val="009617FE"/>
    <w:rsid w:val="00961836"/>
    <w:rsid w:val="00961883"/>
    <w:rsid w:val="009618B4"/>
    <w:rsid w:val="009618E6"/>
    <w:rsid w:val="00961A9B"/>
    <w:rsid w:val="00961ACB"/>
    <w:rsid w:val="00961B03"/>
    <w:rsid w:val="00961C4B"/>
    <w:rsid w:val="00961C79"/>
    <w:rsid w:val="00961D58"/>
    <w:rsid w:val="00961E89"/>
    <w:rsid w:val="00962021"/>
    <w:rsid w:val="009621A3"/>
    <w:rsid w:val="00962215"/>
    <w:rsid w:val="00962343"/>
    <w:rsid w:val="00962349"/>
    <w:rsid w:val="0096237E"/>
    <w:rsid w:val="009624A2"/>
    <w:rsid w:val="00962504"/>
    <w:rsid w:val="00962571"/>
    <w:rsid w:val="009626B5"/>
    <w:rsid w:val="00962742"/>
    <w:rsid w:val="0096274B"/>
    <w:rsid w:val="009628D7"/>
    <w:rsid w:val="00962AF4"/>
    <w:rsid w:val="00962BA7"/>
    <w:rsid w:val="00962BD0"/>
    <w:rsid w:val="00962BEB"/>
    <w:rsid w:val="00962C4D"/>
    <w:rsid w:val="00962C81"/>
    <w:rsid w:val="00962CE2"/>
    <w:rsid w:val="00962DA8"/>
    <w:rsid w:val="00962F26"/>
    <w:rsid w:val="00963016"/>
    <w:rsid w:val="00963123"/>
    <w:rsid w:val="0096314D"/>
    <w:rsid w:val="00963150"/>
    <w:rsid w:val="0096327F"/>
    <w:rsid w:val="00963414"/>
    <w:rsid w:val="0096349C"/>
    <w:rsid w:val="009634E5"/>
    <w:rsid w:val="009635ED"/>
    <w:rsid w:val="00963621"/>
    <w:rsid w:val="00963624"/>
    <w:rsid w:val="009636B6"/>
    <w:rsid w:val="009636C7"/>
    <w:rsid w:val="0096371C"/>
    <w:rsid w:val="00963720"/>
    <w:rsid w:val="009637AA"/>
    <w:rsid w:val="009639B9"/>
    <w:rsid w:val="009639C7"/>
    <w:rsid w:val="009639F0"/>
    <w:rsid w:val="00963B93"/>
    <w:rsid w:val="00963BC6"/>
    <w:rsid w:val="00963C72"/>
    <w:rsid w:val="00963D07"/>
    <w:rsid w:val="00963D9E"/>
    <w:rsid w:val="00963EAF"/>
    <w:rsid w:val="00963ECB"/>
    <w:rsid w:val="00963F2E"/>
    <w:rsid w:val="00964016"/>
    <w:rsid w:val="00964019"/>
    <w:rsid w:val="00964042"/>
    <w:rsid w:val="00964164"/>
    <w:rsid w:val="00964363"/>
    <w:rsid w:val="00964437"/>
    <w:rsid w:val="00964595"/>
    <w:rsid w:val="009645EE"/>
    <w:rsid w:val="00964629"/>
    <w:rsid w:val="00964762"/>
    <w:rsid w:val="00964843"/>
    <w:rsid w:val="0096489A"/>
    <w:rsid w:val="0096490D"/>
    <w:rsid w:val="00964929"/>
    <w:rsid w:val="00964B0D"/>
    <w:rsid w:val="00964B82"/>
    <w:rsid w:val="00964B90"/>
    <w:rsid w:val="00964C53"/>
    <w:rsid w:val="00964CA3"/>
    <w:rsid w:val="00964CB7"/>
    <w:rsid w:val="00964CD3"/>
    <w:rsid w:val="00964D95"/>
    <w:rsid w:val="00964DE7"/>
    <w:rsid w:val="0096500D"/>
    <w:rsid w:val="0096515C"/>
    <w:rsid w:val="009653C1"/>
    <w:rsid w:val="0096543C"/>
    <w:rsid w:val="00965656"/>
    <w:rsid w:val="0096565B"/>
    <w:rsid w:val="009656A5"/>
    <w:rsid w:val="009656BD"/>
    <w:rsid w:val="00965711"/>
    <w:rsid w:val="0096589A"/>
    <w:rsid w:val="00965903"/>
    <w:rsid w:val="00965910"/>
    <w:rsid w:val="0096596A"/>
    <w:rsid w:val="00965984"/>
    <w:rsid w:val="009659B7"/>
    <w:rsid w:val="00965B17"/>
    <w:rsid w:val="00965D38"/>
    <w:rsid w:val="00965DDA"/>
    <w:rsid w:val="00965E73"/>
    <w:rsid w:val="00965F57"/>
    <w:rsid w:val="009660AF"/>
    <w:rsid w:val="009661F9"/>
    <w:rsid w:val="00966268"/>
    <w:rsid w:val="00966308"/>
    <w:rsid w:val="00966389"/>
    <w:rsid w:val="00966420"/>
    <w:rsid w:val="0096642E"/>
    <w:rsid w:val="00966674"/>
    <w:rsid w:val="009666C1"/>
    <w:rsid w:val="0096679F"/>
    <w:rsid w:val="0096695D"/>
    <w:rsid w:val="009669A6"/>
    <w:rsid w:val="009669C1"/>
    <w:rsid w:val="00966A5F"/>
    <w:rsid w:val="00966B6F"/>
    <w:rsid w:val="00966C4E"/>
    <w:rsid w:val="00966C56"/>
    <w:rsid w:val="00966CEA"/>
    <w:rsid w:val="00966CFB"/>
    <w:rsid w:val="00966E20"/>
    <w:rsid w:val="00966E9B"/>
    <w:rsid w:val="00966FFA"/>
    <w:rsid w:val="0096708C"/>
    <w:rsid w:val="009670A8"/>
    <w:rsid w:val="009672BC"/>
    <w:rsid w:val="00967334"/>
    <w:rsid w:val="0096733A"/>
    <w:rsid w:val="00967419"/>
    <w:rsid w:val="00967519"/>
    <w:rsid w:val="00967540"/>
    <w:rsid w:val="009676EC"/>
    <w:rsid w:val="00967724"/>
    <w:rsid w:val="0096779A"/>
    <w:rsid w:val="009677D1"/>
    <w:rsid w:val="00967AEC"/>
    <w:rsid w:val="00967C4B"/>
    <w:rsid w:val="00967C6B"/>
    <w:rsid w:val="00967DBD"/>
    <w:rsid w:val="00967DE4"/>
    <w:rsid w:val="00967E1D"/>
    <w:rsid w:val="00967E2A"/>
    <w:rsid w:val="00967F89"/>
    <w:rsid w:val="00967F95"/>
    <w:rsid w:val="0097005B"/>
    <w:rsid w:val="009701E6"/>
    <w:rsid w:val="0097029B"/>
    <w:rsid w:val="0097036C"/>
    <w:rsid w:val="00970435"/>
    <w:rsid w:val="009704DB"/>
    <w:rsid w:val="00970510"/>
    <w:rsid w:val="0097051B"/>
    <w:rsid w:val="00970581"/>
    <w:rsid w:val="009705D7"/>
    <w:rsid w:val="009705F1"/>
    <w:rsid w:val="00970660"/>
    <w:rsid w:val="009709CB"/>
    <w:rsid w:val="009709DB"/>
    <w:rsid w:val="00970A70"/>
    <w:rsid w:val="00970B16"/>
    <w:rsid w:val="00970BCD"/>
    <w:rsid w:val="00970CFD"/>
    <w:rsid w:val="00970D16"/>
    <w:rsid w:val="00970E61"/>
    <w:rsid w:val="00970E7F"/>
    <w:rsid w:val="00970F18"/>
    <w:rsid w:val="0097103B"/>
    <w:rsid w:val="00971107"/>
    <w:rsid w:val="00971159"/>
    <w:rsid w:val="009711F8"/>
    <w:rsid w:val="009712CC"/>
    <w:rsid w:val="009712ED"/>
    <w:rsid w:val="009713CD"/>
    <w:rsid w:val="009713E7"/>
    <w:rsid w:val="009714B8"/>
    <w:rsid w:val="00971524"/>
    <w:rsid w:val="0097162F"/>
    <w:rsid w:val="00971640"/>
    <w:rsid w:val="009716D7"/>
    <w:rsid w:val="00971743"/>
    <w:rsid w:val="0097180F"/>
    <w:rsid w:val="009718D7"/>
    <w:rsid w:val="00971902"/>
    <w:rsid w:val="009719E6"/>
    <w:rsid w:val="00971AAC"/>
    <w:rsid w:val="00971AFF"/>
    <w:rsid w:val="00971C4B"/>
    <w:rsid w:val="00971C85"/>
    <w:rsid w:val="00971E3B"/>
    <w:rsid w:val="00971ED4"/>
    <w:rsid w:val="00971F4B"/>
    <w:rsid w:val="00972138"/>
    <w:rsid w:val="0097215D"/>
    <w:rsid w:val="0097219B"/>
    <w:rsid w:val="009721AE"/>
    <w:rsid w:val="009722F7"/>
    <w:rsid w:val="0097246E"/>
    <w:rsid w:val="0097252B"/>
    <w:rsid w:val="009725CA"/>
    <w:rsid w:val="0097272F"/>
    <w:rsid w:val="0097279A"/>
    <w:rsid w:val="0097288B"/>
    <w:rsid w:val="00972976"/>
    <w:rsid w:val="009729C3"/>
    <w:rsid w:val="00972A89"/>
    <w:rsid w:val="00972CCF"/>
    <w:rsid w:val="00972E26"/>
    <w:rsid w:val="00972E51"/>
    <w:rsid w:val="00972E99"/>
    <w:rsid w:val="00972EBD"/>
    <w:rsid w:val="00973017"/>
    <w:rsid w:val="009730CB"/>
    <w:rsid w:val="00973225"/>
    <w:rsid w:val="0097324A"/>
    <w:rsid w:val="00973496"/>
    <w:rsid w:val="009734A7"/>
    <w:rsid w:val="00973505"/>
    <w:rsid w:val="009735A9"/>
    <w:rsid w:val="009738DC"/>
    <w:rsid w:val="00973978"/>
    <w:rsid w:val="009739C9"/>
    <w:rsid w:val="00973A29"/>
    <w:rsid w:val="00973A41"/>
    <w:rsid w:val="00973D58"/>
    <w:rsid w:val="00973E0A"/>
    <w:rsid w:val="00973ED2"/>
    <w:rsid w:val="00973FF2"/>
    <w:rsid w:val="0097420C"/>
    <w:rsid w:val="009742E2"/>
    <w:rsid w:val="0097439C"/>
    <w:rsid w:val="009743B6"/>
    <w:rsid w:val="009745B1"/>
    <w:rsid w:val="00974663"/>
    <w:rsid w:val="0097466F"/>
    <w:rsid w:val="0097469A"/>
    <w:rsid w:val="0097472A"/>
    <w:rsid w:val="00974797"/>
    <w:rsid w:val="009748FE"/>
    <w:rsid w:val="00974A8F"/>
    <w:rsid w:val="00974B9D"/>
    <w:rsid w:val="00974C13"/>
    <w:rsid w:val="00974CC3"/>
    <w:rsid w:val="00974DFB"/>
    <w:rsid w:val="00974E2B"/>
    <w:rsid w:val="00974EB1"/>
    <w:rsid w:val="0097506A"/>
    <w:rsid w:val="009751E4"/>
    <w:rsid w:val="009752D1"/>
    <w:rsid w:val="0097536E"/>
    <w:rsid w:val="00975423"/>
    <w:rsid w:val="00975497"/>
    <w:rsid w:val="0097551F"/>
    <w:rsid w:val="00975640"/>
    <w:rsid w:val="0097567D"/>
    <w:rsid w:val="009758EB"/>
    <w:rsid w:val="00975990"/>
    <w:rsid w:val="00975B65"/>
    <w:rsid w:val="00975BD3"/>
    <w:rsid w:val="00975C2A"/>
    <w:rsid w:val="00975E6C"/>
    <w:rsid w:val="00976017"/>
    <w:rsid w:val="00976023"/>
    <w:rsid w:val="00976035"/>
    <w:rsid w:val="0097633F"/>
    <w:rsid w:val="009763A3"/>
    <w:rsid w:val="009763E3"/>
    <w:rsid w:val="00976485"/>
    <w:rsid w:val="0097648E"/>
    <w:rsid w:val="009766E2"/>
    <w:rsid w:val="0097679D"/>
    <w:rsid w:val="0097684C"/>
    <w:rsid w:val="009768B6"/>
    <w:rsid w:val="00976900"/>
    <w:rsid w:val="00976A0F"/>
    <w:rsid w:val="00976C19"/>
    <w:rsid w:val="00976C7E"/>
    <w:rsid w:val="00976DCE"/>
    <w:rsid w:val="00976E3D"/>
    <w:rsid w:val="00976E41"/>
    <w:rsid w:val="00976E59"/>
    <w:rsid w:val="00976ECD"/>
    <w:rsid w:val="00976F98"/>
    <w:rsid w:val="00976F9C"/>
    <w:rsid w:val="00976FC7"/>
    <w:rsid w:val="00976FEF"/>
    <w:rsid w:val="0097705E"/>
    <w:rsid w:val="0097716F"/>
    <w:rsid w:val="0097718E"/>
    <w:rsid w:val="0097722C"/>
    <w:rsid w:val="00977299"/>
    <w:rsid w:val="00977398"/>
    <w:rsid w:val="00977478"/>
    <w:rsid w:val="009774B0"/>
    <w:rsid w:val="0097753F"/>
    <w:rsid w:val="009775E4"/>
    <w:rsid w:val="009775E5"/>
    <w:rsid w:val="00977697"/>
    <w:rsid w:val="009777A4"/>
    <w:rsid w:val="00977800"/>
    <w:rsid w:val="00977866"/>
    <w:rsid w:val="009779AF"/>
    <w:rsid w:val="00977A33"/>
    <w:rsid w:val="00977B2C"/>
    <w:rsid w:val="00977BC3"/>
    <w:rsid w:val="00977F06"/>
    <w:rsid w:val="00980128"/>
    <w:rsid w:val="009801AA"/>
    <w:rsid w:val="0098021B"/>
    <w:rsid w:val="00980316"/>
    <w:rsid w:val="00980425"/>
    <w:rsid w:val="0098048F"/>
    <w:rsid w:val="0098049C"/>
    <w:rsid w:val="009805F8"/>
    <w:rsid w:val="0098084D"/>
    <w:rsid w:val="009809CB"/>
    <w:rsid w:val="00980A36"/>
    <w:rsid w:val="00980A7A"/>
    <w:rsid w:val="00980A7F"/>
    <w:rsid w:val="00980D88"/>
    <w:rsid w:val="00980ECC"/>
    <w:rsid w:val="00980F3A"/>
    <w:rsid w:val="00980F60"/>
    <w:rsid w:val="00980F74"/>
    <w:rsid w:val="00980F83"/>
    <w:rsid w:val="00980FFA"/>
    <w:rsid w:val="009810EF"/>
    <w:rsid w:val="009812F5"/>
    <w:rsid w:val="00981424"/>
    <w:rsid w:val="009815DF"/>
    <w:rsid w:val="0098165C"/>
    <w:rsid w:val="0098166F"/>
    <w:rsid w:val="00981695"/>
    <w:rsid w:val="00981788"/>
    <w:rsid w:val="00981858"/>
    <w:rsid w:val="00981885"/>
    <w:rsid w:val="009818CD"/>
    <w:rsid w:val="009818D6"/>
    <w:rsid w:val="00981AA8"/>
    <w:rsid w:val="00981BD3"/>
    <w:rsid w:val="00981DC5"/>
    <w:rsid w:val="00981EEC"/>
    <w:rsid w:val="00981EEF"/>
    <w:rsid w:val="00982083"/>
    <w:rsid w:val="009820CD"/>
    <w:rsid w:val="0098214D"/>
    <w:rsid w:val="0098217D"/>
    <w:rsid w:val="009822B5"/>
    <w:rsid w:val="00982302"/>
    <w:rsid w:val="00982504"/>
    <w:rsid w:val="009825E2"/>
    <w:rsid w:val="00982697"/>
    <w:rsid w:val="009826A9"/>
    <w:rsid w:val="0098272C"/>
    <w:rsid w:val="00982806"/>
    <w:rsid w:val="00982A43"/>
    <w:rsid w:val="00982AAF"/>
    <w:rsid w:val="00982AC9"/>
    <w:rsid w:val="00982CA0"/>
    <w:rsid w:val="00982DF0"/>
    <w:rsid w:val="00982F8D"/>
    <w:rsid w:val="00983019"/>
    <w:rsid w:val="00983194"/>
    <w:rsid w:val="009831B5"/>
    <w:rsid w:val="009831F4"/>
    <w:rsid w:val="009836B4"/>
    <w:rsid w:val="009836E0"/>
    <w:rsid w:val="00983771"/>
    <w:rsid w:val="0098379A"/>
    <w:rsid w:val="009837AE"/>
    <w:rsid w:val="009838F5"/>
    <w:rsid w:val="00983974"/>
    <w:rsid w:val="00983A51"/>
    <w:rsid w:val="00983AB1"/>
    <w:rsid w:val="00983ACC"/>
    <w:rsid w:val="00983B4C"/>
    <w:rsid w:val="00983BA7"/>
    <w:rsid w:val="00983CAA"/>
    <w:rsid w:val="00983CC4"/>
    <w:rsid w:val="00983CCD"/>
    <w:rsid w:val="00983D7C"/>
    <w:rsid w:val="00983DEF"/>
    <w:rsid w:val="00983E06"/>
    <w:rsid w:val="00983E3C"/>
    <w:rsid w:val="00983E6E"/>
    <w:rsid w:val="00983EB9"/>
    <w:rsid w:val="009842AA"/>
    <w:rsid w:val="009842FC"/>
    <w:rsid w:val="00984C94"/>
    <w:rsid w:val="00984DDA"/>
    <w:rsid w:val="00984E6C"/>
    <w:rsid w:val="00984ED1"/>
    <w:rsid w:val="00984EDC"/>
    <w:rsid w:val="00984F82"/>
    <w:rsid w:val="00985024"/>
    <w:rsid w:val="00985081"/>
    <w:rsid w:val="0098508C"/>
    <w:rsid w:val="009850E1"/>
    <w:rsid w:val="009850E6"/>
    <w:rsid w:val="00985164"/>
    <w:rsid w:val="009851C4"/>
    <w:rsid w:val="0098526D"/>
    <w:rsid w:val="0098528E"/>
    <w:rsid w:val="009852BD"/>
    <w:rsid w:val="00985421"/>
    <w:rsid w:val="00985496"/>
    <w:rsid w:val="00985498"/>
    <w:rsid w:val="0098549A"/>
    <w:rsid w:val="0098552D"/>
    <w:rsid w:val="009856E7"/>
    <w:rsid w:val="009856F9"/>
    <w:rsid w:val="0098576B"/>
    <w:rsid w:val="0098579F"/>
    <w:rsid w:val="00985839"/>
    <w:rsid w:val="009858D3"/>
    <w:rsid w:val="00985902"/>
    <w:rsid w:val="00985A04"/>
    <w:rsid w:val="00985AFF"/>
    <w:rsid w:val="00985B1F"/>
    <w:rsid w:val="00985BBC"/>
    <w:rsid w:val="00985C7A"/>
    <w:rsid w:val="00985C87"/>
    <w:rsid w:val="00985E21"/>
    <w:rsid w:val="00985EF8"/>
    <w:rsid w:val="00985F29"/>
    <w:rsid w:val="00985FA3"/>
    <w:rsid w:val="00986161"/>
    <w:rsid w:val="009861EE"/>
    <w:rsid w:val="00986246"/>
    <w:rsid w:val="0098626C"/>
    <w:rsid w:val="00986282"/>
    <w:rsid w:val="00986340"/>
    <w:rsid w:val="009864E6"/>
    <w:rsid w:val="009864F0"/>
    <w:rsid w:val="00986563"/>
    <w:rsid w:val="00986577"/>
    <w:rsid w:val="00986618"/>
    <w:rsid w:val="00986685"/>
    <w:rsid w:val="009866F0"/>
    <w:rsid w:val="00986872"/>
    <w:rsid w:val="00986874"/>
    <w:rsid w:val="009868CA"/>
    <w:rsid w:val="00986987"/>
    <w:rsid w:val="009869AB"/>
    <w:rsid w:val="00986ACE"/>
    <w:rsid w:val="00986B2B"/>
    <w:rsid w:val="00986C54"/>
    <w:rsid w:val="00986C9B"/>
    <w:rsid w:val="00986CC0"/>
    <w:rsid w:val="00986E05"/>
    <w:rsid w:val="00986E15"/>
    <w:rsid w:val="00986FDC"/>
    <w:rsid w:val="0098701A"/>
    <w:rsid w:val="0098701E"/>
    <w:rsid w:val="009870DD"/>
    <w:rsid w:val="00987239"/>
    <w:rsid w:val="00987280"/>
    <w:rsid w:val="009872FD"/>
    <w:rsid w:val="00987309"/>
    <w:rsid w:val="00987333"/>
    <w:rsid w:val="009873A6"/>
    <w:rsid w:val="009873DD"/>
    <w:rsid w:val="009874D4"/>
    <w:rsid w:val="00987617"/>
    <w:rsid w:val="00987648"/>
    <w:rsid w:val="0098765A"/>
    <w:rsid w:val="009876FA"/>
    <w:rsid w:val="009877F3"/>
    <w:rsid w:val="0098786F"/>
    <w:rsid w:val="00987911"/>
    <w:rsid w:val="00987968"/>
    <w:rsid w:val="009879DC"/>
    <w:rsid w:val="00987A05"/>
    <w:rsid w:val="00987B4A"/>
    <w:rsid w:val="00987C45"/>
    <w:rsid w:val="00987DAF"/>
    <w:rsid w:val="00987E45"/>
    <w:rsid w:val="00987F89"/>
    <w:rsid w:val="00987F92"/>
    <w:rsid w:val="009900EF"/>
    <w:rsid w:val="0099037B"/>
    <w:rsid w:val="009903BD"/>
    <w:rsid w:val="0099044F"/>
    <w:rsid w:val="009904CE"/>
    <w:rsid w:val="009905E8"/>
    <w:rsid w:val="00990655"/>
    <w:rsid w:val="009906D8"/>
    <w:rsid w:val="0099076B"/>
    <w:rsid w:val="00990782"/>
    <w:rsid w:val="00990813"/>
    <w:rsid w:val="009908DB"/>
    <w:rsid w:val="00990A57"/>
    <w:rsid w:val="00990BDF"/>
    <w:rsid w:val="00990C99"/>
    <w:rsid w:val="00990CB0"/>
    <w:rsid w:val="00990E7A"/>
    <w:rsid w:val="00990FF2"/>
    <w:rsid w:val="00990FFA"/>
    <w:rsid w:val="00991096"/>
    <w:rsid w:val="009910C7"/>
    <w:rsid w:val="009910DD"/>
    <w:rsid w:val="00991155"/>
    <w:rsid w:val="0099129A"/>
    <w:rsid w:val="009912BF"/>
    <w:rsid w:val="009913B8"/>
    <w:rsid w:val="00991499"/>
    <w:rsid w:val="009914BA"/>
    <w:rsid w:val="009917AA"/>
    <w:rsid w:val="009917DB"/>
    <w:rsid w:val="00991911"/>
    <w:rsid w:val="0099191F"/>
    <w:rsid w:val="00991946"/>
    <w:rsid w:val="009919B5"/>
    <w:rsid w:val="00991AD4"/>
    <w:rsid w:val="00991B38"/>
    <w:rsid w:val="00991BEE"/>
    <w:rsid w:val="00991D7A"/>
    <w:rsid w:val="00991DE4"/>
    <w:rsid w:val="00991E09"/>
    <w:rsid w:val="00991E82"/>
    <w:rsid w:val="00991E94"/>
    <w:rsid w:val="00992045"/>
    <w:rsid w:val="009920A1"/>
    <w:rsid w:val="009920D5"/>
    <w:rsid w:val="009920F6"/>
    <w:rsid w:val="00992150"/>
    <w:rsid w:val="009921C0"/>
    <w:rsid w:val="00992206"/>
    <w:rsid w:val="0099231F"/>
    <w:rsid w:val="00992422"/>
    <w:rsid w:val="00992443"/>
    <w:rsid w:val="0099251D"/>
    <w:rsid w:val="00992743"/>
    <w:rsid w:val="0099285C"/>
    <w:rsid w:val="009928C0"/>
    <w:rsid w:val="00992999"/>
    <w:rsid w:val="0099299B"/>
    <w:rsid w:val="00992ACE"/>
    <w:rsid w:val="00992C64"/>
    <w:rsid w:val="00992D20"/>
    <w:rsid w:val="00992EA2"/>
    <w:rsid w:val="00992ED9"/>
    <w:rsid w:val="00992FFA"/>
    <w:rsid w:val="00993026"/>
    <w:rsid w:val="00993119"/>
    <w:rsid w:val="009931C5"/>
    <w:rsid w:val="009932E6"/>
    <w:rsid w:val="0099352C"/>
    <w:rsid w:val="0099357E"/>
    <w:rsid w:val="00993621"/>
    <w:rsid w:val="00993692"/>
    <w:rsid w:val="00993709"/>
    <w:rsid w:val="0099379C"/>
    <w:rsid w:val="00993A03"/>
    <w:rsid w:val="00993A06"/>
    <w:rsid w:val="00993A70"/>
    <w:rsid w:val="00993A83"/>
    <w:rsid w:val="00993AC0"/>
    <w:rsid w:val="00993B78"/>
    <w:rsid w:val="00993B9D"/>
    <w:rsid w:val="00993BD3"/>
    <w:rsid w:val="00993BDE"/>
    <w:rsid w:val="00993DCD"/>
    <w:rsid w:val="00993E72"/>
    <w:rsid w:val="00993E98"/>
    <w:rsid w:val="00993FF4"/>
    <w:rsid w:val="00994044"/>
    <w:rsid w:val="00994078"/>
    <w:rsid w:val="0099422C"/>
    <w:rsid w:val="0099430A"/>
    <w:rsid w:val="00994470"/>
    <w:rsid w:val="009944D4"/>
    <w:rsid w:val="009945A1"/>
    <w:rsid w:val="00994948"/>
    <w:rsid w:val="00994975"/>
    <w:rsid w:val="009949C5"/>
    <w:rsid w:val="00994A0B"/>
    <w:rsid w:val="00994ACF"/>
    <w:rsid w:val="00994AF5"/>
    <w:rsid w:val="00994B2D"/>
    <w:rsid w:val="00994CE8"/>
    <w:rsid w:val="00994D3F"/>
    <w:rsid w:val="00994DA0"/>
    <w:rsid w:val="00994FB3"/>
    <w:rsid w:val="00994FC9"/>
    <w:rsid w:val="00995005"/>
    <w:rsid w:val="009951E4"/>
    <w:rsid w:val="00995402"/>
    <w:rsid w:val="00995497"/>
    <w:rsid w:val="009954B3"/>
    <w:rsid w:val="009954BE"/>
    <w:rsid w:val="009954C8"/>
    <w:rsid w:val="009955C0"/>
    <w:rsid w:val="00995626"/>
    <w:rsid w:val="009956FE"/>
    <w:rsid w:val="0099595E"/>
    <w:rsid w:val="00995A09"/>
    <w:rsid w:val="00995A21"/>
    <w:rsid w:val="00995A42"/>
    <w:rsid w:val="00995B02"/>
    <w:rsid w:val="00995B18"/>
    <w:rsid w:val="00995B61"/>
    <w:rsid w:val="00995C1C"/>
    <w:rsid w:val="00995DA6"/>
    <w:rsid w:val="009960D6"/>
    <w:rsid w:val="00996228"/>
    <w:rsid w:val="009962E4"/>
    <w:rsid w:val="00996432"/>
    <w:rsid w:val="00996437"/>
    <w:rsid w:val="00996499"/>
    <w:rsid w:val="00996525"/>
    <w:rsid w:val="0099657B"/>
    <w:rsid w:val="00996591"/>
    <w:rsid w:val="00996602"/>
    <w:rsid w:val="00996694"/>
    <w:rsid w:val="0099669C"/>
    <w:rsid w:val="0099689F"/>
    <w:rsid w:val="009968F6"/>
    <w:rsid w:val="00996939"/>
    <w:rsid w:val="00996A1B"/>
    <w:rsid w:val="00996A7E"/>
    <w:rsid w:val="00996B58"/>
    <w:rsid w:val="00996B65"/>
    <w:rsid w:val="00996C2D"/>
    <w:rsid w:val="00996C89"/>
    <w:rsid w:val="00996DC3"/>
    <w:rsid w:val="00996EE6"/>
    <w:rsid w:val="00996F9B"/>
    <w:rsid w:val="00996FBF"/>
    <w:rsid w:val="00997109"/>
    <w:rsid w:val="00997278"/>
    <w:rsid w:val="0099731A"/>
    <w:rsid w:val="0099731D"/>
    <w:rsid w:val="009973C2"/>
    <w:rsid w:val="009974F3"/>
    <w:rsid w:val="0099766F"/>
    <w:rsid w:val="0099771B"/>
    <w:rsid w:val="00997936"/>
    <w:rsid w:val="0099793C"/>
    <w:rsid w:val="00997B46"/>
    <w:rsid w:val="00997B77"/>
    <w:rsid w:val="00997B7B"/>
    <w:rsid w:val="00997E3D"/>
    <w:rsid w:val="00997EB4"/>
    <w:rsid w:val="00997F47"/>
    <w:rsid w:val="00997FBA"/>
    <w:rsid w:val="009A00D2"/>
    <w:rsid w:val="009A00F6"/>
    <w:rsid w:val="009A04DD"/>
    <w:rsid w:val="009A067D"/>
    <w:rsid w:val="009A0772"/>
    <w:rsid w:val="009A0829"/>
    <w:rsid w:val="009A0876"/>
    <w:rsid w:val="009A087B"/>
    <w:rsid w:val="009A0898"/>
    <w:rsid w:val="009A08B8"/>
    <w:rsid w:val="009A09EA"/>
    <w:rsid w:val="009A0AD3"/>
    <w:rsid w:val="009A0B23"/>
    <w:rsid w:val="009A0B33"/>
    <w:rsid w:val="009A0BC6"/>
    <w:rsid w:val="009A0C8A"/>
    <w:rsid w:val="009A0D69"/>
    <w:rsid w:val="009A0D93"/>
    <w:rsid w:val="009A0EA4"/>
    <w:rsid w:val="009A0FE1"/>
    <w:rsid w:val="009A10B8"/>
    <w:rsid w:val="009A10DF"/>
    <w:rsid w:val="009A113E"/>
    <w:rsid w:val="009A119A"/>
    <w:rsid w:val="009A138C"/>
    <w:rsid w:val="009A14B7"/>
    <w:rsid w:val="009A15EF"/>
    <w:rsid w:val="009A1736"/>
    <w:rsid w:val="009A186A"/>
    <w:rsid w:val="009A1A3B"/>
    <w:rsid w:val="009A1C5E"/>
    <w:rsid w:val="009A1C9A"/>
    <w:rsid w:val="009A1E0F"/>
    <w:rsid w:val="009A1E5E"/>
    <w:rsid w:val="009A1F5D"/>
    <w:rsid w:val="009A1FCC"/>
    <w:rsid w:val="009A20A4"/>
    <w:rsid w:val="009A2258"/>
    <w:rsid w:val="009A230A"/>
    <w:rsid w:val="009A239B"/>
    <w:rsid w:val="009A23E1"/>
    <w:rsid w:val="009A2408"/>
    <w:rsid w:val="009A24C2"/>
    <w:rsid w:val="009A2526"/>
    <w:rsid w:val="009A2547"/>
    <w:rsid w:val="009A254E"/>
    <w:rsid w:val="009A2609"/>
    <w:rsid w:val="009A2784"/>
    <w:rsid w:val="009A27A3"/>
    <w:rsid w:val="009A29AF"/>
    <w:rsid w:val="009A29BE"/>
    <w:rsid w:val="009A2B41"/>
    <w:rsid w:val="009A2C7B"/>
    <w:rsid w:val="009A2D64"/>
    <w:rsid w:val="009A2E8D"/>
    <w:rsid w:val="009A2ECD"/>
    <w:rsid w:val="009A2EED"/>
    <w:rsid w:val="009A2F03"/>
    <w:rsid w:val="009A2F4B"/>
    <w:rsid w:val="009A3083"/>
    <w:rsid w:val="009A319B"/>
    <w:rsid w:val="009A31E5"/>
    <w:rsid w:val="009A3396"/>
    <w:rsid w:val="009A33C1"/>
    <w:rsid w:val="009A3571"/>
    <w:rsid w:val="009A36DF"/>
    <w:rsid w:val="009A37B4"/>
    <w:rsid w:val="009A380E"/>
    <w:rsid w:val="009A3829"/>
    <w:rsid w:val="009A3847"/>
    <w:rsid w:val="009A3AAA"/>
    <w:rsid w:val="009A3AD2"/>
    <w:rsid w:val="009A3AD9"/>
    <w:rsid w:val="009A3B3B"/>
    <w:rsid w:val="009A3B81"/>
    <w:rsid w:val="009A3DEB"/>
    <w:rsid w:val="009A3E96"/>
    <w:rsid w:val="009A3EC8"/>
    <w:rsid w:val="009A3ECD"/>
    <w:rsid w:val="009A405B"/>
    <w:rsid w:val="009A409D"/>
    <w:rsid w:val="009A41CB"/>
    <w:rsid w:val="009A43E7"/>
    <w:rsid w:val="009A443C"/>
    <w:rsid w:val="009A457C"/>
    <w:rsid w:val="009A4582"/>
    <w:rsid w:val="009A4601"/>
    <w:rsid w:val="009A463F"/>
    <w:rsid w:val="009A4692"/>
    <w:rsid w:val="009A476E"/>
    <w:rsid w:val="009A47B1"/>
    <w:rsid w:val="009A4910"/>
    <w:rsid w:val="009A4A80"/>
    <w:rsid w:val="009A4BC5"/>
    <w:rsid w:val="009A4DA8"/>
    <w:rsid w:val="009A4EE3"/>
    <w:rsid w:val="009A4F0F"/>
    <w:rsid w:val="009A4FA2"/>
    <w:rsid w:val="009A503E"/>
    <w:rsid w:val="009A5072"/>
    <w:rsid w:val="009A50CD"/>
    <w:rsid w:val="009A5172"/>
    <w:rsid w:val="009A51A7"/>
    <w:rsid w:val="009A53A5"/>
    <w:rsid w:val="009A5476"/>
    <w:rsid w:val="009A551D"/>
    <w:rsid w:val="009A55A0"/>
    <w:rsid w:val="009A58CA"/>
    <w:rsid w:val="009A59E8"/>
    <w:rsid w:val="009A59F0"/>
    <w:rsid w:val="009A5A12"/>
    <w:rsid w:val="009A5B98"/>
    <w:rsid w:val="009A5BC3"/>
    <w:rsid w:val="009A5C6D"/>
    <w:rsid w:val="009A5D03"/>
    <w:rsid w:val="009A5D5B"/>
    <w:rsid w:val="009A5D84"/>
    <w:rsid w:val="009A5FC5"/>
    <w:rsid w:val="009A6017"/>
    <w:rsid w:val="009A603A"/>
    <w:rsid w:val="009A6094"/>
    <w:rsid w:val="009A60A0"/>
    <w:rsid w:val="009A62DF"/>
    <w:rsid w:val="009A630E"/>
    <w:rsid w:val="009A6316"/>
    <w:rsid w:val="009A6421"/>
    <w:rsid w:val="009A64EC"/>
    <w:rsid w:val="009A654B"/>
    <w:rsid w:val="009A655E"/>
    <w:rsid w:val="009A65D6"/>
    <w:rsid w:val="009A666C"/>
    <w:rsid w:val="009A66B4"/>
    <w:rsid w:val="009A670D"/>
    <w:rsid w:val="009A681A"/>
    <w:rsid w:val="009A6828"/>
    <w:rsid w:val="009A688A"/>
    <w:rsid w:val="009A698F"/>
    <w:rsid w:val="009A6A0F"/>
    <w:rsid w:val="009A6B63"/>
    <w:rsid w:val="009A6BEB"/>
    <w:rsid w:val="009A6FC0"/>
    <w:rsid w:val="009A7042"/>
    <w:rsid w:val="009A7074"/>
    <w:rsid w:val="009A721B"/>
    <w:rsid w:val="009A733B"/>
    <w:rsid w:val="009A7384"/>
    <w:rsid w:val="009A73D9"/>
    <w:rsid w:val="009A7670"/>
    <w:rsid w:val="009A78FC"/>
    <w:rsid w:val="009A7A42"/>
    <w:rsid w:val="009A7AF8"/>
    <w:rsid w:val="009A7B43"/>
    <w:rsid w:val="009A7B51"/>
    <w:rsid w:val="009A7C00"/>
    <w:rsid w:val="009A7C48"/>
    <w:rsid w:val="009A7CC0"/>
    <w:rsid w:val="009A7D88"/>
    <w:rsid w:val="009A7F3C"/>
    <w:rsid w:val="009B0155"/>
    <w:rsid w:val="009B017C"/>
    <w:rsid w:val="009B0257"/>
    <w:rsid w:val="009B03D2"/>
    <w:rsid w:val="009B04B0"/>
    <w:rsid w:val="009B04FA"/>
    <w:rsid w:val="009B0621"/>
    <w:rsid w:val="009B063F"/>
    <w:rsid w:val="009B066E"/>
    <w:rsid w:val="009B073A"/>
    <w:rsid w:val="009B07AE"/>
    <w:rsid w:val="009B07B1"/>
    <w:rsid w:val="009B08CF"/>
    <w:rsid w:val="009B0C1C"/>
    <w:rsid w:val="009B0C43"/>
    <w:rsid w:val="009B0D3D"/>
    <w:rsid w:val="009B0E20"/>
    <w:rsid w:val="009B0F7A"/>
    <w:rsid w:val="009B0FC6"/>
    <w:rsid w:val="009B0FFD"/>
    <w:rsid w:val="009B12C6"/>
    <w:rsid w:val="009B146A"/>
    <w:rsid w:val="009B1495"/>
    <w:rsid w:val="009B14F5"/>
    <w:rsid w:val="009B16AA"/>
    <w:rsid w:val="009B16F6"/>
    <w:rsid w:val="009B1730"/>
    <w:rsid w:val="009B176B"/>
    <w:rsid w:val="009B17FC"/>
    <w:rsid w:val="009B1839"/>
    <w:rsid w:val="009B1873"/>
    <w:rsid w:val="009B1875"/>
    <w:rsid w:val="009B18A2"/>
    <w:rsid w:val="009B19E1"/>
    <w:rsid w:val="009B1A76"/>
    <w:rsid w:val="009B1BC5"/>
    <w:rsid w:val="009B1BDE"/>
    <w:rsid w:val="009B1C39"/>
    <w:rsid w:val="009B1DEE"/>
    <w:rsid w:val="009B1DFD"/>
    <w:rsid w:val="009B1E73"/>
    <w:rsid w:val="009B1F3F"/>
    <w:rsid w:val="009B1F46"/>
    <w:rsid w:val="009B211F"/>
    <w:rsid w:val="009B21A2"/>
    <w:rsid w:val="009B221C"/>
    <w:rsid w:val="009B22D8"/>
    <w:rsid w:val="009B26BE"/>
    <w:rsid w:val="009B276E"/>
    <w:rsid w:val="009B2803"/>
    <w:rsid w:val="009B2845"/>
    <w:rsid w:val="009B2A00"/>
    <w:rsid w:val="009B2A05"/>
    <w:rsid w:val="009B2A69"/>
    <w:rsid w:val="009B2B26"/>
    <w:rsid w:val="009B2E72"/>
    <w:rsid w:val="009B3039"/>
    <w:rsid w:val="009B30A2"/>
    <w:rsid w:val="009B3204"/>
    <w:rsid w:val="009B3289"/>
    <w:rsid w:val="009B32CC"/>
    <w:rsid w:val="009B3345"/>
    <w:rsid w:val="009B34B4"/>
    <w:rsid w:val="009B357D"/>
    <w:rsid w:val="009B35E0"/>
    <w:rsid w:val="009B3632"/>
    <w:rsid w:val="009B3691"/>
    <w:rsid w:val="009B36AA"/>
    <w:rsid w:val="009B3768"/>
    <w:rsid w:val="009B38EE"/>
    <w:rsid w:val="009B3B79"/>
    <w:rsid w:val="009B3C64"/>
    <w:rsid w:val="009B3D15"/>
    <w:rsid w:val="009B3F8C"/>
    <w:rsid w:val="009B40BD"/>
    <w:rsid w:val="009B40E5"/>
    <w:rsid w:val="009B4138"/>
    <w:rsid w:val="009B413B"/>
    <w:rsid w:val="009B41E6"/>
    <w:rsid w:val="009B4382"/>
    <w:rsid w:val="009B43A9"/>
    <w:rsid w:val="009B44E9"/>
    <w:rsid w:val="009B46A9"/>
    <w:rsid w:val="009B4795"/>
    <w:rsid w:val="009B4810"/>
    <w:rsid w:val="009B4820"/>
    <w:rsid w:val="009B48A6"/>
    <w:rsid w:val="009B48BB"/>
    <w:rsid w:val="009B4AA1"/>
    <w:rsid w:val="009B4AF6"/>
    <w:rsid w:val="009B4BDC"/>
    <w:rsid w:val="009B4C05"/>
    <w:rsid w:val="009B4C41"/>
    <w:rsid w:val="009B4D2F"/>
    <w:rsid w:val="009B4F56"/>
    <w:rsid w:val="009B504B"/>
    <w:rsid w:val="009B51B0"/>
    <w:rsid w:val="009B51CF"/>
    <w:rsid w:val="009B54B5"/>
    <w:rsid w:val="009B5507"/>
    <w:rsid w:val="009B5572"/>
    <w:rsid w:val="009B55D7"/>
    <w:rsid w:val="009B55DA"/>
    <w:rsid w:val="009B5711"/>
    <w:rsid w:val="009B57A2"/>
    <w:rsid w:val="009B585B"/>
    <w:rsid w:val="009B5865"/>
    <w:rsid w:val="009B5A19"/>
    <w:rsid w:val="009B5A9D"/>
    <w:rsid w:val="009B5ADB"/>
    <w:rsid w:val="009B5B88"/>
    <w:rsid w:val="009B5BB9"/>
    <w:rsid w:val="009B5C22"/>
    <w:rsid w:val="009B5C76"/>
    <w:rsid w:val="009B5DCD"/>
    <w:rsid w:val="009B5E39"/>
    <w:rsid w:val="009B5E40"/>
    <w:rsid w:val="009B5F6F"/>
    <w:rsid w:val="009B607B"/>
    <w:rsid w:val="009B6104"/>
    <w:rsid w:val="009B610E"/>
    <w:rsid w:val="009B611C"/>
    <w:rsid w:val="009B613F"/>
    <w:rsid w:val="009B6236"/>
    <w:rsid w:val="009B629A"/>
    <w:rsid w:val="009B64E4"/>
    <w:rsid w:val="009B66A4"/>
    <w:rsid w:val="009B675B"/>
    <w:rsid w:val="009B6817"/>
    <w:rsid w:val="009B681A"/>
    <w:rsid w:val="009B6843"/>
    <w:rsid w:val="009B6873"/>
    <w:rsid w:val="009B691D"/>
    <w:rsid w:val="009B698C"/>
    <w:rsid w:val="009B6AFF"/>
    <w:rsid w:val="009B6B9C"/>
    <w:rsid w:val="009B6CB0"/>
    <w:rsid w:val="009B6EA7"/>
    <w:rsid w:val="009B6EC1"/>
    <w:rsid w:val="009B6F31"/>
    <w:rsid w:val="009B6F3D"/>
    <w:rsid w:val="009B6FCA"/>
    <w:rsid w:val="009B7061"/>
    <w:rsid w:val="009B7075"/>
    <w:rsid w:val="009B7112"/>
    <w:rsid w:val="009B717B"/>
    <w:rsid w:val="009B71E9"/>
    <w:rsid w:val="009B727C"/>
    <w:rsid w:val="009B7280"/>
    <w:rsid w:val="009B7366"/>
    <w:rsid w:val="009B74BD"/>
    <w:rsid w:val="009B74DF"/>
    <w:rsid w:val="009B768E"/>
    <w:rsid w:val="009B7880"/>
    <w:rsid w:val="009B7A62"/>
    <w:rsid w:val="009B7BCA"/>
    <w:rsid w:val="009B7C42"/>
    <w:rsid w:val="009B7C73"/>
    <w:rsid w:val="009B7E28"/>
    <w:rsid w:val="009B7E40"/>
    <w:rsid w:val="009B7EAA"/>
    <w:rsid w:val="009B7F05"/>
    <w:rsid w:val="009B7FA5"/>
    <w:rsid w:val="009C0071"/>
    <w:rsid w:val="009C01B0"/>
    <w:rsid w:val="009C049A"/>
    <w:rsid w:val="009C0510"/>
    <w:rsid w:val="009C05C7"/>
    <w:rsid w:val="009C0783"/>
    <w:rsid w:val="009C07EB"/>
    <w:rsid w:val="009C08F2"/>
    <w:rsid w:val="009C0946"/>
    <w:rsid w:val="009C0A3A"/>
    <w:rsid w:val="009C0AC9"/>
    <w:rsid w:val="009C0AF2"/>
    <w:rsid w:val="009C0C40"/>
    <w:rsid w:val="009C0C69"/>
    <w:rsid w:val="009C0F02"/>
    <w:rsid w:val="009C0F22"/>
    <w:rsid w:val="009C103F"/>
    <w:rsid w:val="009C1225"/>
    <w:rsid w:val="009C125B"/>
    <w:rsid w:val="009C12CF"/>
    <w:rsid w:val="009C12EF"/>
    <w:rsid w:val="009C1352"/>
    <w:rsid w:val="009C13A0"/>
    <w:rsid w:val="009C1413"/>
    <w:rsid w:val="009C145A"/>
    <w:rsid w:val="009C14C4"/>
    <w:rsid w:val="009C15AD"/>
    <w:rsid w:val="009C1664"/>
    <w:rsid w:val="009C16E1"/>
    <w:rsid w:val="009C1719"/>
    <w:rsid w:val="009C179C"/>
    <w:rsid w:val="009C185E"/>
    <w:rsid w:val="009C1880"/>
    <w:rsid w:val="009C1941"/>
    <w:rsid w:val="009C1A89"/>
    <w:rsid w:val="009C1DE4"/>
    <w:rsid w:val="009C1E56"/>
    <w:rsid w:val="009C1F00"/>
    <w:rsid w:val="009C1F6E"/>
    <w:rsid w:val="009C2088"/>
    <w:rsid w:val="009C225D"/>
    <w:rsid w:val="009C235C"/>
    <w:rsid w:val="009C24DE"/>
    <w:rsid w:val="009C2543"/>
    <w:rsid w:val="009C26EA"/>
    <w:rsid w:val="009C26EE"/>
    <w:rsid w:val="009C26F7"/>
    <w:rsid w:val="009C26FB"/>
    <w:rsid w:val="009C27A4"/>
    <w:rsid w:val="009C2855"/>
    <w:rsid w:val="009C286B"/>
    <w:rsid w:val="009C2ACB"/>
    <w:rsid w:val="009C2AD3"/>
    <w:rsid w:val="009C2AF1"/>
    <w:rsid w:val="009C2BCF"/>
    <w:rsid w:val="009C2C17"/>
    <w:rsid w:val="009C2C77"/>
    <w:rsid w:val="009C2C7A"/>
    <w:rsid w:val="009C2E2D"/>
    <w:rsid w:val="009C2E90"/>
    <w:rsid w:val="009C2ECC"/>
    <w:rsid w:val="009C301A"/>
    <w:rsid w:val="009C3059"/>
    <w:rsid w:val="009C30B3"/>
    <w:rsid w:val="009C30F3"/>
    <w:rsid w:val="009C31A7"/>
    <w:rsid w:val="009C3491"/>
    <w:rsid w:val="009C3680"/>
    <w:rsid w:val="009C3777"/>
    <w:rsid w:val="009C379E"/>
    <w:rsid w:val="009C3817"/>
    <w:rsid w:val="009C3900"/>
    <w:rsid w:val="009C39A7"/>
    <w:rsid w:val="009C3B7E"/>
    <w:rsid w:val="009C3BA9"/>
    <w:rsid w:val="009C3C45"/>
    <w:rsid w:val="009C3E24"/>
    <w:rsid w:val="009C3E75"/>
    <w:rsid w:val="009C3E9E"/>
    <w:rsid w:val="009C3F18"/>
    <w:rsid w:val="009C3F77"/>
    <w:rsid w:val="009C3FF6"/>
    <w:rsid w:val="009C40B9"/>
    <w:rsid w:val="009C423A"/>
    <w:rsid w:val="009C438F"/>
    <w:rsid w:val="009C45F1"/>
    <w:rsid w:val="009C4688"/>
    <w:rsid w:val="009C4764"/>
    <w:rsid w:val="009C477F"/>
    <w:rsid w:val="009C4949"/>
    <w:rsid w:val="009C49A3"/>
    <w:rsid w:val="009C4A86"/>
    <w:rsid w:val="009C4B1E"/>
    <w:rsid w:val="009C4B64"/>
    <w:rsid w:val="009C4BA0"/>
    <w:rsid w:val="009C4BEB"/>
    <w:rsid w:val="009C4D4D"/>
    <w:rsid w:val="009C4D8E"/>
    <w:rsid w:val="009C4EFA"/>
    <w:rsid w:val="009C4F5C"/>
    <w:rsid w:val="009C4FFB"/>
    <w:rsid w:val="009C50D2"/>
    <w:rsid w:val="009C52BD"/>
    <w:rsid w:val="009C52EC"/>
    <w:rsid w:val="009C5325"/>
    <w:rsid w:val="009C53C7"/>
    <w:rsid w:val="009C5497"/>
    <w:rsid w:val="009C577B"/>
    <w:rsid w:val="009C5823"/>
    <w:rsid w:val="009C5829"/>
    <w:rsid w:val="009C58A0"/>
    <w:rsid w:val="009C58A3"/>
    <w:rsid w:val="009C592E"/>
    <w:rsid w:val="009C5931"/>
    <w:rsid w:val="009C5A99"/>
    <w:rsid w:val="009C5AA4"/>
    <w:rsid w:val="009C5AD2"/>
    <w:rsid w:val="009C5AE4"/>
    <w:rsid w:val="009C5D21"/>
    <w:rsid w:val="009C5D49"/>
    <w:rsid w:val="009C5D7E"/>
    <w:rsid w:val="009C5DDE"/>
    <w:rsid w:val="009C5EE2"/>
    <w:rsid w:val="009C5F11"/>
    <w:rsid w:val="009C612F"/>
    <w:rsid w:val="009C6250"/>
    <w:rsid w:val="009C64DE"/>
    <w:rsid w:val="009C65E0"/>
    <w:rsid w:val="009C6649"/>
    <w:rsid w:val="009C665D"/>
    <w:rsid w:val="009C690A"/>
    <w:rsid w:val="009C6943"/>
    <w:rsid w:val="009C69C4"/>
    <w:rsid w:val="009C6A11"/>
    <w:rsid w:val="009C6AD4"/>
    <w:rsid w:val="009C6BDD"/>
    <w:rsid w:val="009C6C42"/>
    <w:rsid w:val="009C6C51"/>
    <w:rsid w:val="009C6C68"/>
    <w:rsid w:val="009C6C9C"/>
    <w:rsid w:val="009C6CDC"/>
    <w:rsid w:val="009C6DC5"/>
    <w:rsid w:val="009C6E44"/>
    <w:rsid w:val="009C6EE4"/>
    <w:rsid w:val="009C6F15"/>
    <w:rsid w:val="009C70B9"/>
    <w:rsid w:val="009C710F"/>
    <w:rsid w:val="009C7218"/>
    <w:rsid w:val="009C72F3"/>
    <w:rsid w:val="009C739A"/>
    <w:rsid w:val="009C73BF"/>
    <w:rsid w:val="009C7411"/>
    <w:rsid w:val="009C7500"/>
    <w:rsid w:val="009C75AF"/>
    <w:rsid w:val="009C7661"/>
    <w:rsid w:val="009C76B4"/>
    <w:rsid w:val="009C76C4"/>
    <w:rsid w:val="009C7700"/>
    <w:rsid w:val="009C79A9"/>
    <w:rsid w:val="009C79FF"/>
    <w:rsid w:val="009C7AAE"/>
    <w:rsid w:val="009C7AFF"/>
    <w:rsid w:val="009C7B9D"/>
    <w:rsid w:val="009C7C29"/>
    <w:rsid w:val="009C7C6C"/>
    <w:rsid w:val="009C7DCF"/>
    <w:rsid w:val="009C7EA3"/>
    <w:rsid w:val="009C7F14"/>
    <w:rsid w:val="009D0076"/>
    <w:rsid w:val="009D01E0"/>
    <w:rsid w:val="009D02B2"/>
    <w:rsid w:val="009D0362"/>
    <w:rsid w:val="009D038A"/>
    <w:rsid w:val="009D0433"/>
    <w:rsid w:val="009D04B7"/>
    <w:rsid w:val="009D05D1"/>
    <w:rsid w:val="009D05EA"/>
    <w:rsid w:val="009D0743"/>
    <w:rsid w:val="009D076A"/>
    <w:rsid w:val="009D07C5"/>
    <w:rsid w:val="009D09AC"/>
    <w:rsid w:val="009D0A1D"/>
    <w:rsid w:val="009D0A76"/>
    <w:rsid w:val="009D0B15"/>
    <w:rsid w:val="009D0B4A"/>
    <w:rsid w:val="009D0B79"/>
    <w:rsid w:val="009D0C5C"/>
    <w:rsid w:val="009D0DB3"/>
    <w:rsid w:val="009D0DBA"/>
    <w:rsid w:val="009D0E45"/>
    <w:rsid w:val="009D0FAB"/>
    <w:rsid w:val="009D0FF6"/>
    <w:rsid w:val="009D1057"/>
    <w:rsid w:val="009D111B"/>
    <w:rsid w:val="009D1313"/>
    <w:rsid w:val="009D14B0"/>
    <w:rsid w:val="009D153A"/>
    <w:rsid w:val="009D15FC"/>
    <w:rsid w:val="009D164A"/>
    <w:rsid w:val="009D175A"/>
    <w:rsid w:val="009D175C"/>
    <w:rsid w:val="009D188A"/>
    <w:rsid w:val="009D19AD"/>
    <w:rsid w:val="009D19B2"/>
    <w:rsid w:val="009D1B60"/>
    <w:rsid w:val="009D1B78"/>
    <w:rsid w:val="009D1BDB"/>
    <w:rsid w:val="009D1D3B"/>
    <w:rsid w:val="009D1E25"/>
    <w:rsid w:val="009D1E6E"/>
    <w:rsid w:val="009D1FA4"/>
    <w:rsid w:val="009D1FA8"/>
    <w:rsid w:val="009D1FC2"/>
    <w:rsid w:val="009D2039"/>
    <w:rsid w:val="009D20F1"/>
    <w:rsid w:val="009D21DA"/>
    <w:rsid w:val="009D2263"/>
    <w:rsid w:val="009D25A7"/>
    <w:rsid w:val="009D25DF"/>
    <w:rsid w:val="009D277B"/>
    <w:rsid w:val="009D27EA"/>
    <w:rsid w:val="009D2814"/>
    <w:rsid w:val="009D2842"/>
    <w:rsid w:val="009D2863"/>
    <w:rsid w:val="009D28A6"/>
    <w:rsid w:val="009D29A7"/>
    <w:rsid w:val="009D2B1F"/>
    <w:rsid w:val="009D2BE1"/>
    <w:rsid w:val="009D2C69"/>
    <w:rsid w:val="009D2CA6"/>
    <w:rsid w:val="009D2DA8"/>
    <w:rsid w:val="009D2E49"/>
    <w:rsid w:val="009D2F99"/>
    <w:rsid w:val="009D30B4"/>
    <w:rsid w:val="009D30EA"/>
    <w:rsid w:val="009D3146"/>
    <w:rsid w:val="009D322F"/>
    <w:rsid w:val="009D3241"/>
    <w:rsid w:val="009D3305"/>
    <w:rsid w:val="009D3373"/>
    <w:rsid w:val="009D3493"/>
    <w:rsid w:val="009D3515"/>
    <w:rsid w:val="009D3546"/>
    <w:rsid w:val="009D359E"/>
    <w:rsid w:val="009D3631"/>
    <w:rsid w:val="009D363C"/>
    <w:rsid w:val="009D36CD"/>
    <w:rsid w:val="009D379B"/>
    <w:rsid w:val="009D37DA"/>
    <w:rsid w:val="009D3845"/>
    <w:rsid w:val="009D389F"/>
    <w:rsid w:val="009D3A37"/>
    <w:rsid w:val="009D3B4C"/>
    <w:rsid w:val="009D3E01"/>
    <w:rsid w:val="009D3E7C"/>
    <w:rsid w:val="009D3FD2"/>
    <w:rsid w:val="009D407A"/>
    <w:rsid w:val="009D4147"/>
    <w:rsid w:val="009D41AF"/>
    <w:rsid w:val="009D4249"/>
    <w:rsid w:val="009D4273"/>
    <w:rsid w:val="009D427D"/>
    <w:rsid w:val="009D4285"/>
    <w:rsid w:val="009D4307"/>
    <w:rsid w:val="009D43F6"/>
    <w:rsid w:val="009D454C"/>
    <w:rsid w:val="009D45B2"/>
    <w:rsid w:val="009D46BD"/>
    <w:rsid w:val="009D479E"/>
    <w:rsid w:val="009D4872"/>
    <w:rsid w:val="009D49AA"/>
    <w:rsid w:val="009D4CBE"/>
    <w:rsid w:val="009D4E03"/>
    <w:rsid w:val="009D4FB8"/>
    <w:rsid w:val="009D5011"/>
    <w:rsid w:val="009D5085"/>
    <w:rsid w:val="009D5089"/>
    <w:rsid w:val="009D51BA"/>
    <w:rsid w:val="009D5221"/>
    <w:rsid w:val="009D5289"/>
    <w:rsid w:val="009D537A"/>
    <w:rsid w:val="009D53DE"/>
    <w:rsid w:val="009D5454"/>
    <w:rsid w:val="009D5693"/>
    <w:rsid w:val="009D5706"/>
    <w:rsid w:val="009D57BA"/>
    <w:rsid w:val="009D5895"/>
    <w:rsid w:val="009D5AC5"/>
    <w:rsid w:val="009D5C5D"/>
    <w:rsid w:val="009D5CB6"/>
    <w:rsid w:val="009D5CCD"/>
    <w:rsid w:val="009D5D04"/>
    <w:rsid w:val="009D5D3A"/>
    <w:rsid w:val="009D5E01"/>
    <w:rsid w:val="009D5ED7"/>
    <w:rsid w:val="009D5F0D"/>
    <w:rsid w:val="009D5F4B"/>
    <w:rsid w:val="009D5FD1"/>
    <w:rsid w:val="009D6060"/>
    <w:rsid w:val="009D646F"/>
    <w:rsid w:val="009D64AF"/>
    <w:rsid w:val="009D6561"/>
    <w:rsid w:val="009D661E"/>
    <w:rsid w:val="009D6665"/>
    <w:rsid w:val="009D692A"/>
    <w:rsid w:val="009D6A29"/>
    <w:rsid w:val="009D6A70"/>
    <w:rsid w:val="009D6AD5"/>
    <w:rsid w:val="009D6B21"/>
    <w:rsid w:val="009D6B9C"/>
    <w:rsid w:val="009D6D08"/>
    <w:rsid w:val="009D6EF9"/>
    <w:rsid w:val="009D6FFD"/>
    <w:rsid w:val="009D70AE"/>
    <w:rsid w:val="009D7120"/>
    <w:rsid w:val="009D7177"/>
    <w:rsid w:val="009D719B"/>
    <w:rsid w:val="009D7349"/>
    <w:rsid w:val="009D73AB"/>
    <w:rsid w:val="009D7447"/>
    <w:rsid w:val="009D74F5"/>
    <w:rsid w:val="009D7529"/>
    <w:rsid w:val="009D75C5"/>
    <w:rsid w:val="009D7603"/>
    <w:rsid w:val="009D7617"/>
    <w:rsid w:val="009D7695"/>
    <w:rsid w:val="009D76EF"/>
    <w:rsid w:val="009D77C8"/>
    <w:rsid w:val="009D7867"/>
    <w:rsid w:val="009D78A3"/>
    <w:rsid w:val="009D78D2"/>
    <w:rsid w:val="009D78EA"/>
    <w:rsid w:val="009D7901"/>
    <w:rsid w:val="009D7A56"/>
    <w:rsid w:val="009D7AD4"/>
    <w:rsid w:val="009D7AFC"/>
    <w:rsid w:val="009D7B4B"/>
    <w:rsid w:val="009D7DCC"/>
    <w:rsid w:val="009D7E94"/>
    <w:rsid w:val="009D7F06"/>
    <w:rsid w:val="009D7F70"/>
    <w:rsid w:val="009D7F92"/>
    <w:rsid w:val="009E0068"/>
    <w:rsid w:val="009E0109"/>
    <w:rsid w:val="009E0149"/>
    <w:rsid w:val="009E015A"/>
    <w:rsid w:val="009E0257"/>
    <w:rsid w:val="009E02AD"/>
    <w:rsid w:val="009E0345"/>
    <w:rsid w:val="009E0434"/>
    <w:rsid w:val="009E04AC"/>
    <w:rsid w:val="009E054A"/>
    <w:rsid w:val="009E059E"/>
    <w:rsid w:val="009E067C"/>
    <w:rsid w:val="009E07F7"/>
    <w:rsid w:val="009E087C"/>
    <w:rsid w:val="009E0907"/>
    <w:rsid w:val="009E0964"/>
    <w:rsid w:val="009E0A10"/>
    <w:rsid w:val="009E0AEA"/>
    <w:rsid w:val="009E0B0B"/>
    <w:rsid w:val="009E0BBC"/>
    <w:rsid w:val="009E0BC6"/>
    <w:rsid w:val="009E0C2B"/>
    <w:rsid w:val="009E0D24"/>
    <w:rsid w:val="009E0D2A"/>
    <w:rsid w:val="009E0E05"/>
    <w:rsid w:val="009E0E1E"/>
    <w:rsid w:val="009E0E6C"/>
    <w:rsid w:val="009E109A"/>
    <w:rsid w:val="009E10AE"/>
    <w:rsid w:val="009E1115"/>
    <w:rsid w:val="009E1131"/>
    <w:rsid w:val="009E1242"/>
    <w:rsid w:val="009E12AF"/>
    <w:rsid w:val="009E1575"/>
    <w:rsid w:val="009E15FB"/>
    <w:rsid w:val="009E1600"/>
    <w:rsid w:val="009E1636"/>
    <w:rsid w:val="009E166A"/>
    <w:rsid w:val="009E16FF"/>
    <w:rsid w:val="009E1839"/>
    <w:rsid w:val="009E1950"/>
    <w:rsid w:val="009E1982"/>
    <w:rsid w:val="009E1997"/>
    <w:rsid w:val="009E19FB"/>
    <w:rsid w:val="009E1A2C"/>
    <w:rsid w:val="009E1C53"/>
    <w:rsid w:val="009E1D30"/>
    <w:rsid w:val="009E1D99"/>
    <w:rsid w:val="009E1DFE"/>
    <w:rsid w:val="009E1EF9"/>
    <w:rsid w:val="009E21B7"/>
    <w:rsid w:val="009E21CA"/>
    <w:rsid w:val="009E21CB"/>
    <w:rsid w:val="009E226D"/>
    <w:rsid w:val="009E228F"/>
    <w:rsid w:val="009E22AC"/>
    <w:rsid w:val="009E230F"/>
    <w:rsid w:val="009E23F6"/>
    <w:rsid w:val="009E248F"/>
    <w:rsid w:val="009E24E5"/>
    <w:rsid w:val="009E252B"/>
    <w:rsid w:val="009E2564"/>
    <w:rsid w:val="009E259A"/>
    <w:rsid w:val="009E25C8"/>
    <w:rsid w:val="009E25E2"/>
    <w:rsid w:val="009E2681"/>
    <w:rsid w:val="009E2699"/>
    <w:rsid w:val="009E28AC"/>
    <w:rsid w:val="009E28E5"/>
    <w:rsid w:val="009E294D"/>
    <w:rsid w:val="009E29A8"/>
    <w:rsid w:val="009E29EF"/>
    <w:rsid w:val="009E2B61"/>
    <w:rsid w:val="009E2C19"/>
    <w:rsid w:val="009E2E70"/>
    <w:rsid w:val="009E2E89"/>
    <w:rsid w:val="009E2EC7"/>
    <w:rsid w:val="009E2FED"/>
    <w:rsid w:val="009E3104"/>
    <w:rsid w:val="009E315B"/>
    <w:rsid w:val="009E3164"/>
    <w:rsid w:val="009E322F"/>
    <w:rsid w:val="009E332E"/>
    <w:rsid w:val="009E3617"/>
    <w:rsid w:val="009E3666"/>
    <w:rsid w:val="009E372D"/>
    <w:rsid w:val="009E3740"/>
    <w:rsid w:val="009E3782"/>
    <w:rsid w:val="009E3819"/>
    <w:rsid w:val="009E3864"/>
    <w:rsid w:val="009E39DC"/>
    <w:rsid w:val="009E3A1B"/>
    <w:rsid w:val="009E3A4C"/>
    <w:rsid w:val="009E3A9A"/>
    <w:rsid w:val="009E3AF0"/>
    <w:rsid w:val="009E3C5D"/>
    <w:rsid w:val="009E3D0C"/>
    <w:rsid w:val="009E3F3E"/>
    <w:rsid w:val="009E3FE9"/>
    <w:rsid w:val="009E409D"/>
    <w:rsid w:val="009E4237"/>
    <w:rsid w:val="009E4450"/>
    <w:rsid w:val="009E44C9"/>
    <w:rsid w:val="009E46E2"/>
    <w:rsid w:val="009E4874"/>
    <w:rsid w:val="009E48EF"/>
    <w:rsid w:val="009E48F0"/>
    <w:rsid w:val="009E4961"/>
    <w:rsid w:val="009E4A54"/>
    <w:rsid w:val="009E4B1D"/>
    <w:rsid w:val="009E4BD8"/>
    <w:rsid w:val="009E4BE0"/>
    <w:rsid w:val="009E4C59"/>
    <w:rsid w:val="009E4C90"/>
    <w:rsid w:val="009E4D4C"/>
    <w:rsid w:val="009E4DB5"/>
    <w:rsid w:val="009E4EB5"/>
    <w:rsid w:val="009E4ECF"/>
    <w:rsid w:val="009E4FE0"/>
    <w:rsid w:val="009E51C5"/>
    <w:rsid w:val="009E5255"/>
    <w:rsid w:val="009E5365"/>
    <w:rsid w:val="009E562A"/>
    <w:rsid w:val="009E5686"/>
    <w:rsid w:val="009E56B9"/>
    <w:rsid w:val="009E56BA"/>
    <w:rsid w:val="009E57C4"/>
    <w:rsid w:val="009E57DA"/>
    <w:rsid w:val="009E58C6"/>
    <w:rsid w:val="009E5981"/>
    <w:rsid w:val="009E59F0"/>
    <w:rsid w:val="009E5B46"/>
    <w:rsid w:val="009E5D54"/>
    <w:rsid w:val="009E5F35"/>
    <w:rsid w:val="009E5F7C"/>
    <w:rsid w:val="009E5F8E"/>
    <w:rsid w:val="009E600C"/>
    <w:rsid w:val="009E60A9"/>
    <w:rsid w:val="009E6246"/>
    <w:rsid w:val="009E6463"/>
    <w:rsid w:val="009E652A"/>
    <w:rsid w:val="009E65EA"/>
    <w:rsid w:val="009E6633"/>
    <w:rsid w:val="009E6A68"/>
    <w:rsid w:val="009E6A9C"/>
    <w:rsid w:val="009E6B16"/>
    <w:rsid w:val="009E6B43"/>
    <w:rsid w:val="009E6D15"/>
    <w:rsid w:val="009E6DCD"/>
    <w:rsid w:val="009E6DFE"/>
    <w:rsid w:val="009E6EA7"/>
    <w:rsid w:val="009E6F96"/>
    <w:rsid w:val="009E7081"/>
    <w:rsid w:val="009E7242"/>
    <w:rsid w:val="009E7449"/>
    <w:rsid w:val="009E76D2"/>
    <w:rsid w:val="009E7716"/>
    <w:rsid w:val="009E7790"/>
    <w:rsid w:val="009E77AA"/>
    <w:rsid w:val="009E77D2"/>
    <w:rsid w:val="009E780B"/>
    <w:rsid w:val="009E7839"/>
    <w:rsid w:val="009E7889"/>
    <w:rsid w:val="009E7A26"/>
    <w:rsid w:val="009E7A2B"/>
    <w:rsid w:val="009E7A67"/>
    <w:rsid w:val="009E7AE9"/>
    <w:rsid w:val="009E7C3D"/>
    <w:rsid w:val="009E7CFB"/>
    <w:rsid w:val="009E7D09"/>
    <w:rsid w:val="009E7D52"/>
    <w:rsid w:val="009E7E7F"/>
    <w:rsid w:val="009E7FAC"/>
    <w:rsid w:val="009F00A6"/>
    <w:rsid w:val="009F01E8"/>
    <w:rsid w:val="009F033F"/>
    <w:rsid w:val="009F0445"/>
    <w:rsid w:val="009F08DB"/>
    <w:rsid w:val="009F0B84"/>
    <w:rsid w:val="009F0D32"/>
    <w:rsid w:val="009F0D3D"/>
    <w:rsid w:val="009F0D4E"/>
    <w:rsid w:val="009F0D65"/>
    <w:rsid w:val="009F0FA2"/>
    <w:rsid w:val="009F1122"/>
    <w:rsid w:val="009F1170"/>
    <w:rsid w:val="009F1196"/>
    <w:rsid w:val="009F11BC"/>
    <w:rsid w:val="009F1228"/>
    <w:rsid w:val="009F12C2"/>
    <w:rsid w:val="009F1458"/>
    <w:rsid w:val="009F15C8"/>
    <w:rsid w:val="009F1612"/>
    <w:rsid w:val="009F168A"/>
    <w:rsid w:val="009F1716"/>
    <w:rsid w:val="009F18BC"/>
    <w:rsid w:val="009F18ED"/>
    <w:rsid w:val="009F194C"/>
    <w:rsid w:val="009F195A"/>
    <w:rsid w:val="009F1AD9"/>
    <w:rsid w:val="009F1AE9"/>
    <w:rsid w:val="009F1B17"/>
    <w:rsid w:val="009F1B7F"/>
    <w:rsid w:val="009F1C60"/>
    <w:rsid w:val="009F1F5B"/>
    <w:rsid w:val="009F20B8"/>
    <w:rsid w:val="009F218B"/>
    <w:rsid w:val="009F222C"/>
    <w:rsid w:val="009F2356"/>
    <w:rsid w:val="009F236C"/>
    <w:rsid w:val="009F237B"/>
    <w:rsid w:val="009F24A4"/>
    <w:rsid w:val="009F24C5"/>
    <w:rsid w:val="009F2598"/>
    <w:rsid w:val="009F274A"/>
    <w:rsid w:val="009F2830"/>
    <w:rsid w:val="009F2840"/>
    <w:rsid w:val="009F289D"/>
    <w:rsid w:val="009F28A5"/>
    <w:rsid w:val="009F293F"/>
    <w:rsid w:val="009F297A"/>
    <w:rsid w:val="009F2AFC"/>
    <w:rsid w:val="009F2B2D"/>
    <w:rsid w:val="009F2B6B"/>
    <w:rsid w:val="009F2BDA"/>
    <w:rsid w:val="009F2BE3"/>
    <w:rsid w:val="009F2C3E"/>
    <w:rsid w:val="009F2C6F"/>
    <w:rsid w:val="009F2F64"/>
    <w:rsid w:val="009F2FA3"/>
    <w:rsid w:val="009F30E7"/>
    <w:rsid w:val="009F30F9"/>
    <w:rsid w:val="009F3277"/>
    <w:rsid w:val="009F3312"/>
    <w:rsid w:val="009F3384"/>
    <w:rsid w:val="009F354D"/>
    <w:rsid w:val="009F36CC"/>
    <w:rsid w:val="009F36CD"/>
    <w:rsid w:val="009F370B"/>
    <w:rsid w:val="009F371A"/>
    <w:rsid w:val="009F371C"/>
    <w:rsid w:val="009F37E1"/>
    <w:rsid w:val="009F3893"/>
    <w:rsid w:val="009F3A5D"/>
    <w:rsid w:val="009F3B50"/>
    <w:rsid w:val="009F3B53"/>
    <w:rsid w:val="009F3B67"/>
    <w:rsid w:val="009F3BB9"/>
    <w:rsid w:val="009F3BF5"/>
    <w:rsid w:val="009F3D97"/>
    <w:rsid w:val="009F3E40"/>
    <w:rsid w:val="009F3EC3"/>
    <w:rsid w:val="009F3ED0"/>
    <w:rsid w:val="009F3EEA"/>
    <w:rsid w:val="009F3F87"/>
    <w:rsid w:val="009F40CA"/>
    <w:rsid w:val="009F411B"/>
    <w:rsid w:val="009F416D"/>
    <w:rsid w:val="009F41BD"/>
    <w:rsid w:val="009F41F5"/>
    <w:rsid w:val="009F42AF"/>
    <w:rsid w:val="009F4384"/>
    <w:rsid w:val="009F45A1"/>
    <w:rsid w:val="009F45B9"/>
    <w:rsid w:val="009F469D"/>
    <w:rsid w:val="009F46A8"/>
    <w:rsid w:val="009F46CA"/>
    <w:rsid w:val="009F4716"/>
    <w:rsid w:val="009F4825"/>
    <w:rsid w:val="009F486F"/>
    <w:rsid w:val="009F4888"/>
    <w:rsid w:val="009F491E"/>
    <w:rsid w:val="009F4A1C"/>
    <w:rsid w:val="009F4AD5"/>
    <w:rsid w:val="009F4C2A"/>
    <w:rsid w:val="009F4C72"/>
    <w:rsid w:val="009F4C83"/>
    <w:rsid w:val="009F4CBC"/>
    <w:rsid w:val="009F4D00"/>
    <w:rsid w:val="009F4DBF"/>
    <w:rsid w:val="009F4E71"/>
    <w:rsid w:val="009F507F"/>
    <w:rsid w:val="009F5119"/>
    <w:rsid w:val="009F5323"/>
    <w:rsid w:val="009F53C1"/>
    <w:rsid w:val="009F53FA"/>
    <w:rsid w:val="009F557C"/>
    <w:rsid w:val="009F56E7"/>
    <w:rsid w:val="009F571F"/>
    <w:rsid w:val="009F581F"/>
    <w:rsid w:val="009F59FD"/>
    <w:rsid w:val="009F5B48"/>
    <w:rsid w:val="009F5CD5"/>
    <w:rsid w:val="009F5DBB"/>
    <w:rsid w:val="009F5DDC"/>
    <w:rsid w:val="009F5E7C"/>
    <w:rsid w:val="009F5EE3"/>
    <w:rsid w:val="009F5FF3"/>
    <w:rsid w:val="009F604B"/>
    <w:rsid w:val="009F6183"/>
    <w:rsid w:val="009F61CB"/>
    <w:rsid w:val="009F6269"/>
    <w:rsid w:val="009F637F"/>
    <w:rsid w:val="009F6384"/>
    <w:rsid w:val="009F64A8"/>
    <w:rsid w:val="009F6586"/>
    <w:rsid w:val="009F65B3"/>
    <w:rsid w:val="009F6653"/>
    <w:rsid w:val="009F6669"/>
    <w:rsid w:val="009F66A2"/>
    <w:rsid w:val="009F6725"/>
    <w:rsid w:val="009F67D2"/>
    <w:rsid w:val="009F6B1A"/>
    <w:rsid w:val="009F6BF8"/>
    <w:rsid w:val="009F6CC9"/>
    <w:rsid w:val="009F6D87"/>
    <w:rsid w:val="009F6D90"/>
    <w:rsid w:val="009F6DB0"/>
    <w:rsid w:val="009F711D"/>
    <w:rsid w:val="009F7371"/>
    <w:rsid w:val="009F7464"/>
    <w:rsid w:val="009F76BC"/>
    <w:rsid w:val="009F76C7"/>
    <w:rsid w:val="009F77B9"/>
    <w:rsid w:val="009F7802"/>
    <w:rsid w:val="009F781B"/>
    <w:rsid w:val="009F788B"/>
    <w:rsid w:val="009F7958"/>
    <w:rsid w:val="009F79EF"/>
    <w:rsid w:val="009F7B39"/>
    <w:rsid w:val="009F7B8F"/>
    <w:rsid w:val="009F7BA5"/>
    <w:rsid w:val="009F7BCF"/>
    <w:rsid w:val="009F7C02"/>
    <w:rsid w:val="009F7F72"/>
    <w:rsid w:val="00A00004"/>
    <w:rsid w:val="00A001AD"/>
    <w:rsid w:val="00A001D1"/>
    <w:rsid w:val="00A001FF"/>
    <w:rsid w:val="00A0027C"/>
    <w:rsid w:val="00A002AC"/>
    <w:rsid w:val="00A002F7"/>
    <w:rsid w:val="00A004E7"/>
    <w:rsid w:val="00A00577"/>
    <w:rsid w:val="00A005BE"/>
    <w:rsid w:val="00A00600"/>
    <w:rsid w:val="00A0061B"/>
    <w:rsid w:val="00A0066D"/>
    <w:rsid w:val="00A0075A"/>
    <w:rsid w:val="00A007AA"/>
    <w:rsid w:val="00A00A8E"/>
    <w:rsid w:val="00A00AD5"/>
    <w:rsid w:val="00A00AEA"/>
    <w:rsid w:val="00A00BD9"/>
    <w:rsid w:val="00A00C79"/>
    <w:rsid w:val="00A00CA3"/>
    <w:rsid w:val="00A00D23"/>
    <w:rsid w:val="00A00D49"/>
    <w:rsid w:val="00A00D61"/>
    <w:rsid w:val="00A00DF0"/>
    <w:rsid w:val="00A00DF6"/>
    <w:rsid w:val="00A01034"/>
    <w:rsid w:val="00A01326"/>
    <w:rsid w:val="00A014D1"/>
    <w:rsid w:val="00A01656"/>
    <w:rsid w:val="00A017D8"/>
    <w:rsid w:val="00A01A60"/>
    <w:rsid w:val="00A01A69"/>
    <w:rsid w:val="00A01A6F"/>
    <w:rsid w:val="00A01AA3"/>
    <w:rsid w:val="00A01B77"/>
    <w:rsid w:val="00A01B92"/>
    <w:rsid w:val="00A01BBE"/>
    <w:rsid w:val="00A01C13"/>
    <w:rsid w:val="00A01D5E"/>
    <w:rsid w:val="00A01E1A"/>
    <w:rsid w:val="00A01E36"/>
    <w:rsid w:val="00A01E84"/>
    <w:rsid w:val="00A01F14"/>
    <w:rsid w:val="00A01FA6"/>
    <w:rsid w:val="00A01FFF"/>
    <w:rsid w:val="00A0213A"/>
    <w:rsid w:val="00A0234D"/>
    <w:rsid w:val="00A023C1"/>
    <w:rsid w:val="00A024AF"/>
    <w:rsid w:val="00A024C8"/>
    <w:rsid w:val="00A0266D"/>
    <w:rsid w:val="00A0266E"/>
    <w:rsid w:val="00A02674"/>
    <w:rsid w:val="00A0272B"/>
    <w:rsid w:val="00A027D4"/>
    <w:rsid w:val="00A02876"/>
    <w:rsid w:val="00A02999"/>
    <w:rsid w:val="00A029F9"/>
    <w:rsid w:val="00A02ABF"/>
    <w:rsid w:val="00A02BAB"/>
    <w:rsid w:val="00A02BBA"/>
    <w:rsid w:val="00A03115"/>
    <w:rsid w:val="00A03276"/>
    <w:rsid w:val="00A033ED"/>
    <w:rsid w:val="00A03406"/>
    <w:rsid w:val="00A034E2"/>
    <w:rsid w:val="00A03854"/>
    <w:rsid w:val="00A039E1"/>
    <w:rsid w:val="00A03A02"/>
    <w:rsid w:val="00A03A3A"/>
    <w:rsid w:val="00A03AE8"/>
    <w:rsid w:val="00A03D33"/>
    <w:rsid w:val="00A03E0E"/>
    <w:rsid w:val="00A03F0A"/>
    <w:rsid w:val="00A03FE6"/>
    <w:rsid w:val="00A040C0"/>
    <w:rsid w:val="00A0436E"/>
    <w:rsid w:val="00A04510"/>
    <w:rsid w:val="00A04519"/>
    <w:rsid w:val="00A0451B"/>
    <w:rsid w:val="00A0460C"/>
    <w:rsid w:val="00A0460F"/>
    <w:rsid w:val="00A04675"/>
    <w:rsid w:val="00A046AE"/>
    <w:rsid w:val="00A04CC7"/>
    <w:rsid w:val="00A04D42"/>
    <w:rsid w:val="00A04D82"/>
    <w:rsid w:val="00A04DC6"/>
    <w:rsid w:val="00A04E90"/>
    <w:rsid w:val="00A04E9D"/>
    <w:rsid w:val="00A04F3E"/>
    <w:rsid w:val="00A0505C"/>
    <w:rsid w:val="00A05104"/>
    <w:rsid w:val="00A05126"/>
    <w:rsid w:val="00A05292"/>
    <w:rsid w:val="00A0543E"/>
    <w:rsid w:val="00A05551"/>
    <w:rsid w:val="00A05643"/>
    <w:rsid w:val="00A056E6"/>
    <w:rsid w:val="00A05809"/>
    <w:rsid w:val="00A058EE"/>
    <w:rsid w:val="00A0599A"/>
    <w:rsid w:val="00A059A8"/>
    <w:rsid w:val="00A059D5"/>
    <w:rsid w:val="00A05A7C"/>
    <w:rsid w:val="00A05B8F"/>
    <w:rsid w:val="00A05BDB"/>
    <w:rsid w:val="00A05C68"/>
    <w:rsid w:val="00A05CCF"/>
    <w:rsid w:val="00A05D1F"/>
    <w:rsid w:val="00A05E6D"/>
    <w:rsid w:val="00A05E7E"/>
    <w:rsid w:val="00A05EDE"/>
    <w:rsid w:val="00A05F84"/>
    <w:rsid w:val="00A06035"/>
    <w:rsid w:val="00A06050"/>
    <w:rsid w:val="00A060E4"/>
    <w:rsid w:val="00A06170"/>
    <w:rsid w:val="00A061A4"/>
    <w:rsid w:val="00A061D7"/>
    <w:rsid w:val="00A06250"/>
    <w:rsid w:val="00A062A7"/>
    <w:rsid w:val="00A063AE"/>
    <w:rsid w:val="00A0640C"/>
    <w:rsid w:val="00A06509"/>
    <w:rsid w:val="00A0667C"/>
    <w:rsid w:val="00A06883"/>
    <w:rsid w:val="00A069A7"/>
    <w:rsid w:val="00A06B9F"/>
    <w:rsid w:val="00A06C32"/>
    <w:rsid w:val="00A06C71"/>
    <w:rsid w:val="00A06CEB"/>
    <w:rsid w:val="00A06E86"/>
    <w:rsid w:val="00A07107"/>
    <w:rsid w:val="00A0711F"/>
    <w:rsid w:val="00A071DD"/>
    <w:rsid w:val="00A073EF"/>
    <w:rsid w:val="00A07486"/>
    <w:rsid w:val="00A075F8"/>
    <w:rsid w:val="00A076CF"/>
    <w:rsid w:val="00A0771D"/>
    <w:rsid w:val="00A0775F"/>
    <w:rsid w:val="00A07823"/>
    <w:rsid w:val="00A07849"/>
    <w:rsid w:val="00A0786E"/>
    <w:rsid w:val="00A078E4"/>
    <w:rsid w:val="00A07AA6"/>
    <w:rsid w:val="00A07B8B"/>
    <w:rsid w:val="00A07C21"/>
    <w:rsid w:val="00A07C27"/>
    <w:rsid w:val="00A07C8C"/>
    <w:rsid w:val="00A07CBB"/>
    <w:rsid w:val="00A07CFC"/>
    <w:rsid w:val="00A07E82"/>
    <w:rsid w:val="00A07F3E"/>
    <w:rsid w:val="00A07F58"/>
    <w:rsid w:val="00A07F95"/>
    <w:rsid w:val="00A10126"/>
    <w:rsid w:val="00A10162"/>
    <w:rsid w:val="00A101CB"/>
    <w:rsid w:val="00A1029F"/>
    <w:rsid w:val="00A10328"/>
    <w:rsid w:val="00A10431"/>
    <w:rsid w:val="00A1067A"/>
    <w:rsid w:val="00A10782"/>
    <w:rsid w:val="00A1079D"/>
    <w:rsid w:val="00A10972"/>
    <w:rsid w:val="00A10A20"/>
    <w:rsid w:val="00A10A22"/>
    <w:rsid w:val="00A10A46"/>
    <w:rsid w:val="00A10A61"/>
    <w:rsid w:val="00A10B2B"/>
    <w:rsid w:val="00A10C10"/>
    <w:rsid w:val="00A10CB4"/>
    <w:rsid w:val="00A10CEF"/>
    <w:rsid w:val="00A10D6A"/>
    <w:rsid w:val="00A10DA6"/>
    <w:rsid w:val="00A10DB4"/>
    <w:rsid w:val="00A10E2A"/>
    <w:rsid w:val="00A10E8B"/>
    <w:rsid w:val="00A10F6D"/>
    <w:rsid w:val="00A1101B"/>
    <w:rsid w:val="00A11033"/>
    <w:rsid w:val="00A1111B"/>
    <w:rsid w:val="00A111CE"/>
    <w:rsid w:val="00A1122F"/>
    <w:rsid w:val="00A1127D"/>
    <w:rsid w:val="00A11348"/>
    <w:rsid w:val="00A11685"/>
    <w:rsid w:val="00A11826"/>
    <w:rsid w:val="00A118BA"/>
    <w:rsid w:val="00A119DA"/>
    <w:rsid w:val="00A11A03"/>
    <w:rsid w:val="00A11A6C"/>
    <w:rsid w:val="00A11B0D"/>
    <w:rsid w:val="00A11B3E"/>
    <w:rsid w:val="00A11B6E"/>
    <w:rsid w:val="00A11B9B"/>
    <w:rsid w:val="00A11BBB"/>
    <w:rsid w:val="00A11C20"/>
    <w:rsid w:val="00A11C64"/>
    <w:rsid w:val="00A11C90"/>
    <w:rsid w:val="00A11F00"/>
    <w:rsid w:val="00A11F6C"/>
    <w:rsid w:val="00A11F77"/>
    <w:rsid w:val="00A11FF8"/>
    <w:rsid w:val="00A12080"/>
    <w:rsid w:val="00A12251"/>
    <w:rsid w:val="00A12286"/>
    <w:rsid w:val="00A122F3"/>
    <w:rsid w:val="00A12347"/>
    <w:rsid w:val="00A1235C"/>
    <w:rsid w:val="00A12378"/>
    <w:rsid w:val="00A1238F"/>
    <w:rsid w:val="00A123F7"/>
    <w:rsid w:val="00A12621"/>
    <w:rsid w:val="00A126FE"/>
    <w:rsid w:val="00A127A2"/>
    <w:rsid w:val="00A127DD"/>
    <w:rsid w:val="00A12809"/>
    <w:rsid w:val="00A1280F"/>
    <w:rsid w:val="00A12836"/>
    <w:rsid w:val="00A12893"/>
    <w:rsid w:val="00A1294E"/>
    <w:rsid w:val="00A129F7"/>
    <w:rsid w:val="00A129FB"/>
    <w:rsid w:val="00A12B97"/>
    <w:rsid w:val="00A12C48"/>
    <w:rsid w:val="00A12D50"/>
    <w:rsid w:val="00A12E0D"/>
    <w:rsid w:val="00A130BA"/>
    <w:rsid w:val="00A13170"/>
    <w:rsid w:val="00A131AF"/>
    <w:rsid w:val="00A131EF"/>
    <w:rsid w:val="00A133D2"/>
    <w:rsid w:val="00A133F2"/>
    <w:rsid w:val="00A1341B"/>
    <w:rsid w:val="00A1347E"/>
    <w:rsid w:val="00A13492"/>
    <w:rsid w:val="00A13594"/>
    <w:rsid w:val="00A135F3"/>
    <w:rsid w:val="00A135FA"/>
    <w:rsid w:val="00A13641"/>
    <w:rsid w:val="00A13649"/>
    <w:rsid w:val="00A13860"/>
    <w:rsid w:val="00A13A7F"/>
    <w:rsid w:val="00A13ACF"/>
    <w:rsid w:val="00A13D10"/>
    <w:rsid w:val="00A13D71"/>
    <w:rsid w:val="00A13D99"/>
    <w:rsid w:val="00A13DB4"/>
    <w:rsid w:val="00A13E13"/>
    <w:rsid w:val="00A13E23"/>
    <w:rsid w:val="00A13F2D"/>
    <w:rsid w:val="00A13FB2"/>
    <w:rsid w:val="00A14010"/>
    <w:rsid w:val="00A14274"/>
    <w:rsid w:val="00A1429C"/>
    <w:rsid w:val="00A144D1"/>
    <w:rsid w:val="00A14661"/>
    <w:rsid w:val="00A14678"/>
    <w:rsid w:val="00A146AA"/>
    <w:rsid w:val="00A146B6"/>
    <w:rsid w:val="00A146E6"/>
    <w:rsid w:val="00A1477A"/>
    <w:rsid w:val="00A147B3"/>
    <w:rsid w:val="00A148D5"/>
    <w:rsid w:val="00A1493A"/>
    <w:rsid w:val="00A14A78"/>
    <w:rsid w:val="00A14AE5"/>
    <w:rsid w:val="00A14BFB"/>
    <w:rsid w:val="00A14C28"/>
    <w:rsid w:val="00A14C54"/>
    <w:rsid w:val="00A14C98"/>
    <w:rsid w:val="00A14CFF"/>
    <w:rsid w:val="00A14D3E"/>
    <w:rsid w:val="00A14EA4"/>
    <w:rsid w:val="00A14F22"/>
    <w:rsid w:val="00A15019"/>
    <w:rsid w:val="00A15223"/>
    <w:rsid w:val="00A15276"/>
    <w:rsid w:val="00A1551D"/>
    <w:rsid w:val="00A1552D"/>
    <w:rsid w:val="00A15593"/>
    <w:rsid w:val="00A155DD"/>
    <w:rsid w:val="00A156BB"/>
    <w:rsid w:val="00A15885"/>
    <w:rsid w:val="00A15924"/>
    <w:rsid w:val="00A15975"/>
    <w:rsid w:val="00A15B48"/>
    <w:rsid w:val="00A15B91"/>
    <w:rsid w:val="00A15CD7"/>
    <w:rsid w:val="00A15D4F"/>
    <w:rsid w:val="00A15DA7"/>
    <w:rsid w:val="00A15DF4"/>
    <w:rsid w:val="00A15E46"/>
    <w:rsid w:val="00A15FF5"/>
    <w:rsid w:val="00A16162"/>
    <w:rsid w:val="00A16206"/>
    <w:rsid w:val="00A163AC"/>
    <w:rsid w:val="00A16471"/>
    <w:rsid w:val="00A16506"/>
    <w:rsid w:val="00A1652B"/>
    <w:rsid w:val="00A165B1"/>
    <w:rsid w:val="00A1662F"/>
    <w:rsid w:val="00A16639"/>
    <w:rsid w:val="00A1670A"/>
    <w:rsid w:val="00A16777"/>
    <w:rsid w:val="00A167A2"/>
    <w:rsid w:val="00A167B7"/>
    <w:rsid w:val="00A16A36"/>
    <w:rsid w:val="00A16A81"/>
    <w:rsid w:val="00A16ACB"/>
    <w:rsid w:val="00A16C35"/>
    <w:rsid w:val="00A16D35"/>
    <w:rsid w:val="00A16F2A"/>
    <w:rsid w:val="00A16FD7"/>
    <w:rsid w:val="00A17013"/>
    <w:rsid w:val="00A1716A"/>
    <w:rsid w:val="00A1728F"/>
    <w:rsid w:val="00A172B0"/>
    <w:rsid w:val="00A17455"/>
    <w:rsid w:val="00A175F3"/>
    <w:rsid w:val="00A17648"/>
    <w:rsid w:val="00A1764B"/>
    <w:rsid w:val="00A177A4"/>
    <w:rsid w:val="00A178D8"/>
    <w:rsid w:val="00A17A0D"/>
    <w:rsid w:val="00A17A59"/>
    <w:rsid w:val="00A17BCE"/>
    <w:rsid w:val="00A17C20"/>
    <w:rsid w:val="00A17C4C"/>
    <w:rsid w:val="00A17C66"/>
    <w:rsid w:val="00A17C7D"/>
    <w:rsid w:val="00A17CDE"/>
    <w:rsid w:val="00A17D61"/>
    <w:rsid w:val="00A17DEF"/>
    <w:rsid w:val="00A17E9F"/>
    <w:rsid w:val="00A200EE"/>
    <w:rsid w:val="00A20209"/>
    <w:rsid w:val="00A2024B"/>
    <w:rsid w:val="00A20580"/>
    <w:rsid w:val="00A20646"/>
    <w:rsid w:val="00A206DF"/>
    <w:rsid w:val="00A2084B"/>
    <w:rsid w:val="00A20918"/>
    <w:rsid w:val="00A20A25"/>
    <w:rsid w:val="00A20A32"/>
    <w:rsid w:val="00A20B29"/>
    <w:rsid w:val="00A20B4A"/>
    <w:rsid w:val="00A20C96"/>
    <w:rsid w:val="00A20D46"/>
    <w:rsid w:val="00A20D54"/>
    <w:rsid w:val="00A20D81"/>
    <w:rsid w:val="00A20DB6"/>
    <w:rsid w:val="00A20DEB"/>
    <w:rsid w:val="00A20E83"/>
    <w:rsid w:val="00A20F10"/>
    <w:rsid w:val="00A20F7A"/>
    <w:rsid w:val="00A21001"/>
    <w:rsid w:val="00A21064"/>
    <w:rsid w:val="00A210F8"/>
    <w:rsid w:val="00A21138"/>
    <w:rsid w:val="00A21351"/>
    <w:rsid w:val="00A21356"/>
    <w:rsid w:val="00A21468"/>
    <w:rsid w:val="00A21553"/>
    <w:rsid w:val="00A21594"/>
    <w:rsid w:val="00A215B2"/>
    <w:rsid w:val="00A215E4"/>
    <w:rsid w:val="00A21768"/>
    <w:rsid w:val="00A217AB"/>
    <w:rsid w:val="00A218B9"/>
    <w:rsid w:val="00A21A55"/>
    <w:rsid w:val="00A21AA2"/>
    <w:rsid w:val="00A21AF6"/>
    <w:rsid w:val="00A21BE6"/>
    <w:rsid w:val="00A21DD3"/>
    <w:rsid w:val="00A21E6D"/>
    <w:rsid w:val="00A21EA1"/>
    <w:rsid w:val="00A21ED1"/>
    <w:rsid w:val="00A22065"/>
    <w:rsid w:val="00A220E9"/>
    <w:rsid w:val="00A22190"/>
    <w:rsid w:val="00A222D3"/>
    <w:rsid w:val="00A222ED"/>
    <w:rsid w:val="00A22371"/>
    <w:rsid w:val="00A22380"/>
    <w:rsid w:val="00A22522"/>
    <w:rsid w:val="00A225FD"/>
    <w:rsid w:val="00A22673"/>
    <w:rsid w:val="00A22838"/>
    <w:rsid w:val="00A2285A"/>
    <w:rsid w:val="00A2295A"/>
    <w:rsid w:val="00A229F1"/>
    <w:rsid w:val="00A22BBA"/>
    <w:rsid w:val="00A22C61"/>
    <w:rsid w:val="00A22D99"/>
    <w:rsid w:val="00A22E52"/>
    <w:rsid w:val="00A22E53"/>
    <w:rsid w:val="00A22EC9"/>
    <w:rsid w:val="00A230A1"/>
    <w:rsid w:val="00A230B2"/>
    <w:rsid w:val="00A23123"/>
    <w:rsid w:val="00A2312A"/>
    <w:rsid w:val="00A2319E"/>
    <w:rsid w:val="00A232D9"/>
    <w:rsid w:val="00A2333C"/>
    <w:rsid w:val="00A23447"/>
    <w:rsid w:val="00A23498"/>
    <w:rsid w:val="00A234C2"/>
    <w:rsid w:val="00A234D0"/>
    <w:rsid w:val="00A2355A"/>
    <w:rsid w:val="00A235D5"/>
    <w:rsid w:val="00A2367F"/>
    <w:rsid w:val="00A236DE"/>
    <w:rsid w:val="00A236F0"/>
    <w:rsid w:val="00A23763"/>
    <w:rsid w:val="00A23931"/>
    <w:rsid w:val="00A23979"/>
    <w:rsid w:val="00A23BAB"/>
    <w:rsid w:val="00A23CC8"/>
    <w:rsid w:val="00A23D75"/>
    <w:rsid w:val="00A23DEB"/>
    <w:rsid w:val="00A23DFE"/>
    <w:rsid w:val="00A23E27"/>
    <w:rsid w:val="00A23E35"/>
    <w:rsid w:val="00A23EF6"/>
    <w:rsid w:val="00A23F10"/>
    <w:rsid w:val="00A2406C"/>
    <w:rsid w:val="00A24074"/>
    <w:rsid w:val="00A24076"/>
    <w:rsid w:val="00A24135"/>
    <w:rsid w:val="00A24165"/>
    <w:rsid w:val="00A242C0"/>
    <w:rsid w:val="00A2436B"/>
    <w:rsid w:val="00A243DC"/>
    <w:rsid w:val="00A24413"/>
    <w:rsid w:val="00A24469"/>
    <w:rsid w:val="00A244A8"/>
    <w:rsid w:val="00A244EF"/>
    <w:rsid w:val="00A24523"/>
    <w:rsid w:val="00A2455A"/>
    <w:rsid w:val="00A2465E"/>
    <w:rsid w:val="00A246BD"/>
    <w:rsid w:val="00A247E7"/>
    <w:rsid w:val="00A24841"/>
    <w:rsid w:val="00A248AC"/>
    <w:rsid w:val="00A248B8"/>
    <w:rsid w:val="00A24AAC"/>
    <w:rsid w:val="00A24D12"/>
    <w:rsid w:val="00A24ED9"/>
    <w:rsid w:val="00A24F40"/>
    <w:rsid w:val="00A24FDF"/>
    <w:rsid w:val="00A25026"/>
    <w:rsid w:val="00A25030"/>
    <w:rsid w:val="00A250E1"/>
    <w:rsid w:val="00A251C9"/>
    <w:rsid w:val="00A25215"/>
    <w:rsid w:val="00A2526A"/>
    <w:rsid w:val="00A25381"/>
    <w:rsid w:val="00A25446"/>
    <w:rsid w:val="00A255D6"/>
    <w:rsid w:val="00A256C4"/>
    <w:rsid w:val="00A256DF"/>
    <w:rsid w:val="00A2576E"/>
    <w:rsid w:val="00A257F3"/>
    <w:rsid w:val="00A25878"/>
    <w:rsid w:val="00A258BE"/>
    <w:rsid w:val="00A25937"/>
    <w:rsid w:val="00A25955"/>
    <w:rsid w:val="00A25959"/>
    <w:rsid w:val="00A259E2"/>
    <w:rsid w:val="00A25A6E"/>
    <w:rsid w:val="00A25AF0"/>
    <w:rsid w:val="00A25C19"/>
    <w:rsid w:val="00A25CA9"/>
    <w:rsid w:val="00A25CC8"/>
    <w:rsid w:val="00A25E7D"/>
    <w:rsid w:val="00A25FDB"/>
    <w:rsid w:val="00A2627A"/>
    <w:rsid w:val="00A2628C"/>
    <w:rsid w:val="00A263F4"/>
    <w:rsid w:val="00A26408"/>
    <w:rsid w:val="00A26461"/>
    <w:rsid w:val="00A26693"/>
    <w:rsid w:val="00A2677D"/>
    <w:rsid w:val="00A268DB"/>
    <w:rsid w:val="00A269A8"/>
    <w:rsid w:val="00A269CD"/>
    <w:rsid w:val="00A26B70"/>
    <w:rsid w:val="00A26C21"/>
    <w:rsid w:val="00A26C39"/>
    <w:rsid w:val="00A26D0F"/>
    <w:rsid w:val="00A26D6B"/>
    <w:rsid w:val="00A26DCA"/>
    <w:rsid w:val="00A26E77"/>
    <w:rsid w:val="00A26EA7"/>
    <w:rsid w:val="00A26F4D"/>
    <w:rsid w:val="00A2707C"/>
    <w:rsid w:val="00A270B9"/>
    <w:rsid w:val="00A272E7"/>
    <w:rsid w:val="00A272F8"/>
    <w:rsid w:val="00A2737B"/>
    <w:rsid w:val="00A27413"/>
    <w:rsid w:val="00A27448"/>
    <w:rsid w:val="00A275F1"/>
    <w:rsid w:val="00A2763C"/>
    <w:rsid w:val="00A27733"/>
    <w:rsid w:val="00A277D6"/>
    <w:rsid w:val="00A277E7"/>
    <w:rsid w:val="00A2786B"/>
    <w:rsid w:val="00A27A7A"/>
    <w:rsid w:val="00A27AD9"/>
    <w:rsid w:val="00A27BE3"/>
    <w:rsid w:val="00A27C1E"/>
    <w:rsid w:val="00A27C49"/>
    <w:rsid w:val="00A27E57"/>
    <w:rsid w:val="00A27E66"/>
    <w:rsid w:val="00A27F54"/>
    <w:rsid w:val="00A30063"/>
    <w:rsid w:val="00A300D6"/>
    <w:rsid w:val="00A3016F"/>
    <w:rsid w:val="00A302A4"/>
    <w:rsid w:val="00A30571"/>
    <w:rsid w:val="00A3083A"/>
    <w:rsid w:val="00A30845"/>
    <w:rsid w:val="00A30990"/>
    <w:rsid w:val="00A309E8"/>
    <w:rsid w:val="00A30B8F"/>
    <w:rsid w:val="00A30CE8"/>
    <w:rsid w:val="00A30D28"/>
    <w:rsid w:val="00A30E2F"/>
    <w:rsid w:val="00A30E85"/>
    <w:rsid w:val="00A30F27"/>
    <w:rsid w:val="00A30F4B"/>
    <w:rsid w:val="00A310E9"/>
    <w:rsid w:val="00A31229"/>
    <w:rsid w:val="00A313FE"/>
    <w:rsid w:val="00A31419"/>
    <w:rsid w:val="00A3155C"/>
    <w:rsid w:val="00A31566"/>
    <w:rsid w:val="00A315B3"/>
    <w:rsid w:val="00A315D6"/>
    <w:rsid w:val="00A315E2"/>
    <w:rsid w:val="00A31752"/>
    <w:rsid w:val="00A317A8"/>
    <w:rsid w:val="00A31835"/>
    <w:rsid w:val="00A31987"/>
    <w:rsid w:val="00A31BA5"/>
    <w:rsid w:val="00A31D3B"/>
    <w:rsid w:val="00A31DDE"/>
    <w:rsid w:val="00A31F01"/>
    <w:rsid w:val="00A31F34"/>
    <w:rsid w:val="00A31FC0"/>
    <w:rsid w:val="00A320C2"/>
    <w:rsid w:val="00A32142"/>
    <w:rsid w:val="00A32178"/>
    <w:rsid w:val="00A321B7"/>
    <w:rsid w:val="00A3220C"/>
    <w:rsid w:val="00A322B3"/>
    <w:rsid w:val="00A322E3"/>
    <w:rsid w:val="00A3272A"/>
    <w:rsid w:val="00A328C3"/>
    <w:rsid w:val="00A328E7"/>
    <w:rsid w:val="00A32913"/>
    <w:rsid w:val="00A329A7"/>
    <w:rsid w:val="00A32A20"/>
    <w:rsid w:val="00A32AA3"/>
    <w:rsid w:val="00A32AAA"/>
    <w:rsid w:val="00A32BB3"/>
    <w:rsid w:val="00A32BBF"/>
    <w:rsid w:val="00A32C8D"/>
    <w:rsid w:val="00A32D2B"/>
    <w:rsid w:val="00A32F7A"/>
    <w:rsid w:val="00A33024"/>
    <w:rsid w:val="00A3305D"/>
    <w:rsid w:val="00A330AD"/>
    <w:rsid w:val="00A3315F"/>
    <w:rsid w:val="00A3334B"/>
    <w:rsid w:val="00A33355"/>
    <w:rsid w:val="00A33446"/>
    <w:rsid w:val="00A336D8"/>
    <w:rsid w:val="00A33814"/>
    <w:rsid w:val="00A338B9"/>
    <w:rsid w:val="00A33B56"/>
    <w:rsid w:val="00A33C4E"/>
    <w:rsid w:val="00A33CAB"/>
    <w:rsid w:val="00A33CB2"/>
    <w:rsid w:val="00A33E27"/>
    <w:rsid w:val="00A33EAE"/>
    <w:rsid w:val="00A33FCE"/>
    <w:rsid w:val="00A34157"/>
    <w:rsid w:val="00A34234"/>
    <w:rsid w:val="00A34344"/>
    <w:rsid w:val="00A3438F"/>
    <w:rsid w:val="00A3443B"/>
    <w:rsid w:val="00A3451E"/>
    <w:rsid w:val="00A345E1"/>
    <w:rsid w:val="00A34754"/>
    <w:rsid w:val="00A34765"/>
    <w:rsid w:val="00A3477B"/>
    <w:rsid w:val="00A347F9"/>
    <w:rsid w:val="00A34810"/>
    <w:rsid w:val="00A34815"/>
    <w:rsid w:val="00A349A8"/>
    <w:rsid w:val="00A34CD6"/>
    <w:rsid w:val="00A34D59"/>
    <w:rsid w:val="00A34F86"/>
    <w:rsid w:val="00A351E6"/>
    <w:rsid w:val="00A352D6"/>
    <w:rsid w:val="00A352E6"/>
    <w:rsid w:val="00A35413"/>
    <w:rsid w:val="00A3543F"/>
    <w:rsid w:val="00A354B3"/>
    <w:rsid w:val="00A354BF"/>
    <w:rsid w:val="00A35559"/>
    <w:rsid w:val="00A355BA"/>
    <w:rsid w:val="00A35682"/>
    <w:rsid w:val="00A3568B"/>
    <w:rsid w:val="00A35790"/>
    <w:rsid w:val="00A35D0C"/>
    <w:rsid w:val="00A35D1A"/>
    <w:rsid w:val="00A35EB9"/>
    <w:rsid w:val="00A35FD8"/>
    <w:rsid w:val="00A36126"/>
    <w:rsid w:val="00A36319"/>
    <w:rsid w:val="00A36538"/>
    <w:rsid w:val="00A3656C"/>
    <w:rsid w:val="00A365AE"/>
    <w:rsid w:val="00A36608"/>
    <w:rsid w:val="00A36813"/>
    <w:rsid w:val="00A36855"/>
    <w:rsid w:val="00A3695E"/>
    <w:rsid w:val="00A369FF"/>
    <w:rsid w:val="00A36AB2"/>
    <w:rsid w:val="00A36B4B"/>
    <w:rsid w:val="00A36BC3"/>
    <w:rsid w:val="00A36BE1"/>
    <w:rsid w:val="00A36C6F"/>
    <w:rsid w:val="00A36CE7"/>
    <w:rsid w:val="00A36D2E"/>
    <w:rsid w:val="00A36D91"/>
    <w:rsid w:val="00A36DCD"/>
    <w:rsid w:val="00A36E01"/>
    <w:rsid w:val="00A3709E"/>
    <w:rsid w:val="00A370EA"/>
    <w:rsid w:val="00A37304"/>
    <w:rsid w:val="00A37467"/>
    <w:rsid w:val="00A374C5"/>
    <w:rsid w:val="00A376FE"/>
    <w:rsid w:val="00A378BC"/>
    <w:rsid w:val="00A37CA8"/>
    <w:rsid w:val="00A37D36"/>
    <w:rsid w:val="00A37D53"/>
    <w:rsid w:val="00A37EB1"/>
    <w:rsid w:val="00A37FF4"/>
    <w:rsid w:val="00A40044"/>
    <w:rsid w:val="00A40083"/>
    <w:rsid w:val="00A40106"/>
    <w:rsid w:val="00A401D0"/>
    <w:rsid w:val="00A40208"/>
    <w:rsid w:val="00A4040A"/>
    <w:rsid w:val="00A40452"/>
    <w:rsid w:val="00A4053F"/>
    <w:rsid w:val="00A40547"/>
    <w:rsid w:val="00A4061B"/>
    <w:rsid w:val="00A40629"/>
    <w:rsid w:val="00A406DC"/>
    <w:rsid w:val="00A408B2"/>
    <w:rsid w:val="00A40985"/>
    <w:rsid w:val="00A40C21"/>
    <w:rsid w:val="00A40C8B"/>
    <w:rsid w:val="00A40D3E"/>
    <w:rsid w:val="00A40D76"/>
    <w:rsid w:val="00A40D85"/>
    <w:rsid w:val="00A40D92"/>
    <w:rsid w:val="00A40E0C"/>
    <w:rsid w:val="00A40E54"/>
    <w:rsid w:val="00A40EA8"/>
    <w:rsid w:val="00A41293"/>
    <w:rsid w:val="00A414A0"/>
    <w:rsid w:val="00A41513"/>
    <w:rsid w:val="00A415EA"/>
    <w:rsid w:val="00A416DC"/>
    <w:rsid w:val="00A41797"/>
    <w:rsid w:val="00A41819"/>
    <w:rsid w:val="00A41899"/>
    <w:rsid w:val="00A4189D"/>
    <w:rsid w:val="00A418BA"/>
    <w:rsid w:val="00A419FD"/>
    <w:rsid w:val="00A41A29"/>
    <w:rsid w:val="00A41B49"/>
    <w:rsid w:val="00A41B83"/>
    <w:rsid w:val="00A41F0D"/>
    <w:rsid w:val="00A42099"/>
    <w:rsid w:val="00A420B8"/>
    <w:rsid w:val="00A42145"/>
    <w:rsid w:val="00A4219B"/>
    <w:rsid w:val="00A42463"/>
    <w:rsid w:val="00A4256D"/>
    <w:rsid w:val="00A426C7"/>
    <w:rsid w:val="00A42705"/>
    <w:rsid w:val="00A427A6"/>
    <w:rsid w:val="00A427BE"/>
    <w:rsid w:val="00A427C9"/>
    <w:rsid w:val="00A42811"/>
    <w:rsid w:val="00A428EC"/>
    <w:rsid w:val="00A42992"/>
    <w:rsid w:val="00A429AF"/>
    <w:rsid w:val="00A429B5"/>
    <w:rsid w:val="00A429F8"/>
    <w:rsid w:val="00A42B9E"/>
    <w:rsid w:val="00A42C13"/>
    <w:rsid w:val="00A42CB8"/>
    <w:rsid w:val="00A42D97"/>
    <w:rsid w:val="00A42D9E"/>
    <w:rsid w:val="00A42F35"/>
    <w:rsid w:val="00A43090"/>
    <w:rsid w:val="00A43300"/>
    <w:rsid w:val="00A43391"/>
    <w:rsid w:val="00A43430"/>
    <w:rsid w:val="00A43500"/>
    <w:rsid w:val="00A4362C"/>
    <w:rsid w:val="00A437AE"/>
    <w:rsid w:val="00A437C7"/>
    <w:rsid w:val="00A437E5"/>
    <w:rsid w:val="00A43817"/>
    <w:rsid w:val="00A438CC"/>
    <w:rsid w:val="00A43938"/>
    <w:rsid w:val="00A43AD2"/>
    <w:rsid w:val="00A43AE4"/>
    <w:rsid w:val="00A43AEA"/>
    <w:rsid w:val="00A44096"/>
    <w:rsid w:val="00A440B4"/>
    <w:rsid w:val="00A44133"/>
    <w:rsid w:val="00A44174"/>
    <w:rsid w:val="00A44230"/>
    <w:rsid w:val="00A4445C"/>
    <w:rsid w:val="00A44468"/>
    <w:rsid w:val="00A44617"/>
    <w:rsid w:val="00A44694"/>
    <w:rsid w:val="00A44739"/>
    <w:rsid w:val="00A44760"/>
    <w:rsid w:val="00A447CF"/>
    <w:rsid w:val="00A44A04"/>
    <w:rsid w:val="00A44A0A"/>
    <w:rsid w:val="00A44ABF"/>
    <w:rsid w:val="00A44AD7"/>
    <w:rsid w:val="00A44C39"/>
    <w:rsid w:val="00A44C66"/>
    <w:rsid w:val="00A44C6A"/>
    <w:rsid w:val="00A44CFF"/>
    <w:rsid w:val="00A44DC0"/>
    <w:rsid w:val="00A44E17"/>
    <w:rsid w:val="00A44E49"/>
    <w:rsid w:val="00A44EA9"/>
    <w:rsid w:val="00A44EF5"/>
    <w:rsid w:val="00A44FCA"/>
    <w:rsid w:val="00A44FF3"/>
    <w:rsid w:val="00A44FF6"/>
    <w:rsid w:val="00A450CA"/>
    <w:rsid w:val="00A45225"/>
    <w:rsid w:val="00A452C8"/>
    <w:rsid w:val="00A4536C"/>
    <w:rsid w:val="00A453F2"/>
    <w:rsid w:val="00A45415"/>
    <w:rsid w:val="00A45455"/>
    <w:rsid w:val="00A455BB"/>
    <w:rsid w:val="00A456A6"/>
    <w:rsid w:val="00A456F9"/>
    <w:rsid w:val="00A45827"/>
    <w:rsid w:val="00A45862"/>
    <w:rsid w:val="00A458FA"/>
    <w:rsid w:val="00A4590F"/>
    <w:rsid w:val="00A45973"/>
    <w:rsid w:val="00A459A6"/>
    <w:rsid w:val="00A459E7"/>
    <w:rsid w:val="00A45A58"/>
    <w:rsid w:val="00A45B27"/>
    <w:rsid w:val="00A45B64"/>
    <w:rsid w:val="00A45CB1"/>
    <w:rsid w:val="00A45D19"/>
    <w:rsid w:val="00A45E89"/>
    <w:rsid w:val="00A45FC3"/>
    <w:rsid w:val="00A46261"/>
    <w:rsid w:val="00A462C9"/>
    <w:rsid w:val="00A4630C"/>
    <w:rsid w:val="00A46411"/>
    <w:rsid w:val="00A46488"/>
    <w:rsid w:val="00A46648"/>
    <w:rsid w:val="00A46676"/>
    <w:rsid w:val="00A46681"/>
    <w:rsid w:val="00A466A6"/>
    <w:rsid w:val="00A46829"/>
    <w:rsid w:val="00A46A36"/>
    <w:rsid w:val="00A46A76"/>
    <w:rsid w:val="00A46CB0"/>
    <w:rsid w:val="00A46D8F"/>
    <w:rsid w:val="00A46EBA"/>
    <w:rsid w:val="00A46F01"/>
    <w:rsid w:val="00A46FE7"/>
    <w:rsid w:val="00A470D8"/>
    <w:rsid w:val="00A47174"/>
    <w:rsid w:val="00A4720F"/>
    <w:rsid w:val="00A4725D"/>
    <w:rsid w:val="00A472DE"/>
    <w:rsid w:val="00A47455"/>
    <w:rsid w:val="00A4745B"/>
    <w:rsid w:val="00A47526"/>
    <w:rsid w:val="00A47561"/>
    <w:rsid w:val="00A475B7"/>
    <w:rsid w:val="00A47769"/>
    <w:rsid w:val="00A477B0"/>
    <w:rsid w:val="00A47817"/>
    <w:rsid w:val="00A479F1"/>
    <w:rsid w:val="00A47ACC"/>
    <w:rsid w:val="00A47B0B"/>
    <w:rsid w:val="00A47BFA"/>
    <w:rsid w:val="00A47C01"/>
    <w:rsid w:val="00A47D4D"/>
    <w:rsid w:val="00A47EBC"/>
    <w:rsid w:val="00A47F3B"/>
    <w:rsid w:val="00A47F73"/>
    <w:rsid w:val="00A50121"/>
    <w:rsid w:val="00A5026D"/>
    <w:rsid w:val="00A50345"/>
    <w:rsid w:val="00A50346"/>
    <w:rsid w:val="00A5052C"/>
    <w:rsid w:val="00A50574"/>
    <w:rsid w:val="00A5074E"/>
    <w:rsid w:val="00A50B0F"/>
    <w:rsid w:val="00A50D9A"/>
    <w:rsid w:val="00A50DB0"/>
    <w:rsid w:val="00A50DE0"/>
    <w:rsid w:val="00A50E23"/>
    <w:rsid w:val="00A50E4D"/>
    <w:rsid w:val="00A50EE1"/>
    <w:rsid w:val="00A5100A"/>
    <w:rsid w:val="00A51128"/>
    <w:rsid w:val="00A511F2"/>
    <w:rsid w:val="00A51293"/>
    <w:rsid w:val="00A51363"/>
    <w:rsid w:val="00A514F5"/>
    <w:rsid w:val="00A5178F"/>
    <w:rsid w:val="00A517AF"/>
    <w:rsid w:val="00A517CF"/>
    <w:rsid w:val="00A51866"/>
    <w:rsid w:val="00A51896"/>
    <w:rsid w:val="00A5191B"/>
    <w:rsid w:val="00A51D20"/>
    <w:rsid w:val="00A51DFB"/>
    <w:rsid w:val="00A51E53"/>
    <w:rsid w:val="00A51E5B"/>
    <w:rsid w:val="00A51ED3"/>
    <w:rsid w:val="00A51FC4"/>
    <w:rsid w:val="00A52029"/>
    <w:rsid w:val="00A520B7"/>
    <w:rsid w:val="00A52173"/>
    <w:rsid w:val="00A521D1"/>
    <w:rsid w:val="00A52207"/>
    <w:rsid w:val="00A52268"/>
    <w:rsid w:val="00A523A3"/>
    <w:rsid w:val="00A524AE"/>
    <w:rsid w:val="00A525F7"/>
    <w:rsid w:val="00A5268E"/>
    <w:rsid w:val="00A527D6"/>
    <w:rsid w:val="00A527E7"/>
    <w:rsid w:val="00A52B26"/>
    <w:rsid w:val="00A52B82"/>
    <w:rsid w:val="00A52BBC"/>
    <w:rsid w:val="00A52D24"/>
    <w:rsid w:val="00A53046"/>
    <w:rsid w:val="00A530DC"/>
    <w:rsid w:val="00A5320D"/>
    <w:rsid w:val="00A532EE"/>
    <w:rsid w:val="00A532F5"/>
    <w:rsid w:val="00A53300"/>
    <w:rsid w:val="00A5340F"/>
    <w:rsid w:val="00A5348D"/>
    <w:rsid w:val="00A53757"/>
    <w:rsid w:val="00A53956"/>
    <w:rsid w:val="00A53A4D"/>
    <w:rsid w:val="00A53BA6"/>
    <w:rsid w:val="00A53D88"/>
    <w:rsid w:val="00A53EF1"/>
    <w:rsid w:val="00A53F8D"/>
    <w:rsid w:val="00A53F98"/>
    <w:rsid w:val="00A54034"/>
    <w:rsid w:val="00A54096"/>
    <w:rsid w:val="00A5414C"/>
    <w:rsid w:val="00A54179"/>
    <w:rsid w:val="00A5418F"/>
    <w:rsid w:val="00A54256"/>
    <w:rsid w:val="00A542EA"/>
    <w:rsid w:val="00A5432E"/>
    <w:rsid w:val="00A54385"/>
    <w:rsid w:val="00A5440D"/>
    <w:rsid w:val="00A5441D"/>
    <w:rsid w:val="00A544ED"/>
    <w:rsid w:val="00A54583"/>
    <w:rsid w:val="00A5464D"/>
    <w:rsid w:val="00A54689"/>
    <w:rsid w:val="00A54698"/>
    <w:rsid w:val="00A546CF"/>
    <w:rsid w:val="00A547D4"/>
    <w:rsid w:val="00A54973"/>
    <w:rsid w:val="00A54991"/>
    <w:rsid w:val="00A549D9"/>
    <w:rsid w:val="00A54A26"/>
    <w:rsid w:val="00A54B3F"/>
    <w:rsid w:val="00A54B5A"/>
    <w:rsid w:val="00A54CB0"/>
    <w:rsid w:val="00A54D72"/>
    <w:rsid w:val="00A54DA4"/>
    <w:rsid w:val="00A54E48"/>
    <w:rsid w:val="00A54EF8"/>
    <w:rsid w:val="00A551B1"/>
    <w:rsid w:val="00A55298"/>
    <w:rsid w:val="00A55535"/>
    <w:rsid w:val="00A5555F"/>
    <w:rsid w:val="00A556AC"/>
    <w:rsid w:val="00A5577B"/>
    <w:rsid w:val="00A5577E"/>
    <w:rsid w:val="00A557AF"/>
    <w:rsid w:val="00A559CA"/>
    <w:rsid w:val="00A55B0A"/>
    <w:rsid w:val="00A55B24"/>
    <w:rsid w:val="00A55BDE"/>
    <w:rsid w:val="00A55C1C"/>
    <w:rsid w:val="00A55C36"/>
    <w:rsid w:val="00A55C9C"/>
    <w:rsid w:val="00A55ECE"/>
    <w:rsid w:val="00A55EE8"/>
    <w:rsid w:val="00A55F52"/>
    <w:rsid w:val="00A5613A"/>
    <w:rsid w:val="00A56276"/>
    <w:rsid w:val="00A56381"/>
    <w:rsid w:val="00A56447"/>
    <w:rsid w:val="00A5648C"/>
    <w:rsid w:val="00A5660F"/>
    <w:rsid w:val="00A56616"/>
    <w:rsid w:val="00A566BC"/>
    <w:rsid w:val="00A56774"/>
    <w:rsid w:val="00A56875"/>
    <w:rsid w:val="00A56914"/>
    <w:rsid w:val="00A569C4"/>
    <w:rsid w:val="00A56A36"/>
    <w:rsid w:val="00A56AF6"/>
    <w:rsid w:val="00A56B5C"/>
    <w:rsid w:val="00A56F5F"/>
    <w:rsid w:val="00A571F8"/>
    <w:rsid w:val="00A5722B"/>
    <w:rsid w:val="00A572AE"/>
    <w:rsid w:val="00A5740F"/>
    <w:rsid w:val="00A57435"/>
    <w:rsid w:val="00A5751D"/>
    <w:rsid w:val="00A575C0"/>
    <w:rsid w:val="00A57630"/>
    <w:rsid w:val="00A5766A"/>
    <w:rsid w:val="00A576DA"/>
    <w:rsid w:val="00A57769"/>
    <w:rsid w:val="00A577DA"/>
    <w:rsid w:val="00A57841"/>
    <w:rsid w:val="00A578B4"/>
    <w:rsid w:val="00A57A02"/>
    <w:rsid w:val="00A57A71"/>
    <w:rsid w:val="00A57A7A"/>
    <w:rsid w:val="00A57AC8"/>
    <w:rsid w:val="00A57B5A"/>
    <w:rsid w:val="00A57B79"/>
    <w:rsid w:val="00A57B9D"/>
    <w:rsid w:val="00A57C93"/>
    <w:rsid w:val="00A57CD8"/>
    <w:rsid w:val="00A57DA0"/>
    <w:rsid w:val="00A57E0C"/>
    <w:rsid w:val="00A57E35"/>
    <w:rsid w:val="00A57E67"/>
    <w:rsid w:val="00A57EBD"/>
    <w:rsid w:val="00A57EDF"/>
    <w:rsid w:val="00A57F53"/>
    <w:rsid w:val="00A57FB6"/>
    <w:rsid w:val="00A603D9"/>
    <w:rsid w:val="00A60415"/>
    <w:rsid w:val="00A6044D"/>
    <w:rsid w:val="00A60575"/>
    <w:rsid w:val="00A60663"/>
    <w:rsid w:val="00A606C7"/>
    <w:rsid w:val="00A60769"/>
    <w:rsid w:val="00A60805"/>
    <w:rsid w:val="00A609D2"/>
    <w:rsid w:val="00A60A25"/>
    <w:rsid w:val="00A60A33"/>
    <w:rsid w:val="00A60AB7"/>
    <w:rsid w:val="00A60ADE"/>
    <w:rsid w:val="00A60C60"/>
    <w:rsid w:val="00A60CD4"/>
    <w:rsid w:val="00A60D9F"/>
    <w:rsid w:val="00A60E42"/>
    <w:rsid w:val="00A60F4D"/>
    <w:rsid w:val="00A60FE9"/>
    <w:rsid w:val="00A610F7"/>
    <w:rsid w:val="00A61171"/>
    <w:rsid w:val="00A61330"/>
    <w:rsid w:val="00A61440"/>
    <w:rsid w:val="00A6149C"/>
    <w:rsid w:val="00A615C8"/>
    <w:rsid w:val="00A6167E"/>
    <w:rsid w:val="00A6176A"/>
    <w:rsid w:val="00A61772"/>
    <w:rsid w:val="00A6178D"/>
    <w:rsid w:val="00A6181F"/>
    <w:rsid w:val="00A61866"/>
    <w:rsid w:val="00A619F0"/>
    <w:rsid w:val="00A61A46"/>
    <w:rsid w:val="00A61A70"/>
    <w:rsid w:val="00A61A7C"/>
    <w:rsid w:val="00A61BBB"/>
    <w:rsid w:val="00A61C04"/>
    <w:rsid w:val="00A61C1B"/>
    <w:rsid w:val="00A61CA2"/>
    <w:rsid w:val="00A61CBB"/>
    <w:rsid w:val="00A61E14"/>
    <w:rsid w:val="00A62169"/>
    <w:rsid w:val="00A62370"/>
    <w:rsid w:val="00A623AB"/>
    <w:rsid w:val="00A62480"/>
    <w:rsid w:val="00A624E2"/>
    <w:rsid w:val="00A62603"/>
    <w:rsid w:val="00A62654"/>
    <w:rsid w:val="00A6274A"/>
    <w:rsid w:val="00A627A9"/>
    <w:rsid w:val="00A627AD"/>
    <w:rsid w:val="00A62853"/>
    <w:rsid w:val="00A62879"/>
    <w:rsid w:val="00A6287C"/>
    <w:rsid w:val="00A62957"/>
    <w:rsid w:val="00A62A26"/>
    <w:rsid w:val="00A62BCC"/>
    <w:rsid w:val="00A62C16"/>
    <w:rsid w:val="00A62C6B"/>
    <w:rsid w:val="00A62C88"/>
    <w:rsid w:val="00A62D0D"/>
    <w:rsid w:val="00A62DA8"/>
    <w:rsid w:val="00A62E76"/>
    <w:rsid w:val="00A62ED4"/>
    <w:rsid w:val="00A630FA"/>
    <w:rsid w:val="00A6316D"/>
    <w:rsid w:val="00A63216"/>
    <w:rsid w:val="00A632B2"/>
    <w:rsid w:val="00A633FC"/>
    <w:rsid w:val="00A63415"/>
    <w:rsid w:val="00A6345C"/>
    <w:rsid w:val="00A63485"/>
    <w:rsid w:val="00A63756"/>
    <w:rsid w:val="00A63798"/>
    <w:rsid w:val="00A637B0"/>
    <w:rsid w:val="00A638FE"/>
    <w:rsid w:val="00A63941"/>
    <w:rsid w:val="00A6394E"/>
    <w:rsid w:val="00A63B83"/>
    <w:rsid w:val="00A63B9D"/>
    <w:rsid w:val="00A63C6E"/>
    <w:rsid w:val="00A63CAF"/>
    <w:rsid w:val="00A63DFB"/>
    <w:rsid w:val="00A63F3A"/>
    <w:rsid w:val="00A63F90"/>
    <w:rsid w:val="00A63F9F"/>
    <w:rsid w:val="00A64043"/>
    <w:rsid w:val="00A641B0"/>
    <w:rsid w:val="00A641C9"/>
    <w:rsid w:val="00A64288"/>
    <w:rsid w:val="00A64304"/>
    <w:rsid w:val="00A6433A"/>
    <w:rsid w:val="00A6440D"/>
    <w:rsid w:val="00A644F1"/>
    <w:rsid w:val="00A645FD"/>
    <w:rsid w:val="00A646B4"/>
    <w:rsid w:val="00A64721"/>
    <w:rsid w:val="00A64769"/>
    <w:rsid w:val="00A64779"/>
    <w:rsid w:val="00A64796"/>
    <w:rsid w:val="00A647D0"/>
    <w:rsid w:val="00A64840"/>
    <w:rsid w:val="00A64986"/>
    <w:rsid w:val="00A64996"/>
    <w:rsid w:val="00A649B8"/>
    <w:rsid w:val="00A649D2"/>
    <w:rsid w:val="00A64A41"/>
    <w:rsid w:val="00A64A43"/>
    <w:rsid w:val="00A64A87"/>
    <w:rsid w:val="00A64B3B"/>
    <w:rsid w:val="00A64BF2"/>
    <w:rsid w:val="00A64C5C"/>
    <w:rsid w:val="00A64C6D"/>
    <w:rsid w:val="00A64C8E"/>
    <w:rsid w:val="00A64E34"/>
    <w:rsid w:val="00A64EC1"/>
    <w:rsid w:val="00A64EC8"/>
    <w:rsid w:val="00A64F2E"/>
    <w:rsid w:val="00A650FE"/>
    <w:rsid w:val="00A651E2"/>
    <w:rsid w:val="00A6523B"/>
    <w:rsid w:val="00A653D8"/>
    <w:rsid w:val="00A653D9"/>
    <w:rsid w:val="00A65497"/>
    <w:rsid w:val="00A6554D"/>
    <w:rsid w:val="00A65601"/>
    <w:rsid w:val="00A6562C"/>
    <w:rsid w:val="00A65882"/>
    <w:rsid w:val="00A659AA"/>
    <w:rsid w:val="00A65B4E"/>
    <w:rsid w:val="00A65C12"/>
    <w:rsid w:val="00A65C2D"/>
    <w:rsid w:val="00A65C55"/>
    <w:rsid w:val="00A65C66"/>
    <w:rsid w:val="00A65DA0"/>
    <w:rsid w:val="00A65DA3"/>
    <w:rsid w:val="00A65DB5"/>
    <w:rsid w:val="00A65E0E"/>
    <w:rsid w:val="00A65EB2"/>
    <w:rsid w:val="00A65EE2"/>
    <w:rsid w:val="00A65EE7"/>
    <w:rsid w:val="00A65F76"/>
    <w:rsid w:val="00A6603C"/>
    <w:rsid w:val="00A66148"/>
    <w:rsid w:val="00A66174"/>
    <w:rsid w:val="00A661C4"/>
    <w:rsid w:val="00A662E0"/>
    <w:rsid w:val="00A66499"/>
    <w:rsid w:val="00A664E6"/>
    <w:rsid w:val="00A66645"/>
    <w:rsid w:val="00A666AC"/>
    <w:rsid w:val="00A66714"/>
    <w:rsid w:val="00A6681F"/>
    <w:rsid w:val="00A669F4"/>
    <w:rsid w:val="00A66A67"/>
    <w:rsid w:val="00A66ABD"/>
    <w:rsid w:val="00A66B45"/>
    <w:rsid w:val="00A66BFD"/>
    <w:rsid w:val="00A66D8E"/>
    <w:rsid w:val="00A66DDF"/>
    <w:rsid w:val="00A66E2B"/>
    <w:rsid w:val="00A66F0B"/>
    <w:rsid w:val="00A67009"/>
    <w:rsid w:val="00A6703D"/>
    <w:rsid w:val="00A67118"/>
    <w:rsid w:val="00A67229"/>
    <w:rsid w:val="00A6726C"/>
    <w:rsid w:val="00A67341"/>
    <w:rsid w:val="00A6734D"/>
    <w:rsid w:val="00A6739F"/>
    <w:rsid w:val="00A673A9"/>
    <w:rsid w:val="00A673BC"/>
    <w:rsid w:val="00A6761C"/>
    <w:rsid w:val="00A67739"/>
    <w:rsid w:val="00A6787F"/>
    <w:rsid w:val="00A67979"/>
    <w:rsid w:val="00A679DC"/>
    <w:rsid w:val="00A67BA2"/>
    <w:rsid w:val="00A67BC5"/>
    <w:rsid w:val="00A67CC5"/>
    <w:rsid w:val="00A67D73"/>
    <w:rsid w:val="00A67DE9"/>
    <w:rsid w:val="00A67ED4"/>
    <w:rsid w:val="00A67F3A"/>
    <w:rsid w:val="00A67FB3"/>
    <w:rsid w:val="00A700E8"/>
    <w:rsid w:val="00A7013C"/>
    <w:rsid w:val="00A70151"/>
    <w:rsid w:val="00A70303"/>
    <w:rsid w:val="00A703D6"/>
    <w:rsid w:val="00A7048B"/>
    <w:rsid w:val="00A704F5"/>
    <w:rsid w:val="00A7058F"/>
    <w:rsid w:val="00A70593"/>
    <w:rsid w:val="00A70615"/>
    <w:rsid w:val="00A7073A"/>
    <w:rsid w:val="00A707EB"/>
    <w:rsid w:val="00A707F4"/>
    <w:rsid w:val="00A70833"/>
    <w:rsid w:val="00A70978"/>
    <w:rsid w:val="00A70996"/>
    <w:rsid w:val="00A70B62"/>
    <w:rsid w:val="00A70B63"/>
    <w:rsid w:val="00A70C58"/>
    <w:rsid w:val="00A70FE9"/>
    <w:rsid w:val="00A70FFE"/>
    <w:rsid w:val="00A7107C"/>
    <w:rsid w:val="00A71238"/>
    <w:rsid w:val="00A71424"/>
    <w:rsid w:val="00A714B8"/>
    <w:rsid w:val="00A71586"/>
    <w:rsid w:val="00A715B7"/>
    <w:rsid w:val="00A715D4"/>
    <w:rsid w:val="00A71747"/>
    <w:rsid w:val="00A7179F"/>
    <w:rsid w:val="00A7182A"/>
    <w:rsid w:val="00A71847"/>
    <w:rsid w:val="00A718C0"/>
    <w:rsid w:val="00A71A31"/>
    <w:rsid w:val="00A71ACB"/>
    <w:rsid w:val="00A71B5D"/>
    <w:rsid w:val="00A71B81"/>
    <w:rsid w:val="00A71BD9"/>
    <w:rsid w:val="00A71C11"/>
    <w:rsid w:val="00A71C3C"/>
    <w:rsid w:val="00A71DFE"/>
    <w:rsid w:val="00A71E84"/>
    <w:rsid w:val="00A71F0A"/>
    <w:rsid w:val="00A71F99"/>
    <w:rsid w:val="00A720A5"/>
    <w:rsid w:val="00A72358"/>
    <w:rsid w:val="00A72390"/>
    <w:rsid w:val="00A723F6"/>
    <w:rsid w:val="00A72404"/>
    <w:rsid w:val="00A7245F"/>
    <w:rsid w:val="00A724B2"/>
    <w:rsid w:val="00A725DF"/>
    <w:rsid w:val="00A72799"/>
    <w:rsid w:val="00A727A5"/>
    <w:rsid w:val="00A727C0"/>
    <w:rsid w:val="00A72819"/>
    <w:rsid w:val="00A72966"/>
    <w:rsid w:val="00A729CC"/>
    <w:rsid w:val="00A72CBB"/>
    <w:rsid w:val="00A72CD9"/>
    <w:rsid w:val="00A72D73"/>
    <w:rsid w:val="00A72DD9"/>
    <w:rsid w:val="00A72FB1"/>
    <w:rsid w:val="00A73027"/>
    <w:rsid w:val="00A7304F"/>
    <w:rsid w:val="00A730A2"/>
    <w:rsid w:val="00A730BD"/>
    <w:rsid w:val="00A730E2"/>
    <w:rsid w:val="00A73171"/>
    <w:rsid w:val="00A734D5"/>
    <w:rsid w:val="00A73566"/>
    <w:rsid w:val="00A7358F"/>
    <w:rsid w:val="00A736D5"/>
    <w:rsid w:val="00A7372F"/>
    <w:rsid w:val="00A73749"/>
    <w:rsid w:val="00A73754"/>
    <w:rsid w:val="00A7375B"/>
    <w:rsid w:val="00A737FB"/>
    <w:rsid w:val="00A73C7F"/>
    <w:rsid w:val="00A73C9C"/>
    <w:rsid w:val="00A73D44"/>
    <w:rsid w:val="00A73E04"/>
    <w:rsid w:val="00A73EA4"/>
    <w:rsid w:val="00A73F32"/>
    <w:rsid w:val="00A73F55"/>
    <w:rsid w:val="00A73F87"/>
    <w:rsid w:val="00A74176"/>
    <w:rsid w:val="00A7418B"/>
    <w:rsid w:val="00A741B1"/>
    <w:rsid w:val="00A741D0"/>
    <w:rsid w:val="00A742CF"/>
    <w:rsid w:val="00A742D5"/>
    <w:rsid w:val="00A7439B"/>
    <w:rsid w:val="00A7449E"/>
    <w:rsid w:val="00A74585"/>
    <w:rsid w:val="00A74602"/>
    <w:rsid w:val="00A7461F"/>
    <w:rsid w:val="00A7477F"/>
    <w:rsid w:val="00A747D3"/>
    <w:rsid w:val="00A748DA"/>
    <w:rsid w:val="00A74B7A"/>
    <w:rsid w:val="00A74C88"/>
    <w:rsid w:val="00A74CB6"/>
    <w:rsid w:val="00A74CFA"/>
    <w:rsid w:val="00A74D42"/>
    <w:rsid w:val="00A74D5D"/>
    <w:rsid w:val="00A74DA2"/>
    <w:rsid w:val="00A74E4E"/>
    <w:rsid w:val="00A74EA1"/>
    <w:rsid w:val="00A74F78"/>
    <w:rsid w:val="00A7506C"/>
    <w:rsid w:val="00A752C7"/>
    <w:rsid w:val="00A752D3"/>
    <w:rsid w:val="00A753D2"/>
    <w:rsid w:val="00A753FB"/>
    <w:rsid w:val="00A755B1"/>
    <w:rsid w:val="00A75AC9"/>
    <w:rsid w:val="00A75D26"/>
    <w:rsid w:val="00A75D49"/>
    <w:rsid w:val="00A75ED1"/>
    <w:rsid w:val="00A75FB5"/>
    <w:rsid w:val="00A760B2"/>
    <w:rsid w:val="00A761B4"/>
    <w:rsid w:val="00A761B8"/>
    <w:rsid w:val="00A764F7"/>
    <w:rsid w:val="00A76502"/>
    <w:rsid w:val="00A7660F"/>
    <w:rsid w:val="00A76623"/>
    <w:rsid w:val="00A76659"/>
    <w:rsid w:val="00A76665"/>
    <w:rsid w:val="00A7666D"/>
    <w:rsid w:val="00A76748"/>
    <w:rsid w:val="00A768E9"/>
    <w:rsid w:val="00A76AC2"/>
    <w:rsid w:val="00A76AE2"/>
    <w:rsid w:val="00A76AFE"/>
    <w:rsid w:val="00A76B82"/>
    <w:rsid w:val="00A76C75"/>
    <w:rsid w:val="00A76E0E"/>
    <w:rsid w:val="00A76E27"/>
    <w:rsid w:val="00A76FC1"/>
    <w:rsid w:val="00A76FCC"/>
    <w:rsid w:val="00A76FD5"/>
    <w:rsid w:val="00A77019"/>
    <w:rsid w:val="00A7707A"/>
    <w:rsid w:val="00A770DA"/>
    <w:rsid w:val="00A7710B"/>
    <w:rsid w:val="00A77133"/>
    <w:rsid w:val="00A7714B"/>
    <w:rsid w:val="00A77198"/>
    <w:rsid w:val="00A77399"/>
    <w:rsid w:val="00A77596"/>
    <w:rsid w:val="00A775C6"/>
    <w:rsid w:val="00A77656"/>
    <w:rsid w:val="00A776B5"/>
    <w:rsid w:val="00A776CF"/>
    <w:rsid w:val="00A7770D"/>
    <w:rsid w:val="00A77718"/>
    <w:rsid w:val="00A778D7"/>
    <w:rsid w:val="00A779A2"/>
    <w:rsid w:val="00A779DB"/>
    <w:rsid w:val="00A77A4F"/>
    <w:rsid w:val="00A77A8C"/>
    <w:rsid w:val="00A77BDE"/>
    <w:rsid w:val="00A77C29"/>
    <w:rsid w:val="00A77C8F"/>
    <w:rsid w:val="00A77D3F"/>
    <w:rsid w:val="00A77D6F"/>
    <w:rsid w:val="00A77DC8"/>
    <w:rsid w:val="00A77E64"/>
    <w:rsid w:val="00A77F53"/>
    <w:rsid w:val="00A800CA"/>
    <w:rsid w:val="00A800D9"/>
    <w:rsid w:val="00A80126"/>
    <w:rsid w:val="00A80238"/>
    <w:rsid w:val="00A8036C"/>
    <w:rsid w:val="00A803E2"/>
    <w:rsid w:val="00A804FC"/>
    <w:rsid w:val="00A80638"/>
    <w:rsid w:val="00A80649"/>
    <w:rsid w:val="00A806EE"/>
    <w:rsid w:val="00A80702"/>
    <w:rsid w:val="00A80884"/>
    <w:rsid w:val="00A80922"/>
    <w:rsid w:val="00A80A06"/>
    <w:rsid w:val="00A80BD1"/>
    <w:rsid w:val="00A80C01"/>
    <w:rsid w:val="00A80C84"/>
    <w:rsid w:val="00A80CC1"/>
    <w:rsid w:val="00A80CC2"/>
    <w:rsid w:val="00A80DDA"/>
    <w:rsid w:val="00A80E77"/>
    <w:rsid w:val="00A80EDC"/>
    <w:rsid w:val="00A80FAF"/>
    <w:rsid w:val="00A81043"/>
    <w:rsid w:val="00A8104C"/>
    <w:rsid w:val="00A810A2"/>
    <w:rsid w:val="00A812BB"/>
    <w:rsid w:val="00A812CD"/>
    <w:rsid w:val="00A81469"/>
    <w:rsid w:val="00A814E8"/>
    <w:rsid w:val="00A815D6"/>
    <w:rsid w:val="00A81680"/>
    <w:rsid w:val="00A816E0"/>
    <w:rsid w:val="00A8190C"/>
    <w:rsid w:val="00A8198C"/>
    <w:rsid w:val="00A819B5"/>
    <w:rsid w:val="00A81A73"/>
    <w:rsid w:val="00A81ABF"/>
    <w:rsid w:val="00A81BDA"/>
    <w:rsid w:val="00A81CB3"/>
    <w:rsid w:val="00A81F1F"/>
    <w:rsid w:val="00A81FBE"/>
    <w:rsid w:val="00A81FD6"/>
    <w:rsid w:val="00A820F1"/>
    <w:rsid w:val="00A8222A"/>
    <w:rsid w:val="00A82315"/>
    <w:rsid w:val="00A823E4"/>
    <w:rsid w:val="00A82408"/>
    <w:rsid w:val="00A82540"/>
    <w:rsid w:val="00A82A33"/>
    <w:rsid w:val="00A82A3D"/>
    <w:rsid w:val="00A82C68"/>
    <w:rsid w:val="00A82D3C"/>
    <w:rsid w:val="00A82E8B"/>
    <w:rsid w:val="00A8315E"/>
    <w:rsid w:val="00A83165"/>
    <w:rsid w:val="00A8324A"/>
    <w:rsid w:val="00A83356"/>
    <w:rsid w:val="00A833C7"/>
    <w:rsid w:val="00A83492"/>
    <w:rsid w:val="00A835BB"/>
    <w:rsid w:val="00A83668"/>
    <w:rsid w:val="00A83712"/>
    <w:rsid w:val="00A838B8"/>
    <w:rsid w:val="00A839E0"/>
    <w:rsid w:val="00A83A05"/>
    <w:rsid w:val="00A83A28"/>
    <w:rsid w:val="00A83AB6"/>
    <w:rsid w:val="00A83BE3"/>
    <w:rsid w:val="00A83C40"/>
    <w:rsid w:val="00A83CEB"/>
    <w:rsid w:val="00A83D19"/>
    <w:rsid w:val="00A83DFE"/>
    <w:rsid w:val="00A83E11"/>
    <w:rsid w:val="00A83E50"/>
    <w:rsid w:val="00A83F2C"/>
    <w:rsid w:val="00A83F32"/>
    <w:rsid w:val="00A83F5B"/>
    <w:rsid w:val="00A83F8F"/>
    <w:rsid w:val="00A83F9B"/>
    <w:rsid w:val="00A8418B"/>
    <w:rsid w:val="00A84414"/>
    <w:rsid w:val="00A84422"/>
    <w:rsid w:val="00A8447A"/>
    <w:rsid w:val="00A84696"/>
    <w:rsid w:val="00A84704"/>
    <w:rsid w:val="00A847B3"/>
    <w:rsid w:val="00A847C4"/>
    <w:rsid w:val="00A848CB"/>
    <w:rsid w:val="00A848DE"/>
    <w:rsid w:val="00A84B15"/>
    <w:rsid w:val="00A84BCF"/>
    <w:rsid w:val="00A84C98"/>
    <w:rsid w:val="00A84CEA"/>
    <w:rsid w:val="00A84D54"/>
    <w:rsid w:val="00A84EA3"/>
    <w:rsid w:val="00A84F28"/>
    <w:rsid w:val="00A85028"/>
    <w:rsid w:val="00A85055"/>
    <w:rsid w:val="00A8509D"/>
    <w:rsid w:val="00A85114"/>
    <w:rsid w:val="00A85175"/>
    <w:rsid w:val="00A85189"/>
    <w:rsid w:val="00A851DA"/>
    <w:rsid w:val="00A8522A"/>
    <w:rsid w:val="00A8552C"/>
    <w:rsid w:val="00A85647"/>
    <w:rsid w:val="00A8569F"/>
    <w:rsid w:val="00A856D3"/>
    <w:rsid w:val="00A8575A"/>
    <w:rsid w:val="00A85775"/>
    <w:rsid w:val="00A857E5"/>
    <w:rsid w:val="00A85812"/>
    <w:rsid w:val="00A858D9"/>
    <w:rsid w:val="00A85949"/>
    <w:rsid w:val="00A85966"/>
    <w:rsid w:val="00A8599C"/>
    <w:rsid w:val="00A859F5"/>
    <w:rsid w:val="00A85AEA"/>
    <w:rsid w:val="00A85C86"/>
    <w:rsid w:val="00A85D29"/>
    <w:rsid w:val="00A85DDA"/>
    <w:rsid w:val="00A85EB8"/>
    <w:rsid w:val="00A85EE1"/>
    <w:rsid w:val="00A85F83"/>
    <w:rsid w:val="00A85F97"/>
    <w:rsid w:val="00A85FC4"/>
    <w:rsid w:val="00A86018"/>
    <w:rsid w:val="00A86241"/>
    <w:rsid w:val="00A863D2"/>
    <w:rsid w:val="00A86560"/>
    <w:rsid w:val="00A86659"/>
    <w:rsid w:val="00A8665F"/>
    <w:rsid w:val="00A8674E"/>
    <w:rsid w:val="00A86994"/>
    <w:rsid w:val="00A869FF"/>
    <w:rsid w:val="00A86A44"/>
    <w:rsid w:val="00A86C34"/>
    <w:rsid w:val="00A86CBC"/>
    <w:rsid w:val="00A86CE2"/>
    <w:rsid w:val="00A86D6F"/>
    <w:rsid w:val="00A86DBB"/>
    <w:rsid w:val="00A86E8E"/>
    <w:rsid w:val="00A870BD"/>
    <w:rsid w:val="00A87112"/>
    <w:rsid w:val="00A871E7"/>
    <w:rsid w:val="00A87313"/>
    <w:rsid w:val="00A87373"/>
    <w:rsid w:val="00A87393"/>
    <w:rsid w:val="00A873B8"/>
    <w:rsid w:val="00A87460"/>
    <w:rsid w:val="00A8747B"/>
    <w:rsid w:val="00A875D3"/>
    <w:rsid w:val="00A87775"/>
    <w:rsid w:val="00A877D3"/>
    <w:rsid w:val="00A878E7"/>
    <w:rsid w:val="00A87956"/>
    <w:rsid w:val="00A87AAF"/>
    <w:rsid w:val="00A87B0E"/>
    <w:rsid w:val="00A87D2C"/>
    <w:rsid w:val="00A87D38"/>
    <w:rsid w:val="00A87E42"/>
    <w:rsid w:val="00A87FE6"/>
    <w:rsid w:val="00A9006A"/>
    <w:rsid w:val="00A901BA"/>
    <w:rsid w:val="00A9023E"/>
    <w:rsid w:val="00A90468"/>
    <w:rsid w:val="00A9051D"/>
    <w:rsid w:val="00A90603"/>
    <w:rsid w:val="00A90693"/>
    <w:rsid w:val="00A90748"/>
    <w:rsid w:val="00A90864"/>
    <w:rsid w:val="00A9092D"/>
    <w:rsid w:val="00A909A4"/>
    <w:rsid w:val="00A90A5A"/>
    <w:rsid w:val="00A90A73"/>
    <w:rsid w:val="00A90A93"/>
    <w:rsid w:val="00A90B07"/>
    <w:rsid w:val="00A90C0C"/>
    <w:rsid w:val="00A90CDD"/>
    <w:rsid w:val="00A90E1A"/>
    <w:rsid w:val="00A90E38"/>
    <w:rsid w:val="00A90EC3"/>
    <w:rsid w:val="00A90F00"/>
    <w:rsid w:val="00A90F35"/>
    <w:rsid w:val="00A91012"/>
    <w:rsid w:val="00A91022"/>
    <w:rsid w:val="00A9102A"/>
    <w:rsid w:val="00A91046"/>
    <w:rsid w:val="00A911B7"/>
    <w:rsid w:val="00A911D8"/>
    <w:rsid w:val="00A91335"/>
    <w:rsid w:val="00A91403"/>
    <w:rsid w:val="00A9144F"/>
    <w:rsid w:val="00A914DE"/>
    <w:rsid w:val="00A914E1"/>
    <w:rsid w:val="00A91517"/>
    <w:rsid w:val="00A91530"/>
    <w:rsid w:val="00A915F1"/>
    <w:rsid w:val="00A9164E"/>
    <w:rsid w:val="00A91696"/>
    <w:rsid w:val="00A916E2"/>
    <w:rsid w:val="00A917CD"/>
    <w:rsid w:val="00A918C3"/>
    <w:rsid w:val="00A91917"/>
    <w:rsid w:val="00A9198C"/>
    <w:rsid w:val="00A91A8A"/>
    <w:rsid w:val="00A91B99"/>
    <w:rsid w:val="00A91C10"/>
    <w:rsid w:val="00A91D57"/>
    <w:rsid w:val="00A91DC8"/>
    <w:rsid w:val="00A91EA1"/>
    <w:rsid w:val="00A91ED1"/>
    <w:rsid w:val="00A91F16"/>
    <w:rsid w:val="00A9201E"/>
    <w:rsid w:val="00A920CB"/>
    <w:rsid w:val="00A92120"/>
    <w:rsid w:val="00A9215F"/>
    <w:rsid w:val="00A921B0"/>
    <w:rsid w:val="00A9221A"/>
    <w:rsid w:val="00A9228E"/>
    <w:rsid w:val="00A922B1"/>
    <w:rsid w:val="00A922BD"/>
    <w:rsid w:val="00A92576"/>
    <w:rsid w:val="00A92589"/>
    <w:rsid w:val="00A925FA"/>
    <w:rsid w:val="00A92631"/>
    <w:rsid w:val="00A926EE"/>
    <w:rsid w:val="00A92713"/>
    <w:rsid w:val="00A929B7"/>
    <w:rsid w:val="00A929ED"/>
    <w:rsid w:val="00A92A07"/>
    <w:rsid w:val="00A92B08"/>
    <w:rsid w:val="00A92B7F"/>
    <w:rsid w:val="00A92C2A"/>
    <w:rsid w:val="00A92C30"/>
    <w:rsid w:val="00A92C36"/>
    <w:rsid w:val="00A92D8F"/>
    <w:rsid w:val="00A92D93"/>
    <w:rsid w:val="00A92E64"/>
    <w:rsid w:val="00A92EAA"/>
    <w:rsid w:val="00A92EEB"/>
    <w:rsid w:val="00A930CC"/>
    <w:rsid w:val="00A93160"/>
    <w:rsid w:val="00A93165"/>
    <w:rsid w:val="00A9318D"/>
    <w:rsid w:val="00A9325A"/>
    <w:rsid w:val="00A9325B"/>
    <w:rsid w:val="00A932B8"/>
    <w:rsid w:val="00A932FA"/>
    <w:rsid w:val="00A93375"/>
    <w:rsid w:val="00A9345C"/>
    <w:rsid w:val="00A9360E"/>
    <w:rsid w:val="00A93904"/>
    <w:rsid w:val="00A93B5C"/>
    <w:rsid w:val="00A93CA9"/>
    <w:rsid w:val="00A93D0C"/>
    <w:rsid w:val="00A93E16"/>
    <w:rsid w:val="00A93EDA"/>
    <w:rsid w:val="00A93FE2"/>
    <w:rsid w:val="00A94091"/>
    <w:rsid w:val="00A9414A"/>
    <w:rsid w:val="00A941B0"/>
    <w:rsid w:val="00A9423F"/>
    <w:rsid w:val="00A942A2"/>
    <w:rsid w:val="00A942A6"/>
    <w:rsid w:val="00A942B2"/>
    <w:rsid w:val="00A9430E"/>
    <w:rsid w:val="00A943E9"/>
    <w:rsid w:val="00A94417"/>
    <w:rsid w:val="00A94496"/>
    <w:rsid w:val="00A944E4"/>
    <w:rsid w:val="00A945AC"/>
    <w:rsid w:val="00A946EA"/>
    <w:rsid w:val="00A947B5"/>
    <w:rsid w:val="00A947C6"/>
    <w:rsid w:val="00A94865"/>
    <w:rsid w:val="00A949CB"/>
    <w:rsid w:val="00A949E9"/>
    <w:rsid w:val="00A94B5A"/>
    <w:rsid w:val="00A94B62"/>
    <w:rsid w:val="00A94BCA"/>
    <w:rsid w:val="00A94CF2"/>
    <w:rsid w:val="00A94D49"/>
    <w:rsid w:val="00A94F07"/>
    <w:rsid w:val="00A9510B"/>
    <w:rsid w:val="00A95226"/>
    <w:rsid w:val="00A95230"/>
    <w:rsid w:val="00A9523D"/>
    <w:rsid w:val="00A95470"/>
    <w:rsid w:val="00A954F9"/>
    <w:rsid w:val="00A95500"/>
    <w:rsid w:val="00A9553D"/>
    <w:rsid w:val="00A9555C"/>
    <w:rsid w:val="00A955DB"/>
    <w:rsid w:val="00A95706"/>
    <w:rsid w:val="00A958D0"/>
    <w:rsid w:val="00A95983"/>
    <w:rsid w:val="00A9599E"/>
    <w:rsid w:val="00A95A45"/>
    <w:rsid w:val="00A95ABF"/>
    <w:rsid w:val="00A95B8C"/>
    <w:rsid w:val="00A95D32"/>
    <w:rsid w:val="00A95D33"/>
    <w:rsid w:val="00A95DB1"/>
    <w:rsid w:val="00A95FA2"/>
    <w:rsid w:val="00A9610E"/>
    <w:rsid w:val="00A9622E"/>
    <w:rsid w:val="00A96283"/>
    <w:rsid w:val="00A963DD"/>
    <w:rsid w:val="00A96492"/>
    <w:rsid w:val="00A964D2"/>
    <w:rsid w:val="00A9659C"/>
    <w:rsid w:val="00A966A0"/>
    <w:rsid w:val="00A967DA"/>
    <w:rsid w:val="00A9686F"/>
    <w:rsid w:val="00A96986"/>
    <w:rsid w:val="00A96D1C"/>
    <w:rsid w:val="00A96DA2"/>
    <w:rsid w:val="00A96DC2"/>
    <w:rsid w:val="00A96EAE"/>
    <w:rsid w:val="00A96FAC"/>
    <w:rsid w:val="00A97016"/>
    <w:rsid w:val="00A970C5"/>
    <w:rsid w:val="00A970DA"/>
    <w:rsid w:val="00A97140"/>
    <w:rsid w:val="00A971C9"/>
    <w:rsid w:val="00A97223"/>
    <w:rsid w:val="00A9724E"/>
    <w:rsid w:val="00A97253"/>
    <w:rsid w:val="00A9737A"/>
    <w:rsid w:val="00A97643"/>
    <w:rsid w:val="00A976BD"/>
    <w:rsid w:val="00A97802"/>
    <w:rsid w:val="00A9780C"/>
    <w:rsid w:val="00A97826"/>
    <w:rsid w:val="00A9798A"/>
    <w:rsid w:val="00A979BD"/>
    <w:rsid w:val="00A97D80"/>
    <w:rsid w:val="00A97EAE"/>
    <w:rsid w:val="00A97EB7"/>
    <w:rsid w:val="00A97EC6"/>
    <w:rsid w:val="00A97F8B"/>
    <w:rsid w:val="00AA006D"/>
    <w:rsid w:val="00AA0164"/>
    <w:rsid w:val="00AA0248"/>
    <w:rsid w:val="00AA0319"/>
    <w:rsid w:val="00AA03EF"/>
    <w:rsid w:val="00AA040D"/>
    <w:rsid w:val="00AA0431"/>
    <w:rsid w:val="00AA0437"/>
    <w:rsid w:val="00AA049B"/>
    <w:rsid w:val="00AA04E8"/>
    <w:rsid w:val="00AA054E"/>
    <w:rsid w:val="00AA0781"/>
    <w:rsid w:val="00AA08D9"/>
    <w:rsid w:val="00AA0947"/>
    <w:rsid w:val="00AA0B22"/>
    <w:rsid w:val="00AA0C63"/>
    <w:rsid w:val="00AA0C75"/>
    <w:rsid w:val="00AA0C9C"/>
    <w:rsid w:val="00AA0DBE"/>
    <w:rsid w:val="00AA0F0C"/>
    <w:rsid w:val="00AA1090"/>
    <w:rsid w:val="00AA10B6"/>
    <w:rsid w:val="00AA1125"/>
    <w:rsid w:val="00AA120F"/>
    <w:rsid w:val="00AA1259"/>
    <w:rsid w:val="00AA1314"/>
    <w:rsid w:val="00AA133C"/>
    <w:rsid w:val="00AA13B6"/>
    <w:rsid w:val="00AA13C4"/>
    <w:rsid w:val="00AA14DB"/>
    <w:rsid w:val="00AA1599"/>
    <w:rsid w:val="00AA173E"/>
    <w:rsid w:val="00AA18AB"/>
    <w:rsid w:val="00AA1955"/>
    <w:rsid w:val="00AA1971"/>
    <w:rsid w:val="00AA19FE"/>
    <w:rsid w:val="00AA1A28"/>
    <w:rsid w:val="00AA1A82"/>
    <w:rsid w:val="00AA1D8B"/>
    <w:rsid w:val="00AA1FFC"/>
    <w:rsid w:val="00AA205D"/>
    <w:rsid w:val="00AA208E"/>
    <w:rsid w:val="00AA209B"/>
    <w:rsid w:val="00AA2216"/>
    <w:rsid w:val="00AA2271"/>
    <w:rsid w:val="00AA26A7"/>
    <w:rsid w:val="00AA2714"/>
    <w:rsid w:val="00AA27CF"/>
    <w:rsid w:val="00AA2949"/>
    <w:rsid w:val="00AA2A27"/>
    <w:rsid w:val="00AA2AF6"/>
    <w:rsid w:val="00AA2B4E"/>
    <w:rsid w:val="00AA2BE5"/>
    <w:rsid w:val="00AA2C19"/>
    <w:rsid w:val="00AA2F2B"/>
    <w:rsid w:val="00AA2F4E"/>
    <w:rsid w:val="00AA2F5F"/>
    <w:rsid w:val="00AA2F6B"/>
    <w:rsid w:val="00AA3258"/>
    <w:rsid w:val="00AA327E"/>
    <w:rsid w:val="00AA32CB"/>
    <w:rsid w:val="00AA32D6"/>
    <w:rsid w:val="00AA333E"/>
    <w:rsid w:val="00AA3387"/>
    <w:rsid w:val="00AA3388"/>
    <w:rsid w:val="00AA33CD"/>
    <w:rsid w:val="00AA33CE"/>
    <w:rsid w:val="00AA35E7"/>
    <w:rsid w:val="00AA3600"/>
    <w:rsid w:val="00AA362C"/>
    <w:rsid w:val="00AA363A"/>
    <w:rsid w:val="00AA3733"/>
    <w:rsid w:val="00AA3740"/>
    <w:rsid w:val="00AA3763"/>
    <w:rsid w:val="00AA3785"/>
    <w:rsid w:val="00AA382A"/>
    <w:rsid w:val="00AA38ED"/>
    <w:rsid w:val="00AA3AE0"/>
    <w:rsid w:val="00AA3B3F"/>
    <w:rsid w:val="00AA3C56"/>
    <w:rsid w:val="00AA3CCA"/>
    <w:rsid w:val="00AA3CD8"/>
    <w:rsid w:val="00AA3CE3"/>
    <w:rsid w:val="00AA3FB9"/>
    <w:rsid w:val="00AA3FDE"/>
    <w:rsid w:val="00AA421D"/>
    <w:rsid w:val="00AA428B"/>
    <w:rsid w:val="00AA42D4"/>
    <w:rsid w:val="00AA4358"/>
    <w:rsid w:val="00AA43F9"/>
    <w:rsid w:val="00AA4420"/>
    <w:rsid w:val="00AA4428"/>
    <w:rsid w:val="00AA4516"/>
    <w:rsid w:val="00AA45AC"/>
    <w:rsid w:val="00AA4674"/>
    <w:rsid w:val="00AA482F"/>
    <w:rsid w:val="00AA491B"/>
    <w:rsid w:val="00AA4A0C"/>
    <w:rsid w:val="00AA4A6F"/>
    <w:rsid w:val="00AA4B0E"/>
    <w:rsid w:val="00AA4B52"/>
    <w:rsid w:val="00AA4C82"/>
    <w:rsid w:val="00AA4C84"/>
    <w:rsid w:val="00AA4CCE"/>
    <w:rsid w:val="00AA4F22"/>
    <w:rsid w:val="00AA4FF5"/>
    <w:rsid w:val="00AA5145"/>
    <w:rsid w:val="00AA5198"/>
    <w:rsid w:val="00AA51C6"/>
    <w:rsid w:val="00AA5207"/>
    <w:rsid w:val="00AA5256"/>
    <w:rsid w:val="00AA5355"/>
    <w:rsid w:val="00AA5368"/>
    <w:rsid w:val="00AA538A"/>
    <w:rsid w:val="00AA53E1"/>
    <w:rsid w:val="00AA543B"/>
    <w:rsid w:val="00AA54BE"/>
    <w:rsid w:val="00AA5543"/>
    <w:rsid w:val="00AA55D9"/>
    <w:rsid w:val="00AA569E"/>
    <w:rsid w:val="00AA56C4"/>
    <w:rsid w:val="00AA5779"/>
    <w:rsid w:val="00AA5826"/>
    <w:rsid w:val="00AA58BC"/>
    <w:rsid w:val="00AA5A16"/>
    <w:rsid w:val="00AA5A59"/>
    <w:rsid w:val="00AA5B6C"/>
    <w:rsid w:val="00AA5CDD"/>
    <w:rsid w:val="00AA5D32"/>
    <w:rsid w:val="00AA5E15"/>
    <w:rsid w:val="00AA5F12"/>
    <w:rsid w:val="00AA5F7E"/>
    <w:rsid w:val="00AA5F9F"/>
    <w:rsid w:val="00AA60CB"/>
    <w:rsid w:val="00AA6344"/>
    <w:rsid w:val="00AA6572"/>
    <w:rsid w:val="00AA65F7"/>
    <w:rsid w:val="00AA6649"/>
    <w:rsid w:val="00AA6762"/>
    <w:rsid w:val="00AA6776"/>
    <w:rsid w:val="00AA67D9"/>
    <w:rsid w:val="00AA6862"/>
    <w:rsid w:val="00AA6B30"/>
    <w:rsid w:val="00AA6B7A"/>
    <w:rsid w:val="00AA6BC1"/>
    <w:rsid w:val="00AA6C1F"/>
    <w:rsid w:val="00AA6C58"/>
    <w:rsid w:val="00AA6CB3"/>
    <w:rsid w:val="00AA6CCB"/>
    <w:rsid w:val="00AA6E23"/>
    <w:rsid w:val="00AA700A"/>
    <w:rsid w:val="00AA7063"/>
    <w:rsid w:val="00AA7069"/>
    <w:rsid w:val="00AA711D"/>
    <w:rsid w:val="00AA714A"/>
    <w:rsid w:val="00AA72C6"/>
    <w:rsid w:val="00AA72ED"/>
    <w:rsid w:val="00AA7348"/>
    <w:rsid w:val="00AA74F6"/>
    <w:rsid w:val="00AA7501"/>
    <w:rsid w:val="00AA758F"/>
    <w:rsid w:val="00AA7661"/>
    <w:rsid w:val="00AA76B4"/>
    <w:rsid w:val="00AA778A"/>
    <w:rsid w:val="00AA779A"/>
    <w:rsid w:val="00AA77F0"/>
    <w:rsid w:val="00AA7961"/>
    <w:rsid w:val="00AA79A4"/>
    <w:rsid w:val="00AA7B4C"/>
    <w:rsid w:val="00AA7CEB"/>
    <w:rsid w:val="00AA7E79"/>
    <w:rsid w:val="00AA7F4B"/>
    <w:rsid w:val="00AB0019"/>
    <w:rsid w:val="00AB0101"/>
    <w:rsid w:val="00AB029B"/>
    <w:rsid w:val="00AB0320"/>
    <w:rsid w:val="00AB046D"/>
    <w:rsid w:val="00AB0585"/>
    <w:rsid w:val="00AB0590"/>
    <w:rsid w:val="00AB0591"/>
    <w:rsid w:val="00AB05F4"/>
    <w:rsid w:val="00AB05FB"/>
    <w:rsid w:val="00AB06B1"/>
    <w:rsid w:val="00AB087A"/>
    <w:rsid w:val="00AB0937"/>
    <w:rsid w:val="00AB0A49"/>
    <w:rsid w:val="00AB0AE3"/>
    <w:rsid w:val="00AB0B49"/>
    <w:rsid w:val="00AB0BDC"/>
    <w:rsid w:val="00AB0C9C"/>
    <w:rsid w:val="00AB0CA0"/>
    <w:rsid w:val="00AB0E91"/>
    <w:rsid w:val="00AB105C"/>
    <w:rsid w:val="00AB1126"/>
    <w:rsid w:val="00AB11A4"/>
    <w:rsid w:val="00AB11E7"/>
    <w:rsid w:val="00AB136F"/>
    <w:rsid w:val="00AB13EC"/>
    <w:rsid w:val="00AB1479"/>
    <w:rsid w:val="00AB148E"/>
    <w:rsid w:val="00AB14B5"/>
    <w:rsid w:val="00AB1670"/>
    <w:rsid w:val="00AB1716"/>
    <w:rsid w:val="00AB1746"/>
    <w:rsid w:val="00AB1828"/>
    <w:rsid w:val="00AB19E6"/>
    <w:rsid w:val="00AB1A9E"/>
    <w:rsid w:val="00AB1B0E"/>
    <w:rsid w:val="00AB1B1A"/>
    <w:rsid w:val="00AB1B2C"/>
    <w:rsid w:val="00AB1B65"/>
    <w:rsid w:val="00AB1CE7"/>
    <w:rsid w:val="00AB1D07"/>
    <w:rsid w:val="00AB1D1D"/>
    <w:rsid w:val="00AB1EE4"/>
    <w:rsid w:val="00AB2028"/>
    <w:rsid w:val="00AB209E"/>
    <w:rsid w:val="00AB242F"/>
    <w:rsid w:val="00AB2454"/>
    <w:rsid w:val="00AB2509"/>
    <w:rsid w:val="00AB253A"/>
    <w:rsid w:val="00AB256E"/>
    <w:rsid w:val="00AB2681"/>
    <w:rsid w:val="00AB26B4"/>
    <w:rsid w:val="00AB2851"/>
    <w:rsid w:val="00AB2A78"/>
    <w:rsid w:val="00AB2B9D"/>
    <w:rsid w:val="00AB2BB9"/>
    <w:rsid w:val="00AB2C3A"/>
    <w:rsid w:val="00AB2E39"/>
    <w:rsid w:val="00AB2E3F"/>
    <w:rsid w:val="00AB2E61"/>
    <w:rsid w:val="00AB315E"/>
    <w:rsid w:val="00AB3552"/>
    <w:rsid w:val="00AB36A2"/>
    <w:rsid w:val="00AB36E1"/>
    <w:rsid w:val="00AB3728"/>
    <w:rsid w:val="00AB3782"/>
    <w:rsid w:val="00AB3897"/>
    <w:rsid w:val="00AB391E"/>
    <w:rsid w:val="00AB3967"/>
    <w:rsid w:val="00AB39F2"/>
    <w:rsid w:val="00AB3A04"/>
    <w:rsid w:val="00AB3A35"/>
    <w:rsid w:val="00AB3B71"/>
    <w:rsid w:val="00AB3C36"/>
    <w:rsid w:val="00AB3CE8"/>
    <w:rsid w:val="00AB3E33"/>
    <w:rsid w:val="00AB40F9"/>
    <w:rsid w:val="00AB41B6"/>
    <w:rsid w:val="00AB41BB"/>
    <w:rsid w:val="00AB41E8"/>
    <w:rsid w:val="00AB424D"/>
    <w:rsid w:val="00AB44D6"/>
    <w:rsid w:val="00AB4543"/>
    <w:rsid w:val="00AB45F3"/>
    <w:rsid w:val="00AB46BD"/>
    <w:rsid w:val="00AB4976"/>
    <w:rsid w:val="00AB4A84"/>
    <w:rsid w:val="00AB4B72"/>
    <w:rsid w:val="00AB4B7A"/>
    <w:rsid w:val="00AB4BDA"/>
    <w:rsid w:val="00AB4BF1"/>
    <w:rsid w:val="00AB4CC5"/>
    <w:rsid w:val="00AB4D91"/>
    <w:rsid w:val="00AB4FE8"/>
    <w:rsid w:val="00AB50B7"/>
    <w:rsid w:val="00AB50C2"/>
    <w:rsid w:val="00AB51E6"/>
    <w:rsid w:val="00AB5286"/>
    <w:rsid w:val="00AB5343"/>
    <w:rsid w:val="00AB5412"/>
    <w:rsid w:val="00AB56F7"/>
    <w:rsid w:val="00AB5745"/>
    <w:rsid w:val="00AB57D0"/>
    <w:rsid w:val="00AB57DD"/>
    <w:rsid w:val="00AB592E"/>
    <w:rsid w:val="00AB59B4"/>
    <w:rsid w:val="00AB59C0"/>
    <w:rsid w:val="00AB59CC"/>
    <w:rsid w:val="00AB5AEA"/>
    <w:rsid w:val="00AB5B86"/>
    <w:rsid w:val="00AB5BBA"/>
    <w:rsid w:val="00AB5BE5"/>
    <w:rsid w:val="00AB5C26"/>
    <w:rsid w:val="00AB5E1A"/>
    <w:rsid w:val="00AB5E62"/>
    <w:rsid w:val="00AB5FC5"/>
    <w:rsid w:val="00AB60B6"/>
    <w:rsid w:val="00AB60C1"/>
    <w:rsid w:val="00AB60ED"/>
    <w:rsid w:val="00AB6279"/>
    <w:rsid w:val="00AB6346"/>
    <w:rsid w:val="00AB644C"/>
    <w:rsid w:val="00AB6476"/>
    <w:rsid w:val="00AB6490"/>
    <w:rsid w:val="00AB64B3"/>
    <w:rsid w:val="00AB65B6"/>
    <w:rsid w:val="00AB6650"/>
    <w:rsid w:val="00AB6987"/>
    <w:rsid w:val="00AB6BCE"/>
    <w:rsid w:val="00AB6BF6"/>
    <w:rsid w:val="00AB6CDF"/>
    <w:rsid w:val="00AB6D33"/>
    <w:rsid w:val="00AB6DCE"/>
    <w:rsid w:val="00AB6DFC"/>
    <w:rsid w:val="00AB6E49"/>
    <w:rsid w:val="00AB6F12"/>
    <w:rsid w:val="00AB6F26"/>
    <w:rsid w:val="00AB70A5"/>
    <w:rsid w:val="00AB70D1"/>
    <w:rsid w:val="00AB7192"/>
    <w:rsid w:val="00AB71B8"/>
    <w:rsid w:val="00AB728B"/>
    <w:rsid w:val="00AB7294"/>
    <w:rsid w:val="00AB731A"/>
    <w:rsid w:val="00AB7342"/>
    <w:rsid w:val="00AB746B"/>
    <w:rsid w:val="00AB75B0"/>
    <w:rsid w:val="00AB7622"/>
    <w:rsid w:val="00AB776D"/>
    <w:rsid w:val="00AB7807"/>
    <w:rsid w:val="00AB78AB"/>
    <w:rsid w:val="00AB7977"/>
    <w:rsid w:val="00AB7A18"/>
    <w:rsid w:val="00AB7A9F"/>
    <w:rsid w:val="00AB7BD8"/>
    <w:rsid w:val="00AB7D08"/>
    <w:rsid w:val="00AB7EFF"/>
    <w:rsid w:val="00AB7F0F"/>
    <w:rsid w:val="00AC02AD"/>
    <w:rsid w:val="00AC0407"/>
    <w:rsid w:val="00AC0427"/>
    <w:rsid w:val="00AC0444"/>
    <w:rsid w:val="00AC0550"/>
    <w:rsid w:val="00AC0624"/>
    <w:rsid w:val="00AC065B"/>
    <w:rsid w:val="00AC06D7"/>
    <w:rsid w:val="00AC080C"/>
    <w:rsid w:val="00AC09CB"/>
    <w:rsid w:val="00AC0ADF"/>
    <w:rsid w:val="00AC0AE1"/>
    <w:rsid w:val="00AC0D3A"/>
    <w:rsid w:val="00AC0D4A"/>
    <w:rsid w:val="00AC0E06"/>
    <w:rsid w:val="00AC0E3F"/>
    <w:rsid w:val="00AC0F7A"/>
    <w:rsid w:val="00AC1028"/>
    <w:rsid w:val="00AC1109"/>
    <w:rsid w:val="00AC114C"/>
    <w:rsid w:val="00AC11D6"/>
    <w:rsid w:val="00AC11E8"/>
    <w:rsid w:val="00AC1306"/>
    <w:rsid w:val="00AC137B"/>
    <w:rsid w:val="00AC13FB"/>
    <w:rsid w:val="00AC14A1"/>
    <w:rsid w:val="00AC1646"/>
    <w:rsid w:val="00AC166C"/>
    <w:rsid w:val="00AC16D3"/>
    <w:rsid w:val="00AC184C"/>
    <w:rsid w:val="00AC19FA"/>
    <w:rsid w:val="00AC1A4A"/>
    <w:rsid w:val="00AC1A7F"/>
    <w:rsid w:val="00AC1ACF"/>
    <w:rsid w:val="00AC1BAB"/>
    <w:rsid w:val="00AC1C03"/>
    <w:rsid w:val="00AC1D79"/>
    <w:rsid w:val="00AC1F3C"/>
    <w:rsid w:val="00AC2096"/>
    <w:rsid w:val="00AC2176"/>
    <w:rsid w:val="00AC218A"/>
    <w:rsid w:val="00AC228E"/>
    <w:rsid w:val="00AC2298"/>
    <w:rsid w:val="00AC2359"/>
    <w:rsid w:val="00AC255E"/>
    <w:rsid w:val="00AC25E2"/>
    <w:rsid w:val="00AC2647"/>
    <w:rsid w:val="00AC265E"/>
    <w:rsid w:val="00AC2679"/>
    <w:rsid w:val="00AC2815"/>
    <w:rsid w:val="00AC2880"/>
    <w:rsid w:val="00AC294A"/>
    <w:rsid w:val="00AC2A3C"/>
    <w:rsid w:val="00AC2BE0"/>
    <w:rsid w:val="00AC2C1B"/>
    <w:rsid w:val="00AC2DB8"/>
    <w:rsid w:val="00AC2E1F"/>
    <w:rsid w:val="00AC2E6D"/>
    <w:rsid w:val="00AC2E79"/>
    <w:rsid w:val="00AC2EAD"/>
    <w:rsid w:val="00AC2F8F"/>
    <w:rsid w:val="00AC2FBA"/>
    <w:rsid w:val="00AC3070"/>
    <w:rsid w:val="00AC3172"/>
    <w:rsid w:val="00AC3192"/>
    <w:rsid w:val="00AC3291"/>
    <w:rsid w:val="00AC32AC"/>
    <w:rsid w:val="00AC335B"/>
    <w:rsid w:val="00AC3367"/>
    <w:rsid w:val="00AC33BE"/>
    <w:rsid w:val="00AC33E0"/>
    <w:rsid w:val="00AC3543"/>
    <w:rsid w:val="00AC35B5"/>
    <w:rsid w:val="00AC3610"/>
    <w:rsid w:val="00AC37E8"/>
    <w:rsid w:val="00AC386F"/>
    <w:rsid w:val="00AC3872"/>
    <w:rsid w:val="00AC39E1"/>
    <w:rsid w:val="00AC3AC0"/>
    <w:rsid w:val="00AC3B65"/>
    <w:rsid w:val="00AC3BCD"/>
    <w:rsid w:val="00AC3C60"/>
    <w:rsid w:val="00AC3D28"/>
    <w:rsid w:val="00AC3DA9"/>
    <w:rsid w:val="00AC3E93"/>
    <w:rsid w:val="00AC409E"/>
    <w:rsid w:val="00AC412B"/>
    <w:rsid w:val="00AC415A"/>
    <w:rsid w:val="00AC41D8"/>
    <w:rsid w:val="00AC41E2"/>
    <w:rsid w:val="00AC42BA"/>
    <w:rsid w:val="00AC42CB"/>
    <w:rsid w:val="00AC4496"/>
    <w:rsid w:val="00AC44E6"/>
    <w:rsid w:val="00AC4562"/>
    <w:rsid w:val="00AC4581"/>
    <w:rsid w:val="00AC4606"/>
    <w:rsid w:val="00AC46DE"/>
    <w:rsid w:val="00AC46F6"/>
    <w:rsid w:val="00AC4709"/>
    <w:rsid w:val="00AC4803"/>
    <w:rsid w:val="00AC4923"/>
    <w:rsid w:val="00AC494A"/>
    <w:rsid w:val="00AC4963"/>
    <w:rsid w:val="00AC49A1"/>
    <w:rsid w:val="00AC4AA4"/>
    <w:rsid w:val="00AC4AAB"/>
    <w:rsid w:val="00AC4CD1"/>
    <w:rsid w:val="00AC4E9F"/>
    <w:rsid w:val="00AC4F0B"/>
    <w:rsid w:val="00AC4F61"/>
    <w:rsid w:val="00AC4FC6"/>
    <w:rsid w:val="00AC509B"/>
    <w:rsid w:val="00AC5145"/>
    <w:rsid w:val="00AC529E"/>
    <w:rsid w:val="00AC5388"/>
    <w:rsid w:val="00AC53D5"/>
    <w:rsid w:val="00AC54A2"/>
    <w:rsid w:val="00AC570D"/>
    <w:rsid w:val="00AC58B3"/>
    <w:rsid w:val="00AC58BF"/>
    <w:rsid w:val="00AC5958"/>
    <w:rsid w:val="00AC5999"/>
    <w:rsid w:val="00AC5AEF"/>
    <w:rsid w:val="00AC5AF6"/>
    <w:rsid w:val="00AC5B49"/>
    <w:rsid w:val="00AC5C09"/>
    <w:rsid w:val="00AC5C1E"/>
    <w:rsid w:val="00AC5C22"/>
    <w:rsid w:val="00AC5C38"/>
    <w:rsid w:val="00AC5D13"/>
    <w:rsid w:val="00AC5DCB"/>
    <w:rsid w:val="00AC5EDE"/>
    <w:rsid w:val="00AC5EF8"/>
    <w:rsid w:val="00AC62BE"/>
    <w:rsid w:val="00AC6701"/>
    <w:rsid w:val="00AC6745"/>
    <w:rsid w:val="00AC67C6"/>
    <w:rsid w:val="00AC6830"/>
    <w:rsid w:val="00AC696E"/>
    <w:rsid w:val="00AC69C2"/>
    <w:rsid w:val="00AC6BEC"/>
    <w:rsid w:val="00AC6BF6"/>
    <w:rsid w:val="00AC6C65"/>
    <w:rsid w:val="00AC6E10"/>
    <w:rsid w:val="00AC6E30"/>
    <w:rsid w:val="00AC6F79"/>
    <w:rsid w:val="00AC701C"/>
    <w:rsid w:val="00AC70E5"/>
    <w:rsid w:val="00AC729B"/>
    <w:rsid w:val="00AC7345"/>
    <w:rsid w:val="00AC73D0"/>
    <w:rsid w:val="00AC7439"/>
    <w:rsid w:val="00AC7473"/>
    <w:rsid w:val="00AC751F"/>
    <w:rsid w:val="00AC75A7"/>
    <w:rsid w:val="00AC76D7"/>
    <w:rsid w:val="00AC7758"/>
    <w:rsid w:val="00AC78DC"/>
    <w:rsid w:val="00AC78F8"/>
    <w:rsid w:val="00AC7A9E"/>
    <w:rsid w:val="00AC7BDF"/>
    <w:rsid w:val="00AC7C2A"/>
    <w:rsid w:val="00AC7C74"/>
    <w:rsid w:val="00AC7DAB"/>
    <w:rsid w:val="00AC7E54"/>
    <w:rsid w:val="00AC7EC1"/>
    <w:rsid w:val="00AC7FDC"/>
    <w:rsid w:val="00AD0013"/>
    <w:rsid w:val="00AD01A9"/>
    <w:rsid w:val="00AD01AC"/>
    <w:rsid w:val="00AD024D"/>
    <w:rsid w:val="00AD0326"/>
    <w:rsid w:val="00AD03D1"/>
    <w:rsid w:val="00AD03FC"/>
    <w:rsid w:val="00AD04F2"/>
    <w:rsid w:val="00AD06A6"/>
    <w:rsid w:val="00AD06FA"/>
    <w:rsid w:val="00AD07D0"/>
    <w:rsid w:val="00AD07FE"/>
    <w:rsid w:val="00AD0829"/>
    <w:rsid w:val="00AD0837"/>
    <w:rsid w:val="00AD0887"/>
    <w:rsid w:val="00AD08D9"/>
    <w:rsid w:val="00AD08E9"/>
    <w:rsid w:val="00AD0A10"/>
    <w:rsid w:val="00AD0AB9"/>
    <w:rsid w:val="00AD0B52"/>
    <w:rsid w:val="00AD0C4B"/>
    <w:rsid w:val="00AD0D91"/>
    <w:rsid w:val="00AD0E6C"/>
    <w:rsid w:val="00AD1123"/>
    <w:rsid w:val="00AD118A"/>
    <w:rsid w:val="00AD119B"/>
    <w:rsid w:val="00AD11C1"/>
    <w:rsid w:val="00AD11FB"/>
    <w:rsid w:val="00AD12C3"/>
    <w:rsid w:val="00AD1661"/>
    <w:rsid w:val="00AD1668"/>
    <w:rsid w:val="00AD171C"/>
    <w:rsid w:val="00AD17B2"/>
    <w:rsid w:val="00AD18FC"/>
    <w:rsid w:val="00AD194E"/>
    <w:rsid w:val="00AD1AD6"/>
    <w:rsid w:val="00AD1D12"/>
    <w:rsid w:val="00AD1DF0"/>
    <w:rsid w:val="00AD1F2C"/>
    <w:rsid w:val="00AD1F59"/>
    <w:rsid w:val="00AD1FB3"/>
    <w:rsid w:val="00AD1FE6"/>
    <w:rsid w:val="00AD20E9"/>
    <w:rsid w:val="00AD248C"/>
    <w:rsid w:val="00AD24C5"/>
    <w:rsid w:val="00AD24C6"/>
    <w:rsid w:val="00AD24F4"/>
    <w:rsid w:val="00AD2581"/>
    <w:rsid w:val="00AD25B8"/>
    <w:rsid w:val="00AD2623"/>
    <w:rsid w:val="00AD263F"/>
    <w:rsid w:val="00AD26ED"/>
    <w:rsid w:val="00AD2853"/>
    <w:rsid w:val="00AD293D"/>
    <w:rsid w:val="00AD2945"/>
    <w:rsid w:val="00AD2B93"/>
    <w:rsid w:val="00AD2C59"/>
    <w:rsid w:val="00AD2C98"/>
    <w:rsid w:val="00AD2E87"/>
    <w:rsid w:val="00AD306F"/>
    <w:rsid w:val="00AD3095"/>
    <w:rsid w:val="00AD30B1"/>
    <w:rsid w:val="00AD3112"/>
    <w:rsid w:val="00AD313D"/>
    <w:rsid w:val="00AD3187"/>
    <w:rsid w:val="00AD31A3"/>
    <w:rsid w:val="00AD31BC"/>
    <w:rsid w:val="00AD3291"/>
    <w:rsid w:val="00AD33A6"/>
    <w:rsid w:val="00AD33E8"/>
    <w:rsid w:val="00AD3491"/>
    <w:rsid w:val="00AD352C"/>
    <w:rsid w:val="00AD3598"/>
    <w:rsid w:val="00AD35FF"/>
    <w:rsid w:val="00AD3743"/>
    <w:rsid w:val="00AD37FC"/>
    <w:rsid w:val="00AD386E"/>
    <w:rsid w:val="00AD3975"/>
    <w:rsid w:val="00AD3DF6"/>
    <w:rsid w:val="00AD3E11"/>
    <w:rsid w:val="00AD3E61"/>
    <w:rsid w:val="00AD3E84"/>
    <w:rsid w:val="00AD4026"/>
    <w:rsid w:val="00AD402D"/>
    <w:rsid w:val="00AD4277"/>
    <w:rsid w:val="00AD43A2"/>
    <w:rsid w:val="00AD43AC"/>
    <w:rsid w:val="00AD43CB"/>
    <w:rsid w:val="00AD4577"/>
    <w:rsid w:val="00AD4597"/>
    <w:rsid w:val="00AD459E"/>
    <w:rsid w:val="00AD468D"/>
    <w:rsid w:val="00AD4725"/>
    <w:rsid w:val="00AD4750"/>
    <w:rsid w:val="00AD478A"/>
    <w:rsid w:val="00AD497E"/>
    <w:rsid w:val="00AD4C1B"/>
    <w:rsid w:val="00AD4D14"/>
    <w:rsid w:val="00AD4D1C"/>
    <w:rsid w:val="00AD4D51"/>
    <w:rsid w:val="00AD4DDC"/>
    <w:rsid w:val="00AD4ECA"/>
    <w:rsid w:val="00AD4FAE"/>
    <w:rsid w:val="00AD50D2"/>
    <w:rsid w:val="00AD5126"/>
    <w:rsid w:val="00AD5295"/>
    <w:rsid w:val="00AD5524"/>
    <w:rsid w:val="00AD553A"/>
    <w:rsid w:val="00AD558D"/>
    <w:rsid w:val="00AD5598"/>
    <w:rsid w:val="00AD55CE"/>
    <w:rsid w:val="00AD5669"/>
    <w:rsid w:val="00AD5686"/>
    <w:rsid w:val="00AD56E3"/>
    <w:rsid w:val="00AD5855"/>
    <w:rsid w:val="00AD59AF"/>
    <w:rsid w:val="00AD5A3D"/>
    <w:rsid w:val="00AD5C44"/>
    <w:rsid w:val="00AD5CB9"/>
    <w:rsid w:val="00AD5D8D"/>
    <w:rsid w:val="00AD5DCC"/>
    <w:rsid w:val="00AD60C1"/>
    <w:rsid w:val="00AD6129"/>
    <w:rsid w:val="00AD6137"/>
    <w:rsid w:val="00AD616A"/>
    <w:rsid w:val="00AD61FD"/>
    <w:rsid w:val="00AD6202"/>
    <w:rsid w:val="00AD62FC"/>
    <w:rsid w:val="00AD6300"/>
    <w:rsid w:val="00AD635B"/>
    <w:rsid w:val="00AD644C"/>
    <w:rsid w:val="00AD645D"/>
    <w:rsid w:val="00AD64D1"/>
    <w:rsid w:val="00AD64F0"/>
    <w:rsid w:val="00AD6514"/>
    <w:rsid w:val="00AD664A"/>
    <w:rsid w:val="00AD6868"/>
    <w:rsid w:val="00AD6888"/>
    <w:rsid w:val="00AD68D3"/>
    <w:rsid w:val="00AD6991"/>
    <w:rsid w:val="00AD6A91"/>
    <w:rsid w:val="00AD6C3C"/>
    <w:rsid w:val="00AD6C62"/>
    <w:rsid w:val="00AD6DD6"/>
    <w:rsid w:val="00AD6FF0"/>
    <w:rsid w:val="00AD70D3"/>
    <w:rsid w:val="00AD7202"/>
    <w:rsid w:val="00AD724A"/>
    <w:rsid w:val="00AD72FB"/>
    <w:rsid w:val="00AD73A9"/>
    <w:rsid w:val="00AD75DF"/>
    <w:rsid w:val="00AD7618"/>
    <w:rsid w:val="00AD7684"/>
    <w:rsid w:val="00AD76C9"/>
    <w:rsid w:val="00AD76EC"/>
    <w:rsid w:val="00AD775C"/>
    <w:rsid w:val="00AD77DE"/>
    <w:rsid w:val="00AD7832"/>
    <w:rsid w:val="00AD7B4B"/>
    <w:rsid w:val="00AD7B9A"/>
    <w:rsid w:val="00AD7C92"/>
    <w:rsid w:val="00AD7CBD"/>
    <w:rsid w:val="00AD7D08"/>
    <w:rsid w:val="00AD7D71"/>
    <w:rsid w:val="00AD7E96"/>
    <w:rsid w:val="00AD7EF3"/>
    <w:rsid w:val="00AE0012"/>
    <w:rsid w:val="00AE0024"/>
    <w:rsid w:val="00AE01CF"/>
    <w:rsid w:val="00AE01EF"/>
    <w:rsid w:val="00AE040C"/>
    <w:rsid w:val="00AE0431"/>
    <w:rsid w:val="00AE04DD"/>
    <w:rsid w:val="00AE0578"/>
    <w:rsid w:val="00AE0869"/>
    <w:rsid w:val="00AE0A2B"/>
    <w:rsid w:val="00AE0B74"/>
    <w:rsid w:val="00AE0D70"/>
    <w:rsid w:val="00AE0DC2"/>
    <w:rsid w:val="00AE0E0C"/>
    <w:rsid w:val="00AE0E90"/>
    <w:rsid w:val="00AE0F17"/>
    <w:rsid w:val="00AE109C"/>
    <w:rsid w:val="00AE10F7"/>
    <w:rsid w:val="00AE1107"/>
    <w:rsid w:val="00AE1185"/>
    <w:rsid w:val="00AE11DC"/>
    <w:rsid w:val="00AE1559"/>
    <w:rsid w:val="00AE162D"/>
    <w:rsid w:val="00AE1685"/>
    <w:rsid w:val="00AE16A6"/>
    <w:rsid w:val="00AE1768"/>
    <w:rsid w:val="00AE18E4"/>
    <w:rsid w:val="00AE191E"/>
    <w:rsid w:val="00AE1A66"/>
    <w:rsid w:val="00AE1B02"/>
    <w:rsid w:val="00AE1B3D"/>
    <w:rsid w:val="00AE1C1D"/>
    <w:rsid w:val="00AE1D78"/>
    <w:rsid w:val="00AE1DDA"/>
    <w:rsid w:val="00AE1EAE"/>
    <w:rsid w:val="00AE1ED6"/>
    <w:rsid w:val="00AE1EEA"/>
    <w:rsid w:val="00AE2001"/>
    <w:rsid w:val="00AE200D"/>
    <w:rsid w:val="00AE203B"/>
    <w:rsid w:val="00AE235F"/>
    <w:rsid w:val="00AE23BA"/>
    <w:rsid w:val="00AE2403"/>
    <w:rsid w:val="00AE2513"/>
    <w:rsid w:val="00AE2542"/>
    <w:rsid w:val="00AE25EC"/>
    <w:rsid w:val="00AE279B"/>
    <w:rsid w:val="00AE27C9"/>
    <w:rsid w:val="00AE28E2"/>
    <w:rsid w:val="00AE29B9"/>
    <w:rsid w:val="00AE2A9B"/>
    <w:rsid w:val="00AE2B5E"/>
    <w:rsid w:val="00AE2BD8"/>
    <w:rsid w:val="00AE2C61"/>
    <w:rsid w:val="00AE2E65"/>
    <w:rsid w:val="00AE2E9E"/>
    <w:rsid w:val="00AE3051"/>
    <w:rsid w:val="00AE3076"/>
    <w:rsid w:val="00AE30B6"/>
    <w:rsid w:val="00AE3146"/>
    <w:rsid w:val="00AE31EC"/>
    <w:rsid w:val="00AE3425"/>
    <w:rsid w:val="00AE3427"/>
    <w:rsid w:val="00AE3441"/>
    <w:rsid w:val="00AE345F"/>
    <w:rsid w:val="00AE3531"/>
    <w:rsid w:val="00AE35BF"/>
    <w:rsid w:val="00AE3654"/>
    <w:rsid w:val="00AE3813"/>
    <w:rsid w:val="00AE38E1"/>
    <w:rsid w:val="00AE391F"/>
    <w:rsid w:val="00AE3927"/>
    <w:rsid w:val="00AE3A1B"/>
    <w:rsid w:val="00AE3AB9"/>
    <w:rsid w:val="00AE3B30"/>
    <w:rsid w:val="00AE3B76"/>
    <w:rsid w:val="00AE3CF5"/>
    <w:rsid w:val="00AE3F18"/>
    <w:rsid w:val="00AE3F23"/>
    <w:rsid w:val="00AE3F51"/>
    <w:rsid w:val="00AE3FFE"/>
    <w:rsid w:val="00AE4159"/>
    <w:rsid w:val="00AE4196"/>
    <w:rsid w:val="00AE41B2"/>
    <w:rsid w:val="00AE41F8"/>
    <w:rsid w:val="00AE42CA"/>
    <w:rsid w:val="00AE4576"/>
    <w:rsid w:val="00AE45AB"/>
    <w:rsid w:val="00AE46A0"/>
    <w:rsid w:val="00AE4740"/>
    <w:rsid w:val="00AE480B"/>
    <w:rsid w:val="00AE485A"/>
    <w:rsid w:val="00AE4945"/>
    <w:rsid w:val="00AE498D"/>
    <w:rsid w:val="00AE49A4"/>
    <w:rsid w:val="00AE4A74"/>
    <w:rsid w:val="00AE4AFA"/>
    <w:rsid w:val="00AE4B28"/>
    <w:rsid w:val="00AE4CC5"/>
    <w:rsid w:val="00AE4EB3"/>
    <w:rsid w:val="00AE4F24"/>
    <w:rsid w:val="00AE4FD0"/>
    <w:rsid w:val="00AE501B"/>
    <w:rsid w:val="00AE5022"/>
    <w:rsid w:val="00AE5055"/>
    <w:rsid w:val="00AE50E0"/>
    <w:rsid w:val="00AE51A8"/>
    <w:rsid w:val="00AE5291"/>
    <w:rsid w:val="00AE5532"/>
    <w:rsid w:val="00AE565C"/>
    <w:rsid w:val="00AE56D0"/>
    <w:rsid w:val="00AE5724"/>
    <w:rsid w:val="00AE5789"/>
    <w:rsid w:val="00AE57A7"/>
    <w:rsid w:val="00AE591E"/>
    <w:rsid w:val="00AE59FA"/>
    <w:rsid w:val="00AE5CFA"/>
    <w:rsid w:val="00AE5D30"/>
    <w:rsid w:val="00AE5D88"/>
    <w:rsid w:val="00AE5DBF"/>
    <w:rsid w:val="00AE5E19"/>
    <w:rsid w:val="00AE5ECD"/>
    <w:rsid w:val="00AE5EE5"/>
    <w:rsid w:val="00AE602A"/>
    <w:rsid w:val="00AE6039"/>
    <w:rsid w:val="00AE6115"/>
    <w:rsid w:val="00AE6129"/>
    <w:rsid w:val="00AE617B"/>
    <w:rsid w:val="00AE61B4"/>
    <w:rsid w:val="00AE6244"/>
    <w:rsid w:val="00AE62A5"/>
    <w:rsid w:val="00AE633D"/>
    <w:rsid w:val="00AE63B9"/>
    <w:rsid w:val="00AE6448"/>
    <w:rsid w:val="00AE64E6"/>
    <w:rsid w:val="00AE651C"/>
    <w:rsid w:val="00AE6598"/>
    <w:rsid w:val="00AE65B1"/>
    <w:rsid w:val="00AE65F1"/>
    <w:rsid w:val="00AE66D5"/>
    <w:rsid w:val="00AE6709"/>
    <w:rsid w:val="00AE6774"/>
    <w:rsid w:val="00AE67C0"/>
    <w:rsid w:val="00AE684F"/>
    <w:rsid w:val="00AE695A"/>
    <w:rsid w:val="00AE6998"/>
    <w:rsid w:val="00AE6A48"/>
    <w:rsid w:val="00AE6A5F"/>
    <w:rsid w:val="00AE6A6B"/>
    <w:rsid w:val="00AE6B17"/>
    <w:rsid w:val="00AE6B46"/>
    <w:rsid w:val="00AE6C4B"/>
    <w:rsid w:val="00AE6CB8"/>
    <w:rsid w:val="00AE6CF8"/>
    <w:rsid w:val="00AE6DEA"/>
    <w:rsid w:val="00AE6E1E"/>
    <w:rsid w:val="00AE6E58"/>
    <w:rsid w:val="00AE6E6B"/>
    <w:rsid w:val="00AE6EAA"/>
    <w:rsid w:val="00AE6EDE"/>
    <w:rsid w:val="00AE6EF4"/>
    <w:rsid w:val="00AE6F0D"/>
    <w:rsid w:val="00AE6F67"/>
    <w:rsid w:val="00AE70E7"/>
    <w:rsid w:val="00AE70F9"/>
    <w:rsid w:val="00AE71AC"/>
    <w:rsid w:val="00AE7211"/>
    <w:rsid w:val="00AE721E"/>
    <w:rsid w:val="00AE722E"/>
    <w:rsid w:val="00AE7264"/>
    <w:rsid w:val="00AE72C7"/>
    <w:rsid w:val="00AE730B"/>
    <w:rsid w:val="00AE740F"/>
    <w:rsid w:val="00AE74A1"/>
    <w:rsid w:val="00AE74B5"/>
    <w:rsid w:val="00AE7549"/>
    <w:rsid w:val="00AE75D8"/>
    <w:rsid w:val="00AE76CD"/>
    <w:rsid w:val="00AE7893"/>
    <w:rsid w:val="00AE79CD"/>
    <w:rsid w:val="00AE7A63"/>
    <w:rsid w:val="00AE7A91"/>
    <w:rsid w:val="00AE7C58"/>
    <w:rsid w:val="00AE7C67"/>
    <w:rsid w:val="00AE7D1D"/>
    <w:rsid w:val="00AE7DE0"/>
    <w:rsid w:val="00AE7E53"/>
    <w:rsid w:val="00AE7E6A"/>
    <w:rsid w:val="00AF002F"/>
    <w:rsid w:val="00AF007B"/>
    <w:rsid w:val="00AF00B4"/>
    <w:rsid w:val="00AF0243"/>
    <w:rsid w:val="00AF029D"/>
    <w:rsid w:val="00AF02FA"/>
    <w:rsid w:val="00AF0464"/>
    <w:rsid w:val="00AF04B6"/>
    <w:rsid w:val="00AF04F4"/>
    <w:rsid w:val="00AF058D"/>
    <w:rsid w:val="00AF05B6"/>
    <w:rsid w:val="00AF05B9"/>
    <w:rsid w:val="00AF0798"/>
    <w:rsid w:val="00AF07BB"/>
    <w:rsid w:val="00AF080E"/>
    <w:rsid w:val="00AF0882"/>
    <w:rsid w:val="00AF08F6"/>
    <w:rsid w:val="00AF099E"/>
    <w:rsid w:val="00AF09EB"/>
    <w:rsid w:val="00AF0A3B"/>
    <w:rsid w:val="00AF0B68"/>
    <w:rsid w:val="00AF0B7E"/>
    <w:rsid w:val="00AF0BD9"/>
    <w:rsid w:val="00AF0C76"/>
    <w:rsid w:val="00AF0D78"/>
    <w:rsid w:val="00AF0E0B"/>
    <w:rsid w:val="00AF0E2B"/>
    <w:rsid w:val="00AF0E5E"/>
    <w:rsid w:val="00AF0F54"/>
    <w:rsid w:val="00AF11C8"/>
    <w:rsid w:val="00AF11F7"/>
    <w:rsid w:val="00AF13D5"/>
    <w:rsid w:val="00AF14FA"/>
    <w:rsid w:val="00AF1580"/>
    <w:rsid w:val="00AF15C0"/>
    <w:rsid w:val="00AF1605"/>
    <w:rsid w:val="00AF16BD"/>
    <w:rsid w:val="00AF1748"/>
    <w:rsid w:val="00AF174A"/>
    <w:rsid w:val="00AF187A"/>
    <w:rsid w:val="00AF1A8B"/>
    <w:rsid w:val="00AF1C09"/>
    <w:rsid w:val="00AF1C72"/>
    <w:rsid w:val="00AF1C7B"/>
    <w:rsid w:val="00AF1CDF"/>
    <w:rsid w:val="00AF1F8C"/>
    <w:rsid w:val="00AF20A1"/>
    <w:rsid w:val="00AF21B1"/>
    <w:rsid w:val="00AF2279"/>
    <w:rsid w:val="00AF2302"/>
    <w:rsid w:val="00AF2397"/>
    <w:rsid w:val="00AF23CE"/>
    <w:rsid w:val="00AF26D5"/>
    <w:rsid w:val="00AF26E5"/>
    <w:rsid w:val="00AF2831"/>
    <w:rsid w:val="00AF283C"/>
    <w:rsid w:val="00AF28C8"/>
    <w:rsid w:val="00AF2910"/>
    <w:rsid w:val="00AF2A1F"/>
    <w:rsid w:val="00AF2BCB"/>
    <w:rsid w:val="00AF2C4B"/>
    <w:rsid w:val="00AF2D39"/>
    <w:rsid w:val="00AF2DE3"/>
    <w:rsid w:val="00AF2E8B"/>
    <w:rsid w:val="00AF2EBD"/>
    <w:rsid w:val="00AF2F14"/>
    <w:rsid w:val="00AF2F4F"/>
    <w:rsid w:val="00AF2FF8"/>
    <w:rsid w:val="00AF30C7"/>
    <w:rsid w:val="00AF30F6"/>
    <w:rsid w:val="00AF3227"/>
    <w:rsid w:val="00AF3281"/>
    <w:rsid w:val="00AF3298"/>
    <w:rsid w:val="00AF34EC"/>
    <w:rsid w:val="00AF354D"/>
    <w:rsid w:val="00AF3571"/>
    <w:rsid w:val="00AF3580"/>
    <w:rsid w:val="00AF35F8"/>
    <w:rsid w:val="00AF366D"/>
    <w:rsid w:val="00AF36C3"/>
    <w:rsid w:val="00AF39A8"/>
    <w:rsid w:val="00AF39BB"/>
    <w:rsid w:val="00AF39D6"/>
    <w:rsid w:val="00AF39E1"/>
    <w:rsid w:val="00AF3B9A"/>
    <w:rsid w:val="00AF3C8E"/>
    <w:rsid w:val="00AF3D30"/>
    <w:rsid w:val="00AF3F7A"/>
    <w:rsid w:val="00AF403C"/>
    <w:rsid w:val="00AF406D"/>
    <w:rsid w:val="00AF408D"/>
    <w:rsid w:val="00AF40C9"/>
    <w:rsid w:val="00AF42B0"/>
    <w:rsid w:val="00AF4342"/>
    <w:rsid w:val="00AF440F"/>
    <w:rsid w:val="00AF4487"/>
    <w:rsid w:val="00AF44A1"/>
    <w:rsid w:val="00AF4660"/>
    <w:rsid w:val="00AF46EA"/>
    <w:rsid w:val="00AF47B5"/>
    <w:rsid w:val="00AF4B64"/>
    <w:rsid w:val="00AF4BAF"/>
    <w:rsid w:val="00AF4DA5"/>
    <w:rsid w:val="00AF4DD3"/>
    <w:rsid w:val="00AF4F53"/>
    <w:rsid w:val="00AF4FDF"/>
    <w:rsid w:val="00AF502F"/>
    <w:rsid w:val="00AF5126"/>
    <w:rsid w:val="00AF5180"/>
    <w:rsid w:val="00AF51D0"/>
    <w:rsid w:val="00AF5255"/>
    <w:rsid w:val="00AF538A"/>
    <w:rsid w:val="00AF53C6"/>
    <w:rsid w:val="00AF53C9"/>
    <w:rsid w:val="00AF547B"/>
    <w:rsid w:val="00AF54CF"/>
    <w:rsid w:val="00AF5568"/>
    <w:rsid w:val="00AF5617"/>
    <w:rsid w:val="00AF5625"/>
    <w:rsid w:val="00AF56CA"/>
    <w:rsid w:val="00AF5859"/>
    <w:rsid w:val="00AF5871"/>
    <w:rsid w:val="00AF59B7"/>
    <w:rsid w:val="00AF59EF"/>
    <w:rsid w:val="00AF5ADA"/>
    <w:rsid w:val="00AF5AF4"/>
    <w:rsid w:val="00AF5B49"/>
    <w:rsid w:val="00AF5BC3"/>
    <w:rsid w:val="00AF5C6F"/>
    <w:rsid w:val="00AF5D81"/>
    <w:rsid w:val="00AF5F86"/>
    <w:rsid w:val="00AF606D"/>
    <w:rsid w:val="00AF61CA"/>
    <w:rsid w:val="00AF61F6"/>
    <w:rsid w:val="00AF646C"/>
    <w:rsid w:val="00AF653B"/>
    <w:rsid w:val="00AF657E"/>
    <w:rsid w:val="00AF6642"/>
    <w:rsid w:val="00AF665A"/>
    <w:rsid w:val="00AF66DD"/>
    <w:rsid w:val="00AF6701"/>
    <w:rsid w:val="00AF671C"/>
    <w:rsid w:val="00AF675C"/>
    <w:rsid w:val="00AF67F1"/>
    <w:rsid w:val="00AF688B"/>
    <w:rsid w:val="00AF6B2E"/>
    <w:rsid w:val="00AF6BB7"/>
    <w:rsid w:val="00AF6BBE"/>
    <w:rsid w:val="00AF6C27"/>
    <w:rsid w:val="00AF6FEC"/>
    <w:rsid w:val="00AF6FF9"/>
    <w:rsid w:val="00AF7433"/>
    <w:rsid w:val="00AF7451"/>
    <w:rsid w:val="00AF74A6"/>
    <w:rsid w:val="00AF75A1"/>
    <w:rsid w:val="00AF75BD"/>
    <w:rsid w:val="00AF765B"/>
    <w:rsid w:val="00AF7668"/>
    <w:rsid w:val="00AF7686"/>
    <w:rsid w:val="00AF77D9"/>
    <w:rsid w:val="00AF785B"/>
    <w:rsid w:val="00AF7968"/>
    <w:rsid w:val="00AF7B79"/>
    <w:rsid w:val="00AF7BB0"/>
    <w:rsid w:val="00AF7C18"/>
    <w:rsid w:val="00AF7CC7"/>
    <w:rsid w:val="00AF7D25"/>
    <w:rsid w:val="00AF7D91"/>
    <w:rsid w:val="00AF7EC7"/>
    <w:rsid w:val="00B001A5"/>
    <w:rsid w:val="00B001CB"/>
    <w:rsid w:val="00B00235"/>
    <w:rsid w:val="00B002FA"/>
    <w:rsid w:val="00B00371"/>
    <w:rsid w:val="00B0041B"/>
    <w:rsid w:val="00B004A5"/>
    <w:rsid w:val="00B0052F"/>
    <w:rsid w:val="00B005FF"/>
    <w:rsid w:val="00B006DF"/>
    <w:rsid w:val="00B007DE"/>
    <w:rsid w:val="00B00845"/>
    <w:rsid w:val="00B00861"/>
    <w:rsid w:val="00B00907"/>
    <w:rsid w:val="00B00B7A"/>
    <w:rsid w:val="00B00BC2"/>
    <w:rsid w:val="00B00C87"/>
    <w:rsid w:val="00B00CBF"/>
    <w:rsid w:val="00B00D03"/>
    <w:rsid w:val="00B00D65"/>
    <w:rsid w:val="00B00E73"/>
    <w:rsid w:val="00B00EC8"/>
    <w:rsid w:val="00B00EE8"/>
    <w:rsid w:val="00B00F36"/>
    <w:rsid w:val="00B012B5"/>
    <w:rsid w:val="00B012C9"/>
    <w:rsid w:val="00B013E6"/>
    <w:rsid w:val="00B0149C"/>
    <w:rsid w:val="00B0149D"/>
    <w:rsid w:val="00B015E0"/>
    <w:rsid w:val="00B0166B"/>
    <w:rsid w:val="00B016B1"/>
    <w:rsid w:val="00B01703"/>
    <w:rsid w:val="00B01848"/>
    <w:rsid w:val="00B01A8F"/>
    <w:rsid w:val="00B01C3D"/>
    <w:rsid w:val="00B01C87"/>
    <w:rsid w:val="00B01D4C"/>
    <w:rsid w:val="00B021CC"/>
    <w:rsid w:val="00B022C2"/>
    <w:rsid w:val="00B0232C"/>
    <w:rsid w:val="00B02336"/>
    <w:rsid w:val="00B02372"/>
    <w:rsid w:val="00B023A2"/>
    <w:rsid w:val="00B0249A"/>
    <w:rsid w:val="00B02550"/>
    <w:rsid w:val="00B028CC"/>
    <w:rsid w:val="00B028E7"/>
    <w:rsid w:val="00B0297D"/>
    <w:rsid w:val="00B02B23"/>
    <w:rsid w:val="00B02B9F"/>
    <w:rsid w:val="00B02BF6"/>
    <w:rsid w:val="00B02CCF"/>
    <w:rsid w:val="00B02D78"/>
    <w:rsid w:val="00B02E22"/>
    <w:rsid w:val="00B02E9F"/>
    <w:rsid w:val="00B02FE8"/>
    <w:rsid w:val="00B02FFF"/>
    <w:rsid w:val="00B03017"/>
    <w:rsid w:val="00B0310A"/>
    <w:rsid w:val="00B0318C"/>
    <w:rsid w:val="00B03192"/>
    <w:rsid w:val="00B032C2"/>
    <w:rsid w:val="00B03408"/>
    <w:rsid w:val="00B0340F"/>
    <w:rsid w:val="00B034CA"/>
    <w:rsid w:val="00B0355B"/>
    <w:rsid w:val="00B0363B"/>
    <w:rsid w:val="00B03834"/>
    <w:rsid w:val="00B038B0"/>
    <w:rsid w:val="00B03996"/>
    <w:rsid w:val="00B039B0"/>
    <w:rsid w:val="00B03A18"/>
    <w:rsid w:val="00B03A21"/>
    <w:rsid w:val="00B03A56"/>
    <w:rsid w:val="00B03B72"/>
    <w:rsid w:val="00B03C6D"/>
    <w:rsid w:val="00B03C92"/>
    <w:rsid w:val="00B03C97"/>
    <w:rsid w:val="00B03DBE"/>
    <w:rsid w:val="00B03EA4"/>
    <w:rsid w:val="00B03FD0"/>
    <w:rsid w:val="00B0417E"/>
    <w:rsid w:val="00B041AD"/>
    <w:rsid w:val="00B04418"/>
    <w:rsid w:val="00B04528"/>
    <w:rsid w:val="00B047BA"/>
    <w:rsid w:val="00B04880"/>
    <w:rsid w:val="00B049A7"/>
    <w:rsid w:val="00B049FC"/>
    <w:rsid w:val="00B04A03"/>
    <w:rsid w:val="00B04A83"/>
    <w:rsid w:val="00B04A9B"/>
    <w:rsid w:val="00B04C63"/>
    <w:rsid w:val="00B04CB0"/>
    <w:rsid w:val="00B04D1B"/>
    <w:rsid w:val="00B04E06"/>
    <w:rsid w:val="00B04ECF"/>
    <w:rsid w:val="00B04F79"/>
    <w:rsid w:val="00B051ED"/>
    <w:rsid w:val="00B05238"/>
    <w:rsid w:val="00B0529A"/>
    <w:rsid w:val="00B0529C"/>
    <w:rsid w:val="00B05368"/>
    <w:rsid w:val="00B053CE"/>
    <w:rsid w:val="00B05427"/>
    <w:rsid w:val="00B0542A"/>
    <w:rsid w:val="00B05533"/>
    <w:rsid w:val="00B05598"/>
    <w:rsid w:val="00B055A5"/>
    <w:rsid w:val="00B056E5"/>
    <w:rsid w:val="00B05744"/>
    <w:rsid w:val="00B058F4"/>
    <w:rsid w:val="00B059CC"/>
    <w:rsid w:val="00B059E9"/>
    <w:rsid w:val="00B059FB"/>
    <w:rsid w:val="00B05ACA"/>
    <w:rsid w:val="00B05C3E"/>
    <w:rsid w:val="00B05DB1"/>
    <w:rsid w:val="00B05F6D"/>
    <w:rsid w:val="00B05F7C"/>
    <w:rsid w:val="00B060A5"/>
    <w:rsid w:val="00B06133"/>
    <w:rsid w:val="00B06336"/>
    <w:rsid w:val="00B06432"/>
    <w:rsid w:val="00B06464"/>
    <w:rsid w:val="00B064A3"/>
    <w:rsid w:val="00B0651E"/>
    <w:rsid w:val="00B06549"/>
    <w:rsid w:val="00B065AA"/>
    <w:rsid w:val="00B065E8"/>
    <w:rsid w:val="00B066A6"/>
    <w:rsid w:val="00B066B0"/>
    <w:rsid w:val="00B06884"/>
    <w:rsid w:val="00B06A84"/>
    <w:rsid w:val="00B06C1E"/>
    <w:rsid w:val="00B06CEA"/>
    <w:rsid w:val="00B06D06"/>
    <w:rsid w:val="00B06EE7"/>
    <w:rsid w:val="00B06F1C"/>
    <w:rsid w:val="00B06FAD"/>
    <w:rsid w:val="00B0714A"/>
    <w:rsid w:val="00B074D3"/>
    <w:rsid w:val="00B074F8"/>
    <w:rsid w:val="00B0755F"/>
    <w:rsid w:val="00B0762D"/>
    <w:rsid w:val="00B0780E"/>
    <w:rsid w:val="00B07862"/>
    <w:rsid w:val="00B078E1"/>
    <w:rsid w:val="00B079E0"/>
    <w:rsid w:val="00B07C57"/>
    <w:rsid w:val="00B07C5B"/>
    <w:rsid w:val="00B07D91"/>
    <w:rsid w:val="00B07D92"/>
    <w:rsid w:val="00B1000A"/>
    <w:rsid w:val="00B1001D"/>
    <w:rsid w:val="00B1008F"/>
    <w:rsid w:val="00B100E5"/>
    <w:rsid w:val="00B10142"/>
    <w:rsid w:val="00B101DF"/>
    <w:rsid w:val="00B10295"/>
    <w:rsid w:val="00B102D4"/>
    <w:rsid w:val="00B102F6"/>
    <w:rsid w:val="00B10521"/>
    <w:rsid w:val="00B1053A"/>
    <w:rsid w:val="00B10645"/>
    <w:rsid w:val="00B107C4"/>
    <w:rsid w:val="00B10806"/>
    <w:rsid w:val="00B109F6"/>
    <w:rsid w:val="00B10AA1"/>
    <w:rsid w:val="00B10AF3"/>
    <w:rsid w:val="00B10B03"/>
    <w:rsid w:val="00B10C7F"/>
    <w:rsid w:val="00B10C9A"/>
    <w:rsid w:val="00B10CAD"/>
    <w:rsid w:val="00B10EDF"/>
    <w:rsid w:val="00B10F69"/>
    <w:rsid w:val="00B110C8"/>
    <w:rsid w:val="00B110E4"/>
    <w:rsid w:val="00B1116A"/>
    <w:rsid w:val="00B111F8"/>
    <w:rsid w:val="00B11279"/>
    <w:rsid w:val="00B112A6"/>
    <w:rsid w:val="00B11365"/>
    <w:rsid w:val="00B11506"/>
    <w:rsid w:val="00B11605"/>
    <w:rsid w:val="00B1186C"/>
    <w:rsid w:val="00B11906"/>
    <w:rsid w:val="00B11C8A"/>
    <w:rsid w:val="00B11F7A"/>
    <w:rsid w:val="00B11FDE"/>
    <w:rsid w:val="00B1209D"/>
    <w:rsid w:val="00B120D4"/>
    <w:rsid w:val="00B120ED"/>
    <w:rsid w:val="00B12166"/>
    <w:rsid w:val="00B121DE"/>
    <w:rsid w:val="00B12233"/>
    <w:rsid w:val="00B1224C"/>
    <w:rsid w:val="00B12296"/>
    <w:rsid w:val="00B1234B"/>
    <w:rsid w:val="00B12583"/>
    <w:rsid w:val="00B1259A"/>
    <w:rsid w:val="00B125D9"/>
    <w:rsid w:val="00B1269E"/>
    <w:rsid w:val="00B1275E"/>
    <w:rsid w:val="00B127CE"/>
    <w:rsid w:val="00B127DD"/>
    <w:rsid w:val="00B128CC"/>
    <w:rsid w:val="00B1295A"/>
    <w:rsid w:val="00B129B2"/>
    <w:rsid w:val="00B12B81"/>
    <w:rsid w:val="00B12CB3"/>
    <w:rsid w:val="00B12CB7"/>
    <w:rsid w:val="00B12D32"/>
    <w:rsid w:val="00B12F71"/>
    <w:rsid w:val="00B13022"/>
    <w:rsid w:val="00B13033"/>
    <w:rsid w:val="00B13218"/>
    <w:rsid w:val="00B1323B"/>
    <w:rsid w:val="00B13251"/>
    <w:rsid w:val="00B1327D"/>
    <w:rsid w:val="00B1328E"/>
    <w:rsid w:val="00B133ED"/>
    <w:rsid w:val="00B13499"/>
    <w:rsid w:val="00B13644"/>
    <w:rsid w:val="00B13682"/>
    <w:rsid w:val="00B136D4"/>
    <w:rsid w:val="00B13731"/>
    <w:rsid w:val="00B138CA"/>
    <w:rsid w:val="00B138E5"/>
    <w:rsid w:val="00B13919"/>
    <w:rsid w:val="00B13A48"/>
    <w:rsid w:val="00B13CF1"/>
    <w:rsid w:val="00B13D4C"/>
    <w:rsid w:val="00B13E94"/>
    <w:rsid w:val="00B13EBE"/>
    <w:rsid w:val="00B13F14"/>
    <w:rsid w:val="00B13F7F"/>
    <w:rsid w:val="00B1428F"/>
    <w:rsid w:val="00B147EE"/>
    <w:rsid w:val="00B148C6"/>
    <w:rsid w:val="00B14926"/>
    <w:rsid w:val="00B14955"/>
    <w:rsid w:val="00B14969"/>
    <w:rsid w:val="00B14970"/>
    <w:rsid w:val="00B149CE"/>
    <w:rsid w:val="00B14B1F"/>
    <w:rsid w:val="00B14B2C"/>
    <w:rsid w:val="00B14E22"/>
    <w:rsid w:val="00B14F15"/>
    <w:rsid w:val="00B14F18"/>
    <w:rsid w:val="00B14FEF"/>
    <w:rsid w:val="00B151FA"/>
    <w:rsid w:val="00B1522E"/>
    <w:rsid w:val="00B15240"/>
    <w:rsid w:val="00B152AA"/>
    <w:rsid w:val="00B15321"/>
    <w:rsid w:val="00B15336"/>
    <w:rsid w:val="00B15364"/>
    <w:rsid w:val="00B15369"/>
    <w:rsid w:val="00B153DA"/>
    <w:rsid w:val="00B15440"/>
    <w:rsid w:val="00B15499"/>
    <w:rsid w:val="00B1549A"/>
    <w:rsid w:val="00B15520"/>
    <w:rsid w:val="00B15643"/>
    <w:rsid w:val="00B1571B"/>
    <w:rsid w:val="00B15721"/>
    <w:rsid w:val="00B15768"/>
    <w:rsid w:val="00B15794"/>
    <w:rsid w:val="00B15883"/>
    <w:rsid w:val="00B15987"/>
    <w:rsid w:val="00B15ABB"/>
    <w:rsid w:val="00B15B10"/>
    <w:rsid w:val="00B15D50"/>
    <w:rsid w:val="00B15EAE"/>
    <w:rsid w:val="00B15EE0"/>
    <w:rsid w:val="00B15FB9"/>
    <w:rsid w:val="00B16061"/>
    <w:rsid w:val="00B160D0"/>
    <w:rsid w:val="00B16194"/>
    <w:rsid w:val="00B1624A"/>
    <w:rsid w:val="00B16297"/>
    <w:rsid w:val="00B162BD"/>
    <w:rsid w:val="00B162D6"/>
    <w:rsid w:val="00B163D8"/>
    <w:rsid w:val="00B16482"/>
    <w:rsid w:val="00B164E3"/>
    <w:rsid w:val="00B16532"/>
    <w:rsid w:val="00B165B9"/>
    <w:rsid w:val="00B165D5"/>
    <w:rsid w:val="00B165DF"/>
    <w:rsid w:val="00B16614"/>
    <w:rsid w:val="00B1666F"/>
    <w:rsid w:val="00B16804"/>
    <w:rsid w:val="00B1683F"/>
    <w:rsid w:val="00B168E8"/>
    <w:rsid w:val="00B1690F"/>
    <w:rsid w:val="00B1695C"/>
    <w:rsid w:val="00B1695D"/>
    <w:rsid w:val="00B16994"/>
    <w:rsid w:val="00B16A60"/>
    <w:rsid w:val="00B16B13"/>
    <w:rsid w:val="00B16BB7"/>
    <w:rsid w:val="00B16C63"/>
    <w:rsid w:val="00B16C86"/>
    <w:rsid w:val="00B16E63"/>
    <w:rsid w:val="00B16EE2"/>
    <w:rsid w:val="00B17033"/>
    <w:rsid w:val="00B17078"/>
    <w:rsid w:val="00B170DC"/>
    <w:rsid w:val="00B170F0"/>
    <w:rsid w:val="00B170F2"/>
    <w:rsid w:val="00B17369"/>
    <w:rsid w:val="00B1739D"/>
    <w:rsid w:val="00B173A0"/>
    <w:rsid w:val="00B173B6"/>
    <w:rsid w:val="00B17588"/>
    <w:rsid w:val="00B1761D"/>
    <w:rsid w:val="00B176F7"/>
    <w:rsid w:val="00B17710"/>
    <w:rsid w:val="00B1789B"/>
    <w:rsid w:val="00B178CC"/>
    <w:rsid w:val="00B17927"/>
    <w:rsid w:val="00B17A7B"/>
    <w:rsid w:val="00B17AC4"/>
    <w:rsid w:val="00B17B22"/>
    <w:rsid w:val="00B17B72"/>
    <w:rsid w:val="00B17BAE"/>
    <w:rsid w:val="00B17C7D"/>
    <w:rsid w:val="00B17DC5"/>
    <w:rsid w:val="00B17E26"/>
    <w:rsid w:val="00B17E7E"/>
    <w:rsid w:val="00B17EBA"/>
    <w:rsid w:val="00B17FBB"/>
    <w:rsid w:val="00B17FC0"/>
    <w:rsid w:val="00B2010E"/>
    <w:rsid w:val="00B20153"/>
    <w:rsid w:val="00B201FF"/>
    <w:rsid w:val="00B2030A"/>
    <w:rsid w:val="00B2039D"/>
    <w:rsid w:val="00B20420"/>
    <w:rsid w:val="00B20589"/>
    <w:rsid w:val="00B20625"/>
    <w:rsid w:val="00B206D6"/>
    <w:rsid w:val="00B20743"/>
    <w:rsid w:val="00B20925"/>
    <w:rsid w:val="00B20931"/>
    <w:rsid w:val="00B20A90"/>
    <w:rsid w:val="00B20C53"/>
    <w:rsid w:val="00B20E94"/>
    <w:rsid w:val="00B20F57"/>
    <w:rsid w:val="00B20F5A"/>
    <w:rsid w:val="00B20FB9"/>
    <w:rsid w:val="00B2113A"/>
    <w:rsid w:val="00B21167"/>
    <w:rsid w:val="00B21208"/>
    <w:rsid w:val="00B21329"/>
    <w:rsid w:val="00B213EC"/>
    <w:rsid w:val="00B21401"/>
    <w:rsid w:val="00B214F0"/>
    <w:rsid w:val="00B215F5"/>
    <w:rsid w:val="00B2164B"/>
    <w:rsid w:val="00B2164E"/>
    <w:rsid w:val="00B2169C"/>
    <w:rsid w:val="00B21731"/>
    <w:rsid w:val="00B21759"/>
    <w:rsid w:val="00B2178D"/>
    <w:rsid w:val="00B218BA"/>
    <w:rsid w:val="00B2195F"/>
    <w:rsid w:val="00B219D7"/>
    <w:rsid w:val="00B21BB7"/>
    <w:rsid w:val="00B21BD5"/>
    <w:rsid w:val="00B21C23"/>
    <w:rsid w:val="00B21DAD"/>
    <w:rsid w:val="00B21F0E"/>
    <w:rsid w:val="00B21F93"/>
    <w:rsid w:val="00B21FFD"/>
    <w:rsid w:val="00B22087"/>
    <w:rsid w:val="00B22113"/>
    <w:rsid w:val="00B22159"/>
    <w:rsid w:val="00B22217"/>
    <w:rsid w:val="00B22420"/>
    <w:rsid w:val="00B22569"/>
    <w:rsid w:val="00B22661"/>
    <w:rsid w:val="00B2287C"/>
    <w:rsid w:val="00B22892"/>
    <w:rsid w:val="00B22AE9"/>
    <w:rsid w:val="00B22C51"/>
    <w:rsid w:val="00B22D22"/>
    <w:rsid w:val="00B22F73"/>
    <w:rsid w:val="00B22F9E"/>
    <w:rsid w:val="00B231B3"/>
    <w:rsid w:val="00B23218"/>
    <w:rsid w:val="00B232BB"/>
    <w:rsid w:val="00B2332F"/>
    <w:rsid w:val="00B23337"/>
    <w:rsid w:val="00B23358"/>
    <w:rsid w:val="00B23507"/>
    <w:rsid w:val="00B23612"/>
    <w:rsid w:val="00B237AF"/>
    <w:rsid w:val="00B23855"/>
    <w:rsid w:val="00B238E2"/>
    <w:rsid w:val="00B2392C"/>
    <w:rsid w:val="00B23984"/>
    <w:rsid w:val="00B239C1"/>
    <w:rsid w:val="00B23A38"/>
    <w:rsid w:val="00B23ABF"/>
    <w:rsid w:val="00B23CAE"/>
    <w:rsid w:val="00B23DA7"/>
    <w:rsid w:val="00B23EB0"/>
    <w:rsid w:val="00B23EFD"/>
    <w:rsid w:val="00B23F05"/>
    <w:rsid w:val="00B24091"/>
    <w:rsid w:val="00B24589"/>
    <w:rsid w:val="00B24786"/>
    <w:rsid w:val="00B247B4"/>
    <w:rsid w:val="00B24996"/>
    <w:rsid w:val="00B24A66"/>
    <w:rsid w:val="00B24A99"/>
    <w:rsid w:val="00B24C26"/>
    <w:rsid w:val="00B24CAD"/>
    <w:rsid w:val="00B24F2F"/>
    <w:rsid w:val="00B25282"/>
    <w:rsid w:val="00B25548"/>
    <w:rsid w:val="00B256A8"/>
    <w:rsid w:val="00B257B4"/>
    <w:rsid w:val="00B257C3"/>
    <w:rsid w:val="00B25861"/>
    <w:rsid w:val="00B25927"/>
    <w:rsid w:val="00B2595B"/>
    <w:rsid w:val="00B25C14"/>
    <w:rsid w:val="00B25E94"/>
    <w:rsid w:val="00B260D0"/>
    <w:rsid w:val="00B260FC"/>
    <w:rsid w:val="00B26155"/>
    <w:rsid w:val="00B2626A"/>
    <w:rsid w:val="00B262FB"/>
    <w:rsid w:val="00B263FA"/>
    <w:rsid w:val="00B26490"/>
    <w:rsid w:val="00B264AC"/>
    <w:rsid w:val="00B264CE"/>
    <w:rsid w:val="00B266F2"/>
    <w:rsid w:val="00B267A8"/>
    <w:rsid w:val="00B26BE7"/>
    <w:rsid w:val="00B26BEC"/>
    <w:rsid w:val="00B26D03"/>
    <w:rsid w:val="00B26D3B"/>
    <w:rsid w:val="00B26DAE"/>
    <w:rsid w:val="00B26E47"/>
    <w:rsid w:val="00B26E5B"/>
    <w:rsid w:val="00B26FC8"/>
    <w:rsid w:val="00B2707C"/>
    <w:rsid w:val="00B270A5"/>
    <w:rsid w:val="00B270A7"/>
    <w:rsid w:val="00B270CA"/>
    <w:rsid w:val="00B271CA"/>
    <w:rsid w:val="00B271CC"/>
    <w:rsid w:val="00B27265"/>
    <w:rsid w:val="00B2733B"/>
    <w:rsid w:val="00B27389"/>
    <w:rsid w:val="00B27408"/>
    <w:rsid w:val="00B27479"/>
    <w:rsid w:val="00B274AA"/>
    <w:rsid w:val="00B27503"/>
    <w:rsid w:val="00B27510"/>
    <w:rsid w:val="00B275E2"/>
    <w:rsid w:val="00B27734"/>
    <w:rsid w:val="00B2776F"/>
    <w:rsid w:val="00B279CC"/>
    <w:rsid w:val="00B27B17"/>
    <w:rsid w:val="00B27B4A"/>
    <w:rsid w:val="00B27B71"/>
    <w:rsid w:val="00B27C25"/>
    <w:rsid w:val="00B27D0C"/>
    <w:rsid w:val="00B27DE5"/>
    <w:rsid w:val="00B27E32"/>
    <w:rsid w:val="00B27E69"/>
    <w:rsid w:val="00B27EA8"/>
    <w:rsid w:val="00B27FBA"/>
    <w:rsid w:val="00B27FEC"/>
    <w:rsid w:val="00B3014E"/>
    <w:rsid w:val="00B3015B"/>
    <w:rsid w:val="00B301AD"/>
    <w:rsid w:val="00B301B0"/>
    <w:rsid w:val="00B3046F"/>
    <w:rsid w:val="00B30516"/>
    <w:rsid w:val="00B30728"/>
    <w:rsid w:val="00B30944"/>
    <w:rsid w:val="00B30A72"/>
    <w:rsid w:val="00B30BC1"/>
    <w:rsid w:val="00B30BFB"/>
    <w:rsid w:val="00B30C7A"/>
    <w:rsid w:val="00B30CD5"/>
    <w:rsid w:val="00B30D2E"/>
    <w:rsid w:val="00B30D30"/>
    <w:rsid w:val="00B30E6E"/>
    <w:rsid w:val="00B30E72"/>
    <w:rsid w:val="00B3101A"/>
    <w:rsid w:val="00B31061"/>
    <w:rsid w:val="00B310EC"/>
    <w:rsid w:val="00B31112"/>
    <w:rsid w:val="00B3127E"/>
    <w:rsid w:val="00B312AA"/>
    <w:rsid w:val="00B313E4"/>
    <w:rsid w:val="00B31719"/>
    <w:rsid w:val="00B31865"/>
    <w:rsid w:val="00B31920"/>
    <w:rsid w:val="00B31C0C"/>
    <w:rsid w:val="00B31E60"/>
    <w:rsid w:val="00B31F3C"/>
    <w:rsid w:val="00B32011"/>
    <w:rsid w:val="00B32412"/>
    <w:rsid w:val="00B32416"/>
    <w:rsid w:val="00B3254F"/>
    <w:rsid w:val="00B3259A"/>
    <w:rsid w:val="00B325D3"/>
    <w:rsid w:val="00B325E2"/>
    <w:rsid w:val="00B32774"/>
    <w:rsid w:val="00B32784"/>
    <w:rsid w:val="00B328EE"/>
    <w:rsid w:val="00B32927"/>
    <w:rsid w:val="00B329FC"/>
    <w:rsid w:val="00B32A07"/>
    <w:rsid w:val="00B32B7C"/>
    <w:rsid w:val="00B32B94"/>
    <w:rsid w:val="00B32C89"/>
    <w:rsid w:val="00B32D13"/>
    <w:rsid w:val="00B32FA6"/>
    <w:rsid w:val="00B33094"/>
    <w:rsid w:val="00B330FD"/>
    <w:rsid w:val="00B33109"/>
    <w:rsid w:val="00B33254"/>
    <w:rsid w:val="00B3326A"/>
    <w:rsid w:val="00B33351"/>
    <w:rsid w:val="00B333C7"/>
    <w:rsid w:val="00B33434"/>
    <w:rsid w:val="00B3344F"/>
    <w:rsid w:val="00B334A5"/>
    <w:rsid w:val="00B33953"/>
    <w:rsid w:val="00B339BF"/>
    <w:rsid w:val="00B33AC5"/>
    <w:rsid w:val="00B33B06"/>
    <w:rsid w:val="00B33C5E"/>
    <w:rsid w:val="00B33D1F"/>
    <w:rsid w:val="00B33D4B"/>
    <w:rsid w:val="00B33E6C"/>
    <w:rsid w:val="00B33F9B"/>
    <w:rsid w:val="00B33FDF"/>
    <w:rsid w:val="00B34151"/>
    <w:rsid w:val="00B3416C"/>
    <w:rsid w:val="00B341EC"/>
    <w:rsid w:val="00B3424C"/>
    <w:rsid w:val="00B3430C"/>
    <w:rsid w:val="00B34345"/>
    <w:rsid w:val="00B344E2"/>
    <w:rsid w:val="00B3454E"/>
    <w:rsid w:val="00B345D5"/>
    <w:rsid w:val="00B34658"/>
    <w:rsid w:val="00B346E3"/>
    <w:rsid w:val="00B34755"/>
    <w:rsid w:val="00B34AB7"/>
    <w:rsid w:val="00B34B51"/>
    <w:rsid w:val="00B34C48"/>
    <w:rsid w:val="00B34DA0"/>
    <w:rsid w:val="00B34EC9"/>
    <w:rsid w:val="00B35048"/>
    <w:rsid w:val="00B352F7"/>
    <w:rsid w:val="00B3549C"/>
    <w:rsid w:val="00B354E8"/>
    <w:rsid w:val="00B3557A"/>
    <w:rsid w:val="00B355D6"/>
    <w:rsid w:val="00B35655"/>
    <w:rsid w:val="00B3568F"/>
    <w:rsid w:val="00B357CB"/>
    <w:rsid w:val="00B358FE"/>
    <w:rsid w:val="00B35955"/>
    <w:rsid w:val="00B35A1E"/>
    <w:rsid w:val="00B35AAC"/>
    <w:rsid w:val="00B35BF0"/>
    <w:rsid w:val="00B35C66"/>
    <w:rsid w:val="00B35CA9"/>
    <w:rsid w:val="00B35D0F"/>
    <w:rsid w:val="00B35D71"/>
    <w:rsid w:val="00B35F61"/>
    <w:rsid w:val="00B35FF5"/>
    <w:rsid w:val="00B36020"/>
    <w:rsid w:val="00B36175"/>
    <w:rsid w:val="00B36179"/>
    <w:rsid w:val="00B362A0"/>
    <w:rsid w:val="00B362CE"/>
    <w:rsid w:val="00B362CF"/>
    <w:rsid w:val="00B3630B"/>
    <w:rsid w:val="00B36339"/>
    <w:rsid w:val="00B363A4"/>
    <w:rsid w:val="00B364A5"/>
    <w:rsid w:val="00B36610"/>
    <w:rsid w:val="00B366D7"/>
    <w:rsid w:val="00B3679A"/>
    <w:rsid w:val="00B367DA"/>
    <w:rsid w:val="00B369E2"/>
    <w:rsid w:val="00B36AD6"/>
    <w:rsid w:val="00B36B03"/>
    <w:rsid w:val="00B36CE1"/>
    <w:rsid w:val="00B36DD3"/>
    <w:rsid w:val="00B36DF5"/>
    <w:rsid w:val="00B36E0F"/>
    <w:rsid w:val="00B36EF3"/>
    <w:rsid w:val="00B36F0D"/>
    <w:rsid w:val="00B36FD5"/>
    <w:rsid w:val="00B37241"/>
    <w:rsid w:val="00B37281"/>
    <w:rsid w:val="00B372DA"/>
    <w:rsid w:val="00B37359"/>
    <w:rsid w:val="00B3738E"/>
    <w:rsid w:val="00B3742B"/>
    <w:rsid w:val="00B375C1"/>
    <w:rsid w:val="00B37A01"/>
    <w:rsid w:val="00B37A5D"/>
    <w:rsid w:val="00B37BED"/>
    <w:rsid w:val="00B37C82"/>
    <w:rsid w:val="00B37C9E"/>
    <w:rsid w:val="00B37DB5"/>
    <w:rsid w:val="00B37E89"/>
    <w:rsid w:val="00B37EAD"/>
    <w:rsid w:val="00B37FCC"/>
    <w:rsid w:val="00B40149"/>
    <w:rsid w:val="00B4020C"/>
    <w:rsid w:val="00B4034E"/>
    <w:rsid w:val="00B4052F"/>
    <w:rsid w:val="00B4065F"/>
    <w:rsid w:val="00B406A5"/>
    <w:rsid w:val="00B406E6"/>
    <w:rsid w:val="00B40725"/>
    <w:rsid w:val="00B4072E"/>
    <w:rsid w:val="00B40759"/>
    <w:rsid w:val="00B407E8"/>
    <w:rsid w:val="00B40820"/>
    <w:rsid w:val="00B40886"/>
    <w:rsid w:val="00B408DF"/>
    <w:rsid w:val="00B408F8"/>
    <w:rsid w:val="00B4094F"/>
    <w:rsid w:val="00B40955"/>
    <w:rsid w:val="00B40A16"/>
    <w:rsid w:val="00B40A51"/>
    <w:rsid w:val="00B40C69"/>
    <w:rsid w:val="00B40DE3"/>
    <w:rsid w:val="00B40FBB"/>
    <w:rsid w:val="00B40FD0"/>
    <w:rsid w:val="00B40FE4"/>
    <w:rsid w:val="00B411F2"/>
    <w:rsid w:val="00B41323"/>
    <w:rsid w:val="00B41325"/>
    <w:rsid w:val="00B413D1"/>
    <w:rsid w:val="00B415C1"/>
    <w:rsid w:val="00B4171C"/>
    <w:rsid w:val="00B417A8"/>
    <w:rsid w:val="00B417D4"/>
    <w:rsid w:val="00B4183A"/>
    <w:rsid w:val="00B418EB"/>
    <w:rsid w:val="00B41965"/>
    <w:rsid w:val="00B419CB"/>
    <w:rsid w:val="00B41A4D"/>
    <w:rsid w:val="00B41A95"/>
    <w:rsid w:val="00B41BE4"/>
    <w:rsid w:val="00B41D2D"/>
    <w:rsid w:val="00B41DAC"/>
    <w:rsid w:val="00B4205B"/>
    <w:rsid w:val="00B42065"/>
    <w:rsid w:val="00B42066"/>
    <w:rsid w:val="00B42244"/>
    <w:rsid w:val="00B42259"/>
    <w:rsid w:val="00B422C4"/>
    <w:rsid w:val="00B422FD"/>
    <w:rsid w:val="00B423E3"/>
    <w:rsid w:val="00B42463"/>
    <w:rsid w:val="00B424B3"/>
    <w:rsid w:val="00B424CE"/>
    <w:rsid w:val="00B424EA"/>
    <w:rsid w:val="00B4262D"/>
    <w:rsid w:val="00B428AD"/>
    <w:rsid w:val="00B42A6B"/>
    <w:rsid w:val="00B42C09"/>
    <w:rsid w:val="00B42DAC"/>
    <w:rsid w:val="00B42E12"/>
    <w:rsid w:val="00B42E18"/>
    <w:rsid w:val="00B42E4F"/>
    <w:rsid w:val="00B42EB4"/>
    <w:rsid w:val="00B42F3D"/>
    <w:rsid w:val="00B4314B"/>
    <w:rsid w:val="00B432FD"/>
    <w:rsid w:val="00B4350C"/>
    <w:rsid w:val="00B435B3"/>
    <w:rsid w:val="00B435CC"/>
    <w:rsid w:val="00B4376B"/>
    <w:rsid w:val="00B437CD"/>
    <w:rsid w:val="00B4380A"/>
    <w:rsid w:val="00B43814"/>
    <w:rsid w:val="00B4398C"/>
    <w:rsid w:val="00B439AC"/>
    <w:rsid w:val="00B43AF6"/>
    <w:rsid w:val="00B43B40"/>
    <w:rsid w:val="00B43BD4"/>
    <w:rsid w:val="00B43FE0"/>
    <w:rsid w:val="00B44045"/>
    <w:rsid w:val="00B440AA"/>
    <w:rsid w:val="00B440C2"/>
    <w:rsid w:val="00B440DE"/>
    <w:rsid w:val="00B44170"/>
    <w:rsid w:val="00B44241"/>
    <w:rsid w:val="00B44282"/>
    <w:rsid w:val="00B4431B"/>
    <w:rsid w:val="00B443A5"/>
    <w:rsid w:val="00B44403"/>
    <w:rsid w:val="00B444F0"/>
    <w:rsid w:val="00B445EC"/>
    <w:rsid w:val="00B44684"/>
    <w:rsid w:val="00B44695"/>
    <w:rsid w:val="00B446EA"/>
    <w:rsid w:val="00B44742"/>
    <w:rsid w:val="00B448D7"/>
    <w:rsid w:val="00B449BF"/>
    <w:rsid w:val="00B44AEF"/>
    <w:rsid w:val="00B44C88"/>
    <w:rsid w:val="00B44CC9"/>
    <w:rsid w:val="00B44E61"/>
    <w:rsid w:val="00B451F6"/>
    <w:rsid w:val="00B4527D"/>
    <w:rsid w:val="00B4538D"/>
    <w:rsid w:val="00B4555C"/>
    <w:rsid w:val="00B455AB"/>
    <w:rsid w:val="00B45611"/>
    <w:rsid w:val="00B457B0"/>
    <w:rsid w:val="00B45CBA"/>
    <w:rsid w:val="00B45DB1"/>
    <w:rsid w:val="00B45E0A"/>
    <w:rsid w:val="00B45E30"/>
    <w:rsid w:val="00B45EA4"/>
    <w:rsid w:val="00B45F95"/>
    <w:rsid w:val="00B45FB1"/>
    <w:rsid w:val="00B4601D"/>
    <w:rsid w:val="00B460E0"/>
    <w:rsid w:val="00B461F1"/>
    <w:rsid w:val="00B46302"/>
    <w:rsid w:val="00B46332"/>
    <w:rsid w:val="00B46352"/>
    <w:rsid w:val="00B4636E"/>
    <w:rsid w:val="00B46386"/>
    <w:rsid w:val="00B463C4"/>
    <w:rsid w:val="00B46480"/>
    <w:rsid w:val="00B464B5"/>
    <w:rsid w:val="00B464BF"/>
    <w:rsid w:val="00B464CC"/>
    <w:rsid w:val="00B46542"/>
    <w:rsid w:val="00B465DE"/>
    <w:rsid w:val="00B46627"/>
    <w:rsid w:val="00B466CA"/>
    <w:rsid w:val="00B4671B"/>
    <w:rsid w:val="00B46786"/>
    <w:rsid w:val="00B467D5"/>
    <w:rsid w:val="00B467F1"/>
    <w:rsid w:val="00B4692C"/>
    <w:rsid w:val="00B46A15"/>
    <w:rsid w:val="00B46AA2"/>
    <w:rsid w:val="00B46B5E"/>
    <w:rsid w:val="00B46C60"/>
    <w:rsid w:val="00B46CD3"/>
    <w:rsid w:val="00B46FB9"/>
    <w:rsid w:val="00B47074"/>
    <w:rsid w:val="00B47191"/>
    <w:rsid w:val="00B47287"/>
    <w:rsid w:val="00B472DF"/>
    <w:rsid w:val="00B4739A"/>
    <w:rsid w:val="00B473E1"/>
    <w:rsid w:val="00B47447"/>
    <w:rsid w:val="00B474EF"/>
    <w:rsid w:val="00B47526"/>
    <w:rsid w:val="00B475C5"/>
    <w:rsid w:val="00B475D6"/>
    <w:rsid w:val="00B476E4"/>
    <w:rsid w:val="00B477B4"/>
    <w:rsid w:val="00B4786A"/>
    <w:rsid w:val="00B478D6"/>
    <w:rsid w:val="00B4799E"/>
    <w:rsid w:val="00B479F9"/>
    <w:rsid w:val="00B47BB0"/>
    <w:rsid w:val="00B47C93"/>
    <w:rsid w:val="00B47CAE"/>
    <w:rsid w:val="00B47CC9"/>
    <w:rsid w:val="00B47CFA"/>
    <w:rsid w:val="00B47DEB"/>
    <w:rsid w:val="00B47EDA"/>
    <w:rsid w:val="00B47F21"/>
    <w:rsid w:val="00B47FDF"/>
    <w:rsid w:val="00B5026A"/>
    <w:rsid w:val="00B50310"/>
    <w:rsid w:val="00B5038A"/>
    <w:rsid w:val="00B50425"/>
    <w:rsid w:val="00B50576"/>
    <w:rsid w:val="00B505F5"/>
    <w:rsid w:val="00B506BC"/>
    <w:rsid w:val="00B50760"/>
    <w:rsid w:val="00B50808"/>
    <w:rsid w:val="00B508A4"/>
    <w:rsid w:val="00B508EB"/>
    <w:rsid w:val="00B50962"/>
    <w:rsid w:val="00B509D7"/>
    <w:rsid w:val="00B50C0E"/>
    <w:rsid w:val="00B50C2C"/>
    <w:rsid w:val="00B50C35"/>
    <w:rsid w:val="00B50CAC"/>
    <w:rsid w:val="00B50E05"/>
    <w:rsid w:val="00B50ED7"/>
    <w:rsid w:val="00B5107E"/>
    <w:rsid w:val="00B510BF"/>
    <w:rsid w:val="00B5116A"/>
    <w:rsid w:val="00B5123B"/>
    <w:rsid w:val="00B51299"/>
    <w:rsid w:val="00B512B1"/>
    <w:rsid w:val="00B51604"/>
    <w:rsid w:val="00B5162B"/>
    <w:rsid w:val="00B51667"/>
    <w:rsid w:val="00B51682"/>
    <w:rsid w:val="00B51686"/>
    <w:rsid w:val="00B516A5"/>
    <w:rsid w:val="00B5181E"/>
    <w:rsid w:val="00B51926"/>
    <w:rsid w:val="00B5193B"/>
    <w:rsid w:val="00B519A0"/>
    <w:rsid w:val="00B51A62"/>
    <w:rsid w:val="00B51C70"/>
    <w:rsid w:val="00B51DCC"/>
    <w:rsid w:val="00B51F8D"/>
    <w:rsid w:val="00B52009"/>
    <w:rsid w:val="00B520C5"/>
    <w:rsid w:val="00B52128"/>
    <w:rsid w:val="00B521F3"/>
    <w:rsid w:val="00B522CE"/>
    <w:rsid w:val="00B522DA"/>
    <w:rsid w:val="00B523C1"/>
    <w:rsid w:val="00B52455"/>
    <w:rsid w:val="00B525BC"/>
    <w:rsid w:val="00B52703"/>
    <w:rsid w:val="00B52718"/>
    <w:rsid w:val="00B5278A"/>
    <w:rsid w:val="00B52825"/>
    <w:rsid w:val="00B52852"/>
    <w:rsid w:val="00B52AA4"/>
    <w:rsid w:val="00B52E08"/>
    <w:rsid w:val="00B52E1F"/>
    <w:rsid w:val="00B52E5D"/>
    <w:rsid w:val="00B52EE7"/>
    <w:rsid w:val="00B52F67"/>
    <w:rsid w:val="00B530B3"/>
    <w:rsid w:val="00B530CC"/>
    <w:rsid w:val="00B530E4"/>
    <w:rsid w:val="00B531ED"/>
    <w:rsid w:val="00B53209"/>
    <w:rsid w:val="00B53258"/>
    <w:rsid w:val="00B53381"/>
    <w:rsid w:val="00B535F3"/>
    <w:rsid w:val="00B53658"/>
    <w:rsid w:val="00B536AF"/>
    <w:rsid w:val="00B53770"/>
    <w:rsid w:val="00B53825"/>
    <w:rsid w:val="00B53BB6"/>
    <w:rsid w:val="00B53DE1"/>
    <w:rsid w:val="00B53EB6"/>
    <w:rsid w:val="00B53FA5"/>
    <w:rsid w:val="00B54065"/>
    <w:rsid w:val="00B54084"/>
    <w:rsid w:val="00B5444A"/>
    <w:rsid w:val="00B544F5"/>
    <w:rsid w:val="00B54522"/>
    <w:rsid w:val="00B54567"/>
    <w:rsid w:val="00B5459D"/>
    <w:rsid w:val="00B547A9"/>
    <w:rsid w:val="00B54811"/>
    <w:rsid w:val="00B548CF"/>
    <w:rsid w:val="00B54A7B"/>
    <w:rsid w:val="00B54A86"/>
    <w:rsid w:val="00B54A92"/>
    <w:rsid w:val="00B54B38"/>
    <w:rsid w:val="00B54B48"/>
    <w:rsid w:val="00B54B7D"/>
    <w:rsid w:val="00B54D2D"/>
    <w:rsid w:val="00B54DCC"/>
    <w:rsid w:val="00B54EEA"/>
    <w:rsid w:val="00B55395"/>
    <w:rsid w:val="00B5541A"/>
    <w:rsid w:val="00B55487"/>
    <w:rsid w:val="00B555B4"/>
    <w:rsid w:val="00B55603"/>
    <w:rsid w:val="00B5599D"/>
    <w:rsid w:val="00B559CB"/>
    <w:rsid w:val="00B55ABD"/>
    <w:rsid w:val="00B55C5D"/>
    <w:rsid w:val="00B55CB7"/>
    <w:rsid w:val="00B55F15"/>
    <w:rsid w:val="00B55FB4"/>
    <w:rsid w:val="00B55FF6"/>
    <w:rsid w:val="00B5601B"/>
    <w:rsid w:val="00B560F5"/>
    <w:rsid w:val="00B561FF"/>
    <w:rsid w:val="00B56245"/>
    <w:rsid w:val="00B562CF"/>
    <w:rsid w:val="00B562DB"/>
    <w:rsid w:val="00B563A8"/>
    <w:rsid w:val="00B563B4"/>
    <w:rsid w:val="00B563E1"/>
    <w:rsid w:val="00B56626"/>
    <w:rsid w:val="00B56675"/>
    <w:rsid w:val="00B5677E"/>
    <w:rsid w:val="00B567AB"/>
    <w:rsid w:val="00B567B8"/>
    <w:rsid w:val="00B5694F"/>
    <w:rsid w:val="00B56A05"/>
    <w:rsid w:val="00B56A80"/>
    <w:rsid w:val="00B56AAD"/>
    <w:rsid w:val="00B56ADB"/>
    <w:rsid w:val="00B56AFD"/>
    <w:rsid w:val="00B56B8D"/>
    <w:rsid w:val="00B56CF2"/>
    <w:rsid w:val="00B56D11"/>
    <w:rsid w:val="00B56E97"/>
    <w:rsid w:val="00B56F6F"/>
    <w:rsid w:val="00B56F93"/>
    <w:rsid w:val="00B56FD3"/>
    <w:rsid w:val="00B570AE"/>
    <w:rsid w:val="00B571B5"/>
    <w:rsid w:val="00B57332"/>
    <w:rsid w:val="00B574C3"/>
    <w:rsid w:val="00B574CA"/>
    <w:rsid w:val="00B57592"/>
    <w:rsid w:val="00B57898"/>
    <w:rsid w:val="00B57927"/>
    <w:rsid w:val="00B5795B"/>
    <w:rsid w:val="00B5795D"/>
    <w:rsid w:val="00B5797A"/>
    <w:rsid w:val="00B57AA7"/>
    <w:rsid w:val="00B57BC0"/>
    <w:rsid w:val="00B57C5A"/>
    <w:rsid w:val="00B57D5C"/>
    <w:rsid w:val="00B57D9B"/>
    <w:rsid w:val="00B57F6D"/>
    <w:rsid w:val="00B57FDB"/>
    <w:rsid w:val="00B602A2"/>
    <w:rsid w:val="00B60314"/>
    <w:rsid w:val="00B6036E"/>
    <w:rsid w:val="00B605DC"/>
    <w:rsid w:val="00B60659"/>
    <w:rsid w:val="00B6065B"/>
    <w:rsid w:val="00B60668"/>
    <w:rsid w:val="00B606DA"/>
    <w:rsid w:val="00B607FF"/>
    <w:rsid w:val="00B60822"/>
    <w:rsid w:val="00B6082F"/>
    <w:rsid w:val="00B60A36"/>
    <w:rsid w:val="00B60B81"/>
    <w:rsid w:val="00B60D04"/>
    <w:rsid w:val="00B60D1A"/>
    <w:rsid w:val="00B60DA8"/>
    <w:rsid w:val="00B60EBC"/>
    <w:rsid w:val="00B60FA0"/>
    <w:rsid w:val="00B6108F"/>
    <w:rsid w:val="00B610BF"/>
    <w:rsid w:val="00B61172"/>
    <w:rsid w:val="00B61248"/>
    <w:rsid w:val="00B6133F"/>
    <w:rsid w:val="00B613CF"/>
    <w:rsid w:val="00B614B6"/>
    <w:rsid w:val="00B61638"/>
    <w:rsid w:val="00B616BD"/>
    <w:rsid w:val="00B616FD"/>
    <w:rsid w:val="00B6181A"/>
    <w:rsid w:val="00B61823"/>
    <w:rsid w:val="00B6192E"/>
    <w:rsid w:val="00B61B4C"/>
    <w:rsid w:val="00B61BBD"/>
    <w:rsid w:val="00B61C42"/>
    <w:rsid w:val="00B61C9C"/>
    <w:rsid w:val="00B61CC7"/>
    <w:rsid w:val="00B61DDA"/>
    <w:rsid w:val="00B61EEC"/>
    <w:rsid w:val="00B62047"/>
    <w:rsid w:val="00B62074"/>
    <w:rsid w:val="00B6207D"/>
    <w:rsid w:val="00B62094"/>
    <w:rsid w:val="00B6209C"/>
    <w:rsid w:val="00B6224F"/>
    <w:rsid w:val="00B623F1"/>
    <w:rsid w:val="00B624B1"/>
    <w:rsid w:val="00B6259D"/>
    <w:rsid w:val="00B625AD"/>
    <w:rsid w:val="00B62613"/>
    <w:rsid w:val="00B626AF"/>
    <w:rsid w:val="00B62715"/>
    <w:rsid w:val="00B62771"/>
    <w:rsid w:val="00B628A9"/>
    <w:rsid w:val="00B628D7"/>
    <w:rsid w:val="00B6295D"/>
    <w:rsid w:val="00B62A34"/>
    <w:rsid w:val="00B62A7F"/>
    <w:rsid w:val="00B62B78"/>
    <w:rsid w:val="00B62B97"/>
    <w:rsid w:val="00B62BE4"/>
    <w:rsid w:val="00B62C02"/>
    <w:rsid w:val="00B62C64"/>
    <w:rsid w:val="00B62C66"/>
    <w:rsid w:val="00B62C9B"/>
    <w:rsid w:val="00B62CBD"/>
    <w:rsid w:val="00B62D29"/>
    <w:rsid w:val="00B62DCA"/>
    <w:rsid w:val="00B62F0D"/>
    <w:rsid w:val="00B62F44"/>
    <w:rsid w:val="00B6304A"/>
    <w:rsid w:val="00B630CC"/>
    <w:rsid w:val="00B6316E"/>
    <w:rsid w:val="00B631F4"/>
    <w:rsid w:val="00B63554"/>
    <w:rsid w:val="00B636E2"/>
    <w:rsid w:val="00B63719"/>
    <w:rsid w:val="00B637FE"/>
    <w:rsid w:val="00B63A92"/>
    <w:rsid w:val="00B63C3C"/>
    <w:rsid w:val="00B63C5E"/>
    <w:rsid w:val="00B63FDB"/>
    <w:rsid w:val="00B64016"/>
    <w:rsid w:val="00B640A5"/>
    <w:rsid w:val="00B64244"/>
    <w:rsid w:val="00B6427F"/>
    <w:rsid w:val="00B6455A"/>
    <w:rsid w:val="00B64596"/>
    <w:rsid w:val="00B645B4"/>
    <w:rsid w:val="00B645C4"/>
    <w:rsid w:val="00B645CA"/>
    <w:rsid w:val="00B645F2"/>
    <w:rsid w:val="00B64680"/>
    <w:rsid w:val="00B646A2"/>
    <w:rsid w:val="00B64789"/>
    <w:rsid w:val="00B64842"/>
    <w:rsid w:val="00B64875"/>
    <w:rsid w:val="00B64BC4"/>
    <w:rsid w:val="00B64BD4"/>
    <w:rsid w:val="00B64CFB"/>
    <w:rsid w:val="00B64D18"/>
    <w:rsid w:val="00B64DE9"/>
    <w:rsid w:val="00B64FBE"/>
    <w:rsid w:val="00B64FDE"/>
    <w:rsid w:val="00B6504C"/>
    <w:rsid w:val="00B6511F"/>
    <w:rsid w:val="00B651F7"/>
    <w:rsid w:val="00B652CF"/>
    <w:rsid w:val="00B652DB"/>
    <w:rsid w:val="00B656B8"/>
    <w:rsid w:val="00B6578C"/>
    <w:rsid w:val="00B657D0"/>
    <w:rsid w:val="00B657DC"/>
    <w:rsid w:val="00B659CB"/>
    <w:rsid w:val="00B659D1"/>
    <w:rsid w:val="00B65B40"/>
    <w:rsid w:val="00B65B96"/>
    <w:rsid w:val="00B65CA4"/>
    <w:rsid w:val="00B65CED"/>
    <w:rsid w:val="00B65E18"/>
    <w:rsid w:val="00B65F76"/>
    <w:rsid w:val="00B65FDB"/>
    <w:rsid w:val="00B660FB"/>
    <w:rsid w:val="00B66158"/>
    <w:rsid w:val="00B6622A"/>
    <w:rsid w:val="00B662E3"/>
    <w:rsid w:val="00B66348"/>
    <w:rsid w:val="00B6644A"/>
    <w:rsid w:val="00B66598"/>
    <w:rsid w:val="00B665DA"/>
    <w:rsid w:val="00B665EF"/>
    <w:rsid w:val="00B665F6"/>
    <w:rsid w:val="00B66646"/>
    <w:rsid w:val="00B6675E"/>
    <w:rsid w:val="00B667A3"/>
    <w:rsid w:val="00B66832"/>
    <w:rsid w:val="00B668A1"/>
    <w:rsid w:val="00B669D8"/>
    <w:rsid w:val="00B66BC7"/>
    <w:rsid w:val="00B66C3E"/>
    <w:rsid w:val="00B66C68"/>
    <w:rsid w:val="00B66EFF"/>
    <w:rsid w:val="00B67108"/>
    <w:rsid w:val="00B67185"/>
    <w:rsid w:val="00B671DD"/>
    <w:rsid w:val="00B671EF"/>
    <w:rsid w:val="00B6722E"/>
    <w:rsid w:val="00B672F3"/>
    <w:rsid w:val="00B67374"/>
    <w:rsid w:val="00B67629"/>
    <w:rsid w:val="00B676DA"/>
    <w:rsid w:val="00B676ED"/>
    <w:rsid w:val="00B67848"/>
    <w:rsid w:val="00B67902"/>
    <w:rsid w:val="00B67981"/>
    <w:rsid w:val="00B67A92"/>
    <w:rsid w:val="00B67AF1"/>
    <w:rsid w:val="00B67C72"/>
    <w:rsid w:val="00B67D49"/>
    <w:rsid w:val="00B67DEF"/>
    <w:rsid w:val="00B67DF1"/>
    <w:rsid w:val="00B67F33"/>
    <w:rsid w:val="00B67F63"/>
    <w:rsid w:val="00B70059"/>
    <w:rsid w:val="00B70280"/>
    <w:rsid w:val="00B7037D"/>
    <w:rsid w:val="00B703A7"/>
    <w:rsid w:val="00B703E7"/>
    <w:rsid w:val="00B7049F"/>
    <w:rsid w:val="00B70514"/>
    <w:rsid w:val="00B7067C"/>
    <w:rsid w:val="00B7069F"/>
    <w:rsid w:val="00B70721"/>
    <w:rsid w:val="00B7075C"/>
    <w:rsid w:val="00B7086D"/>
    <w:rsid w:val="00B70901"/>
    <w:rsid w:val="00B7097A"/>
    <w:rsid w:val="00B70AED"/>
    <w:rsid w:val="00B70B08"/>
    <w:rsid w:val="00B70B6A"/>
    <w:rsid w:val="00B70BB8"/>
    <w:rsid w:val="00B70D48"/>
    <w:rsid w:val="00B70EA0"/>
    <w:rsid w:val="00B7100B"/>
    <w:rsid w:val="00B711DD"/>
    <w:rsid w:val="00B71253"/>
    <w:rsid w:val="00B7125D"/>
    <w:rsid w:val="00B71403"/>
    <w:rsid w:val="00B71442"/>
    <w:rsid w:val="00B714D8"/>
    <w:rsid w:val="00B7173F"/>
    <w:rsid w:val="00B718E8"/>
    <w:rsid w:val="00B71A27"/>
    <w:rsid w:val="00B71A6C"/>
    <w:rsid w:val="00B71B75"/>
    <w:rsid w:val="00B71B76"/>
    <w:rsid w:val="00B71C35"/>
    <w:rsid w:val="00B71DD2"/>
    <w:rsid w:val="00B71F5E"/>
    <w:rsid w:val="00B71F74"/>
    <w:rsid w:val="00B71FAE"/>
    <w:rsid w:val="00B7201E"/>
    <w:rsid w:val="00B7213D"/>
    <w:rsid w:val="00B72237"/>
    <w:rsid w:val="00B722D6"/>
    <w:rsid w:val="00B722F5"/>
    <w:rsid w:val="00B7237D"/>
    <w:rsid w:val="00B723C5"/>
    <w:rsid w:val="00B723E7"/>
    <w:rsid w:val="00B72413"/>
    <w:rsid w:val="00B72446"/>
    <w:rsid w:val="00B724CB"/>
    <w:rsid w:val="00B72595"/>
    <w:rsid w:val="00B725A1"/>
    <w:rsid w:val="00B7263D"/>
    <w:rsid w:val="00B726CF"/>
    <w:rsid w:val="00B727A0"/>
    <w:rsid w:val="00B727A1"/>
    <w:rsid w:val="00B72826"/>
    <w:rsid w:val="00B72859"/>
    <w:rsid w:val="00B7288C"/>
    <w:rsid w:val="00B7290C"/>
    <w:rsid w:val="00B7293E"/>
    <w:rsid w:val="00B7294D"/>
    <w:rsid w:val="00B72AA0"/>
    <w:rsid w:val="00B72B17"/>
    <w:rsid w:val="00B72B44"/>
    <w:rsid w:val="00B72BDC"/>
    <w:rsid w:val="00B72E9F"/>
    <w:rsid w:val="00B72F19"/>
    <w:rsid w:val="00B72F5E"/>
    <w:rsid w:val="00B730A3"/>
    <w:rsid w:val="00B73130"/>
    <w:rsid w:val="00B73132"/>
    <w:rsid w:val="00B735F6"/>
    <w:rsid w:val="00B737CD"/>
    <w:rsid w:val="00B73869"/>
    <w:rsid w:val="00B73A9F"/>
    <w:rsid w:val="00B73AF6"/>
    <w:rsid w:val="00B73B00"/>
    <w:rsid w:val="00B73BC0"/>
    <w:rsid w:val="00B73CC0"/>
    <w:rsid w:val="00B73D70"/>
    <w:rsid w:val="00B73DA2"/>
    <w:rsid w:val="00B73DEA"/>
    <w:rsid w:val="00B73FDF"/>
    <w:rsid w:val="00B7416E"/>
    <w:rsid w:val="00B74176"/>
    <w:rsid w:val="00B7420B"/>
    <w:rsid w:val="00B742C1"/>
    <w:rsid w:val="00B74345"/>
    <w:rsid w:val="00B743E9"/>
    <w:rsid w:val="00B7442A"/>
    <w:rsid w:val="00B74549"/>
    <w:rsid w:val="00B74593"/>
    <w:rsid w:val="00B745F1"/>
    <w:rsid w:val="00B7463F"/>
    <w:rsid w:val="00B74694"/>
    <w:rsid w:val="00B748A2"/>
    <w:rsid w:val="00B748B0"/>
    <w:rsid w:val="00B748BD"/>
    <w:rsid w:val="00B74A73"/>
    <w:rsid w:val="00B74AFF"/>
    <w:rsid w:val="00B74BAA"/>
    <w:rsid w:val="00B74C46"/>
    <w:rsid w:val="00B74F50"/>
    <w:rsid w:val="00B74FA6"/>
    <w:rsid w:val="00B7502E"/>
    <w:rsid w:val="00B7505D"/>
    <w:rsid w:val="00B750D9"/>
    <w:rsid w:val="00B75143"/>
    <w:rsid w:val="00B752CE"/>
    <w:rsid w:val="00B75416"/>
    <w:rsid w:val="00B75675"/>
    <w:rsid w:val="00B756E0"/>
    <w:rsid w:val="00B75701"/>
    <w:rsid w:val="00B75738"/>
    <w:rsid w:val="00B757CA"/>
    <w:rsid w:val="00B75A1E"/>
    <w:rsid w:val="00B75A48"/>
    <w:rsid w:val="00B75AAD"/>
    <w:rsid w:val="00B75C0E"/>
    <w:rsid w:val="00B75C2D"/>
    <w:rsid w:val="00B75C31"/>
    <w:rsid w:val="00B75D7D"/>
    <w:rsid w:val="00B75E11"/>
    <w:rsid w:val="00B75EEB"/>
    <w:rsid w:val="00B75F57"/>
    <w:rsid w:val="00B76042"/>
    <w:rsid w:val="00B760B1"/>
    <w:rsid w:val="00B760C2"/>
    <w:rsid w:val="00B7630D"/>
    <w:rsid w:val="00B7634F"/>
    <w:rsid w:val="00B76395"/>
    <w:rsid w:val="00B76462"/>
    <w:rsid w:val="00B7646B"/>
    <w:rsid w:val="00B76498"/>
    <w:rsid w:val="00B764B6"/>
    <w:rsid w:val="00B765AD"/>
    <w:rsid w:val="00B7666E"/>
    <w:rsid w:val="00B76689"/>
    <w:rsid w:val="00B766F4"/>
    <w:rsid w:val="00B76768"/>
    <w:rsid w:val="00B768CB"/>
    <w:rsid w:val="00B769A6"/>
    <w:rsid w:val="00B76A6F"/>
    <w:rsid w:val="00B76DEF"/>
    <w:rsid w:val="00B770FA"/>
    <w:rsid w:val="00B7715D"/>
    <w:rsid w:val="00B771EF"/>
    <w:rsid w:val="00B77224"/>
    <w:rsid w:val="00B7723A"/>
    <w:rsid w:val="00B772AF"/>
    <w:rsid w:val="00B773B0"/>
    <w:rsid w:val="00B773F1"/>
    <w:rsid w:val="00B77473"/>
    <w:rsid w:val="00B7747D"/>
    <w:rsid w:val="00B774AE"/>
    <w:rsid w:val="00B774BC"/>
    <w:rsid w:val="00B774FA"/>
    <w:rsid w:val="00B77584"/>
    <w:rsid w:val="00B775D5"/>
    <w:rsid w:val="00B777B6"/>
    <w:rsid w:val="00B777BE"/>
    <w:rsid w:val="00B77832"/>
    <w:rsid w:val="00B7792F"/>
    <w:rsid w:val="00B779A9"/>
    <w:rsid w:val="00B779E2"/>
    <w:rsid w:val="00B77B5F"/>
    <w:rsid w:val="00B77B82"/>
    <w:rsid w:val="00B77BE9"/>
    <w:rsid w:val="00B77C6B"/>
    <w:rsid w:val="00B77D6D"/>
    <w:rsid w:val="00B77F66"/>
    <w:rsid w:val="00B77FF3"/>
    <w:rsid w:val="00B80063"/>
    <w:rsid w:val="00B80311"/>
    <w:rsid w:val="00B80461"/>
    <w:rsid w:val="00B8050A"/>
    <w:rsid w:val="00B8056C"/>
    <w:rsid w:val="00B80644"/>
    <w:rsid w:val="00B80666"/>
    <w:rsid w:val="00B8069F"/>
    <w:rsid w:val="00B808CB"/>
    <w:rsid w:val="00B808DE"/>
    <w:rsid w:val="00B80B6D"/>
    <w:rsid w:val="00B80BB2"/>
    <w:rsid w:val="00B80C12"/>
    <w:rsid w:val="00B80D21"/>
    <w:rsid w:val="00B80F8C"/>
    <w:rsid w:val="00B80F9B"/>
    <w:rsid w:val="00B80FD2"/>
    <w:rsid w:val="00B81199"/>
    <w:rsid w:val="00B812C0"/>
    <w:rsid w:val="00B812F0"/>
    <w:rsid w:val="00B8135A"/>
    <w:rsid w:val="00B81396"/>
    <w:rsid w:val="00B81524"/>
    <w:rsid w:val="00B81713"/>
    <w:rsid w:val="00B81761"/>
    <w:rsid w:val="00B817BE"/>
    <w:rsid w:val="00B818A7"/>
    <w:rsid w:val="00B81AB5"/>
    <w:rsid w:val="00B81B7D"/>
    <w:rsid w:val="00B81C05"/>
    <w:rsid w:val="00B81D6B"/>
    <w:rsid w:val="00B81D85"/>
    <w:rsid w:val="00B8203C"/>
    <w:rsid w:val="00B82079"/>
    <w:rsid w:val="00B820F7"/>
    <w:rsid w:val="00B82228"/>
    <w:rsid w:val="00B8226E"/>
    <w:rsid w:val="00B823D7"/>
    <w:rsid w:val="00B824EE"/>
    <w:rsid w:val="00B8250F"/>
    <w:rsid w:val="00B82529"/>
    <w:rsid w:val="00B82702"/>
    <w:rsid w:val="00B827AF"/>
    <w:rsid w:val="00B827E2"/>
    <w:rsid w:val="00B82805"/>
    <w:rsid w:val="00B82810"/>
    <w:rsid w:val="00B829A5"/>
    <w:rsid w:val="00B82A50"/>
    <w:rsid w:val="00B82AC2"/>
    <w:rsid w:val="00B82AC5"/>
    <w:rsid w:val="00B82C11"/>
    <w:rsid w:val="00B82C9A"/>
    <w:rsid w:val="00B82DA9"/>
    <w:rsid w:val="00B82E54"/>
    <w:rsid w:val="00B82F32"/>
    <w:rsid w:val="00B8303F"/>
    <w:rsid w:val="00B8318E"/>
    <w:rsid w:val="00B832E9"/>
    <w:rsid w:val="00B83362"/>
    <w:rsid w:val="00B833FD"/>
    <w:rsid w:val="00B834AB"/>
    <w:rsid w:val="00B834B0"/>
    <w:rsid w:val="00B83554"/>
    <w:rsid w:val="00B83592"/>
    <w:rsid w:val="00B83613"/>
    <w:rsid w:val="00B8375B"/>
    <w:rsid w:val="00B838A8"/>
    <w:rsid w:val="00B8394F"/>
    <w:rsid w:val="00B83BBC"/>
    <w:rsid w:val="00B83D7C"/>
    <w:rsid w:val="00B83E0C"/>
    <w:rsid w:val="00B83EAB"/>
    <w:rsid w:val="00B83F34"/>
    <w:rsid w:val="00B83FF3"/>
    <w:rsid w:val="00B8422D"/>
    <w:rsid w:val="00B84491"/>
    <w:rsid w:val="00B84512"/>
    <w:rsid w:val="00B84615"/>
    <w:rsid w:val="00B84617"/>
    <w:rsid w:val="00B846B3"/>
    <w:rsid w:val="00B84723"/>
    <w:rsid w:val="00B84808"/>
    <w:rsid w:val="00B84A01"/>
    <w:rsid w:val="00B84AD3"/>
    <w:rsid w:val="00B84B09"/>
    <w:rsid w:val="00B84B5E"/>
    <w:rsid w:val="00B84DF6"/>
    <w:rsid w:val="00B84F4A"/>
    <w:rsid w:val="00B85019"/>
    <w:rsid w:val="00B850ED"/>
    <w:rsid w:val="00B85120"/>
    <w:rsid w:val="00B85181"/>
    <w:rsid w:val="00B8529B"/>
    <w:rsid w:val="00B852D9"/>
    <w:rsid w:val="00B85359"/>
    <w:rsid w:val="00B85423"/>
    <w:rsid w:val="00B85431"/>
    <w:rsid w:val="00B85481"/>
    <w:rsid w:val="00B855D5"/>
    <w:rsid w:val="00B8560C"/>
    <w:rsid w:val="00B85610"/>
    <w:rsid w:val="00B85771"/>
    <w:rsid w:val="00B857C2"/>
    <w:rsid w:val="00B858B7"/>
    <w:rsid w:val="00B85A01"/>
    <w:rsid w:val="00B85A33"/>
    <w:rsid w:val="00B85B6C"/>
    <w:rsid w:val="00B85B94"/>
    <w:rsid w:val="00B85D06"/>
    <w:rsid w:val="00B85D65"/>
    <w:rsid w:val="00B85E3A"/>
    <w:rsid w:val="00B85E69"/>
    <w:rsid w:val="00B85F2D"/>
    <w:rsid w:val="00B85F89"/>
    <w:rsid w:val="00B86193"/>
    <w:rsid w:val="00B86213"/>
    <w:rsid w:val="00B8624D"/>
    <w:rsid w:val="00B862B6"/>
    <w:rsid w:val="00B862B9"/>
    <w:rsid w:val="00B8634D"/>
    <w:rsid w:val="00B863AD"/>
    <w:rsid w:val="00B863E7"/>
    <w:rsid w:val="00B864C7"/>
    <w:rsid w:val="00B8676A"/>
    <w:rsid w:val="00B868B6"/>
    <w:rsid w:val="00B868B7"/>
    <w:rsid w:val="00B868FD"/>
    <w:rsid w:val="00B86AE3"/>
    <w:rsid w:val="00B86B60"/>
    <w:rsid w:val="00B86C5D"/>
    <w:rsid w:val="00B86CB5"/>
    <w:rsid w:val="00B86DC5"/>
    <w:rsid w:val="00B86F6B"/>
    <w:rsid w:val="00B873F3"/>
    <w:rsid w:val="00B87449"/>
    <w:rsid w:val="00B874AF"/>
    <w:rsid w:val="00B87516"/>
    <w:rsid w:val="00B8758E"/>
    <w:rsid w:val="00B87616"/>
    <w:rsid w:val="00B876E0"/>
    <w:rsid w:val="00B8772A"/>
    <w:rsid w:val="00B877E6"/>
    <w:rsid w:val="00B87968"/>
    <w:rsid w:val="00B87B01"/>
    <w:rsid w:val="00B87B3A"/>
    <w:rsid w:val="00B87BA4"/>
    <w:rsid w:val="00B87BD6"/>
    <w:rsid w:val="00B87BF1"/>
    <w:rsid w:val="00B87C96"/>
    <w:rsid w:val="00B87DEA"/>
    <w:rsid w:val="00B87F6D"/>
    <w:rsid w:val="00B87F93"/>
    <w:rsid w:val="00B87FFD"/>
    <w:rsid w:val="00B90148"/>
    <w:rsid w:val="00B901D2"/>
    <w:rsid w:val="00B90561"/>
    <w:rsid w:val="00B906A7"/>
    <w:rsid w:val="00B908E8"/>
    <w:rsid w:val="00B908FC"/>
    <w:rsid w:val="00B90992"/>
    <w:rsid w:val="00B90A2D"/>
    <w:rsid w:val="00B90C9F"/>
    <w:rsid w:val="00B90EAC"/>
    <w:rsid w:val="00B90EC7"/>
    <w:rsid w:val="00B91004"/>
    <w:rsid w:val="00B91005"/>
    <w:rsid w:val="00B912CC"/>
    <w:rsid w:val="00B912E4"/>
    <w:rsid w:val="00B913CA"/>
    <w:rsid w:val="00B91548"/>
    <w:rsid w:val="00B915B9"/>
    <w:rsid w:val="00B916AF"/>
    <w:rsid w:val="00B916BB"/>
    <w:rsid w:val="00B91823"/>
    <w:rsid w:val="00B9183C"/>
    <w:rsid w:val="00B918F3"/>
    <w:rsid w:val="00B91A93"/>
    <w:rsid w:val="00B91B0B"/>
    <w:rsid w:val="00B91B52"/>
    <w:rsid w:val="00B91DD1"/>
    <w:rsid w:val="00B91E4C"/>
    <w:rsid w:val="00B91ED9"/>
    <w:rsid w:val="00B9200C"/>
    <w:rsid w:val="00B92116"/>
    <w:rsid w:val="00B921CF"/>
    <w:rsid w:val="00B924B8"/>
    <w:rsid w:val="00B9258E"/>
    <w:rsid w:val="00B926E9"/>
    <w:rsid w:val="00B92846"/>
    <w:rsid w:val="00B92B90"/>
    <w:rsid w:val="00B92BA2"/>
    <w:rsid w:val="00B92CE8"/>
    <w:rsid w:val="00B92CFC"/>
    <w:rsid w:val="00B92D5F"/>
    <w:rsid w:val="00B92E63"/>
    <w:rsid w:val="00B92F61"/>
    <w:rsid w:val="00B930D2"/>
    <w:rsid w:val="00B932ED"/>
    <w:rsid w:val="00B934C6"/>
    <w:rsid w:val="00B934D4"/>
    <w:rsid w:val="00B9353A"/>
    <w:rsid w:val="00B9370F"/>
    <w:rsid w:val="00B937AD"/>
    <w:rsid w:val="00B93801"/>
    <w:rsid w:val="00B939C1"/>
    <w:rsid w:val="00B93B45"/>
    <w:rsid w:val="00B93BBF"/>
    <w:rsid w:val="00B93BCA"/>
    <w:rsid w:val="00B93BDB"/>
    <w:rsid w:val="00B93C08"/>
    <w:rsid w:val="00B93DA0"/>
    <w:rsid w:val="00B93F3E"/>
    <w:rsid w:val="00B94055"/>
    <w:rsid w:val="00B940B3"/>
    <w:rsid w:val="00B940EC"/>
    <w:rsid w:val="00B941C2"/>
    <w:rsid w:val="00B94305"/>
    <w:rsid w:val="00B94370"/>
    <w:rsid w:val="00B943B6"/>
    <w:rsid w:val="00B944AD"/>
    <w:rsid w:val="00B944BE"/>
    <w:rsid w:val="00B944F4"/>
    <w:rsid w:val="00B9463E"/>
    <w:rsid w:val="00B9471A"/>
    <w:rsid w:val="00B94790"/>
    <w:rsid w:val="00B94887"/>
    <w:rsid w:val="00B948A7"/>
    <w:rsid w:val="00B94965"/>
    <w:rsid w:val="00B94A96"/>
    <w:rsid w:val="00B94C11"/>
    <w:rsid w:val="00B94C9B"/>
    <w:rsid w:val="00B94E13"/>
    <w:rsid w:val="00B9505C"/>
    <w:rsid w:val="00B951AE"/>
    <w:rsid w:val="00B95374"/>
    <w:rsid w:val="00B953D3"/>
    <w:rsid w:val="00B95495"/>
    <w:rsid w:val="00B954BA"/>
    <w:rsid w:val="00B95568"/>
    <w:rsid w:val="00B95614"/>
    <w:rsid w:val="00B95770"/>
    <w:rsid w:val="00B958EB"/>
    <w:rsid w:val="00B9597D"/>
    <w:rsid w:val="00B95990"/>
    <w:rsid w:val="00B95B84"/>
    <w:rsid w:val="00B95E34"/>
    <w:rsid w:val="00B95FDE"/>
    <w:rsid w:val="00B960F2"/>
    <w:rsid w:val="00B9619E"/>
    <w:rsid w:val="00B961DA"/>
    <w:rsid w:val="00B962C0"/>
    <w:rsid w:val="00B9635F"/>
    <w:rsid w:val="00B96506"/>
    <w:rsid w:val="00B9655A"/>
    <w:rsid w:val="00B9668B"/>
    <w:rsid w:val="00B969A3"/>
    <w:rsid w:val="00B96CC3"/>
    <w:rsid w:val="00B96D42"/>
    <w:rsid w:val="00B96D94"/>
    <w:rsid w:val="00B96DDF"/>
    <w:rsid w:val="00B96DF6"/>
    <w:rsid w:val="00B96E4B"/>
    <w:rsid w:val="00B96EF9"/>
    <w:rsid w:val="00B96FDE"/>
    <w:rsid w:val="00B97097"/>
    <w:rsid w:val="00B970D1"/>
    <w:rsid w:val="00B9719E"/>
    <w:rsid w:val="00B971CC"/>
    <w:rsid w:val="00B97259"/>
    <w:rsid w:val="00B9729C"/>
    <w:rsid w:val="00B9734D"/>
    <w:rsid w:val="00B97704"/>
    <w:rsid w:val="00B97815"/>
    <w:rsid w:val="00B979E5"/>
    <w:rsid w:val="00B97A26"/>
    <w:rsid w:val="00B97A30"/>
    <w:rsid w:val="00B97B3D"/>
    <w:rsid w:val="00B97C5B"/>
    <w:rsid w:val="00B97DD3"/>
    <w:rsid w:val="00B97DDB"/>
    <w:rsid w:val="00B97DDC"/>
    <w:rsid w:val="00B97E92"/>
    <w:rsid w:val="00B97FA4"/>
    <w:rsid w:val="00BA00F6"/>
    <w:rsid w:val="00BA0135"/>
    <w:rsid w:val="00BA013F"/>
    <w:rsid w:val="00BA0181"/>
    <w:rsid w:val="00BA0255"/>
    <w:rsid w:val="00BA0347"/>
    <w:rsid w:val="00BA048D"/>
    <w:rsid w:val="00BA04BB"/>
    <w:rsid w:val="00BA04DE"/>
    <w:rsid w:val="00BA0505"/>
    <w:rsid w:val="00BA0555"/>
    <w:rsid w:val="00BA0590"/>
    <w:rsid w:val="00BA065A"/>
    <w:rsid w:val="00BA07AF"/>
    <w:rsid w:val="00BA0845"/>
    <w:rsid w:val="00BA090F"/>
    <w:rsid w:val="00BA0928"/>
    <w:rsid w:val="00BA09AE"/>
    <w:rsid w:val="00BA0A5B"/>
    <w:rsid w:val="00BA0A70"/>
    <w:rsid w:val="00BA0B1C"/>
    <w:rsid w:val="00BA0BA2"/>
    <w:rsid w:val="00BA0BC5"/>
    <w:rsid w:val="00BA0C00"/>
    <w:rsid w:val="00BA0E82"/>
    <w:rsid w:val="00BA0F19"/>
    <w:rsid w:val="00BA0F40"/>
    <w:rsid w:val="00BA0FDE"/>
    <w:rsid w:val="00BA1029"/>
    <w:rsid w:val="00BA11EE"/>
    <w:rsid w:val="00BA124F"/>
    <w:rsid w:val="00BA1278"/>
    <w:rsid w:val="00BA1336"/>
    <w:rsid w:val="00BA133C"/>
    <w:rsid w:val="00BA13AA"/>
    <w:rsid w:val="00BA144C"/>
    <w:rsid w:val="00BA1481"/>
    <w:rsid w:val="00BA14EC"/>
    <w:rsid w:val="00BA1506"/>
    <w:rsid w:val="00BA156D"/>
    <w:rsid w:val="00BA15FC"/>
    <w:rsid w:val="00BA163B"/>
    <w:rsid w:val="00BA1673"/>
    <w:rsid w:val="00BA1716"/>
    <w:rsid w:val="00BA17C4"/>
    <w:rsid w:val="00BA193B"/>
    <w:rsid w:val="00BA1A0E"/>
    <w:rsid w:val="00BA1AFF"/>
    <w:rsid w:val="00BA1B1C"/>
    <w:rsid w:val="00BA1B4F"/>
    <w:rsid w:val="00BA1CCA"/>
    <w:rsid w:val="00BA1CE0"/>
    <w:rsid w:val="00BA1DB8"/>
    <w:rsid w:val="00BA1E83"/>
    <w:rsid w:val="00BA1E91"/>
    <w:rsid w:val="00BA2076"/>
    <w:rsid w:val="00BA211B"/>
    <w:rsid w:val="00BA2182"/>
    <w:rsid w:val="00BA22E4"/>
    <w:rsid w:val="00BA23B8"/>
    <w:rsid w:val="00BA2461"/>
    <w:rsid w:val="00BA24B1"/>
    <w:rsid w:val="00BA24F9"/>
    <w:rsid w:val="00BA25D3"/>
    <w:rsid w:val="00BA260C"/>
    <w:rsid w:val="00BA2625"/>
    <w:rsid w:val="00BA26CF"/>
    <w:rsid w:val="00BA27C3"/>
    <w:rsid w:val="00BA27D7"/>
    <w:rsid w:val="00BA29C6"/>
    <w:rsid w:val="00BA2AC7"/>
    <w:rsid w:val="00BA2BBF"/>
    <w:rsid w:val="00BA2D27"/>
    <w:rsid w:val="00BA2D57"/>
    <w:rsid w:val="00BA2DB9"/>
    <w:rsid w:val="00BA2E00"/>
    <w:rsid w:val="00BA3081"/>
    <w:rsid w:val="00BA319E"/>
    <w:rsid w:val="00BA31DA"/>
    <w:rsid w:val="00BA3218"/>
    <w:rsid w:val="00BA322A"/>
    <w:rsid w:val="00BA3241"/>
    <w:rsid w:val="00BA32EB"/>
    <w:rsid w:val="00BA33D3"/>
    <w:rsid w:val="00BA3413"/>
    <w:rsid w:val="00BA3421"/>
    <w:rsid w:val="00BA342D"/>
    <w:rsid w:val="00BA3453"/>
    <w:rsid w:val="00BA3505"/>
    <w:rsid w:val="00BA3552"/>
    <w:rsid w:val="00BA3573"/>
    <w:rsid w:val="00BA372F"/>
    <w:rsid w:val="00BA3736"/>
    <w:rsid w:val="00BA37C6"/>
    <w:rsid w:val="00BA38DB"/>
    <w:rsid w:val="00BA394D"/>
    <w:rsid w:val="00BA3A85"/>
    <w:rsid w:val="00BA3C49"/>
    <w:rsid w:val="00BA3C68"/>
    <w:rsid w:val="00BA3CE3"/>
    <w:rsid w:val="00BA3D52"/>
    <w:rsid w:val="00BA3F0F"/>
    <w:rsid w:val="00BA3FE1"/>
    <w:rsid w:val="00BA4021"/>
    <w:rsid w:val="00BA4077"/>
    <w:rsid w:val="00BA416F"/>
    <w:rsid w:val="00BA41A3"/>
    <w:rsid w:val="00BA427D"/>
    <w:rsid w:val="00BA45A3"/>
    <w:rsid w:val="00BA4648"/>
    <w:rsid w:val="00BA465F"/>
    <w:rsid w:val="00BA467A"/>
    <w:rsid w:val="00BA4783"/>
    <w:rsid w:val="00BA47D4"/>
    <w:rsid w:val="00BA482E"/>
    <w:rsid w:val="00BA4834"/>
    <w:rsid w:val="00BA4905"/>
    <w:rsid w:val="00BA4937"/>
    <w:rsid w:val="00BA4959"/>
    <w:rsid w:val="00BA49B1"/>
    <w:rsid w:val="00BA4A2C"/>
    <w:rsid w:val="00BA4A49"/>
    <w:rsid w:val="00BA4B78"/>
    <w:rsid w:val="00BA4C28"/>
    <w:rsid w:val="00BA4CA7"/>
    <w:rsid w:val="00BA4CB0"/>
    <w:rsid w:val="00BA4DE6"/>
    <w:rsid w:val="00BA4EC4"/>
    <w:rsid w:val="00BA4EE9"/>
    <w:rsid w:val="00BA504B"/>
    <w:rsid w:val="00BA5079"/>
    <w:rsid w:val="00BA5267"/>
    <w:rsid w:val="00BA52AD"/>
    <w:rsid w:val="00BA53C7"/>
    <w:rsid w:val="00BA5417"/>
    <w:rsid w:val="00BA5450"/>
    <w:rsid w:val="00BA5479"/>
    <w:rsid w:val="00BA54EC"/>
    <w:rsid w:val="00BA569D"/>
    <w:rsid w:val="00BA56B5"/>
    <w:rsid w:val="00BA5757"/>
    <w:rsid w:val="00BA57F6"/>
    <w:rsid w:val="00BA582A"/>
    <w:rsid w:val="00BA5833"/>
    <w:rsid w:val="00BA58F3"/>
    <w:rsid w:val="00BA5A02"/>
    <w:rsid w:val="00BA5A7E"/>
    <w:rsid w:val="00BA5B88"/>
    <w:rsid w:val="00BA5B95"/>
    <w:rsid w:val="00BA5C2B"/>
    <w:rsid w:val="00BA5CB3"/>
    <w:rsid w:val="00BA5CDE"/>
    <w:rsid w:val="00BA5CF6"/>
    <w:rsid w:val="00BA5D6F"/>
    <w:rsid w:val="00BA5D88"/>
    <w:rsid w:val="00BA5E7A"/>
    <w:rsid w:val="00BA5F03"/>
    <w:rsid w:val="00BA5F13"/>
    <w:rsid w:val="00BA5F43"/>
    <w:rsid w:val="00BA5F82"/>
    <w:rsid w:val="00BA5FDA"/>
    <w:rsid w:val="00BA5FEB"/>
    <w:rsid w:val="00BA5FF1"/>
    <w:rsid w:val="00BA6050"/>
    <w:rsid w:val="00BA6053"/>
    <w:rsid w:val="00BA64C7"/>
    <w:rsid w:val="00BA658D"/>
    <w:rsid w:val="00BA659B"/>
    <w:rsid w:val="00BA65D4"/>
    <w:rsid w:val="00BA6610"/>
    <w:rsid w:val="00BA6681"/>
    <w:rsid w:val="00BA6702"/>
    <w:rsid w:val="00BA6787"/>
    <w:rsid w:val="00BA6950"/>
    <w:rsid w:val="00BA69A9"/>
    <w:rsid w:val="00BA6A10"/>
    <w:rsid w:val="00BA6BA5"/>
    <w:rsid w:val="00BA6BE5"/>
    <w:rsid w:val="00BA6CA8"/>
    <w:rsid w:val="00BA6D3D"/>
    <w:rsid w:val="00BA6D56"/>
    <w:rsid w:val="00BA6D62"/>
    <w:rsid w:val="00BA6DC2"/>
    <w:rsid w:val="00BA6F18"/>
    <w:rsid w:val="00BA6F80"/>
    <w:rsid w:val="00BA6FB3"/>
    <w:rsid w:val="00BA702C"/>
    <w:rsid w:val="00BA7122"/>
    <w:rsid w:val="00BA7153"/>
    <w:rsid w:val="00BA72AD"/>
    <w:rsid w:val="00BA7373"/>
    <w:rsid w:val="00BA745E"/>
    <w:rsid w:val="00BA77AF"/>
    <w:rsid w:val="00BA77BD"/>
    <w:rsid w:val="00BA782C"/>
    <w:rsid w:val="00BA7970"/>
    <w:rsid w:val="00BA799E"/>
    <w:rsid w:val="00BA7A5E"/>
    <w:rsid w:val="00BA7A9F"/>
    <w:rsid w:val="00BA7B5E"/>
    <w:rsid w:val="00BA7BBF"/>
    <w:rsid w:val="00BA7BD0"/>
    <w:rsid w:val="00BA7BE9"/>
    <w:rsid w:val="00BA7C07"/>
    <w:rsid w:val="00BA7C7A"/>
    <w:rsid w:val="00BA7C7E"/>
    <w:rsid w:val="00BA7D43"/>
    <w:rsid w:val="00BA7E61"/>
    <w:rsid w:val="00BA7E8F"/>
    <w:rsid w:val="00BA7F4D"/>
    <w:rsid w:val="00BA7FCE"/>
    <w:rsid w:val="00BB01B5"/>
    <w:rsid w:val="00BB020A"/>
    <w:rsid w:val="00BB0220"/>
    <w:rsid w:val="00BB0378"/>
    <w:rsid w:val="00BB03BA"/>
    <w:rsid w:val="00BB04A0"/>
    <w:rsid w:val="00BB056D"/>
    <w:rsid w:val="00BB05D6"/>
    <w:rsid w:val="00BB06AF"/>
    <w:rsid w:val="00BB07A5"/>
    <w:rsid w:val="00BB0889"/>
    <w:rsid w:val="00BB08C8"/>
    <w:rsid w:val="00BB0A72"/>
    <w:rsid w:val="00BB0A95"/>
    <w:rsid w:val="00BB0C0E"/>
    <w:rsid w:val="00BB0C60"/>
    <w:rsid w:val="00BB0D26"/>
    <w:rsid w:val="00BB0DD4"/>
    <w:rsid w:val="00BB0DFC"/>
    <w:rsid w:val="00BB0E90"/>
    <w:rsid w:val="00BB0EFB"/>
    <w:rsid w:val="00BB1022"/>
    <w:rsid w:val="00BB11F5"/>
    <w:rsid w:val="00BB1394"/>
    <w:rsid w:val="00BB13EC"/>
    <w:rsid w:val="00BB1560"/>
    <w:rsid w:val="00BB1638"/>
    <w:rsid w:val="00BB165F"/>
    <w:rsid w:val="00BB1679"/>
    <w:rsid w:val="00BB1688"/>
    <w:rsid w:val="00BB1862"/>
    <w:rsid w:val="00BB186A"/>
    <w:rsid w:val="00BB1875"/>
    <w:rsid w:val="00BB188D"/>
    <w:rsid w:val="00BB1951"/>
    <w:rsid w:val="00BB1980"/>
    <w:rsid w:val="00BB1A26"/>
    <w:rsid w:val="00BB1C66"/>
    <w:rsid w:val="00BB1D41"/>
    <w:rsid w:val="00BB1DB6"/>
    <w:rsid w:val="00BB203A"/>
    <w:rsid w:val="00BB205A"/>
    <w:rsid w:val="00BB2063"/>
    <w:rsid w:val="00BB21E6"/>
    <w:rsid w:val="00BB21E8"/>
    <w:rsid w:val="00BB220B"/>
    <w:rsid w:val="00BB225B"/>
    <w:rsid w:val="00BB228B"/>
    <w:rsid w:val="00BB22AA"/>
    <w:rsid w:val="00BB2378"/>
    <w:rsid w:val="00BB2417"/>
    <w:rsid w:val="00BB26E7"/>
    <w:rsid w:val="00BB275F"/>
    <w:rsid w:val="00BB276A"/>
    <w:rsid w:val="00BB2808"/>
    <w:rsid w:val="00BB2910"/>
    <w:rsid w:val="00BB292E"/>
    <w:rsid w:val="00BB2A35"/>
    <w:rsid w:val="00BB2CB9"/>
    <w:rsid w:val="00BB2CD4"/>
    <w:rsid w:val="00BB2EC3"/>
    <w:rsid w:val="00BB2F7E"/>
    <w:rsid w:val="00BB2FAB"/>
    <w:rsid w:val="00BB30DB"/>
    <w:rsid w:val="00BB31C2"/>
    <w:rsid w:val="00BB31C5"/>
    <w:rsid w:val="00BB3217"/>
    <w:rsid w:val="00BB337C"/>
    <w:rsid w:val="00BB33CD"/>
    <w:rsid w:val="00BB340C"/>
    <w:rsid w:val="00BB3422"/>
    <w:rsid w:val="00BB343F"/>
    <w:rsid w:val="00BB3451"/>
    <w:rsid w:val="00BB359E"/>
    <w:rsid w:val="00BB3667"/>
    <w:rsid w:val="00BB390E"/>
    <w:rsid w:val="00BB3D70"/>
    <w:rsid w:val="00BB3DF4"/>
    <w:rsid w:val="00BB3E8F"/>
    <w:rsid w:val="00BB3FA2"/>
    <w:rsid w:val="00BB40E8"/>
    <w:rsid w:val="00BB41A6"/>
    <w:rsid w:val="00BB41BB"/>
    <w:rsid w:val="00BB41FC"/>
    <w:rsid w:val="00BB432E"/>
    <w:rsid w:val="00BB4362"/>
    <w:rsid w:val="00BB4372"/>
    <w:rsid w:val="00BB4570"/>
    <w:rsid w:val="00BB45F1"/>
    <w:rsid w:val="00BB476D"/>
    <w:rsid w:val="00BB47EA"/>
    <w:rsid w:val="00BB480A"/>
    <w:rsid w:val="00BB4819"/>
    <w:rsid w:val="00BB4A41"/>
    <w:rsid w:val="00BB4A85"/>
    <w:rsid w:val="00BB4A90"/>
    <w:rsid w:val="00BB4C03"/>
    <w:rsid w:val="00BB4CDA"/>
    <w:rsid w:val="00BB4D3F"/>
    <w:rsid w:val="00BB4EBB"/>
    <w:rsid w:val="00BB4EC3"/>
    <w:rsid w:val="00BB4ED6"/>
    <w:rsid w:val="00BB539E"/>
    <w:rsid w:val="00BB55AC"/>
    <w:rsid w:val="00BB566D"/>
    <w:rsid w:val="00BB56CF"/>
    <w:rsid w:val="00BB56F3"/>
    <w:rsid w:val="00BB5825"/>
    <w:rsid w:val="00BB5B56"/>
    <w:rsid w:val="00BB5B9B"/>
    <w:rsid w:val="00BB5C2D"/>
    <w:rsid w:val="00BB5C4B"/>
    <w:rsid w:val="00BB5CA4"/>
    <w:rsid w:val="00BB5D05"/>
    <w:rsid w:val="00BB5D74"/>
    <w:rsid w:val="00BB5DE4"/>
    <w:rsid w:val="00BB5E10"/>
    <w:rsid w:val="00BB5E5F"/>
    <w:rsid w:val="00BB6011"/>
    <w:rsid w:val="00BB6101"/>
    <w:rsid w:val="00BB6177"/>
    <w:rsid w:val="00BB6240"/>
    <w:rsid w:val="00BB6355"/>
    <w:rsid w:val="00BB6380"/>
    <w:rsid w:val="00BB63E6"/>
    <w:rsid w:val="00BB647E"/>
    <w:rsid w:val="00BB64A4"/>
    <w:rsid w:val="00BB64E5"/>
    <w:rsid w:val="00BB6694"/>
    <w:rsid w:val="00BB66B4"/>
    <w:rsid w:val="00BB66EC"/>
    <w:rsid w:val="00BB680F"/>
    <w:rsid w:val="00BB69B9"/>
    <w:rsid w:val="00BB6A37"/>
    <w:rsid w:val="00BB6AC0"/>
    <w:rsid w:val="00BB6C43"/>
    <w:rsid w:val="00BB6E22"/>
    <w:rsid w:val="00BB6E3E"/>
    <w:rsid w:val="00BB6E72"/>
    <w:rsid w:val="00BB6F03"/>
    <w:rsid w:val="00BB7050"/>
    <w:rsid w:val="00BB70AE"/>
    <w:rsid w:val="00BB711B"/>
    <w:rsid w:val="00BB72A1"/>
    <w:rsid w:val="00BB7519"/>
    <w:rsid w:val="00BB7599"/>
    <w:rsid w:val="00BB7700"/>
    <w:rsid w:val="00BB78BB"/>
    <w:rsid w:val="00BB7A44"/>
    <w:rsid w:val="00BB7B65"/>
    <w:rsid w:val="00BB7C38"/>
    <w:rsid w:val="00BB7CD3"/>
    <w:rsid w:val="00BB7CF9"/>
    <w:rsid w:val="00BB7D60"/>
    <w:rsid w:val="00BB7E5C"/>
    <w:rsid w:val="00BB7E8E"/>
    <w:rsid w:val="00BB7EB2"/>
    <w:rsid w:val="00BC0066"/>
    <w:rsid w:val="00BC008E"/>
    <w:rsid w:val="00BC01D6"/>
    <w:rsid w:val="00BC034A"/>
    <w:rsid w:val="00BC036A"/>
    <w:rsid w:val="00BC03FE"/>
    <w:rsid w:val="00BC0462"/>
    <w:rsid w:val="00BC0464"/>
    <w:rsid w:val="00BC0506"/>
    <w:rsid w:val="00BC0531"/>
    <w:rsid w:val="00BC0618"/>
    <w:rsid w:val="00BC0677"/>
    <w:rsid w:val="00BC0730"/>
    <w:rsid w:val="00BC0790"/>
    <w:rsid w:val="00BC07C3"/>
    <w:rsid w:val="00BC08DA"/>
    <w:rsid w:val="00BC092E"/>
    <w:rsid w:val="00BC0A4D"/>
    <w:rsid w:val="00BC0BE7"/>
    <w:rsid w:val="00BC0BFA"/>
    <w:rsid w:val="00BC0CBE"/>
    <w:rsid w:val="00BC0FF5"/>
    <w:rsid w:val="00BC1100"/>
    <w:rsid w:val="00BC1217"/>
    <w:rsid w:val="00BC129F"/>
    <w:rsid w:val="00BC1487"/>
    <w:rsid w:val="00BC1499"/>
    <w:rsid w:val="00BC158A"/>
    <w:rsid w:val="00BC15E1"/>
    <w:rsid w:val="00BC16EA"/>
    <w:rsid w:val="00BC171F"/>
    <w:rsid w:val="00BC1AC6"/>
    <w:rsid w:val="00BC1AE4"/>
    <w:rsid w:val="00BC1B27"/>
    <w:rsid w:val="00BC1B72"/>
    <w:rsid w:val="00BC1C46"/>
    <w:rsid w:val="00BC1D58"/>
    <w:rsid w:val="00BC1DDA"/>
    <w:rsid w:val="00BC1E4B"/>
    <w:rsid w:val="00BC1E75"/>
    <w:rsid w:val="00BC1E8A"/>
    <w:rsid w:val="00BC1EA0"/>
    <w:rsid w:val="00BC201B"/>
    <w:rsid w:val="00BC216C"/>
    <w:rsid w:val="00BC21A3"/>
    <w:rsid w:val="00BC22EC"/>
    <w:rsid w:val="00BC24A9"/>
    <w:rsid w:val="00BC25B4"/>
    <w:rsid w:val="00BC25F0"/>
    <w:rsid w:val="00BC263D"/>
    <w:rsid w:val="00BC2643"/>
    <w:rsid w:val="00BC2644"/>
    <w:rsid w:val="00BC2647"/>
    <w:rsid w:val="00BC2672"/>
    <w:rsid w:val="00BC27B2"/>
    <w:rsid w:val="00BC27D9"/>
    <w:rsid w:val="00BC292F"/>
    <w:rsid w:val="00BC29B5"/>
    <w:rsid w:val="00BC2A39"/>
    <w:rsid w:val="00BC2AD7"/>
    <w:rsid w:val="00BC2C0A"/>
    <w:rsid w:val="00BC2C40"/>
    <w:rsid w:val="00BC2CA0"/>
    <w:rsid w:val="00BC2E75"/>
    <w:rsid w:val="00BC2EC1"/>
    <w:rsid w:val="00BC2F65"/>
    <w:rsid w:val="00BC2F6E"/>
    <w:rsid w:val="00BC2FD1"/>
    <w:rsid w:val="00BC312C"/>
    <w:rsid w:val="00BC3133"/>
    <w:rsid w:val="00BC3373"/>
    <w:rsid w:val="00BC33B7"/>
    <w:rsid w:val="00BC3455"/>
    <w:rsid w:val="00BC348E"/>
    <w:rsid w:val="00BC34E3"/>
    <w:rsid w:val="00BC3771"/>
    <w:rsid w:val="00BC37C3"/>
    <w:rsid w:val="00BC3877"/>
    <w:rsid w:val="00BC38D2"/>
    <w:rsid w:val="00BC3ACB"/>
    <w:rsid w:val="00BC3B8A"/>
    <w:rsid w:val="00BC3D32"/>
    <w:rsid w:val="00BC3E1C"/>
    <w:rsid w:val="00BC3E59"/>
    <w:rsid w:val="00BC40AF"/>
    <w:rsid w:val="00BC40C1"/>
    <w:rsid w:val="00BC411F"/>
    <w:rsid w:val="00BC41EB"/>
    <w:rsid w:val="00BC41F5"/>
    <w:rsid w:val="00BC41FF"/>
    <w:rsid w:val="00BC4467"/>
    <w:rsid w:val="00BC462B"/>
    <w:rsid w:val="00BC4764"/>
    <w:rsid w:val="00BC486B"/>
    <w:rsid w:val="00BC4904"/>
    <w:rsid w:val="00BC4939"/>
    <w:rsid w:val="00BC49B8"/>
    <w:rsid w:val="00BC49FE"/>
    <w:rsid w:val="00BC4B0B"/>
    <w:rsid w:val="00BC4C34"/>
    <w:rsid w:val="00BC4CB6"/>
    <w:rsid w:val="00BC4D35"/>
    <w:rsid w:val="00BC4D79"/>
    <w:rsid w:val="00BC4E84"/>
    <w:rsid w:val="00BC4EAF"/>
    <w:rsid w:val="00BC4EC6"/>
    <w:rsid w:val="00BC4EF9"/>
    <w:rsid w:val="00BC4F4F"/>
    <w:rsid w:val="00BC504D"/>
    <w:rsid w:val="00BC50DC"/>
    <w:rsid w:val="00BC534D"/>
    <w:rsid w:val="00BC55F1"/>
    <w:rsid w:val="00BC57D7"/>
    <w:rsid w:val="00BC58A8"/>
    <w:rsid w:val="00BC58FA"/>
    <w:rsid w:val="00BC5A1D"/>
    <w:rsid w:val="00BC5CF1"/>
    <w:rsid w:val="00BC5E53"/>
    <w:rsid w:val="00BC5EC3"/>
    <w:rsid w:val="00BC5FEF"/>
    <w:rsid w:val="00BC6073"/>
    <w:rsid w:val="00BC60F2"/>
    <w:rsid w:val="00BC6101"/>
    <w:rsid w:val="00BC61E3"/>
    <w:rsid w:val="00BC61E5"/>
    <w:rsid w:val="00BC6255"/>
    <w:rsid w:val="00BC6418"/>
    <w:rsid w:val="00BC6449"/>
    <w:rsid w:val="00BC64D0"/>
    <w:rsid w:val="00BC6629"/>
    <w:rsid w:val="00BC663C"/>
    <w:rsid w:val="00BC6658"/>
    <w:rsid w:val="00BC673E"/>
    <w:rsid w:val="00BC67A2"/>
    <w:rsid w:val="00BC6915"/>
    <w:rsid w:val="00BC6A87"/>
    <w:rsid w:val="00BC6B65"/>
    <w:rsid w:val="00BC6C3A"/>
    <w:rsid w:val="00BC6D8D"/>
    <w:rsid w:val="00BC6DA4"/>
    <w:rsid w:val="00BC6E90"/>
    <w:rsid w:val="00BC6EE4"/>
    <w:rsid w:val="00BC6F2A"/>
    <w:rsid w:val="00BC7006"/>
    <w:rsid w:val="00BC708D"/>
    <w:rsid w:val="00BC70E7"/>
    <w:rsid w:val="00BC720C"/>
    <w:rsid w:val="00BC7229"/>
    <w:rsid w:val="00BC7431"/>
    <w:rsid w:val="00BC744A"/>
    <w:rsid w:val="00BC74E9"/>
    <w:rsid w:val="00BC7548"/>
    <w:rsid w:val="00BC7632"/>
    <w:rsid w:val="00BC7699"/>
    <w:rsid w:val="00BC76FF"/>
    <w:rsid w:val="00BC77EF"/>
    <w:rsid w:val="00BC78CB"/>
    <w:rsid w:val="00BC78DB"/>
    <w:rsid w:val="00BC7952"/>
    <w:rsid w:val="00BC7A3B"/>
    <w:rsid w:val="00BC7AED"/>
    <w:rsid w:val="00BC7B81"/>
    <w:rsid w:val="00BC7E80"/>
    <w:rsid w:val="00BC7F56"/>
    <w:rsid w:val="00BC7FB9"/>
    <w:rsid w:val="00BD002D"/>
    <w:rsid w:val="00BD039C"/>
    <w:rsid w:val="00BD03B7"/>
    <w:rsid w:val="00BD0490"/>
    <w:rsid w:val="00BD04DD"/>
    <w:rsid w:val="00BD04F4"/>
    <w:rsid w:val="00BD0505"/>
    <w:rsid w:val="00BD0562"/>
    <w:rsid w:val="00BD05A9"/>
    <w:rsid w:val="00BD076A"/>
    <w:rsid w:val="00BD0919"/>
    <w:rsid w:val="00BD096F"/>
    <w:rsid w:val="00BD0A06"/>
    <w:rsid w:val="00BD0B43"/>
    <w:rsid w:val="00BD0BFA"/>
    <w:rsid w:val="00BD0C54"/>
    <w:rsid w:val="00BD0E61"/>
    <w:rsid w:val="00BD0ED2"/>
    <w:rsid w:val="00BD0F24"/>
    <w:rsid w:val="00BD0F81"/>
    <w:rsid w:val="00BD1029"/>
    <w:rsid w:val="00BD1256"/>
    <w:rsid w:val="00BD1260"/>
    <w:rsid w:val="00BD12E6"/>
    <w:rsid w:val="00BD131A"/>
    <w:rsid w:val="00BD134C"/>
    <w:rsid w:val="00BD139C"/>
    <w:rsid w:val="00BD14E9"/>
    <w:rsid w:val="00BD162B"/>
    <w:rsid w:val="00BD164A"/>
    <w:rsid w:val="00BD16D7"/>
    <w:rsid w:val="00BD180A"/>
    <w:rsid w:val="00BD18EA"/>
    <w:rsid w:val="00BD19C9"/>
    <w:rsid w:val="00BD1BC6"/>
    <w:rsid w:val="00BD1E45"/>
    <w:rsid w:val="00BD1E8C"/>
    <w:rsid w:val="00BD1EA8"/>
    <w:rsid w:val="00BD1EBC"/>
    <w:rsid w:val="00BD1FC5"/>
    <w:rsid w:val="00BD205D"/>
    <w:rsid w:val="00BD2175"/>
    <w:rsid w:val="00BD2195"/>
    <w:rsid w:val="00BD225D"/>
    <w:rsid w:val="00BD2269"/>
    <w:rsid w:val="00BD227E"/>
    <w:rsid w:val="00BD22A9"/>
    <w:rsid w:val="00BD22CD"/>
    <w:rsid w:val="00BD22EF"/>
    <w:rsid w:val="00BD236E"/>
    <w:rsid w:val="00BD2438"/>
    <w:rsid w:val="00BD259D"/>
    <w:rsid w:val="00BD25B8"/>
    <w:rsid w:val="00BD2639"/>
    <w:rsid w:val="00BD2671"/>
    <w:rsid w:val="00BD26A6"/>
    <w:rsid w:val="00BD26FB"/>
    <w:rsid w:val="00BD282F"/>
    <w:rsid w:val="00BD2892"/>
    <w:rsid w:val="00BD29AF"/>
    <w:rsid w:val="00BD2A4A"/>
    <w:rsid w:val="00BD2A50"/>
    <w:rsid w:val="00BD2AB4"/>
    <w:rsid w:val="00BD2DB6"/>
    <w:rsid w:val="00BD2E9A"/>
    <w:rsid w:val="00BD2ED9"/>
    <w:rsid w:val="00BD2F73"/>
    <w:rsid w:val="00BD3055"/>
    <w:rsid w:val="00BD3092"/>
    <w:rsid w:val="00BD3095"/>
    <w:rsid w:val="00BD32CF"/>
    <w:rsid w:val="00BD3362"/>
    <w:rsid w:val="00BD337F"/>
    <w:rsid w:val="00BD3529"/>
    <w:rsid w:val="00BD35EA"/>
    <w:rsid w:val="00BD365D"/>
    <w:rsid w:val="00BD374C"/>
    <w:rsid w:val="00BD376D"/>
    <w:rsid w:val="00BD3787"/>
    <w:rsid w:val="00BD381F"/>
    <w:rsid w:val="00BD38AA"/>
    <w:rsid w:val="00BD38F7"/>
    <w:rsid w:val="00BD3904"/>
    <w:rsid w:val="00BD3A22"/>
    <w:rsid w:val="00BD3A72"/>
    <w:rsid w:val="00BD3B00"/>
    <w:rsid w:val="00BD3D5F"/>
    <w:rsid w:val="00BD3E94"/>
    <w:rsid w:val="00BD3F2C"/>
    <w:rsid w:val="00BD4030"/>
    <w:rsid w:val="00BD405F"/>
    <w:rsid w:val="00BD4074"/>
    <w:rsid w:val="00BD412E"/>
    <w:rsid w:val="00BD44A4"/>
    <w:rsid w:val="00BD44CC"/>
    <w:rsid w:val="00BD45DF"/>
    <w:rsid w:val="00BD462C"/>
    <w:rsid w:val="00BD4656"/>
    <w:rsid w:val="00BD46A0"/>
    <w:rsid w:val="00BD46A8"/>
    <w:rsid w:val="00BD484E"/>
    <w:rsid w:val="00BD48C8"/>
    <w:rsid w:val="00BD4989"/>
    <w:rsid w:val="00BD49C3"/>
    <w:rsid w:val="00BD4AEC"/>
    <w:rsid w:val="00BD4C43"/>
    <w:rsid w:val="00BD4CB6"/>
    <w:rsid w:val="00BD4CE6"/>
    <w:rsid w:val="00BD4D7B"/>
    <w:rsid w:val="00BD4E88"/>
    <w:rsid w:val="00BD4ED2"/>
    <w:rsid w:val="00BD50E1"/>
    <w:rsid w:val="00BD50FF"/>
    <w:rsid w:val="00BD5196"/>
    <w:rsid w:val="00BD51BE"/>
    <w:rsid w:val="00BD5339"/>
    <w:rsid w:val="00BD543A"/>
    <w:rsid w:val="00BD54E4"/>
    <w:rsid w:val="00BD5504"/>
    <w:rsid w:val="00BD5530"/>
    <w:rsid w:val="00BD56AF"/>
    <w:rsid w:val="00BD57BD"/>
    <w:rsid w:val="00BD59C1"/>
    <w:rsid w:val="00BD59D6"/>
    <w:rsid w:val="00BD5A88"/>
    <w:rsid w:val="00BD5AA3"/>
    <w:rsid w:val="00BD5B2A"/>
    <w:rsid w:val="00BD5B8D"/>
    <w:rsid w:val="00BD5BC0"/>
    <w:rsid w:val="00BD5C30"/>
    <w:rsid w:val="00BD5E07"/>
    <w:rsid w:val="00BD5EC6"/>
    <w:rsid w:val="00BD6027"/>
    <w:rsid w:val="00BD6047"/>
    <w:rsid w:val="00BD6048"/>
    <w:rsid w:val="00BD60A1"/>
    <w:rsid w:val="00BD60D2"/>
    <w:rsid w:val="00BD615F"/>
    <w:rsid w:val="00BD63E7"/>
    <w:rsid w:val="00BD6444"/>
    <w:rsid w:val="00BD6487"/>
    <w:rsid w:val="00BD65F9"/>
    <w:rsid w:val="00BD6825"/>
    <w:rsid w:val="00BD6A6D"/>
    <w:rsid w:val="00BD6B76"/>
    <w:rsid w:val="00BD6CEA"/>
    <w:rsid w:val="00BD6CF9"/>
    <w:rsid w:val="00BD7057"/>
    <w:rsid w:val="00BD7232"/>
    <w:rsid w:val="00BD726A"/>
    <w:rsid w:val="00BD733B"/>
    <w:rsid w:val="00BD73D7"/>
    <w:rsid w:val="00BD749C"/>
    <w:rsid w:val="00BD759E"/>
    <w:rsid w:val="00BD7605"/>
    <w:rsid w:val="00BD788E"/>
    <w:rsid w:val="00BD78EA"/>
    <w:rsid w:val="00BD7C11"/>
    <w:rsid w:val="00BD7C53"/>
    <w:rsid w:val="00BD7C6A"/>
    <w:rsid w:val="00BD7D18"/>
    <w:rsid w:val="00BD7E50"/>
    <w:rsid w:val="00BE00A5"/>
    <w:rsid w:val="00BE01ED"/>
    <w:rsid w:val="00BE0273"/>
    <w:rsid w:val="00BE035D"/>
    <w:rsid w:val="00BE0369"/>
    <w:rsid w:val="00BE03B1"/>
    <w:rsid w:val="00BE0405"/>
    <w:rsid w:val="00BE054D"/>
    <w:rsid w:val="00BE05F2"/>
    <w:rsid w:val="00BE0641"/>
    <w:rsid w:val="00BE071F"/>
    <w:rsid w:val="00BE07C1"/>
    <w:rsid w:val="00BE082F"/>
    <w:rsid w:val="00BE09FF"/>
    <w:rsid w:val="00BE0A34"/>
    <w:rsid w:val="00BE0CCA"/>
    <w:rsid w:val="00BE0E8D"/>
    <w:rsid w:val="00BE1001"/>
    <w:rsid w:val="00BE1172"/>
    <w:rsid w:val="00BE118A"/>
    <w:rsid w:val="00BE137C"/>
    <w:rsid w:val="00BE1574"/>
    <w:rsid w:val="00BE1581"/>
    <w:rsid w:val="00BE15ED"/>
    <w:rsid w:val="00BE1667"/>
    <w:rsid w:val="00BE1902"/>
    <w:rsid w:val="00BE1A5E"/>
    <w:rsid w:val="00BE1AD9"/>
    <w:rsid w:val="00BE1AF2"/>
    <w:rsid w:val="00BE1AFB"/>
    <w:rsid w:val="00BE1BC1"/>
    <w:rsid w:val="00BE1C85"/>
    <w:rsid w:val="00BE1DC6"/>
    <w:rsid w:val="00BE1F1D"/>
    <w:rsid w:val="00BE2083"/>
    <w:rsid w:val="00BE2278"/>
    <w:rsid w:val="00BE22EB"/>
    <w:rsid w:val="00BE23FD"/>
    <w:rsid w:val="00BE2404"/>
    <w:rsid w:val="00BE243C"/>
    <w:rsid w:val="00BE2488"/>
    <w:rsid w:val="00BE24F4"/>
    <w:rsid w:val="00BE25B9"/>
    <w:rsid w:val="00BE25BE"/>
    <w:rsid w:val="00BE260E"/>
    <w:rsid w:val="00BE2722"/>
    <w:rsid w:val="00BE29D4"/>
    <w:rsid w:val="00BE2A15"/>
    <w:rsid w:val="00BE2BDE"/>
    <w:rsid w:val="00BE2CFA"/>
    <w:rsid w:val="00BE2D19"/>
    <w:rsid w:val="00BE2DC1"/>
    <w:rsid w:val="00BE2FCE"/>
    <w:rsid w:val="00BE3101"/>
    <w:rsid w:val="00BE3127"/>
    <w:rsid w:val="00BE31E2"/>
    <w:rsid w:val="00BE3246"/>
    <w:rsid w:val="00BE3441"/>
    <w:rsid w:val="00BE3541"/>
    <w:rsid w:val="00BE3635"/>
    <w:rsid w:val="00BE3696"/>
    <w:rsid w:val="00BE37ED"/>
    <w:rsid w:val="00BE3B27"/>
    <w:rsid w:val="00BE3B70"/>
    <w:rsid w:val="00BE3E9C"/>
    <w:rsid w:val="00BE3EB3"/>
    <w:rsid w:val="00BE3F6B"/>
    <w:rsid w:val="00BE4018"/>
    <w:rsid w:val="00BE40DE"/>
    <w:rsid w:val="00BE42E2"/>
    <w:rsid w:val="00BE43E7"/>
    <w:rsid w:val="00BE43F0"/>
    <w:rsid w:val="00BE4423"/>
    <w:rsid w:val="00BE442D"/>
    <w:rsid w:val="00BE4445"/>
    <w:rsid w:val="00BE446C"/>
    <w:rsid w:val="00BE4643"/>
    <w:rsid w:val="00BE4741"/>
    <w:rsid w:val="00BE47B2"/>
    <w:rsid w:val="00BE4800"/>
    <w:rsid w:val="00BE48DC"/>
    <w:rsid w:val="00BE49F0"/>
    <w:rsid w:val="00BE4B88"/>
    <w:rsid w:val="00BE4BA6"/>
    <w:rsid w:val="00BE4C3A"/>
    <w:rsid w:val="00BE4C5B"/>
    <w:rsid w:val="00BE4C94"/>
    <w:rsid w:val="00BE4D2C"/>
    <w:rsid w:val="00BE4D72"/>
    <w:rsid w:val="00BE4E7A"/>
    <w:rsid w:val="00BE4EC4"/>
    <w:rsid w:val="00BE4EC5"/>
    <w:rsid w:val="00BE4F4D"/>
    <w:rsid w:val="00BE52F2"/>
    <w:rsid w:val="00BE5364"/>
    <w:rsid w:val="00BE5435"/>
    <w:rsid w:val="00BE5559"/>
    <w:rsid w:val="00BE55AF"/>
    <w:rsid w:val="00BE5662"/>
    <w:rsid w:val="00BE5727"/>
    <w:rsid w:val="00BE576F"/>
    <w:rsid w:val="00BE58B3"/>
    <w:rsid w:val="00BE5980"/>
    <w:rsid w:val="00BE5BCA"/>
    <w:rsid w:val="00BE5CDE"/>
    <w:rsid w:val="00BE5CE7"/>
    <w:rsid w:val="00BE5D91"/>
    <w:rsid w:val="00BE5F72"/>
    <w:rsid w:val="00BE6040"/>
    <w:rsid w:val="00BE6123"/>
    <w:rsid w:val="00BE6254"/>
    <w:rsid w:val="00BE62D0"/>
    <w:rsid w:val="00BE632A"/>
    <w:rsid w:val="00BE6359"/>
    <w:rsid w:val="00BE6380"/>
    <w:rsid w:val="00BE6534"/>
    <w:rsid w:val="00BE65B2"/>
    <w:rsid w:val="00BE6619"/>
    <w:rsid w:val="00BE66B0"/>
    <w:rsid w:val="00BE67C0"/>
    <w:rsid w:val="00BE6806"/>
    <w:rsid w:val="00BE6889"/>
    <w:rsid w:val="00BE688B"/>
    <w:rsid w:val="00BE6952"/>
    <w:rsid w:val="00BE6A2F"/>
    <w:rsid w:val="00BE6B0B"/>
    <w:rsid w:val="00BE6BC5"/>
    <w:rsid w:val="00BE6C7E"/>
    <w:rsid w:val="00BE6CD8"/>
    <w:rsid w:val="00BE6CE7"/>
    <w:rsid w:val="00BE6DFE"/>
    <w:rsid w:val="00BE6E13"/>
    <w:rsid w:val="00BE6E56"/>
    <w:rsid w:val="00BE6E94"/>
    <w:rsid w:val="00BE706A"/>
    <w:rsid w:val="00BE7148"/>
    <w:rsid w:val="00BE7266"/>
    <w:rsid w:val="00BE7279"/>
    <w:rsid w:val="00BE73DB"/>
    <w:rsid w:val="00BE7690"/>
    <w:rsid w:val="00BE76F2"/>
    <w:rsid w:val="00BE77B6"/>
    <w:rsid w:val="00BE77B7"/>
    <w:rsid w:val="00BE78A5"/>
    <w:rsid w:val="00BE7903"/>
    <w:rsid w:val="00BE794C"/>
    <w:rsid w:val="00BE7964"/>
    <w:rsid w:val="00BE7975"/>
    <w:rsid w:val="00BE7990"/>
    <w:rsid w:val="00BE79F6"/>
    <w:rsid w:val="00BE7AB5"/>
    <w:rsid w:val="00BE7B9C"/>
    <w:rsid w:val="00BE7BAE"/>
    <w:rsid w:val="00BE7D30"/>
    <w:rsid w:val="00BE7D5D"/>
    <w:rsid w:val="00BE7D81"/>
    <w:rsid w:val="00BE7E14"/>
    <w:rsid w:val="00BE7E8E"/>
    <w:rsid w:val="00BE7EE8"/>
    <w:rsid w:val="00BE7EEC"/>
    <w:rsid w:val="00BE7FCE"/>
    <w:rsid w:val="00BF00C7"/>
    <w:rsid w:val="00BF0173"/>
    <w:rsid w:val="00BF0256"/>
    <w:rsid w:val="00BF0340"/>
    <w:rsid w:val="00BF0358"/>
    <w:rsid w:val="00BF0374"/>
    <w:rsid w:val="00BF03E7"/>
    <w:rsid w:val="00BF03FE"/>
    <w:rsid w:val="00BF04E9"/>
    <w:rsid w:val="00BF0566"/>
    <w:rsid w:val="00BF073B"/>
    <w:rsid w:val="00BF075B"/>
    <w:rsid w:val="00BF07B0"/>
    <w:rsid w:val="00BF07FE"/>
    <w:rsid w:val="00BF080C"/>
    <w:rsid w:val="00BF0825"/>
    <w:rsid w:val="00BF0AF7"/>
    <w:rsid w:val="00BF0C7B"/>
    <w:rsid w:val="00BF0CC9"/>
    <w:rsid w:val="00BF0D17"/>
    <w:rsid w:val="00BF0D21"/>
    <w:rsid w:val="00BF0DB4"/>
    <w:rsid w:val="00BF0E3E"/>
    <w:rsid w:val="00BF0FF8"/>
    <w:rsid w:val="00BF1026"/>
    <w:rsid w:val="00BF107E"/>
    <w:rsid w:val="00BF10F4"/>
    <w:rsid w:val="00BF11BD"/>
    <w:rsid w:val="00BF1200"/>
    <w:rsid w:val="00BF13E8"/>
    <w:rsid w:val="00BF14C2"/>
    <w:rsid w:val="00BF156D"/>
    <w:rsid w:val="00BF15E9"/>
    <w:rsid w:val="00BF169A"/>
    <w:rsid w:val="00BF16A0"/>
    <w:rsid w:val="00BF16D4"/>
    <w:rsid w:val="00BF175A"/>
    <w:rsid w:val="00BF1891"/>
    <w:rsid w:val="00BF18B5"/>
    <w:rsid w:val="00BF18D0"/>
    <w:rsid w:val="00BF1A1D"/>
    <w:rsid w:val="00BF1AEF"/>
    <w:rsid w:val="00BF1B4E"/>
    <w:rsid w:val="00BF1B6D"/>
    <w:rsid w:val="00BF1C70"/>
    <w:rsid w:val="00BF1D50"/>
    <w:rsid w:val="00BF1DDA"/>
    <w:rsid w:val="00BF1ED2"/>
    <w:rsid w:val="00BF2259"/>
    <w:rsid w:val="00BF2368"/>
    <w:rsid w:val="00BF23C5"/>
    <w:rsid w:val="00BF2473"/>
    <w:rsid w:val="00BF24E7"/>
    <w:rsid w:val="00BF250A"/>
    <w:rsid w:val="00BF253C"/>
    <w:rsid w:val="00BF25E8"/>
    <w:rsid w:val="00BF26F9"/>
    <w:rsid w:val="00BF27F3"/>
    <w:rsid w:val="00BF28DE"/>
    <w:rsid w:val="00BF2A1E"/>
    <w:rsid w:val="00BF2AFF"/>
    <w:rsid w:val="00BF2B96"/>
    <w:rsid w:val="00BF2CE5"/>
    <w:rsid w:val="00BF2D2D"/>
    <w:rsid w:val="00BF2D51"/>
    <w:rsid w:val="00BF2EF3"/>
    <w:rsid w:val="00BF2FCC"/>
    <w:rsid w:val="00BF3077"/>
    <w:rsid w:val="00BF312C"/>
    <w:rsid w:val="00BF326E"/>
    <w:rsid w:val="00BF340B"/>
    <w:rsid w:val="00BF35A9"/>
    <w:rsid w:val="00BF3663"/>
    <w:rsid w:val="00BF36BB"/>
    <w:rsid w:val="00BF385F"/>
    <w:rsid w:val="00BF389D"/>
    <w:rsid w:val="00BF38E1"/>
    <w:rsid w:val="00BF3A27"/>
    <w:rsid w:val="00BF3ACB"/>
    <w:rsid w:val="00BF3B20"/>
    <w:rsid w:val="00BF3B89"/>
    <w:rsid w:val="00BF3C06"/>
    <w:rsid w:val="00BF3DA7"/>
    <w:rsid w:val="00BF3E45"/>
    <w:rsid w:val="00BF4064"/>
    <w:rsid w:val="00BF4149"/>
    <w:rsid w:val="00BF41B5"/>
    <w:rsid w:val="00BF4290"/>
    <w:rsid w:val="00BF42D4"/>
    <w:rsid w:val="00BF4353"/>
    <w:rsid w:val="00BF4381"/>
    <w:rsid w:val="00BF448E"/>
    <w:rsid w:val="00BF458F"/>
    <w:rsid w:val="00BF4627"/>
    <w:rsid w:val="00BF46F1"/>
    <w:rsid w:val="00BF478F"/>
    <w:rsid w:val="00BF4817"/>
    <w:rsid w:val="00BF499B"/>
    <w:rsid w:val="00BF4A71"/>
    <w:rsid w:val="00BF4BCE"/>
    <w:rsid w:val="00BF4C06"/>
    <w:rsid w:val="00BF4C0F"/>
    <w:rsid w:val="00BF4E87"/>
    <w:rsid w:val="00BF4E93"/>
    <w:rsid w:val="00BF507A"/>
    <w:rsid w:val="00BF5463"/>
    <w:rsid w:val="00BF572D"/>
    <w:rsid w:val="00BF577C"/>
    <w:rsid w:val="00BF59AC"/>
    <w:rsid w:val="00BF59BE"/>
    <w:rsid w:val="00BF5A0A"/>
    <w:rsid w:val="00BF5AED"/>
    <w:rsid w:val="00BF5B54"/>
    <w:rsid w:val="00BF5BAB"/>
    <w:rsid w:val="00BF5C1D"/>
    <w:rsid w:val="00BF5CD0"/>
    <w:rsid w:val="00BF5D11"/>
    <w:rsid w:val="00BF5DAC"/>
    <w:rsid w:val="00BF5E75"/>
    <w:rsid w:val="00BF601F"/>
    <w:rsid w:val="00BF6076"/>
    <w:rsid w:val="00BF6107"/>
    <w:rsid w:val="00BF614D"/>
    <w:rsid w:val="00BF624C"/>
    <w:rsid w:val="00BF6251"/>
    <w:rsid w:val="00BF62ED"/>
    <w:rsid w:val="00BF63CD"/>
    <w:rsid w:val="00BF6407"/>
    <w:rsid w:val="00BF6474"/>
    <w:rsid w:val="00BF650C"/>
    <w:rsid w:val="00BF65D5"/>
    <w:rsid w:val="00BF678A"/>
    <w:rsid w:val="00BF678C"/>
    <w:rsid w:val="00BF6A4B"/>
    <w:rsid w:val="00BF6D1A"/>
    <w:rsid w:val="00BF6D69"/>
    <w:rsid w:val="00BF6DB1"/>
    <w:rsid w:val="00BF6E41"/>
    <w:rsid w:val="00BF6EB1"/>
    <w:rsid w:val="00BF6EBA"/>
    <w:rsid w:val="00BF6ECB"/>
    <w:rsid w:val="00BF6EE8"/>
    <w:rsid w:val="00BF7273"/>
    <w:rsid w:val="00BF7277"/>
    <w:rsid w:val="00BF7288"/>
    <w:rsid w:val="00BF737D"/>
    <w:rsid w:val="00BF73A9"/>
    <w:rsid w:val="00BF73E4"/>
    <w:rsid w:val="00BF7445"/>
    <w:rsid w:val="00BF759A"/>
    <w:rsid w:val="00BF7673"/>
    <w:rsid w:val="00BF76A0"/>
    <w:rsid w:val="00BF7705"/>
    <w:rsid w:val="00BF7799"/>
    <w:rsid w:val="00BF7AF0"/>
    <w:rsid w:val="00BF7CBA"/>
    <w:rsid w:val="00BF7CCC"/>
    <w:rsid w:val="00BF7CE2"/>
    <w:rsid w:val="00BF7ED8"/>
    <w:rsid w:val="00C000A9"/>
    <w:rsid w:val="00C0026C"/>
    <w:rsid w:val="00C00303"/>
    <w:rsid w:val="00C0031C"/>
    <w:rsid w:val="00C00344"/>
    <w:rsid w:val="00C007E5"/>
    <w:rsid w:val="00C00967"/>
    <w:rsid w:val="00C00B00"/>
    <w:rsid w:val="00C00B2F"/>
    <w:rsid w:val="00C00C65"/>
    <w:rsid w:val="00C00CC8"/>
    <w:rsid w:val="00C00E14"/>
    <w:rsid w:val="00C00EFA"/>
    <w:rsid w:val="00C00FDB"/>
    <w:rsid w:val="00C010D5"/>
    <w:rsid w:val="00C0120F"/>
    <w:rsid w:val="00C0129C"/>
    <w:rsid w:val="00C013BB"/>
    <w:rsid w:val="00C013FB"/>
    <w:rsid w:val="00C0144E"/>
    <w:rsid w:val="00C0147B"/>
    <w:rsid w:val="00C0149C"/>
    <w:rsid w:val="00C014CA"/>
    <w:rsid w:val="00C014F8"/>
    <w:rsid w:val="00C015E9"/>
    <w:rsid w:val="00C01765"/>
    <w:rsid w:val="00C01972"/>
    <w:rsid w:val="00C019E5"/>
    <w:rsid w:val="00C01AB6"/>
    <w:rsid w:val="00C01CB6"/>
    <w:rsid w:val="00C01D0B"/>
    <w:rsid w:val="00C01D69"/>
    <w:rsid w:val="00C01D8D"/>
    <w:rsid w:val="00C01DED"/>
    <w:rsid w:val="00C01F49"/>
    <w:rsid w:val="00C01F71"/>
    <w:rsid w:val="00C020F9"/>
    <w:rsid w:val="00C0210E"/>
    <w:rsid w:val="00C022C8"/>
    <w:rsid w:val="00C02567"/>
    <w:rsid w:val="00C025FD"/>
    <w:rsid w:val="00C02622"/>
    <w:rsid w:val="00C0280B"/>
    <w:rsid w:val="00C028C2"/>
    <w:rsid w:val="00C02A74"/>
    <w:rsid w:val="00C02A75"/>
    <w:rsid w:val="00C02C8A"/>
    <w:rsid w:val="00C02D01"/>
    <w:rsid w:val="00C02DCF"/>
    <w:rsid w:val="00C02E09"/>
    <w:rsid w:val="00C02FA0"/>
    <w:rsid w:val="00C02FE4"/>
    <w:rsid w:val="00C02FF7"/>
    <w:rsid w:val="00C03055"/>
    <w:rsid w:val="00C03092"/>
    <w:rsid w:val="00C031E9"/>
    <w:rsid w:val="00C03296"/>
    <w:rsid w:val="00C032DB"/>
    <w:rsid w:val="00C032FE"/>
    <w:rsid w:val="00C03386"/>
    <w:rsid w:val="00C034B8"/>
    <w:rsid w:val="00C03527"/>
    <w:rsid w:val="00C03571"/>
    <w:rsid w:val="00C03575"/>
    <w:rsid w:val="00C035D2"/>
    <w:rsid w:val="00C036D8"/>
    <w:rsid w:val="00C03737"/>
    <w:rsid w:val="00C0377A"/>
    <w:rsid w:val="00C03855"/>
    <w:rsid w:val="00C0387D"/>
    <w:rsid w:val="00C03927"/>
    <w:rsid w:val="00C03B85"/>
    <w:rsid w:val="00C03C01"/>
    <w:rsid w:val="00C03CDB"/>
    <w:rsid w:val="00C03DB7"/>
    <w:rsid w:val="00C03DC6"/>
    <w:rsid w:val="00C03E6B"/>
    <w:rsid w:val="00C03E9B"/>
    <w:rsid w:val="00C03FB1"/>
    <w:rsid w:val="00C04180"/>
    <w:rsid w:val="00C04262"/>
    <w:rsid w:val="00C04301"/>
    <w:rsid w:val="00C043A1"/>
    <w:rsid w:val="00C0442D"/>
    <w:rsid w:val="00C0444D"/>
    <w:rsid w:val="00C0456A"/>
    <w:rsid w:val="00C04632"/>
    <w:rsid w:val="00C0467A"/>
    <w:rsid w:val="00C04821"/>
    <w:rsid w:val="00C048E5"/>
    <w:rsid w:val="00C0492A"/>
    <w:rsid w:val="00C04A1A"/>
    <w:rsid w:val="00C04C6E"/>
    <w:rsid w:val="00C04CE7"/>
    <w:rsid w:val="00C04D7A"/>
    <w:rsid w:val="00C04E83"/>
    <w:rsid w:val="00C04EDF"/>
    <w:rsid w:val="00C0501D"/>
    <w:rsid w:val="00C0502A"/>
    <w:rsid w:val="00C05284"/>
    <w:rsid w:val="00C053D2"/>
    <w:rsid w:val="00C05419"/>
    <w:rsid w:val="00C05567"/>
    <w:rsid w:val="00C05582"/>
    <w:rsid w:val="00C055D5"/>
    <w:rsid w:val="00C057C9"/>
    <w:rsid w:val="00C057D3"/>
    <w:rsid w:val="00C058CF"/>
    <w:rsid w:val="00C0591E"/>
    <w:rsid w:val="00C05961"/>
    <w:rsid w:val="00C05A1E"/>
    <w:rsid w:val="00C05A42"/>
    <w:rsid w:val="00C05B1C"/>
    <w:rsid w:val="00C05B24"/>
    <w:rsid w:val="00C05BD3"/>
    <w:rsid w:val="00C05D48"/>
    <w:rsid w:val="00C05EC3"/>
    <w:rsid w:val="00C05F3D"/>
    <w:rsid w:val="00C05FF3"/>
    <w:rsid w:val="00C06008"/>
    <w:rsid w:val="00C061A6"/>
    <w:rsid w:val="00C061E3"/>
    <w:rsid w:val="00C06207"/>
    <w:rsid w:val="00C06224"/>
    <w:rsid w:val="00C062B4"/>
    <w:rsid w:val="00C063BC"/>
    <w:rsid w:val="00C063EE"/>
    <w:rsid w:val="00C064DD"/>
    <w:rsid w:val="00C064E4"/>
    <w:rsid w:val="00C064F4"/>
    <w:rsid w:val="00C06512"/>
    <w:rsid w:val="00C0655D"/>
    <w:rsid w:val="00C066AF"/>
    <w:rsid w:val="00C06970"/>
    <w:rsid w:val="00C06A41"/>
    <w:rsid w:val="00C06BA4"/>
    <w:rsid w:val="00C06BC7"/>
    <w:rsid w:val="00C06C1F"/>
    <w:rsid w:val="00C06CC9"/>
    <w:rsid w:val="00C06D81"/>
    <w:rsid w:val="00C06EE9"/>
    <w:rsid w:val="00C0727A"/>
    <w:rsid w:val="00C073A9"/>
    <w:rsid w:val="00C0747B"/>
    <w:rsid w:val="00C074D2"/>
    <w:rsid w:val="00C076B5"/>
    <w:rsid w:val="00C076C8"/>
    <w:rsid w:val="00C0771C"/>
    <w:rsid w:val="00C07756"/>
    <w:rsid w:val="00C07834"/>
    <w:rsid w:val="00C079E5"/>
    <w:rsid w:val="00C07BDB"/>
    <w:rsid w:val="00C07C48"/>
    <w:rsid w:val="00C07EAE"/>
    <w:rsid w:val="00C07F49"/>
    <w:rsid w:val="00C10192"/>
    <w:rsid w:val="00C1027D"/>
    <w:rsid w:val="00C10353"/>
    <w:rsid w:val="00C10469"/>
    <w:rsid w:val="00C104C4"/>
    <w:rsid w:val="00C10512"/>
    <w:rsid w:val="00C10706"/>
    <w:rsid w:val="00C10756"/>
    <w:rsid w:val="00C107E1"/>
    <w:rsid w:val="00C107FA"/>
    <w:rsid w:val="00C10888"/>
    <w:rsid w:val="00C1089C"/>
    <w:rsid w:val="00C10930"/>
    <w:rsid w:val="00C10994"/>
    <w:rsid w:val="00C10ABC"/>
    <w:rsid w:val="00C10B12"/>
    <w:rsid w:val="00C10B73"/>
    <w:rsid w:val="00C10D6A"/>
    <w:rsid w:val="00C10E14"/>
    <w:rsid w:val="00C10E30"/>
    <w:rsid w:val="00C10E9D"/>
    <w:rsid w:val="00C10EA1"/>
    <w:rsid w:val="00C10EFA"/>
    <w:rsid w:val="00C10F5F"/>
    <w:rsid w:val="00C10FB1"/>
    <w:rsid w:val="00C11028"/>
    <w:rsid w:val="00C110EE"/>
    <w:rsid w:val="00C113FF"/>
    <w:rsid w:val="00C11498"/>
    <w:rsid w:val="00C114F2"/>
    <w:rsid w:val="00C11575"/>
    <w:rsid w:val="00C115F0"/>
    <w:rsid w:val="00C116E2"/>
    <w:rsid w:val="00C117A8"/>
    <w:rsid w:val="00C11821"/>
    <w:rsid w:val="00C118DC"/>
    <w:rsid w:val="00C11967"/>
    <w:rsid w:val="00C119C6"/>
    <w:rsid w:val="00C119DF"/>
    <w:rsid w:val="00C11C94"/>
    <w:rsid w:val="00C11DD4"/>
    <w:rsid w:val="00C11EB1"/>
    <w:rsid w:val="00C11F09"/>
    <w:rsid w:val="00C11FA9"/>
    <w:rsid w:val="00C12187"/>
    <w:rsid w:val="00C121AE"/>
    <w:rsid w:val="00C12267"/>
    <w:rsid w:val="00C1226F"/>
    <w:rsid w:val="00C12278"/>
    <w:rsid w:val="00C1229E"/>
    <w:rsid w:val="00C12342"/>
    <w:rsid w:val="00C12604"/>
    <w:rsid w:val="00C1264A"/>
    <w:rsid w:val="00C1283D"/>
    <w:rsid w:val="00C12894"/>
    <w:rsid w:val="00C1296E"/>
    <w:rsid w:val="00C12991"/>
    <w:rsid w:val="00C129E1"/>
    <w:rsid w:val="00C12A0B"/>
    <w:rsid w:val="00C12A1B"/>
    <w:rsid w:val="00C12AB5"/>
    <w:rsid w:val="00C12B78"/>
    <w:rsid w:val="00C12BFF"/>
    <w:rsid w:val="00C12C3C"/>
    <w:rsid w:val="00C12C9F"/>
    <w:rsid w:val="00C12F5E"/>
    <w:rsid w:val="00C130CD"/>
    <w:rsid w:val="00C1314B"/>
    <w:rsid w:val="00C132CD"/>
    <w:rsid w:val="00C13329"/>
    <w:rsid w:val="00C133BE"/>
    <w:rsid w:val="00C1344B"/>
    <w:rsid w:val="00C13475"/>
    <w:rsid w:val="00C13615"/>
    <w:rsid w:val="00C1361D"/>
    <w:rsid w:val="00C136A4"/>
    <w:rsid w:val="00C1374F"/>
    <w:rsid w:val="00C1379D"/>
    <w:rsid w:val="00C1398D"/>
    <w:rsid w:val="00C13A04"/>
    <w:rsid w:val="00C13A91"/>
    <w:rsid w:val="00C13AF3"/>
    <w:rsid w:val="00C13CBA"/>
    <w:rsid w:val="00C13D2C"/>
    <w:rsid w:val="00C13E1A"/>
    <w:rsid w:val="00C13E34"/>
    <w:rsid w:val="00C13E52"/>
    <w:rsid w:val="00C13EE3"/>
    <w:rsid w:val="00C13EE4"/>
    <w:rsid w:val="00C13F97"/>
    <w:rsid w:val="00C14121"/>
    <w:rsid w:val="00C14218"/>
    <w:rsid w:val="00C142D9"/>
    <w:rsid w:val="00C144F3"/>
    <w:rsid w:val="00C145EF"/>
    <w:rsid w:val="00C1472F"/>
    <w:rsid w:val="00C14893"/>
    <w:rsid w:val="00C14994"/>
    <w:rsid w:val="00C149C8"/>
    <w:rsid w:val="00C14E44"/>
    <w:rsid w:val="00C14F39"/>
    <w:rsid w:val="00C14FFB"/>
    <w:rsid w:val="00C1512D"/>
    <w:rsid w:val="00C15152"/>
    <w:rsid w:val="00C151B7"/>
    <w:rsid w:val="00C1527A"/>
    <w:rsid w:val="00C1538B"/>
    <w:rsid w:val="00C154A1"/>
    <w:rsid w:val="00C15644"/>
    <w:rsid w:val="00C1571C"/>
    <w:rsid w:val="00C15741"/>
    <w:rsid w:val="00C158B4"/>
    <w:rsid w:val="00C159B6"/>
    <w:rsid w:val="00C15A52"/>
    <w:rsid w:val="00C15B2C"/>
    <w:rsid w:val="00C15BC0"/>
    <w:rsid w:val="00C15C0F"/>
    <w:rsid w:val="00C15C6D"/>
    <w:rsid w:val="00C15DBB"/>
    <w:rsid w:val="00C15E5A"/>
    <w:rsid w:val="00C15E94"/>
    <w:rsid w:val="00C15E9A"/>
    <w:rsid w:val="00C15ECC"/>
    <w:rsid w:val="00C15F3D"/>
    <w:rsid w:val="00C16002"/>
    <w:rsid w:val="00C160C4"/>
    <w:rsid w:val="00C160D4"/>
    <w:rsid w:val="00C161AB"/>
    <w:rsid w:val="00C163D2"/>
    <w:rsid w:val="00C164BB"/>
    <w:rsid w:val="00C164F2"/>
    <w:rsid w:val="00C164F3"/>
    <w:rsid w:val="00C165B8"/>
    <w:rsid w:val="00C167E9"/>
    <w:rsid w:val="00C16881"/>
    <w:rsid w:val="00C16AC8"/>
    <w:rsid w:val="00C16B32"/>
    <w:rsid w:val="00C16C21"/>
    <w:rsid w:val="00C16C2D"/>
    <w:rsid w:val="00C16CF0"/>
    <w:rsid w:val="00C16EC7"/>
    <w:rsid w:val="00C16F6C"/>
    <w:rsid w:val="00C17016"/>
    <w:rsid w:val="00C17067"/>
    <w:rsid w:val="00C1711B"/>
    <w:rsid w:val="00C172D4"/>
    <w:rsid w:val="00C17423"/>
    <w:rsid w:val="00C17495"/>
    <w:rsid w:val="00C174D4"/>
    <w:rsid w:val="00C174E5"/>
    <w:rsid w:val="00C17500"/>
    <w:rsid w:val="00C17510"/>
    <w:rsid w:val="00C175F1"/>
    <w:rsid w:val="00C17684"/>
    <w:rsid w:val="00C1774C"/>
    <w:rsid w:val="00C177B8"/>
    <w:rsid w:val="00C179C4"/>
    <w:rsid w:val="00C179E5"/>
    <w:rsid w:val="00C17A7E"/>
    <w:rsid w:val="00C17AEC"/>
    <w:rsid w:val="00C17AEF"/>
    <w:rsid w:val="00C17B09"/>
    <w:rsid w:val="00C17B3B"/>
    <w:rsid w:val="00C17C61"/>
    <w:rsid w:val="00C17E46"/>
    <w:rsid w:val="00C17FC0"/>
    <w:rsid w:val="00C20078"/>
    <w:rsid w:val="00C20166"/>
    <w:rsid w:val="00C201AE"/>
    <w:rsid w:val="00C20356"/>
    <w:rsid w:val="00C20452"/>
    <w:rsid w:val="00C20532"/>
    <w:rsid w:val="00C20584"/>
    <w:rsid w:val="00C205B5"/>
    <w:rsid w:val="00C20646"/>
    <w:rsid w:val="00C20B2F"/>
    <w:rsid w:val="00C20B55"/>
    <w:rsid w:val="00C20D72"/>
    <w:rsid w:val="00C20DA4"/>
    <w:rsid w:val="00C20E28"/>
    <w:rsid w:val="00C20F08"/>
    <w:rsid w:val="00C20FE4"/>
    <w:rsid w:val="00C21201"/>
    <w:rsid w:val="00C21239"/>
    <w:rsid w:val="00C2126A"/>
    <w:rsid w:val="00C2145B"/>
    <w:rsid w:val="00C21483"/>
    <w:rsid w:val="00C21653"/>
    <w:rsid w:val="00C216E3"/>
    <w:rsid w:val="00C21801"/>
    <w:rsid w:val="00C21826"/>
    <w:rsid w:val="00C21878"/>
    <w:rsid w:val="00C2193B"/>
    <w:rsid w:val="00C21C1A"/>
    <w:rsid w:val="00C21E72"/>
    <w:rsid w:val="00C21E85"/>
    <w:rsid w:val="00C21FFA"/>
    <w:rsid w:val="00C221D8"/>
    <w:rsid w:val="00C22223"/>
    <w:rsid w:val="00C222D5"/>
    <w:rsid w:val="00C22477"/>
    <w:rsid w:val="00C22504"/>
    <w:rsid w:val="00C22640"/>
    <w:rsid w:val="00C226FC"/>
    <w:rsid w:val="00C22714"/>
    <w:rsid w:val="00C227E5"/>
    <w:rsid w:val="00C2292E"/>
    <w:rsid w:val="00C22978"/>
    <w:rsid w:val="00C229E1"/>
    <w:rsid w:val="00C229F2"/>
    <w:rsid w:val="00C22B4F"/>
    <w:rsid w:val="00C22B89"/>
    <w:rsid w:val="00C22CEC"/>
    <w:rsid w:val="00C22E18"/>
    <w:rsid w:val="00C22E53"/>
    <w:rsid w:val="00C22F32"/>
    <w:rsid w:val="00C2307E"/>
    <w:rsid w:val="00C2324E"/>
    <w:rsid w:val="00C2325A"/>
    <w:rsid w:val="00C233BC"/>
    <w:rsid w:val="00C2348E"/>
    <w:rsid w:val="00C235F5"/>
    <w:rsid w:val="00C23961"/>
    <w:rsid w:val="00C23ADA"/>
    <w:rsid w:val="00C23B4C"/>
    <w:rsid w:val="00C23BB4"/>
    <w:rsid w:val="00C23DD2"/>
    <w:rsid w:val="00C23ECE"/>
    <w:rsid w:val="00C23ED9"/>
    <w:rsid w:val="00C23EEB"/>
    <w:rsid w:val="00C23F64"/>
    <w:rsid w:val="00C24297"/>
    <w:rsid w:val="00C2430F"/>
    <w:rsid w:val="00C244E0"/>
    <w:rsid w:val="00C24548"/>
    <w:rsid w:val="00C246EC"/>
    <w:rsid w:val="00C2473B"/>
    <w:rsid w:val="00C24790"/>
    <w:rsid w:val="00C2487E"/>
    <w:rsid w:val="00C248E5"/>
    <w:rsid w:val="00C24A00"/>
    <w:rsid w:val="00C24A2D"/>
    <w:rsid w:val="00C24BF9"/>
    <w:rsid w:val="00C24C22"/>
    <w:rsid w:val="00C24C94"/>
    <w:rsid w:val="00C24CD5"/>
    <w:rsid w:val="00C24D36"/>
    <w:rsid w:val="00C24D3C"/>
    <w:rsid w:val="00C24DD4"/>
    <w:rsid w:val="00C24E52"/>
    <w:rsid w:val="00C25139"/>
    <w:rsid w:val="00C2524B"/>
    <w:rsid w:val="00C25300"/>
    <w:rsid w:val="00C25348"/>
    <w:rsid w:val="00C2538E"/>
    <w:rsid w:val="00C253CB"/>
    <w:rsid w:val="00C25569"/>
    <w:rsid w:val="00C255A5"/>
    <w:rsid w:val="00C255DD"/>
    <w:rsid w:val="00C255E2"/>
    <w:rsid w:val="00C25715"/>
    <w:rsid w:val="00C2571D"/>
    <w:rsid w:val="00C25737"/>
    <w:rsid w:val="00C258F1"/>
    <w:rsid w:val="00C25969"/>
    <w:rsid w:val="00C25AEE"/>
    <w:rsid w:val="00C25B1A"/>
    <w:rsid w:val="00C25B70"/>
    <w:rsid w:val="00C25BBB"/>
    <w:rsid w:val="00C25E00"/>
    <w:rsid w:val="00C25E82"/>
    <w:rsid w:val="00C25EAE"/>
    <w:rsid w:val="00C2604E"/>
    <w:rsid w:val="00C2607D"/>
    <w:rsid w:val="00C26106"/>
    <w:rsid w:val="00C26299"/>
    <w:rsid w:val="00C26655"/>
    <w:rsid w:val="00C266EB"/>
    <w:rsid w:val="00C268B0"/>
    <w:rsid w:val="00C268EE"/>
    <w:rsid w:val="00C26914"/>
    <w:rsid w:val="00C269D0"/>
    <w:rsid w:val="00C26B24"/>
    <w:rsid w:val="00C26C4C"/>
    <w:rsid w:val="00C26C6C"/>
    <w:rsid w:val="00C26D65"/>
    <w:rsid w:val="00C26F30"/>
    <w:rsid w:val="00C26F83"/>
    <w:rsid w:val="00C26FDE"/>
    <w:rsid w:val="00C26FEB"/>
    <w:rsid w:val="00C27003"/>
    <w:rsid w:val="00C270B9"/>
    <w:rsid w:val="00C272EC"/>
    <w:rsid w:val="00C2737E"/>
    <w:rsid w:val="00C27763"/>
    <w:rsid w:val="00C2777E"/>
    <w:rsid w:val="00C277A8"/>
    <w:rsid w:val="00C27871"/>
    <w:rsid w:val="00C27937"/>
    <w:rsid w:val="00C27CB4"/>
    <w:rsid w:val="00C27D45"/>
    <w:rsid w:val="00C27DC5"/>
    <w:rsid w:val="00C27DDB"/>
    <w:rsid w:val="00C27E91"/>
    <w:rsid w:val="00C27EFC"/>
    <w:rsid w:val="00C27F88"/>
    <w:rsid w:val="00C27FD0"/>
    <w:rsid w:val="00C300D2"/>
    <w:rsid w:val="00C301EB"/>
    <w:rsid w:val="00C30227"/>
    <w:rsid w:val="00C30346"/>
    <w:rsid w:val="00C30565"/>
    <w:rsid w:val="00C305BB"/>
    <w:rsid w:val="00C30650"/>
    <w:rsid w:val="00C3065F"/>
    <w:rsid w:val="00C30854"/>
    <w:rsid w:val="00C308F2"/>
    <w:rsid w:val="00C30A76"/>
    <w:rsid w:val="00C30A87"/>
    <w:rsid w:val="00C30AB9"/>
    <w:rsid w:val="00C30B83"/>
    <w:rsid w:val="00C30BBF"/>
    <w:rsid w:val="00C30D3B"/>
    <w:rsid w:val="00C30D9D"/>
    <w:rsid w:val="00C30DB5"/>
    <w:rsid w:val="00C30DC1"/>
    <w:rsid w:val="00C30F1F"/>
    <w:rsid w:val="00C30F78"/>
    <w:rsid w:val="00C30F81"/>
    <w:rsid w:val="00C31198"/>
    <w:rsid w:val="00C312A0"/>
    <w:rsid w:val="00C31309"/>
    <w:rsid w:val="00C3152E"/>
    <w:rsid w:val="00C31553"/>
    <w:rsid w:val="00C31624"/>
    <w:rsid w:val="00C318D3"/>
    <w:rsid w:val="00C31AC0"/>
    <w:rsid w:val="00C31B2F"/>
    <w:rsid w:val="00C31CD4"/>
    <w:rsid w:val="00C31D09"/>
    <w:rsid w:val="00C31D4C"/>
    <w:rsid w:val="00C31D8D"/>
    <w:rsid w:val="00C31E64"/>
    <w:rsid w:val="00C3207A"/>
    <w:rsid w:val="00C3212C"/>
    <w:rsid w:val="00C321CB"/>
    <w:rsid w:val="00C32278"/>
    <w:rsid w:val="00C3238F"/>
    <w:rsid w:val="00C32393"/>
    <w:rsid w:val="00C323EC"/>
    <w:rsid w:val="00C323F6"/>
    <w:rsid w:val="00C323F8"/>
    <w:rsid w:val="00C32913"/>
    <w:rsid w:val="00C3293F"/>
    <w:rsid w:val="00C32B7D"/>
    <w:rsid w:val="00C32D6F"/>
    <w:rsid w:val="00C32E99"/>
    <w:rsid w:val="00C33018"/>
    <w:rsid w:val="00C3303B"/>
    <w:rsid w:val="00C33229"/>
    <w:rsid w:val="00C33335"/>
    <w:rsid w:val="00C33393"/>
    <w:rsid w:val="00C3341D"/>
    <w:rsid w:val="00C334EE"/>
    <w:rsid w:val="00C33523"/>
    <w:rsid w:val="00C335BB"/>
    <w:rsid w:val="00C3362E"/>
    <w:rsid w:val="00C336D0"/>
    <w:rsid w:val="00C337A4"/>
    <w:rsid w:val="00C338CE"/>
    <w:rsid w:val="00C33A69"/>
    <w:rsid w:val="00C33B1A"/>
    <w:rsid w:val="00C33C36"/>
    <w:rsid w:val="00C33C3E"/>
    <w:rsid w:val="00C33CBD"/>
    <w:rsid w:val="00C33D63"/>
    <w:rsid w:val="00C33DBE"/>
    <w:rsid w:val="00C33E54"/>
    <w:rsid w:val="00C33E83"/>
    <w:rsid w:val="00C33E97"/>
    <w:rsid w:val="00C340EF"/>
    <w:rsid w:val="00C341F1"/>
    <w:rsid w:val="00C341F2"/>
    <w:rsid w:val="00C3420E"/>
    <w:rsid w:val="00C3428F"/>
    <w:rsid w:val="00C34295"/>
    <w:rsid w:val="00C3436A"/>
    <w:rsid w:val="00C3439A"/>
    <w:rsid w:val="00C3440E"/>
    <w:rsid w:val="00C34526"/>
    <w:rsid w:val="00C34611"/>
    <w:rsid w:val="00C3481B"/>
    <w:rsid w:val="00C348D7"/>
    <w:rsid w:val="00C348E9"/>
    <w:rsid w:val="00C3492E"/>
    <w:rsid w:val="00C34A9A"/>
    <w:rsid w:val="00C34B54"/>
    <w:rsid w:val="00C34D26"/>
    <w:rsid w:val="00C34E35"/>
    <w:rsid w:val="00C34ED2"/>
    <w:rsid w:val="00C34FEB"/>
    <w:rsid w:val="00C3503E"/>
    <w:rsid w:val="00C35065"/>
    <w:rsid w:val="00C350A1"/>
    <w:rsid w:val="00C35158"/>
    <w:rsid w:val="00C35376"/>
    <w:rsid w:val="00C35407"/>
    <w:rsid w:val="00C35540"/>
    <w:rsid w:val="00C3557F"/>
    <w:rsid w:val="00C356A9"/>
    <w:rsid w:val="00C356FC"/>
    <w:rsid w:val="00C3578E"/>
    <w:rsid w:val="00C357D5"/>
    <w:rsid w:val="00C357EB"/>
    <w:rsid w:val="00C3582C"/>
    <w:rsid w:val="00C358BF"/>
    <w:rsid w:val="00C3596D"/>
    <w:rsid w:val="00C35998"/>
    <w:rsid w:val="00C35A69"/>
    <w:rsid w:val="00C35B0A"/>
    <w:rsid w:val="00C35B97"/>
    <w:rsid w:val="00C35B9E"/>
    <w:rsid w:val="00C35BAA"/>
    <w:rsid w:val="00C35BF0"/>
    <w:rsid w:val="00C35C0A"/>
    <w:rsid w:val="00C35C84"/>
    <w:rsid w:val="00C35CD7"/>
    <w:rsid w:val="00C35D64"/>
    <w:rsid w:val="00C3616A"/>
    <w:rsid w:val="00C3616B"/>
    <w:rsid w:val="00C362CF"/>
    <w:rsid w:val="00C36495"/>
    <w:rsid w:val="00C366E4"/>
    <w:rsid w:val="00C368BF"/>
    <w:rsid w:val="00C36999"/>
    <w:rsid w:val="00C36A94"/>
    <w:rsid w:val="00C36AF4"/>
    <w:rsid w:val="00C36C71"/>
    <w:rsid w:val="00C36CEC"/>
    <w:rsid w:val="00C36E4A"/>
    <w:rsid w:val="00C36EB7"/>
    <w:rsid w:val="00C36F04"/>
    <w:rsid w:val="00C36F2C"/>
    <w:rsid w:val="00C36F3B"/>
    <w:rsid w:val="00C36F56"/>
    <w:rsid w:val="00C36F87"/>
    <w:rsid w:val="00C37058"/>
    <w:rsid w:val="00C37111"/>
    <w:rsid w:val="00C37119"/>
    <w:rsid w:val="00C3711E"/>
    <w:rsid w:val="00C37192"/>
    <w:rsid w:val="00C372D0"/>
    <w:rsid w:val="00C372F7"/>
    <w:rsid w:val="00C372F8"/>
    <w:rsid w:val="00C374F2"/>
    <w:rsid w:val="00C37531"/>
    <w:rsid w:val="00C37562"/>
    <w:rsid w:val="00C3767E"/>
    <w:rsid w:val="00C37898"/>
    <w:rsid w:val="00C37914"/>
    <w:rsid w:val="00C3794B"/>
    <w:rsid w:val="00C379EF"/>
    <w:rsid w:val="00C37A2A"/>
    <w:rsid w:val="00C37B23"/>
    <w:rsid w:val="00C37BBD"/>
    <w:rsid w:val="00C37C76"/>
    <w:rsid w:val="00C37CAD"/>
    <w:rsid w:val="00C37D35"/>
    <w:rsid w:val="00C37E0B"/>
    <w:rsid w:val="00C37E32"/>
    <w:rsid w:val="00C37F88"/>
    <w:rsid w:val="00C400B4"/>
    <w:rsid w:val="00C403EC"/>
    <w:rsid w:val="00C405CF"/>
    <w:rsid w:val="00C405D5"/>
    <w:rsid w:val="00C407B4"/>
    <w:rsid w:val="00C40A8B"/>
    <w:rsid w:val="00C40B8A"/>
    <w:rsid w:val="00C40C67"/>
    <w:rsid w:val="00C40D13"/>
    <w:rsid w:val="00C40D30"/>
    <w:rsid w:val="00C40E1C"/>
    <w:rsid w:val="00C40F19"/>
    <w:rsid w:val="00C40FE0"/>
    <w:rsid w:val="00C410F7"/>
    <w:rsid w:val="00C41225"/>
    <w:rsid w:val="00C41249"/>
    <w:rsid w:val="00C413D0"/>
    <w:rsid w:val="00C416B6"/>
    <w:rsid w:val="00C4174C"/>
    <w:rsid w:val="00C4177F"/>
    <w:rsid w:val="00C417F7"/>
    <w:rsid w:val="00C41899"/>
    <w:rsid w:val="00C41A33"/>
    <w:rsid w:val="00C41B1B"/>
    <w:rsid w:val="00C41B74"/>
    <w:rsid w:val="00C41C33"/>
    <w:rsid w:val="00C41E0A"/>
    <w:rsid w:val="00C42090"/>
    <w:rsid w:val="00C42186"/>
    <w:rsid w:val="00C42189"/>
    <w:rsid w:val="00C422EA"/>
    <w:rsid w:val="00C4230C"/>
    <w:rsid w:val="00C42337"/>
    <w:rsid w:val="00C4234A"/>
    <w:rsid w:val="00C4249B"/>
    <w:rsid w:val="00C4262E"/>
    <w:rsid w:val="00C42763"/>
    <w:rsid w:val="00C42833"/>
    <w:rsid w:val="00C428D3"/>
    <w:rsid w:val="00C428E0"/>
    <w:rsid w:val="00C42961"/>
    <w:rsid w:val="00C42973"/>
    <w:rsid w:val="00C429EF"/>
    <w:rsid w:val="00C429F6"/>
    <w:rsid w:val="00C42A3E"/>
    <w:rsid w:val="00C42B0B"/>
    <w:rsid w:val="00C42B0C"/>
    <w:rsid w:val="00C42B3C"/>
    <w:rsid w:val="00C42C6B"/>
    <w:rsid w:val="00C42C94"/>
    <w:rsid w:val="00C42CC9"/>
    <w:rsid w:val="00C4311D"/>
    <w:rsid w:val="00C4313B"/>
    <w:rsid w:val="00C4314B"/>
    <w:rsid w:val="00C431A0"/>
    <w:rsid w:val="00C433FC"/>
    <w:rsid w:val="00C4354A"/>
    <w:rsid w:val="00C4356D"/>
    <w:rsid w:val="00C435BD"/>
    <w:rsid w:val="00C435E1"/>
    <w:rsid w:val="00C4362F"/>
    <w:rsid w:val="00C4363D"/>
    <w:rsid w:val="00C43676"/>
    <w:rsid w:val="00C43714"/>
    <w:rsid w:val="00C4378D"/>
    <w:rsid w:val="00C4386A"/>
    <w:rsid w:val="00C438E8"/>
    <w:rsid w:val="00C43907"/>
    <w:rsid w:val="00C43928"/>
    <w:rsid w:val="00C4392E"/>
    <w:rsid w:val="00C4393A"/>
    <w:rsid w:val="00C4397B"/>
    <w:rsid w:val="00C4398E"/>
    <w:rsid w:val="00C439DD"/>
    <w:rsid w:val="00C439E0"/>
    <w:rsid w:val="00C439F6"/>
    <w:rsid w:val="00C43A94"/>
    <w:rsid w:val="00C43B40"/>
    <w:rsid w:val="00C43C39"/>
    <w:rsid w:val="00C43D63"/>
    <w:rsid w:val="00C43E04"/>
    <w:rsid w:val="00C43E50"/>
    <w:rsid w:val="00C43E84"/>
    <w:rsid w:val="00C440B0"/>
    <w:rsid w:val="00C440E6"/>
    <w:rsid w:val="00C4411F"/>
    <w:rsid w:val="00C44127"/>
    <w:rsid w:val="00C44169"/>
    <w:rsid w:val="00C44235"/>
    <w:rsid w:val="00C442CC"/>
    <w:rsid w:val="00C442E2"/>
    <w:rsid w:val="00C442EE"/>
    <w:rsid w:val="00C4443E"/>
    <w:rsid w:val="00C44508"/>
    <w:rsid w:val="00C4458A"/>
    <w:rsid w:val="00C445BF"/>
    <w:rsid w:val="00C4462E"/>
    <w:rsid w:val="00C4464D"/>
    <w:rsid w:val="00C446E6"/>
    <w:rsid w:val="00C44701"/>
    <w:rsid w:val="00C44794"/>
    <w:rsid w:val="00C44933"/>
    <w:rsid w:val="00C4498B"/>
    <w:rsid w:val="00C449E7"/>
    <w:rsid w:val="00C44EEE"/>
    <w:rsid w:val="00C44F90"/>
    <w:rsid w:val="00C45127"/>
    <w:rsid w:val="00C45131"/>
    <w:rsid w:val="00C45271"/>
    <w:rsid w:val="00C45290"/>
    <w:rsid w:val="00C45292"/>
    <w:rsid w:val="00C453A9"/>
    <w:rsid w:val="00C453D1"/>
    <w:rsid w:val="00C45481"/>
    <w:rsid w:val="00C454EF"/>
    <w:rsid w:val="00C454FF"/>
    <w:rsid w:val="00C45524"/>
    <w:rsid w:val="00C459C2"/>
    <w:rsid w:val="00C459E7"/>
    <w:rsid w:val="00C45A39"/>
    <w:rsid w:val="00C45A87"/>
    <w:rsid w:val="00C45AFC"/>
    <w:rsid w:val="00C45B72"/>
    <w:rsid w:val="00C45B9E"/>
    <w:rsid w:val="00C45BD0"/>
    <w:rsid w:val="00C45C6B"/>
    <w:rsid w:val="00C45C99"/>
    <w:rsid w:val="00C45CEE"/>
    <w:rsid w:val="00C45D1C"/>
    <w:rsid w:val="00C45D5F"/>
    <w:rsid w:val="00C45DC5"/>
    <w:rsid w:val="00C45DDE"/>
    <w:rsid w:val="00C45F0D"/>
    <w:rsid w:val="00C45F57"/>
    <w:rsid w:val="00C46058"/>
    <w:rsid w:val="00C460C1"/>
    <w:rsid w:val="00C461FB"/>
    <w:rsid w:val="00C46232"/>
    <w:rsid w:val="00C4638F"/>
    <w:rsid w:val="00C463E5"/>
    <w:rsid w:val="00C463FE"/>
    <w:rsid w:val="00C464B0"/>
    <w:rsid w:val="00C465F3"/>
    <w:rsid w:val="00C46612"/>
    <w:rsid w:val="00C46620"/>
    <w:rsid w:val="00C46628"/>
    <w:rsid w:val="00C468B9"/>
    <w:rsid w:val="00C468F3"/>
    <w:rsid w:val="00C46993"/>
    <w:rsid w:val="00C469EA"/>
    <w:rsid w:val="00C46ACC"/>
    <w:rsid w:val="00C46B9F"/>
    <w:rsid w:val="00C46BD9"/>
    <w:rsid w:val="00C46CDE"/>
    <w:rsid w:val="00C46D54"/>
    <w:rsid w:val="00C46D78"/>
    <w:rsid w:val="00C46DD7"/>
    <w:rsid w:val="00C46E87"/>
    <w:rsid w:val="00C46F2D"/>
    <w:rsid w:val="00C46F51"/>
    <w:rsid w:val="00C47077"/>
    <w:rsid w:val="00C471DF"/>
    <w:rsid w:val="00C474D4"/>
    <w:rsid w:val="00C474D6"/>
    <w:rsid w:val="00C47544"/>
    <w:rsid w:val="00C475AF"/>
    <w:rsid w:val="00C475E6"/>
    <w:rsid w:val="00C47681"/>
    <w:rsid w:val="00C476BD"/>
    <w:rsid w:val="00C4774D"/>
    <w:rsid w:val="00C4784B"/>
    <w:rsid w:val="00C478B6"/>
    <w:rsid w:val="00C47B6E"/>
    <w:rsid w:val="00C47BA5"/>
    <w:rsid w:val="00C47BBD"/>
    <w:rsid w:val="00C47C40"/>
    <w:rsid w:val="00C47C41"/>
    <w:rsid w:val="00C47CBC"/>
    <w:rsid w:val="00C47DAD"/>
    <w:rsid w:val="00C47E98"/>
    <w:rsid w:val="00C47F79"/>
    <w:rsid w:val="00C50037"/>
    <w:rsid w:val="00C5006D"/>
    <w:rsid w:val="00C50075"/>
    <w:rsid w:val="00C50092"/>
    <w:rsid w:val="00C50275"/>
    <w:rsid w:val="00C505B2"/>
    <w:rsid w:val="00C50638"/>
    <w:rsid w:val="00C50686"/>
    <w:rsid w:val="00C50703"/>
    <w:rsid w:val="00C50747"/>
    <w:rsid w:val="00C507AB"/>
    <w:rsid w:val="00C50887"/>
    <w:rsid w:val="00C50959"/>
    <w:rsid w:val="00C50A81"/>
    <w:rsid w:val="00C50ACE"/>
    <w:rsid w:val="00C50B7F"/>
    <w:rsid w:val="00C50CD2"/>
    <w:rsid w:val="00C50CEB"/>
    <w:rsid w:val="00C50D2C"/>
    <w:rsid w:val="00C50E06"/>
    <w:rsid w:val="00C50E4E"/>
    <w:rsid w:val="00C50E79"/>
    <w:rsid w:val="00C510ED"/>
    <w:rsid w:val="00C5113D"/>
    <w:rsid w:val="00C511A0"/>
    <w:rsid w:val="00C51229"/>
    <w:rsid w:val="00C512EE"/>
    <w:rsid w:val="00C51361"/>
    <w:rsid w:val="00C51374"/>
    <w:rsid w:val="00C5142A"/>
    <w:rsid w:val="00C5151E"/>
    <w:rsid w:val="00C516BC"/>
    <w:rsid w:val="00C5172B"/>
    <w:rsid w:val="00C5174A"/>
    <w:rsid w:val="00C517CA"/>
    <w:rsid w:val="00C5189D"/>
    <w:rsid w:val="00C519D8"/>
    <w:rsid w:val="00C51AF5"/>
    <w:rsid w:val="00C51B48"/>
    <w:rsid w:val="00C51B6F"/>
    <w:rsid w:val="00C51BF9"/>
    <w:rsid w:val="00C51D2A"/>
    <w:rsid w:val="00C51D50"/>
    <w:rsid w:val="00C51D57"/>
    <w:rsid w:val="00C51DBF"/>
    <w:rsid w:val="00C51FA3"/>
    <w:rsid w:val="00C51FEB"/>
    <w:rsid w:val="00C51FF4"/>
    <w:rsid w:val="00C5202B"/>
    <w:rsid w:val="00C52135"/>
    <w:rsid w:val="00C5219D"/>
    <w:rsid w:val="00C5219E"/>
    <w:rsid w:val="00C521E6"/>
    <w:rsid w:val="00C522B8"/>
    <w:rsid w:val="00C524D8"/>
    <w:rsid w:val="00C525B7"/>
    <w:rsid w:val="00C525D6"/>
    <w:rsid w:val="00C5262C"/>
    <w:rsid w:val="00C52639"/>
    <w:rsid w:val="00C5268D"/>
    <w:rsid w:val="00C52781"/>
    <w:rsid w:val="00C528A7"/>
    <w:rsid w:val="00C529D1"/>
    <w:rsid w:val="00C529E9"/>
    <w:rsid w:val="00C52AEE"/>
    <w:rsid w:val="00C52B4F"/>
    <w:rsid w:val="00C52E3F"/>
    <w:rsid w:val="00C52E64"/>
    <w:rsid w:val="00C52F89"/>
    <w:rsid w:val="00C52FB2"/>
    <w:rsid w:val="00C5309D"/>
    <w:rsid w:val="00C53140"/>
    <w:rsid w:val="00C5318B"/>
    <w:rsid w:val="00C5323E"/>
    <w:rsid w:val="00C53343"/>
    <w:rsid w:val="00C533A2"/>
    <w:rsid w:val="00C534F3"/>
    <w:rsid w:val="00C534F9"/>
    <w:rsid w:val="00C535A0"/>
    <w:rsid w:val="00C53807"/>
    <w:rsid w:val="00C5391B"/>
    <w:rsid w:val="00C53A50"/>
    <w:rsid w:val="00C53B04"/>
    <w:rsid w:val="00C53B26"/>
    <w:rsid w:val="00C53C61"/>
    <w:rsid w:val="00C53D99"/>
    <w:rsid w:val="00C53DCF"/>
    <w:rsid w:val="00C53E6F"/>
    <w:rsid w:val="00C53ECE"/>
    <w:rsid w:val="00C53F01"/>
    <w:rsid w:val="00C53F25"/>
    <w:rsid w:val="00C53F51"/>
    <w:rsid w:val="00C540DD"/>
    <w:rsid w:val="00C5416C"/>
    <w:rsid w:val="00C541AF"/>
    <w:rsid w:val="00C541C2"/>
    <w:rsid w:val="00C541C7"/>
    <w:rsid w:val="00C543D2"/>
    <w:rsid w:val="00C544C0"/>
    <w:rsid w:val="00C54651"/>
    <w:rsid w:val="00C54679"/>
    <w:rsid w:val="00C54702"/>
    <w:rsid w:val="00C5471C"/>
    <w:rsid w:val="00C54746"/>
    <w:rsid w:val="00C5477B"/>
    <w:rsid w:val="00C54947"/>
    <w:rsid w:val="00C54949"/>
    <w:rsid w:val="00C549AF"/>
    <w:rsid w:val="00C54A0B"/>
    <w:rsid w:val="00C54AA2"/>
    <w:rsid w:val="00C54ADF"/>
    <w:rsid w:val="00C54AEE"/>
    <w:rsid w:val="00C54B33"/>
    <w:rsid w:val="00C54B6D"/>
    <w:rsid w:val="00C54B93"/>
    <w:rsid w:val="00C55276"/>
    <w:rsid w:val="00C553C7"/>
    <w:rsid w:val="00C5547E"/>
    <w:rsid w:val="00C554DD"/>
    <w:rsid w:val="00C55501"/>
    <w:rsid w:val="00C5564E"/>
    <w:rsid w:val="00C557CE"/>
    <w:rsid w:val="00C5584E"/>
    <w:rsid w:val="00C559A2"/>
    <w:rsid w:val="00C55A6F"/>
    <w:rsid w:val="00C55AFD"/>
    <w:rsid w:val="00C55BD0"/>
    <w:rsid w:val="00C55BE7"/>
    <w:rsid w:val="00C55C6F"/>
    <w:rsid w:val="00C55D03"/>
    <w:rsid w:val="00C55DCB"/>
    <w:rsid w:val="00C55DCE"/>
    <w:rsid w:val="00C55E77"/>
    <w:rsid w:val="00C55ED5"/>
    <w:rsid w:val="00C55F5D"/>
    <w:rsid w:val="00C5618C"/>
    <w:rsid w:val="00C56196"/>
    <w:rsid w:val="00C561DD"/>
    <w:rsid w:val="00C56363"/>
    <w:rsid w:val="00C563AA"/>
    <w:rsid w:val="00C563AD"/>
    <w:rsid w:val="00C564FB"/>
    <w:rsid w:val="00C565D8"/>
    <w:rsid w:val="00C56675"/>
    <w:rsid w:val="00C566DD"/>
    <w:rsid w:val="00C56771"/>
    <w:rsid w:val="00C56987"/>
    <w:rsid w:val="00C569A6"/>
    <w:rsid w:val="00C569DA"/>
    <w:rsid w:val="00C56AC2"/>
    <w:rsid w:val="00C56B3C"/>
    <w:rsid w:val="00C56B89"/>
    <w:rsid w:val="00C56D72"/>
    <w:rsid w:val="00C56EDA"/>
    <w:rsid w:val="00C57014"/>
    <w:rsid w:val="00C57328"/>
    <w:rsid w:val="00C573D1"/>
    <w:rsid w:val="00C5761E"/>
    <w:rsid w:val="00C57680"/>
    <w:rsid w:val="00C577AB"/>
    <w:rsid w:val="00C577EF"/>
    <w:rsid w:val="00C579A5"/>
    <w:rsid w:val="00C57B60"/>
    <w:rsid w:val="00C57BA6"/>
    <w:rsid w:val="00C57C21"/>
    <w:rsid w:val="00C57D00"/>
    <w:rsid w:val="00C57D97"/>
    <w:rsid w:val="00C57F9E"/>
    <w:rsid w:val="00C602D8"/>
    <w:rsid w:val="00C606FC"/>
    <w:rsid w:val="00C60710"/>
    <w:rsid w:val="00C60751"/>
    <w:rsid w:val="00C6085E"/>
    <w:rsid w:val="00C60922"/>
    <w:rsid w:val="00C60C5D"/>
    <w:rsid w:val="00C60C70"/>
    <w:rsid w:val="00C60E1D"/>
    <w:rsid w:val="00C61101"/>
    <w:rsid w:val="00C6121A"/>
    <w:rsid w:val="00C6139B"/>
    <w:rsid w:val="00C61481"/>
    <w:rsid w:val="00C61565"/>
    <w:rsid w:val="00C61587"/>
    <w:rsid w:val="00C61599"/>
    <w:rsid w:val="00C6166C"/>
    <w:rsid w:val="00C616C4"/>
    <w:rsid w:val="00C6172D"/>
    <w:rsid w:val="00C617F7"/>
    <w:rsid w:val="00C61813"/>
    <w:rsid w:val="00C618B2"/>
    <w:rsid w:val="00C618E0"/>
    <w:rsid w:val="00C61935"/>
    <w:rsid w:val="00C61A5D"/>
    <w:rsid w:val="00C61B7D"/>
    <w:rsid w:val="00C61CCC"/>
    <w:rsid w:val="00C61D4B"/>
    <w:rsid w:val="00C61ECF"/>
    <w:rsid w:val="00C61F74"/>
    <w:rsid w:val="00C6208A"/>
    <w:rsid w:val="00C62262"/>
    <w:rsid w:val="00C622DF"/>
    <w:rsid w:val="00C62361"/>
    <w:rsid w:val="00C6236A"/>
    <w:rsid w:val="00C623B9"/>
    <w:rsid w:val="00C624CA"/>
    <w:rsid w:val="00C62608"/>
    <w:rsid w:val="00C6260F"/>
    <w:rsid w:val="00C6261A"/>
    <w:rsid w:val="00C627FE"/>
    <w:rsid w:val="00C62937"/>
    <w:rsid w:val="00C629EC"/>
    <w:rsid w:val="00C62A83"/>
    <w:rsid w:val="00C62B9F"/>
    <w:rsid w:val="00C62C02"/>
    <w:rsid w:val="00C62C34"/>
    <w:rsid w:val="00C62D1A"/>
    <w:rsid w:val="00C62D24"/>
    <w:rsid w:val="00C62D4E"/>
    <w:rsid w:val="00C62F93"/>
    <w:rsid w:val="00C63056"/>
    <w:rsid w:val="00C63073"/>
    <w:rsid w:val="00C6331A"/>
    <w:rsid w:val="00C6335E"/>
    <w:rsid w:val="00C633EF"/>
    <w:rsid w:val="00C634BE"/>
    <w:rsid w:val="00C6352A"/>
    <w:rsid w:val="00C6380E"/>
    <w:rsid w:val="00C6382A"/>
    <w:rsid w:val="00C6383B"/>
    <w:rsid w:val="00C6383D"/>
    <w:rsid w:val="00C63986"/>
    <w:rsid w:val="00C63AE8"/>
    <w:rsid w:val="00C63AFF"/>
    <w:rsid w:val="00C63B45"/>
    <w:rsid w:val="00C63B52"/>
    <w:rsid w:val="00C63CC4"/>
    <w:rsid w:val="00C63D2F"/>
    <w:rsid w:val="00C63D8F"/>
    <w:rsid w:val="00C63DA3"/>
    <w:rsid w:val="00C63DD4"/>
    <w:rsid w:val="00C63F0F"/>
    <w:rsid w:val="00C63FF1"/>
    <w:rsid w:val="00C64033"/>
    <w:rsid w:val="00C640AA"/>
    <w:rsid w:val="00C640FC"/>
    <w:rsid w:val="00C64165"/>
    <w:rsid w:val="00C6416D"/>
    <w:rsid w:val="00C641AF"/>
    <w:rsid w:val="00C641C3"/>
    <w:rsid w:val="00C641DE"/>
    <w:rsid w:val="00C6428D"/>
    <w:rsid w:val="00C643DB"/>
    <w:rsid w:val="00C6457B"/>
    <w:rsid w:val="00C6463F"/>
    <w:rsid w:val="00C64730"/>
    <w:rsid w:val="00C6474B"/>
    <w:rsid w:val="00C64758"/>
    <w:rsid w:val="00C64765"/>
    <w:rsid w:val="00C647DC"/>
    <w:rsid w:val="00C648B7"/>
    <w:rsid w:val="00C648BE"/>
    <w:rsid w:val="00C64917"/>
    <w:rsid w:val="00C64A78"/>
    <w:rsid w:val="00C64A94"/>
    <w:rsid w:val="00C64BBE"/>
    <w:rsid w:val="00C64BDC"/>
    <w:rsid w:val="00C64BEE"/>
    <w:rsid w:val="00C64C38"/>
    <w:rsid w:val="00C64C53"/>
    <w:rsid w:val="00C64C93"/>
    <w:rsid w:val="00C64D66"/>
    <w:rsid w:val="00C64E8A"/>
    <w:rsid w:val="00C64EB2"/>
    <w:rsid w:val="00C64F3F"/>
    <w:rsid w:val="00C6502D"/>
    <w:rsid w:val="00C6504D"/>
    <w:rsid w:val="00C65137"/>
    <w:rsid w:val="00C65256"/>
    <w:rsid w:val="00C652BF"/>
    <w:rsid w:val="00C65332"/>
    <w:rsid w:val="00C653B0"/>
    <w:rsid w:val="00C653C5"/>
    <w:rsid w:val="00C6547F"/>
    <w:rsid w:val="00C654C9"/>
    <w:rsid w:val="00C65508"/>
    <w:rsid w:val="00C65643"/>
    <w:rsid w:val="00C6564E"/>
    <w:rsid w:val="00C65661"/>
    <w:rsid w:val="00C6568F"/>
    <w:rsid w:val="00C656A4"/>
    <w:rsid w:val="00C657E9"/>
    <w:rsid w:val="00C657FA"/>
    <w:rsid w:val="00C6589D"/>
    <w:rsid w:val="00C6592B"/>
    <w:rsid w:val="00C65BE2"/>
    <w:rsid w:val="00C65C5D"/>
    <w:rsid w:val="00C65CD0"/>
    <w:rsid w:val="00C65DC3"/>
    <w:rsid w:val="00C65E01"/>
    <w:rsid w:val="00C65E92"/>
    <w:rsid w:val="00C65EC8"/>
    <w:rsid w:val="00C65F1F"/>
    <w:rsid w:val="00C66197"/>
    <w:rsid w:val="00C661B1"/>
    <w:rsid w:val="00C661FD"/>
    <w:rsid w:val="00C66288"/>
    <w:rsid w:val="00C662A6"/>
    <w:rsid w:val="00C663C8"/>
    <w:rsid w:val="00C663C9"/>
    <w:rsid w:val="00C66432"/>
    <w:rsid w:val="00C6651E"/>
    <w:rsid w:val="00C6655F"/>
    <w:rsid w:val="00C667D2"/>
    <w:rsid w:val="00C66880"/>
    <w:rsid w:val="00C6698E"/>
    <w:rsid w:val="00C66A14"/>
    <w:rsid w:val="00C66A46"/>
    <w:rsid w:val="00C66B88"/>
    <w:rsid w:val="00C66BA2"/>
    <w:rsid w:val="00C66BBE"/>
    <w:rsid w:val="00C66C7C"/>
    <w:rsid w:val="00C66D72"/>
    <w:rsid w:val="00C66DCF"/>
    <w:rsid w:val="00C66E39"/>
    <w:rsid w:val="00C66E3E"/>
    <w:rsid w:val="00C66FB3"/>
    <w:rsid w:val="00C67022"/>
    <w:rsid w:val="00C67194"/>
    <w:rsid w:val="00C67336"/>
    <w:rsid w:val="00C673F9"/>
    <w:rsid w:val="00C6742B"/>
    <w:rsid w:val="00C67676"/>
    <w:rsid w:val="00C6784C"/>
    <w:rsid w:val="00C678A3"/>
    <w:rsid w:val="00C678AC"/>
    <w:rsid w:val="00C67A76"/>
    <w:rsid w:val="00C67A95"/>
    <w:rsid w:val="00C67AF6"/>
    <w:rsid w:val="00C67B55"/>
    <w:rsid w:val="00C67B9A"/>
    <w:rsid w:val="00C67D0E"/>
    <w:rsid w:val="00C67D7C"/>
    <w:rsid w:val="00C67E21"/>
    <w:rsid w:val="00C67ED7"/>
    <w:rsid w:val="00C67EFF"/>
    <w:rsid w:val="00C67F2D"/>
    <w:rsid w:val="00C70039"/>
    <w:rsid w:val="00C701CF"/>
    <w:rsid w:val="00C701D1"/>
    <w:rsid w:val="00C702AB"/>
    <w:rsid w:val="00C702B1"/>
    <w:rsid w:val="00C702D2"/>
    <w:rsid w:val="00C702E8"/>
    <w:rsid w:val="00C703EA"/>
    <w:rsid w:val="00C704EC"/>
    <w:rsid w:val="00C7058E"/>
    <w:rsid w:val="00C70601"/>
    <w:rsid w:val="00C7068F"/>
    <w:rsid w:val="00C706FE"/>
    <w:rsid w:val="00C70860"/>
    <w:rsid w:val="00C70941"/>
    <w:rsid w:val="00C70A94"/>
    <w:rsid w:val="00C70ADC"/>
    <w:rsid w:val="00C70B58"/>
    <w:rsid w:val="00C70B8F"/>
    <w:rsid w:val="00C70C0D"/>
    <w:rsid w:val="00C70C52"/>
    <w:rsid w:val="00C70DBE"/>
    <w:rsid w:val="00C70FA5"/>
    <w:rsid w:val="00C7104A"/>
    <w:rsid w:val="00C710F8"/>
    <w:rsid w:val="00C71176"/>
    <w:rsid w:val="00C71253"/>
    <w:rsid w:val="00C71273"/>
    <w:rsid w:val="00C71283"/>
    <w:rsid w:val="00C712C0"/>
    <w:rsid w:val="00C71369"/>
    <w:rsid w:val="00C7138B"/>
    <w:rsid w:val="00C713A2"/>
    <w:rsid w:val="00C713C9"/>
    <w:rsid w:val="00C71470"/>
    <w:rsid w:val="00C71501"/>
    <w:rsid w:val="00C7156C"/>
    <w:rsid w:val="00C715B7"/>
    <w:rsid w:val="00C715D6"/>
    <w:rsid w:val="00C715E0"/>
    <w:rsid w:val="00C716EF"/>
    <w:rsid w:val="00C7184C"/>
    <w:rsid w:val="00C71A98"/>
    <w:rsid w:val="00C71C03"/>
    <w:rsid w:val="00C71C30"/>
    <w:rsid w:val="00C71C64"/>
    <w:rsid w:val="00C71C74"/>
    <w:rsid w:val="00C71CB6"/>
    <w:rsid w:val="00C71D14"/>
    <w:rsid w:val="00C71D7D"/>
    <w:rsid w:val="00C72010"/>
    <w:rsid w:val="00C720AC"/>
    <w:rsid w:val="00C721AD"/>
    <w:rsid w:val="00C721AE"/>
    <w:rsid w:val="00C722C9"/>
    <w:rsid w:val="00C72342"/>
    <w:rsid w:val="00C72358"/>
    <w:rsid w:val="00C72399"/>
    <w:rsid w:val="00C724FA"/>
    <w:rsid w:val="00C72587"/>
    <w:rsid w:val="00C726A3"/>
    <w:rsid w:val="00C726BE"/>
    <w:rsid w:val="00C72870"/>
    <w:rsid w:val="00C728C3"/>
    <w:rsid w:val="00C7295C"/>
    <w:rsid w:val="00C72A0C"/>
    <w:rsid w:val="00C72AED"/>
    <w:rsid w:val="00C72AF6"/>
    <w:rsid w:val="00C72B0A"/>
    <w:rsid w:val="00C72B53"/>
    <w:rsid w:val="00C72BA3"/>
    <w:rsid w:val="00C72C2E"/>
    <w:rsid w:val="00C72D4C"/>
    <w:rsid w:val="00C72D83"/>
    <w:rsid w:val="00C72F13"/>
    <w:rsid w:val="00C72F97"/>
    <w:rsid w:val="00C7301E"/>
    <w:rsid w:val="00C7304F"/>
    <w:rsid w:val="00C73099"/>
    <w:rsid w:val="00C730CA"/>
    <w:rsid w:val="00C73275"/>
    <w:rsid w:val="00C73278"/>
    <w:rsid w:val="00C732AE"/>
    <w:rsid w:val="00C732EB"/>
    <w:rsid w:val="00C733E7"/>
    <w:rsid w:val="00C734B5"/>
    <w:rsid w:val="00C73507"/>
    <w:rsid w:val="00C73562"/>
    <w:rsid w:val="00C7379A"/>
    <w:rsid w:val="00C73953"/>
    <w:rsid w:val="00C7396D"/>
    <w:rsid w:val="00C73A1C"/>
    <w:rsid w:val="00C73A33"/>
    <w:rsid w:val="00C73AC1"/>
    <w:rsid w:val="00C73B6E"/>
    <w:rsid w:val="00C73BFE"/>
    <w:rsid w:val="00C73CE6"/>
    <w:rsid w:val="00C73DC8"/>
    <w:rsid w:val="00C73EA6"/>
    <w:rsid w:val="00C73F58"/>
    <w:rsid w:val="00C74008"/>
    <w:rsid w:val="00C740AE"/>
    <w:rsid w:val="00C74113"/>
    <w:rsid w:val="00C741C0"/>
    <w:rsid w:val="00C742B8"/>
    <w:rsid w:val="00C743BF"/>
    <w:rsid w:val="00C745CA"/>
    <w:rsid w:val="00C74646"/>
    <w:rsid w:val="00C74650"/>
    <w:rsid w:val="00C7469E"/>
    <w:rsid w:val="00C74744"/>
    <w:rsid w:val="00C7474E"/>
    <w:rsid w:val="00C748E3"/>
    <w:rsid w:val="00C74ACE"/>
    <w:rsid w:val="00C74BBB"/>
    <w:rsid w:val="00C74BE3"/>
    <w:rsid w:val="00C74D12"/>
    <w:rsid w:val="00C74D6C"/>
    <w:rsid w:val="00C74EF6"/>
    <w:rsid w:val="00C7502C"/>
    <w:rsid w:val="00C75044"/>
    <w:rsid w:val="00C75092"/>
    <w:rsid w:val="00C750CA"/>
    <w:rsid w:val="00C751DA"/>
    <w:rsid w:val="00C7540D"/>
    <w:rsid w:val="00C75585"/>
    <w:rsid w:val="00C75754"/>
    <w:rsid w:val="00C757B6"/>
    <w:rsid w:val="00C75824"/>
    <w:rsid w:val="00C7588D"/>
    <w:rsid w:val="00C759FB"/>
    <w:rsid w:val="00C75B57"/>
    <w:rsid w:val="00C75BCD"/>
    <w:rsid w:val="00C75BD8"/>
    <w:rsid w:val="00C75DAD"/>
    <w:rsid w:val="00C75EA5"/>
    <w:rsid w:val="00C75EB6"/>
    <w:rsid w:val="00C75F5D"/>
    <w:rsid w:val="00C76003"/>
    <w:rsid w:val="00C7625A"/>
    <w:rsid w:val="00C762A0"/>
    <w:rsid w:val="00C76324"/>
    <w:rsid w:val="00C7637B"/>
    <w:rsid w:val="00C7638F"/>
    <w:rsid w:val="00C76395"/>
    <w:rsid w:val="00C764D8"/>
    <w:rsid w:val="00C764E1"/>
    <w:rsid w:val="00C76536"/>
    <w:rsid w:val="00C76697"/>
    <w:rsid w:val="00C76778"/>
    <w:rsid w:val="00C76994"/>
    <w:rsid w:val="00C769A9"/>
    <w:rsid w:val="00C76B6C"/>
    <w:rsid w:val="00C76DEC"/>
    <w:rsid w:val="00C76E05"/>
    <w:rsid w:val="00C76E27"/>
    <w:rsid w:val="00C76E8D"/>
    <w:rsid w:val="00C76F6D"/>
    <w:rsid w:val="00C76FAD"/>
    <w:rsid w:val="00C77211"/>
    <w:rsid w:val="00C772EA"/>
    <w:rsid w:val="00C7740D"/>
    <w:rsid w:val="00C7757E"/>
    <w:rsid w:val="00C777C3"/>
    <w:rsid w:val="00C77880"/>
    <w:rsid w:val="00C778E0"/>
    <w:rsid w:val="00C77934"/>
    <w:rsid w:val="00C77A0C"/>
    <w:rsid w:val="00C77B75"/>
    <w:rsid w:val="00C77BF1"/>
    <w:rsid w:val="00C77C3F"/>
    <w:rsid w:val="00C77C5E"/>
    <w:rsid w:val="00C77D2B"/>
    <w:rsid w:val="00C77DA3"/>
    <w:rsid w:val="00C77DB7"/>
    <w:rsid w:val="00C77FB0"/>
    <w:rsid w:val="00C80145"/>
    <w:rsid w:val="00C8025A"/>
    <w:rsid w:val="00C804F0"/>
    <w:rsid w:val="00C80518"/>
    <w:rsid w:val="00C805DF"/>
    <w:rsid w:val="00C805F1"/>
    <w:rsid w:val="00C80646"/>
    <w:rsid w:val="00C80694"/>
    <w:rsid w:val="00C80773"/>
    <w:rsid w:val="00C808F2"/>
    <w:rsid w:val="00C8096D"/>
    <w:rsid w:val="00C80AEA"/>
    <w:rsid w:val="00C80BF8"/>
    <w:rsid w:val="00C80C83"/>
    <w:rsid w:val="00C80E0C"/>
    <w:rsid w:val="00C80E6C"/>
    <w:rsid w:val="00C80ED9"/>
    <w:rsid w:val="00C80EE2"/>
    <w:rsid w:val="00C80F4B"/>
    <w:rsid w:val="00C80F4E"/>
    <w:rsid w:val="00C80F72"/>
    <w:rsid w:val="00C81006"/>
    <w:rsid w:val="00C81188"/>
    <w:rsid w:val="00C81284"/>
    <w:rsid w:val="00C8133C"/>
    <w:rsid w:val="00C81502"/>
    <w:rsid w:val="00C8153C"/>
    <w:rsid w:val="00C815D7"/>
    <w:rsid w:val="00C815E8"/>
    <w:rsid w:val="00C816A7"/>
    <w:rsid w:val="00C81709"/>
    <w:rsid w:val="00C817C4"/>
    <w:rsid w:val="00C81951"/>
    <w:rsid w:val="00C819B5"/>
    <w:rsid w:val="00C81AF8"/>
    <w:rsid w:val="00C81B80"/>
    <w:rsid w:val="00C81BB0"/>
    <w:rsid w:val="00C81BDA"/>
    <w:rsid w:val="00C81C45"/>
    <w:rsid w:val="00C81C46"/>
    <w:rsid w:val="00C81D00"/>
    <w:rsid w:val="00C81D6E"/>
    <w:rsid w:val="00C81E7B"/>
    <w:rsid w:val="00C81F22"/>
    <w:rsid w:val="00C81F81"/>
    <w:rsid w:val="00C81FC8"/>
    <w:rsid w:val="00C8202B"/>
    <w:rsid w:val="00C8213C"/>
    <w:rsid w:val="00C82191"/>
    <w:rsid w:val="00C821C1"/>
    <w:rsid w:val="00C82355"/>
    <w:rsid w:val="00C82457"/>
    <w:rsid w:val="00C82538"/>
    <w:rsid w:val="00C82773"/>
    <w:rsid w:val="00C82888"/>
    <w:rsid w:val="00C828D9"/>
    <w:rsid w:val="00C82916"/>
    <w:rsid w:val="00C82950"/>
    <w:rsid w:val="00C829C8"/>
    <w:rsid w:val="00C82ABC"/>
    <w:rsid w:val="00C82AFC"/>
    <w:rsid w:val="00C82B30"/>
    <w:rsid w:val="00C82BB9"/>
    <w:rsid w:val="00C82BEF"/>
    <w:rsid w:val="00C82D0A"/>
    <w:rsid w:val="00C82D31"/>
    <w:rsid w:val="00C82E99"/>
    <w:rsid w:val="00C8304A"/>
    <w:rsid w:val="00C830A2"/>
    <w:rsid w:val="00C8310F"/>
    <w:rsid w:val="00C83140"/>
    <w:rsid w:val="00C83177"/>
    <w:rsid w:val="00C83255"/>
    <w:rsid w:val="00C83260"/>
    <w:rsid w:val="00C8328F"/>
    <w:rsid w:val="00C83386"/>
    <w:rsid w:val="00C83408"/>
    <w:rsid w:val="00C8358A"/>
    <w:rsid w:val="00C835A5"/>
    <w:rsid w:val="00C835B6"/>
    <w:rsid w:val="00C836A7"/>
    <w:rsid w:val="00C836AD"/>
    <w:rsid w:val="00C836D3"/>
    <w:rsid w:val="00C83719"/>
    <w:rsid w:val="00C8376D"/>
    <w:rsid w:val="00C8381C"/>
    <w:rsid w:val="00C839BC"/>
    <w:rsid w:val="00C839D7"/>
    <w:rsid w:val="00C83AFD"/>
    <w:rsid w:val="00C83B66"/>
    <w:rsid w:val="00C83BD3"/>
    <w:rsid w:val="00C83CD4"/>
    <w:rsid w:val="00C83D6D"/>
    <w:rsid w:val="00C83D85"/>
    <w:rsid w:val="00C83D8D"/>
    <w:rsid w:val="00C83DD3"/>
    <w:rsid w:val="00C83DE3"/>
    <w:rsid w:val="00C83E68"/>
    <w:rsid w:val="00C83F0A"/>
    <w:rsid w:val="00C83F15"/>
    <w:rsid w:val="00C83FBE"/>
    <w:rsid w:val="00C84011"/>
    <w:rsid w:val="00C842FD"/>
    <w:rsid w:val="00C843E2"/>
    <w:rsid w:val="00C84429"/>
    <w:rsid w:val="00C8448C"/>
    <w:rsid w:val="00C84508"/>
    <w:rsid w:val="00C84513"/>
    <w:rsid w:val="00C8461C"/>
    <w:rsid w:val="00C84668"/>
    <w:rsid w:val="00C84671"/>
    <w:rsid w:val="00C846BD"/>
    <w:rsid w:val="00C846C7"/>
    <w:rsid w:val="00C84773"/>
    <w:rsid w:val="00C84AC5"/>
    <w:rsid w:val="00C84B48"/>
    <w:rsid w:val="00C84BA7"/>
    <w:rsid w:val="00C84D3C"/>
    <w:rsid w:val="00C85025"/>
    <w:rsid w:val="00C850BE"/>
    <w:rsid w:val="00C850CD"/>
    <w:rsid w:val="00C852C1"/>
    <w:rsid w:val="00C85328"/>
    <w:rsid w:val="00C853A7"/>
    <w:rsid w:val="00C853DF"/>
    <w:rsid w:val="00C85452"/>
    <w:rsid w:val="00C85478"/>
    <w:rsid w:val="00C85717"/>
    <w:rsid w:val="00C857B8"/>
    <w:rsid w:val="00C8596B"/>
    <w:rsid w:val="00C859A9"/>
    <w:rsid w:val="00C85A25"/>
    <w:rsid w:val="00C85A90"/>
    <w:rsid w:val="00C85ACA"/>
    <w:rsid w:val="00C85B47"/>
    <w:rsid w:val="00C85BD6"/>
    <w:rsid w:val="00C85C77"/>
    <w:rsid w:val="00C85CAA"/>
    <w:rsid w:val="00C85D7D"/>
    <w:rsid w:val="00C85E50"/>
    <w:rsid w:val="00C85EAC"/>
    <w:rsid w:val="00C85EFD"/>
    <w:rsid w:val="00C85F2D"/>
    <w:rsid w:val="00C85FEA"/>
    <w:rsid w:val="00C860E2"/>
    <w:rsid w:val="00C86220"/>
    <w:rsid w:val="00C862CD"/>
    <w:rsid w:val="00C8631C"/>
    <w:rsid w:val="00C864E9"/>
    <w:rsid w:val="00C8656E"/>
    <w:rsid w:val="00C865BD"/>
    <w:rsid w:val="00C8660E"/>
    <w:rsid w:val="00C86774"/>
    <w:rsid w:val="00C86956"/>
    <w:rsid w:val="00C86B87"/>
    <w:rsid w:val="00C86E10"/>
    <w:rsid w:val="00C86E87"/>
    <w:rsid w:val="00C86F12"/>
    <w:rsid w:val="00C86F6E"/>
    <w:rsid w:val="00C8708B"/>
    <w:rsid w:val="00C8713F"/>
    <w:rsid w:val="00C8729E"/>
    <w:rsid w:val="00C87434"/>
    <w:rsid w:val="00C876B5"/>
    <w:rsid w:val="00C87707"/>
    <w:rsid w:val="00C87854"/>
    <w:rsid w:val="00C8785B"/>
    <w:rsid w:val="00C87BBA"/>
    <w:rsid w:val="00C87CEB"/>
    <w:rsid w:val="00C87E04"/>
    <w:rsid w:val="00C87E55"/>
    <w:rsid w:val="00C87FBB"/>
    <w:rsid w:val="00C901B1"/>
    <w:rsid w:val="00C90398"/>
    <w:rsid w:val="00C903C1"/>
    <w:rsid w:val="00C904AB"/>
    <w:rsid w:val="00C9053D"/>
    <w:rsid w:val="00C90551"/>
    <w:rsid w:val="00C9059C"/>
    <w:rsid w:val="00C90791"/>
    <w:rsid w:val="00C907FC"/>
    <w:rsid w:val="00C90842"/>
    <w:rsid w:val="00C90843"/>
    <w:rsid w:val="00C908E6"/>
    <w:rsid w:val="00C90962"/>
    <w:rsid w:val="00C90A3E"/>
    <w:rsid w:val="00C90B55"/>
    <w:rsid w:val="00C90D06"/>
    <w:rsid w:val="00C90DF0"/>
    <w:rsid w:val="00C90F69"/>
    <w:rsid w:val="00C90F86"/>
    <w:rsid w:val="00C90F8F"/>
    <w:rsid w:val="00C91069"/>
    <w:rsid w:val="00C91074"/>
    <w:rsid w:val="00C91119"/>
    <w:rsid w:val="00C911BB"/>
    <w:rsid w:val="00C911DA"/>
    <w:rsid w:val="00C912B1"/>
    <w:rsid w:val="00C9132E"/>
    <w:rsid w:val="00C9138E"/>
    <w:rsid w:val="00C913F4"/>
    <w:rsid w:val="00C91696"/>
    <w:rsid w:val="00C9188D"/>
    <w:rsid w:val="00C91978"/>
    <w:rsid w:val="00C919BC"/>
    <w:rsid w:val="00C91A08"/>
    <w:rsid w:val="00C91CDC"/>
    <w:rsid w:val="00C91DAF"/>
    <w:rsid w:val="00C91DCA"/>
    <w:rsid w:val="00C91E04"/>
    <w:rsid w:val="00C91E47"/>
    <w:rsid w:val="00C91E8D"/>
    <w:rsid w:val="00C91E97"/>
    <w:rsid w:val="00C91FA3"/>
    <w:rsid w:val="00C91FDA"/>
    <w:rsid w:val="00C920BF"/>
    <w:rsid w:val="00C92266"/>
    <w:rsid w:val="00C92300"/>
    <w:rsid w:val="00C9245E"/>
    <w:rsid w:val="00C925ED"/>
    <w:rsid w:val="00C92608"/>
    <w:rsid w:val="00C92758"/>
    <w:rsid w:val="00C9281B"/>
    <w:rsid w:val="00C92867"/>
    <w:rsid w:val="00C928A5"/>
    <w:rsid w:val="00C92920"/>
    <w:rsid w:val="00C92926"/>
    <w:rsid w:val="00C92B0C"/>
    <w:rsid w:val="00C92BCE"/>
    <w:rsid w:val="00C92CCB"/>
    <w:rsid w:val="00C92D70"/>
    <w:rsid w:val="00C9308B"/>
    <w:rsid w:val="00C930E9"/>
    <w:rsid w:val="00C930FC"/>
    <w:rsid w:val="00C93168"/>
    <w:rsid w:val="00C932B1"/>
    <w:rsid w:val="00C9336D"/>
    <w:rsid w:val="00C933F5"/>
    <w:rsid w:val="00C93428"/>
    <w:rsid w:val="00C934B4"/>
    <w:rsid w:val="00C934D0"/>
    <w:rsid w:val="00C935BB"/>
    <w:rsid w:val="00C9373B"/>
    <w:rsid w:val="00C937BA"/>
    <w:rsid w:val="00C9386D"/>
    <w:rsid w:val="00C9389C"/>
    <w:rsid w:val="00C939CD"/>
    <w:rsid w:val="00C93A0F"/>
    <w:rsid w:val="00C93BFE"/>
    <w:rsid w:val="00C93C11"/>
    <w:rsid w:val="00C93CD7"/>
    <w:rsid w:val="00C93D10"/>
    <w:rsid w:val="00C93D14"/>
    <w:rsid w:val="00C93D86"/>
    <w:rsid w:val="00C93EE2"/>
    <w:rsid w:val="00C93EEE"/>
    <w:rsid w:val="00C93F47"/>
    <w:rsid w:val="00C93F57"/>
    <w:rsid w:val="00C93F5A"/>
    <w:rsid w:val="00C9401E"/>
    <w:rsid w:val="00C940B0"/>
    <w:rsid w:val="00C940BE"/>
    <w:rsid w:val="00C9418D"/>
    <w:rsid w:val="00C941CE"/>
    <w:rsid w:val="00C94380"/>
    <w:rsid w:val="00C94488"/>
    <w:rsid w:val="00C944B4"/>
    <w:rsid w:val="00C9450C"/>
    <w:rsid w:val="00C9459D"/>
    <w:rsid w:val="00C945EA"/>
    <w:rsid w:val="00C94641"/>
    <w:rsid w:val="00C9476A"/>
    <w:rsid w:val="00C9480D"/>
    <w:rsid w:val="00C94894"/>
    <w:rsid w:val="00C9492F"/>
    <w:rsid w:val="00C94963"/>
    <w:rsid w:val="00C9497E"/>
    <w:rsid w:val="00C949AC"/>
    <w:rsid w:val="00C94A08"/>
    <w:rsid w:val="00C94A0B"/>
    <w:rsid w:val="00C94A98"/>
    <w:rsid w:val="00C94AB0"/>
    <w:rsid w:val="00C94AC4"/>
    <w:rsid w:val="00C94AF0"/>
    <w:rsid w:val="00C94B48"/>
    <w:rsid w:val="00C94B9D"/>
    <w:rsid w:val="00C94D32"/>
    <w:rsid w:val="00C94DB7"/>
    <w:rsid w:val="00C94DF8"/>
    <w:rsid w:val="00C94E66"/>
    <w:rsid w:val="00C94FB8"/>
    <w:rsid w:val="00C9505D"/>
    <w:rsid w:val="00C950FC"/>
    <w:rsid w:val="00C951F1"/>
    <w:rsid w:val="00C952B6"/>
    <w:rsid w:val="00C95342"/>
    <w:rsid w:val="00C953F1"/>
    <w:rsid w:val="00C95441"/>
    <w:rsid w:val="00C95490"/>
    <w:rsid w:val="00C95647"/>
    <w:rsid w:val="00C95918"/>
    <w:rsid w:val="00C9594F"/>
    <w:rsid w:val="00C95979"/>
    <w:rsid w:val="00C95997"/>
    <w:rsid w:val="00C959AB"/>
    <w:rsid w:val="00C95A58"/>
    <w:rsid w:val="00C95BB5"/>
    <w:rsid w:val="00C95BDF"/>
    <w:rsid w:val="00C95E6D"/>
    <w:rsid w:val="00C95FF3"/>
    <w:rsid w:val="00C96046"/>
    <w:rsid w:val="00C960D4"/>
    <w:rsid w:val="00C96188"/>
    <w:rsid w:val="00C961A0"/>
    <w:rsid w:val="00C9620E"/>
    <w:rsid w:val="00C96351"/>
    <w:rsid w:val="00C9638A"/>
    <w:rsid w:val="00C9647A"/>
    <w:rsid w:val="00C9648C"/>
    <w:rsid w:val="00C9652C"/>
    <w:rsid w:val="00C96551"/>
    <w:rsid w:val="00C96567"/>
    <w:rsid w:val="00C9656E"/>
    <w:rsid w:val="00C96C58"/>
    <w:rsid w:val="00C96D20"/>
    <w:rsid w:val="00C96D8F"/>
    <w:rsid w:val="00C96DA3"/>
    <w:rsid w:val="00C96E06"/>
    <w:rsid w:val="00C96F36"/>
    <w:rsid w:val="00C96F65"/>
    <w:rsid w:val="00C970B7"/>
    <w:rsid w:val="00C97116"/>
    <w:rsid w:val="00C971EC"/>
    <w:rsid w:val="00C972E7"/>
    <w:rsid w:val="00C9737F"/>
    <w:rsid w:val="00C97416"/>
    <w:rsid w:val="00C9757F"/>
    <w:rsid w:val="00C975CA"/>
    <w:rsid w:val="00C976A2"/>
    <w:rsid w:val="00C97758"/>
    <w:rsid w:val="00C97782"/>
    <w:rsid w:val="00C97891"/>
    <w:rsid w:val="00C97960"/>
    <w:rsid w:val="00C9799A"/>
    <w:rsid w:val="00C97AC1"/>
    <w:rsid w:val="00C97AE0"/>
    <w:rsid w:val="00C97D7F"/>
    <w:rsid w:val="00C97D88"/>
    <w:rsid w:val="00C97EC4"/>
    <w:rsid w:val="00C97EFE"/>
    <w:rsid w:val="00C97F2C"/>
    <w:rsid w:val="00C97FAB"/>
    <w:rsid w:val="00CA002C"/>
    <w:rsid w:val="00CA003D"/>
    <w:rsid w:val="00CA02B0"/>
    <w:rsid w:val="00CA055D"/>
    <w:rsid w:val="00CA057A"/>
    <w:rsid w:val="00CA05B0"/>
    <w:rsid w:val="00CA064F"/>
    <w:rsid w:val="00CA0660"/>
    <w:rsid w:val="00CA0666"/>
    <w:rsid w:val="00CA06EE"/>
    <w:rsid w:val="00CA070B"/>
    <w:rsid w:val="00CA0753"/>
    <w:rsid w:val="00CA08D9"/>
    <w:rsid w:val="00CA098E"/>
    <w:rsid w:val="00CA0B59"/>
    <w:rsid w:val="00CA0D7A"/>
    <w:rsid w:val="00CA0DB1"/>
    <w:rsid w:val="00CA0E71"/>
    <w:rsid w:val="00CA0F08"/>
    <w:rsid w:val="00CA0FC1"/>
    <w:rsid w:val="00CA112F"/>
    <w:rsid w:val="00CA11AF"/>
    <w:rsid w:val="00CA1250"/>
    <w:rsid w:val="00CA125F"/>
    <w:rsid w:val="00CA1405"/>
    <w:rsid w:val="00CA1411"/>
    <w:rsid w:val="00CA144E"/>
    <w:rsid w:val="00CA146B"/>
    <w:rsid w:val="00CA14B5"/>
    <w:rsid w:val="00CA156E"/>
    <w:rsid w:val="00CA158D"/>
    <w:rsid w:val="00CA174F"/>
    <w:rsid w:val="00CA18A4"/>
    <w:rsid w:val="00CA1998"/>
    <w:rsid w:val="00CA1B8B"/>
    <w:rsid w:val="00CA1CF4"/>
    <w:rsid w:val="00CA1D1E"/>
    <w:rsid w:val="00CA1E05"/>
    <w:rsid w:val="00CA1F0D"/>
    <w:rsid w:val="00CA1F10"/>
    <w:rsid w:val="00CA2119"/>
    <w:rsid w:val="00CA21B0"/>
    <w:rsid w:val="00CA21D4"/>
    <w:rsid w:val="00CA2331"/>
    <w:rsid w:val="00CA2335"/>
    <w:rsid w:val="00CA2375"/>
    <w:rsid w:val="00CA23BE"/>
    <w:rsid w:val="00CA23D0"/>
    <w:rsid w:val="00CA2482"/>
    <w:rsid w:val="00CA2674"/>
    <w:rsid w:val="00CA26A1"/>
    <w:rsid w:val="00CA275F"/>
    <w:rsid w:val="00CA2843"/>
    <w:rsid w:val="00CA286A"/>
    <w:rsid w:val="00CA28B0"/>
    <w:rsid w:val="00CA297C"/>
    <w:rsid w:val="00CA2DCE"/>
    <w:rsid w:val="00CA2FD4"/>
    <w:rsid w:val="00CA30D4"/>
    <w:rsid w:val="00CA31B4"/>
    <w:rsid w:val="00CA349A"/>
    <w:rsid w:val="00CA34AC"/>
    <w:rsid w:val="00CA34D3"/>
    <w:rsid w:val="00CA34E2"/>
    <w:rsid w:val="00CA3624"/>
    <w:rsid w:val="00CA37C8"/>
    <w:rsid w:val="00CA38FE"/>
    <w:rsid w:val="00CA3AF3"/>
    <w:rsid w:val="00CA3B6D"/>
    <w:rsid w:val="00CA3BD5"/>
    <w:rsid w:val="00CA3BFD"/>
    <w:rsid w:val="00CA3E6E"/>
    <w:rsid w:val="00CA3F0E"/>
    <w:rsid w:val="00CA3FAB"/>
    <w:rsid w:val="00CA403B"/>
    <w:rsid w:val="00CA40C6"/>
    <w:rsid w:val="00CA40FE"/>
    <w:rsid w:val="00CA4206"/>
    <w:rsid w:val="00CA421A"/>
    <w:rsid w:val="00CA4273"/>
    <w:rsid w:val="00CA43EA"/>
    <w:rsid w:val="00CA4440"/>
    <w:rsid w:val="00CA453A"/>
    <w:rsid w:val="00CA45AE"/>
    <w:rsid w:val="00CA461E"/>
    <w:rsid w:val="00CA465A"/>
    <w:rsid w:val="00CA4840"/>
    <w:rsid w:val="00CA491C"/>
    <w:rsid w:val="00CA4A34"/>
    <w:rsid w:val="00CA4B05"/>
    <w:rsid w:val="00CA4BAF"/>
    <w:rsid w:val="00CA4DD7"/>
    <w:rsid w:val="00CA4DDD"/>
    <w:rsid w:val="00CA4DDF"/>
    <w:rsid w:val="00CA4EC2"/>
    <w:rsid w:val="00CA4FB7"/>
    <w:rsid w:val="00CA4FDF"/>
    <w:rsid w:val="00CA5031"/>
    <w:rsid w:val="00CA5069"/>
    <w:rsid w:val="00CA5084"/>
    <w:rsid w:val="00CA5125"/>
    <w:rsid w:val="00CA5141"/>
    <w:rsid w:val="00CA5181"/>
    <w:rsid w:val="00CA5356"/>
    <w:rsid w:val="00CA5537"/>
    <w:rsid w:val="00CA5614"/>
    <w:rsid w:val="00CA5640"/>
    <w:rsid w:val="00CA5645"/>
    <w:rsid w:val="00CA56C4"/>
    <w:rsid w:val="00CA5787"/>
    <w:rsid w:val="00CA57D2"/>
    <w:rsid w:val="00CA59A3"/>
    <w:rsid w:val="00CA59B7"/>
    <w:rsid w:val="00CA5ADF"/>
    <w:rsid w:val="00CA5BB2"/>
    <w:rsid w:val="00CA5C70"/>
    <w:rsid w:val="00CA5CA2"/>
    <w:rsid w:val="00CA5D29"/>
    <w:rsid w:val="00CA5E25"/>
    <w:rsid w:val="00CA5F3A"/>
    <w:rsid w:val="00CA5FE1"/>
    <w:rsid w:val="00CA6015"/>
    <w:rsid w:val="00CA601E"/>
    <w:rsid w:val="00CA619D"/>
    <w:rsid w:val="00CA638F"/>
    <w:rsid w:val="00CA63F2"/>
    <w:rsid w:val="00CA6400"/>
    <w:rsid w:val="00CA6452"/>
    <w:rsid w:val="00CA6462"/>
    <w:rsid w:val="00CA652E"/>
    <w:rsid w:val="00CA666B"/>
    <w:rsid w:val="00CA674A"/>
    <w:rsid w:val="00CA677F"/>
    <w:rsid w:val="00CA67A0"/>
    <w:rsid w:val="00CA6991"/>
    <w:rsid w:val="00CA6A10"/>
    <w:rsid w:val="00CA6CF8"/>
    <w:rsid w:val="00CA6D41"/>
    <w:rsid w:val="00CA6DAA"/>
    <w:rsid w:val="00CA6DC8"/>
    <w:rsid w:val="00CA6F0C"/>
    <w:rsid w:val="00CA6FE6"/>
    <w:rsid w:val="00CA7007"/>
    <w:rsid w:val="00CA712B"/>
    <w:rsid w:val="00CA7131"/>
    <w:rsid w:val="00CA71E6"/>
    <w:rsid w:val="00CA72EB"/>
    <w:rsid w:val="00CA73F2"/>
    <w:rsid w:val="00CA74FE"/>
    <w:rsid w:val="00CA75D3"/>
    <w:rsid w:val="00CA77F5"/>
    <w:rsid w:val="00CA789B"/>
    <w:rsid w:val="00CA78E9"/>
    <w:rsid w:val="00CA790F"/>
    <w:rsid w:val="00CA7915"/>
    <w:rsid w:val="00CA7930"/>
    <w:rsid w:val="00CA79C1"/>
    <w:rsid w:val="00CA7A60"/>
    <w:rsid w:val="00CA7C9C"/>
    <w:rsid w:val="00CA7E35"/>
    <w:rsid w:val="00CA7E67"/>
    <w:rsid w:val="00CA7EF6"/>
    <w:rsid w:val="00CA7FBF"/>
    <w:rsid w:val="00CB0212"/>
    <w:rsid w:val="00CB045D"/>
    <w:rsid w:val="00CB05DA"/>
    <w:rsid w:val="00CB0616"/>
    <w:rsid w:val="00CB0674"/>
    <w:rsid w:val="00CB06FA"/>
    <w:rsid w:val="00CB074D"/>
    <w:rsid w:val="00CB08F1"/>
    <w:rsid w:val="00CB0981"/>
    <w:rsid w:val="00CB0A7A"/>
    <w:rsid w:val="00CB0B86"/>
    <w:rsid w:val="00CB0CCB"/>
    <w:rsid w:val="00CB0D9D"/>
    <w:rsid w:val="00CB0F25"/>
    <w:rsid w:val="00CB0FE0"/>
    <w:rsid w:val="00CB1044"/>
    <w:rsid w:val="00CB1167"/>
    <w:rsid w:val="00CB119E"/>
    <w:rsid w:val="00CB11D9"/>
    <w:rsid w:val="00CB1295"/>
    <w:rsid w:val="00CB13B1"/>
    <w:rsid w:val="00CB13D6"/>
    <w:rsid w:val="00CB1583"/>
    <w:rsid w:val="00CB16E5"/>
    <w:rsid w:val="00CB177B"/>
    <w:rsid w:val="00CB18D8"/>
    <w:rsid w:val="00CB18FA"/>
    <w:rsid w:val="00CB1A35"/>
    <w:rsid w:val="00CB1B13"/>
    <w:rsid w:val="00CB1C6B"/>
    <w:rsid w:val="00CB1D9E"/>
    <w:rsid w:val="00CB1E52"/>
    <w:rsid w:val="00CB1FCB"/>
    <w:rsid w:val="00CB2026"/>
    <w:rsid w:val="00CB2171"/>
    <w:rsid w:val="00CB2245"/>
    <w:rsid w:val="00CB22C7"/>
    <w:rsid w:val="00CB24E2"/>
    <w:rsid w:val="00CB2525"/>
    <w:rsid w:val="00CB2554"/>
    <w:rsid w:val="00CB25A7"/>
    <w:rsid w:val="00CB2835"/>
    <w:rsid w:val="00CB28CB"/>
    <w:rsid w:val="00CB28E5"/>
    <w:rsid w:val="00CB28EE"/>
    <w:rsid w:val="00CB29B8"/>
    <w:rsid w:val="00CB2A15"/>
    <w:rsid w:val="00CB2A6A"/>
    <w:rsid w:val="00CB2B17"/>
    <w:rsid w:val="00CB2BF5"/>
    <w:rsid w:val="00CB2D0B"/>
    <w:rsid w:val="00CB2E3E"/>
    <w:rsid w:val="00CB2E3F"/>
    <w:rsid w:val="00CB2E44"/>
    <w:rsid w:val="00CB2E5E"/>
    <w:rsid w:val="00CB2E8A"/>
    <w:rsid w:val="00CB2FCF"/>
    <w:rsid w:val="00CB2FEC"/>
    <w:rsid w:val="00CB3153"/>
    <w:rsid w:val="00CB31ED"/>
    <w:rsid w:val="00CB31FE"/>
    <w:rsid w:val="00CB33B5"/>
    <w:rsid w:val="00CB345E"/>
    <w:rsid w:val="00CB3503"/>
    <w:rsid w:val="00CB359F"/>
    <w:rsid w:val="00CB35A8"/>
    <w:rsid w:val="00CB35D5"/>
    <w:rsid w:val="00CB35DC"/>
    <w:rsid w:val="00CB3773"/>
    <w:rsid w:val="00CB3789"/>
    <w:rsid w:val="00CB399B"/>
    <w:rsid w:val="00CB3A72"/>
    <w:rsid w:val="00CB3AD4"/>
    <w:rsid w:val="00CB3B5E"/>
    <w:rsid w:val="00CB3C47"/>
    <w:rsid w:val="00CB3C89"/>
    <w:rsid w:val="00CB3C93"/>
    <w:rsid w:val="00CB3CB1"/>
    <w:rsid w:val="00CB3EBD"/>
    <w:rsid w:val="00CB3EFB"/>
    <w:rsid w:val="00CB411D"/>
    <w:rsid w:val="00CB413B"/>
    <w:rsid w:val="00CB4167"/>
    <w:rsid w:val="00CB41A3"/>
    <w:rsid w:val="00CB41E4"/>
    <w:rsid w:val="00CB425B"/>
    <w:rsid w:val="00CB4401"/>
    <w:rsid w:val="00CB459F"/>
    <w:rsid w:val="00CB461E"/>
    <w:rsid w:val="00CB4678"/>
    <w:rsid w:val="00CB4685"/>
    <w:rsid w:val="00CB4705"/>
    <w:rsid w:val="00CB473F"/>
    <w:rsid w:val="00CB484D"/>
    <w:rsid w:val="00CB48F8"/>
    <w:rsid w:val="00CB4902"/>
    <w:rsid w:val="00CB491C"/>
    <w:rsid w:val="00CB499C"/>
    <w:rsid w:val="00CB4A21"/>
    <w:rsid w:val="00CB4D04"/>
    <w:rsid w:val="00CB4EDB"/>
    <w:rsid w:val="00CB4F7B"/>
    <w:rsid w:val="00CB51B5"/>
    <w:rsid w:val="00CB51BA"/>
    <w:rsid w:val="00CB522B"/>
    <w:rsid w:val="00CB5365"/>
    <w:rsid w:val="00CB5397"/>
    <w:rsid w:val="00CB5464"/>
    <w:rsid w:val="00CB5499"/>
    <w:rsid w:val="00CB54C0"/>
    <w:rsid w:val="00CB557B"/>
    <w:rsid w:val="00CB55D4"/>
    <w:rsid w:val="00CB5738"/>
    <w:rsid w:val="00CB5768"/>
    <w:rsid w:val="00CB58B0"/>
    <w:rsid w:val="00CB5917"/>
    <w:rsid w:val="00CB59BA"/>
    <w:rsid w:val="00CB5ACE"/>
    <w:rsid w:val="00CB5B2C"/>
    <w:rsid w:val="00CB5BD0"/>
    <w:rsid w:val="00CB5C0D"/>
    <w:rsid w:val="00CB5C6B"/>
    <w:rsid w:val="00CB5C81"/>
    <w:rsid w:val="00CB5E66"/>
    <w:rsid w:val="00CB5EE0"/>
    <w:rsid w:val="00CB5F13"/>
    <w:rsid w:val="00CB5F5F"/>
    <w:rsid w:val="00CB60D6"/>
    <w:rsid w:val="00CB6223"/>
    <w:rsid w:val="00CB63D6"/>
    <w:rsid w:val="00CB63F7"/>
    <w:rsid w:val="00CB6433"/>
    <w:rsid w:val="00CB6462"/>
    <w:rsid w:val="00CB648A"/>
    <w:rsid w:val="00CB64ED"/>
    <w:rsid w:val="00CB655C"/>
    <w:rsid w:val="00CB6584"/>
    <w:rsid w:val="00CB67B4"/>
    <w:rsid w:val="00CB6AA6"/>
    <w:rsid w:val="00CB6B12"/>
    <w:rsid w:val="00CB6B70"/>
    <w:rsid w:val="00CB6B81"/>
    <w:rsid w:val="00CB6CBD"/>
    <w:rsid w:val="00CB6D0F"/>
    <w:rsid w:val="00CB6F02"/>
    <w:rsid w:val="00CB6F28"/>
    <w:rsid w:val="00CB7018"/>
    <w:rsid w:val="00CB715D"/>
    <w:rsid w:val="00CB7168"/>
    <w:rsid w:val="00CB71D8"/>
    <w:rsid w:val="00CB735E"/>
    <w:rsid w:val="00CB7477"/>
    <w:rsid w:val="00CB7732"/>
    <w:rsid w:val="00CB791C"/>
    <w:rsid w:val="00CB794D"/>
    <w:rsid w:val="00CB7A02"/>
    <w:rsid w:val="00CB7A13"/>
    <w:rsid w:val="00CB7B77"/>
    <w:rsid w:val="00CB7D4A"/>
    <w:rsid w:val="00CB7DCD"/>
    <w:rsid w:val="00CB7EB2"/>
    <w:rsid w:val="00CB7FDD"/>
    <w:rsid w:val="00CC00BF"/>
    <w:rsid w:val="00CC037C"/>
    <w:rsid w:val="00CC0394"/>
    <w:rsid w:val="00CC03A7"/>
    <w:rsid w:val="00CC0613"/>
    <w:rsid w:val="00CC066D"/>
    <w:rsid w:val="00CC0681"/>
    <w:rsid w:val="00CC088C"/>
    <w:rsid w:val="00CC0E57"/>
    <w:rsid w:val="00CC0E5D"/>
    <w:rsid w:val="00CC0EBE"/>
    <w:rsid w:val="00CC0F2E"/>
    <w:rsid w:val="00CC0FC4"/>
    <w:rsid w:val="00CC100F"/>
    <w:rsid w:val="00CC105E"/>
    <w:rsid w:val="00CC10A4"/>
    <w:rsid w:val="00CC10F6"/>
    <w:rsid w:val="00CC11DF"/>
    <w:rsid w:val="00CC121C"/>
    <w:rsid w:val="00CC1253"/>
    <w:rsid w:val="00CC1254"/>
    <w:rsid w:val="00CC12DD"/>
    <w:rsid w:val="00CC13C8"/>
    <w:rsid w:val="00CC13D5"/>
    <w:rsid w:val="00CC13F2"/>
    <w:rsid w:val="00CC1413"/>
    <w:rsid w:val="00CC143C"/>
    <w:rsid w:val="00CC161F"/>
    <w:rsid w:val="00CC16E7"/>
    <w:rsid w:val="00CC1731"/>
    <w:rsid w:val="00CC1750"/>
    <w:rsid w:val="00CC17D1"/>
    <w:rsid w:val="00CC1804"/>
    <w:rsid w:val="00CC1990"/>
    <w:rsid w:val="00CC19AC"/>
    <w:rsid w:val="00CC1A4C"/>
    <w:rsid w:val="00CC1A5A"/>
    <w:rsid w:val="00CC1ABE"/>
    <w:rsid w:val="00CC1B39"/>
    <w:rsid w:val="00CC1B56"/>
    <w:rsid w:val="00CC1B96"/>
    <w:rsid w:val="00CC1CE3"/>
    <w:rsid w:val="00CC1D7F"/>
    <w:rsid w:val="00CC1EF6"/>
    <w:rsid w:val="00CC21CB"/>
    <w:rsid w:val="00CC21F9"/>
    <w:rsid w:val="00CC22E6"/>
    <w:rsid w:val="00CC23AF"/>
    <w:rsid w:val="00CC23DC"/>
    <w:rsid w:val="00CC247E"/>
    <w:rsid w:val="00CC2582"/>
    <w:rsid w:val="00CC2767"/>
    <w:rsid w:val="00CC27EB"/>
    <w:rsid w:val="00CC27F8"/>
    <w:rsid w:val="00CC28AC"/>
    <w:rsid w:val="00CC298E"/>
    <w:rsid w:val="00CC29D0"/>
    <w:rsid w:val="00CC2A59"/>
    <w:rsid w:val="00CC2ABE"/>
    <w:rsid w:val="00CC2CB4"/>
    <w:rsid w:val="00CC2E8A"/>
    <w:rsid w:val="00CC2EF4"/>
    <w:rsid w:val="00CC2F0D"/>
    <w:rsid w:val="00CC3017"/>
    <w:rsid w:val="00CC30CA"/>
    <w:rsid w:val="00CC31BA"/>
    <w:rsid w:val="00CC31CF"/>
    <w:rsid w:val="00CC3216"/>
    <w:rsid w:val="00CC3236"/>
    <w:rsid w:val="00CC32B6"/>
    <w:rsid w:val="00CC33F9"/>
    <w:rsid w:val="00CC356A"/>
    <w:rsid w:val="00CC357F"/>
    <w:rsid w:val="00CC364C"/>
    <w:rsid w:val="00CC3665"/>
    <w:rsid w:val="00CC3717"/>
    <w:rsid w:val="00CC3A3B"/>
    <w:rsid w:val="00CC3A54"/>
    <w:rsid w:val="00CC3B16"/>
    <w:rsid w:val="00CC3E0B"/>
    <w:rsid w:val="00CC3E85"/>
    <w:rsid w:val="00CC3E9E"/>
    <w:rsid w:val="00CC4037"/>
    <w:rsid w:val="00CC409C"/>
    <w:rsid w:val="00CC40C3"/>
    <w:rsid w:val="00CC413C"/>
    <w:rsid w:val="00CC4157"/>
    <w:rsid w:val="00CC41F6"/>
    <w:rsid w:val="00CC42AF"/>
    <w:rsid w:val="00CC43B2"/>
    <w:rsid w:val="00CC43FC"/>
    <w:rsid w:val="00CC440C"/>
    <w:rsid w:val="00CC4429"/>
    <w:rsid w:val="00CC4439"/>
    <w:rsid w:val="00CC4597"/>
    <w:rsid w:val="00CC4937"/>
    <w:rsid w:val="00CC4A55"/>
    <w:rsid w:val="00CC4C0F"/>
    <w:rsid w:val="00CC4C53"/>
    <w:rsid w:val="00CC4D4D"/>
    <w:rsid w:val="00CC4F6A"/>
    <w:rsid w:val="00CC507B"/>
    <w:rsid w:val="00CC508A"/>
    <w:rsid w:val="00CC50DA"/>
    <w:rsid w:val="00CC5123"/>
    <w:rsid w:val="00CC53EF"/>
    <w:rsid w:val="00CC5459"/>
    <w:rsid w:val="00CC569C"/>
    <w:rsid w:val="00CC56EE"/>
    <w:rsid w:val="00CC59C8"/>
    <w:rsid w:val="00CC5ABE"/>
    <w:rsid w:val="00CC5B38"/>
    <w:rsid w:val="00CC5B54"/>
    <w:rsid w:val="00CC5CD5"/>
    <w:rsid w:val="00CC5DCD"/>
    <w:rsid w:val="00CC5E1B"/>
    <w:rsid w:val="00CC5E4B"/>
    <w:rsid w:val="00CC5E62"/>
    <w:rsid w:val="00CC5E84"/>
    <w:rsid w:val="00CC5ECD"/>
    <w:rsid w:val="00CC5F51"/>
    <w:rsid w:val="00CC5FFD"/>
    <w:rsid w:val="00CC6043"/>
    <w:rsid w:val="00CC604E"/>
    <w:rsid w:val="00CC6051"/>
    <w:rsid w:val="00CC6069"/>
    <w:rsid w:val="00CC60EB"/>
    <w:rsid w:val="00CC61B2"/>
    <w:rsid w:val="00CC627A"/>
    <w:rsid w:val="00CC62F9"/>
    <w:rsid w:val="00CC631D"/>
    <w:rsid w:val="00CC64EE"/>
    <w:rsid w:val="00CC6763"/>
    <w:rsid w:val="00CC685E"/>
    <w:rsid w:val="00CC691B"/>
    <w:rsid w:val="00CC694E"/>
    <w:rsid w:val="00CC69CE"/>
    <w:rsid w:val="00CC69F2"/>
    <w:rsid w:val="00CC6B76"/>
    <w:rsid w:val="00CC6B7B"/>
    <w:rsid w:val="00CC6BF1"/>
    <w:rsid w:val="00CC6D5C"/>
    <w:rsid w:val="00CC6D83"/>
    <w:rsid w:val="00CC6E8E"/>
    <w:rsid w:val="00CC7035"/>
    <w:rsid w:val="00CC7036"/>
    <w:rsid w:val="00CC703D"/>
    <w:rsid w:val="00CC7087"/>
    <w:rsid w:val="00CC7096"/>
    <w:rsid w:val="00CC70DA"/>
    <w:rsid w:val="00CC7165"/>
    <w:rsid w:val="00CC718D"/>
    <w:rsid w:val="00CC725D"/>
    <w:rsid w:val="00CC73A3"/>
    <w:rsid w:val="00CC747E"/>
    <w:rsid w:val="00CC74DA"/>
    <w:rsid w:val="00CC758E"/>
    <w:rsid w:val="00CC75F8"/>
    <w:rsid w:val="00CC7697"/>
    <w:rsid w:val="00CC77D1"/>
    <w:rsid w:val="00CC7800"/>
    <w:rsid w:val="00CC7835"/>
    <w:rsid w:val="00CC7881"/>
    <w:rsid w:val="00CC78A3"/>
    <w:rsid w:val="00CC78AA"/>
    <w:rsid w:val="00CC79F7"/>
    <w:rsid w:val="00CC7A87"/>
    <w:rsid w:val="00CC7AAD"/>
    <w:rsid w:val="00CC7C67"/>
    <w:rsid w:val="00CC7DD2"/>
    <w:rsid w:val="00CC7ED8"/>
    <w:rsid w:val="00CC7FB8"/>
    <w:rsid w:val="00CC7FDC"/>
    <w:rsid w:val="00CD0008"/>
    <w:rsid w:val="00CD02E9"/>
    <w:rsid w:val="00CD0319"/>
    <w:rsid w:val="00CD0388"/>
    <w:rsid w:val="00CD045A"/>
    <w:rsid w:val="00CD0502"/>
    <w:rsid w:val="00CD053F"/>
    <w:rsid w:val="00CD05BC"/>
    <w:rsid w:val="00CD0603"/>
    <w:rsid w:val="00CD062D"/>
    <w:rsid w:val="00CD079F"/>
    <w:rsid w:val="00CD0864"/>
    <w:rsid w:val="00CD0A18"/>
    <w:rsid w:val="00CD0A73"/>
    <w:rsid w:val="00CD0B57"/>
    <w:rsid w:val="00CD0B6C"/>
    <w:rsid w:val="00CD0BAF"/>
    <w:rsid w:val="00CD0C29"/>
    <w:rsid w:val="00CD0C43"/>
    <w:rsid w:val="00CD0C80"/>
    <w:rsid w:val="00CD10A1"/>
    <w:rsid w:val="00CD10DE"/>
    <w:rsid w:val="00CD1120"/>
    <w:rsid w:val="00CD1148"/>
    <w:rsid w:val="00CD1153"/>
    <w:rsid w:val="00CD13BB"/>
    <w:rsid w:val="00CD1434"/>
    <w:rsid w:val="00CD1559"/>
    <w:rsid w:val="00CD156E"/>
    <w:rsid w:val="00CD15A7"/>
    <w:rsid w:val="00CD15DA"/>
    <w:rsid w:val="00CD17A8"/>
    <w:rsid w:val="00CD1913"/>
    <w:rsid w:val="00CD198E"/>
    <w:rsid w:val="00CD19CA"/>
    <w:rsid w:val="00CD1A02"/>
    <w:rsid w:val="00CD1B2C"/>
    <w:rsid w:val="00CD1B59"/>
    <w:rsid w:val="00CD1BE1"/>
    <w:rsid w:val="00CD1C10"/>
    <w:rsid w:val="00CD1D40"/>
    <w:rsid w:val="00CD1D89"/>
    <w:rsid w:val="00CD20FA"/>
    <w:rsid w:val="00CD228C"/>
    <w:rsid w:val="00CD239C"/>
    <w:rsid w:val="00CD239F"/>
    <w:rsid w:val="00CD242E"/>
    <w:rsid w:val="00CD24BD"/>
    <w:rsid w:val="00CD24CA"/>
    <w:rsid w:val="00CD2537"/>
    <w:rsid w:val="00CD25C8"/>
    <w:rsid w:val="00CD2721"/>
    <w:rsid w:val="00CD2874"/>
    <w:rsid w:val="00CD2894"/>
    <w:rsid w:val="00CD2944"/>
    <w:rsid w:val="00CD2994"/>
    <w:rsid w:val="00CD2A3B"/>
    <w:rsid w:val="00CD2AC5"/>
    <w:rsid w:val="00CD2B76"/>
    <w:rsid w:val="00CD2DDB"/>
    <w:rsid w:val="00CD2DF4"/>
    <w:rsid w:val="00CD2EE8"/>
    <w:rsid w:val="00CD2F70"/>
    <w:rsid w:val="00CD2FD8"/>
    <w:rsid w:val="00CD309C"/>
    <w:rsid w:val="00CD30F8"/>
    <w:rsid w:val="00CD31C2"/>
    <w:rsid w:val="00CD323D"/>
    <w:rsid w:val="00CD3351"/>
    <w:rsid w:val="00CD3358"/>
    <w:rsid w:val="00CD348B"/>
    <w:rsid w:val="00CD35F2"/>
    <w:rsid w:val="00CD36D8"/>
    <w:rsid w:val="00CD36E7"/>
    <w:rsid w:val="00CD377D"/>
    <w:rsid w:val="00CD3834"/>
    <w:rsid w:val="00CD3848"/>
    <w:rsid w:val="00CD3B96"/>
    <w:rsid w:val="00CD3BF7"/>
    <w:rsid w:val="00CD3C83"/>
    <w:rsid w:val="00CD3CB0"/>
    <w:rsid w:val="00CD3D75"/>
    <w:rsid w:val="00CD3DF5"/>
    <w:rsid w:val="00CD3E61"/>
    <w:rsid w:val="00CD3F40"/>
    <w:rsid w:val="00CD3FA8"/>
    <w:rsid w:val="00CD3FD7"/>
    <w:rsid w:val="00CD4132"/>
    <w:rsid w:val="00CD41AA"/>
    <w:rsid w:val="00CD41B4"/>
    <w:rsid w:val="00CD4226"/>
    <w:rsid w:val="00CD42AD"/>
    <w:rsid w:val="00CD437D"/>
    <w:rsid w:val="00CD4570"/>
    <w:rsid w:val="00CD4599"/>
    <w:rsid w:val="00CD4901"/>
    <w:rsid w:val="00CD491C"/>
    <w:rsid w:val="00CD4DCE"/>
    <w:rsid w:val="00CD4F01"/>
    <w:rsid w:val="00CD50ED"/>
    <w:rsid w:val="00CD513F"/>
    <w:rsid w:val="00CD5169"/>
    <w:rsid w:val="00CD5228"/>
    <w:rsid w:val="00CD54D5"/>
    <w:rsid w:val="00CD5500"/>
    <w:rsid w:val="00CD5599"/>
    <w:rsid w:val="00CD5756"/>
    <w:rsid w:val="00CD59B4"/>
    <w:rsid w:val="00CD5A31"/>
    <w:rsid w:val="00CD5B8C"/>
    <w:rsid w:val="00CD5C4C"/>
    <w:rsid w:val="00CD5CFA"/>
    <w:rsid w:val="00CD5D5B"/>
    <w:rsid w:val="00CD5DE1"/>
    <w:rsid w:val="00CD5DE6"/>
    <w:rsid w:val="00CD5E20"/>
    <w:rsid w:val="00CD603F"/>
    <w:rsid w:val="00CD6330"/>
    <w:rsid w:val="00CD6518"/>
    <w:rsid w:val="00CD656D"/>
    <w:rsid w:val="00CD6596"/>
    <w:rsid w:val="00CD670E"/>
    <w:rsid w:val="00CD67CF"/>
    <w:rsid w:val="00CD69A9"/>
    <w:rsid w:val="00CD6A86"/>
    <w:rsid w:val="00CD6B75"/>
    <w:rsid w:val="00CD6CC8"/>
    <w:rsid w:val="00CD6CFF"/>
    <w:rsid w:val="00CD6FC8"/>
    <w:rsid w:val="00CD715F"/>
    <w:rsid w:val="00CD7284"/>
    <w:rsid w:val="00CD72D8"/>
    <w:rsid w:val="00CD7338"/>
    <w:rsid w:val="00CD7520"/>
    <w:rsid w:val="00CD7528"/>
    <w:rsid w:val="00CD7627"/>
    <w:rsid w:val="00CD7837"/>
    <w:rsid w:val="00CD7ADE"/>
    <w:rsid w:val="00CD7AF9"/>
    <w:rsid w:val="00CD7B3A"/>
    <w:rsid w:val="00CD7BD8"/>
    <w:rsid w:val="00CD7C2C"/>
    <w:rsid w:val="00CD7CF8"/>
    <w:rsid w:val="00CD7D89"/>
    <w:rsid w:val="00CD7E25"/>
    <w:rsid w:val="00CD7E58"/>
    <w:rsid w:val="00CE00CB"/>
    <w:rsid w:val="00CE01DD"/>
    <w:rsid w:val="00CE03E4"/>
    <w:rsid w:val="00CE057C"/>
    <w:rsid w:val="00CE05BB"/>
    <w:rsid w:val="00CE05D0"/>
    <w:rsid w:val="00CE062C"/>
    <w:rsid w:val="00CE0637"/>
    <w:rsid w:val="00CE06BF"/>
    <w:rsid w:val="00CE071A"/>
    <w:rsid w:val="00CE0845"/>
    <w:rsid w:val="00CE08ED"/>
    <w:rsid w:val="00CE0933"/>
    <w:rsid w:val="00CE0949"/>
    <w:rsid w:val="00CE0A6F"/>
    <w:rsid w:val="00CE0B02"/>
    <w:rsid w:val="00CE0B49"/>
    <w:rsid w:val="00CE0BB2"/>
    <w:rsid w:val="00CE0C71"/>
    <w:rsid w:val="00CE0D02"/>
    <w:rsid w:val="00CE0D0D"/>
    <w:rsid w:val="00CE0D2E"/>
    <w:rsid w:val="00CE0E76"/>
    <w:rsid w:val="00CE0F2F"/>
    <w:rsid w:val="00CE102C"/>
    <w:rsid w:val="00CE1044"/>
    <w:rsid w:val="00CE10DE"/>
    <w:rsid w:val="00CE11B9"/>
    <w:rsid w:val="00CE125D"/>
    <w:rsid w:val="00CE12A6"/>
    <w:rsid w:val="00CE1334"/>
    <w:rsid w:val="00CE13C2"/>
    <w:rsid w:val="00CE1463"/>
    <w:rsid w:val="00CE1469"/>
    <w:rsid w:val="00CE14A2"/>
    <w:rsid w:val="00CE14CA"/>
    <w:rsid w:val="00CE1668"/>
    <w:rsid w:val="00CE16B8"/>
    <w:rsid w:val="00CE17D0"/>
    <w:rsid w:val="00CE182A"/>
    <w:rsid w:val="00CE198C"/>
    <w:rsid w:val="00CE19D8"/>
    <w:rsid w:val="00CE1C32"/>
    <w:rsid w:val="00CE1CB4"/>
    <w:rsid w:val="00CE1CDB"/>
    <w:rsid w:val="00CE1D2C"/>
    <w:rsid w:val="00CE1E1D"/>
    <w:rsid w:val="00CE225B"/>
    <w:rsid w:val="00CE2301"/>
    <w:rsid w:val="00CE244F"/>
    <w:rsid w:val="00CE2499"/>
    <w:rsid w:val="00CE2511"/>
    <w:rsid w:val="00CE2581"/>
    <w:rsid w:val="00CE26B0"/>
    <w:rsid w:val="00CE2707"/>
    <w:rsid w:val="00CE272D"/>
    <w:rsid w:val="00CE27DB"/>
    <w:rsid w:val="00CE2872"/>
    <w:rsid w:val="00CE29EC"/>
    <w:rsid w:val="00CE2B5D"/>
    <w:rsid w:val="00CE2B81"/>
    <w:rsid w:val="00CE2BA2"/>
    <w:rsid w:val="00CE2E5E"/>
    <w:rsid w:val="00CE2E62"/>
    <w:rsid w:val="00CE2EB8"/>
    <w:rsid w:val="00CE2EBF"/>
    <w:rsid w:val="00CE2FB5"/>
    <w:rsid w:val="00CE30C4"/>
    <w:rsid w:val="00CE30D7"/>
    <w:rsid w:val="00CE3176"/>
    <w:rsid w:val="00CE3241"/>
    <w:rsid w:val="00CE33E2"/>
    <w:rsid w:val="00CE3410"/>
    <w:rsid w:val="00CE3541"/>
    <w:rsid w:val="00CE36D6"/>
    <w:rsid w:val="00CE3770"/>
    <w:rsid w:val="00CE3CDA"/>
    <w:rsid w:val="00CE3E0B"/>
    <w:rsid w:val="00CE3E0E"/>
    <w:rsid w:val="00CE3F37"/>
    <w:rsid w:val="00CE3FEF"/>
    <w:rsid w:val="00CE3FF8"/>
    <w:rsid w:val="00CE408F"/>
    <w:rsid w:val="00CE4456"/>
    <w:rsid w:val="00CE45BC"/>
    <w:rsid w:val="00CE45D1"/>
    <w:rsid w:val="00CE463B"/>
    <w:rsid w:val="00CE4668"/>
    <w:rsid w:val="00CE479E"/>
    <w:rsid w:val="00CE4AC8"/>
    <w:rsid w:val="00CE4AD2"/>
    <w:rsid w:val="00CE4CEF"/>
    <w:rsid w:val="00CE4E0E"/>
    <w:rsid w:val="00CE4E5D"/>
    <w:rsid w:val="00CE4EA8"/>
    <w:rsid w:val="00CE5118"/>
    <w:rsid w:val="00CE526A"/>
    <w:rsid w:val="00CE5368"/>
    <w:rsid w:val="00CE5466"/>
    <w:rsid w:val="00CE5507"/>
    <w:rsid w:val="00CE5522"/>
    <w:rsid w:val="00CE5604"/>
    <w:rsid w:val="00CE56B5"/>
    <w:rsid w:val="00CE5702"/>
    <w:rsid w:val="00CE58B2"/>
    <w:rsid w:val="00CE58B4"/>
    <w:rsid w:val="00CE58BF"/>
    <w:rsid w:val="00CE58D3"/>
    <w:rsid w:val="00CE5A2B"/>
    <w:rsid w:val="00CE5A72"/>
    <w:rsid w:val="00CE5AF8"/>
    <w:rsid w:val="00CE5B26"/>
    <w:rsid w:val="00CE5B3A"/>
    <w:rsid w:val="00CE5CB6"/>
    <w:rsid w:val="00CE5D0A"/>
    <w:rsid w:val="00CE5DF1"/>
    <w:rsid w:val="00CE5F6B"/>
    <w:rsid w:val="00CE60C0"/>
    <w:rsid w:val="00CE610F"/>
    <w:rsid w:val="00CE633C"/>
    <w:rsid w:val="00CE6410"/>
    <w:rsid w:val="00CE6513"/>
    <w:rsid w:val="00CE651B"/>
    <w:rsid w:val="00CE659A"/>
    <w:rsid w:val="00CE65D6"/>
    <w:rsid w:val="00CE6879"/>
    <w:rsid w:val="00CE6B40"/>
    <w:rsid w:val="00CE6BF4"/>
    <w:rsid w:val="00CE6D9A"/>
    <w:rsid w:val="00CE6E76"/>
    <w:rsid w:val="00CE6F26"/>
    <w:rsid w:val="00CE6F63"/>
    <w:rsid w:val="00CE6F65"/>
    <w:rsid w:val="00CE6F6E"/>
    <w:rsid w:val="00CE6FF8"/>
    <w:rsid w:val="00CE7054"/>
    <w:rsid w:val="00CE708C"/>
    <w:rsid w:val="00CE71F9"/>
    <w:rsid w:val="00CE720A"/>
    <w:rsid w:val="00CE7363"/>
    <w:rsid w:val="00CE7394"/>
    <w:rsid w:val="00CE7438"/>
    <w:rsid w:val="00CE745E"/>
    <w:rsid w:val="00CE759B"/>
    <w:rsid w:val="00CE7681"/>
    <w:rsid w:val="00CE76B9"/>
    <w:rsid w:val="00CE77B7"/>
    <w:rsid w:val="00CE782D"/>
    <w:rsid w:val="00CE7866"/>
    <w:rsid w:val="00CE78DA"/>
    <w:rsid w:val="00CE7A28"/>
    <w:rsid w:val="00CE7B98"/>
    <w:rsid w:val="00CE7C22"/>
    <w:rsid w:val="00CE7C2D"/>
    <w:rsid w:val="00CE7C76"/>
    <w:rsid w:val="00CE7DF3"/>
    <w:rsid w:val="00CE7E13"/>
    <w:rsid w:val="00CE7E66"/>
    <w:rsid w:val="00CE7F01"/>
    <w:rsid w:val="00CE7F48"/>
    <w:rsid w:val="00CF003C"/>
    <w:rsid w:val="00CF015E"/>
    <w:rsid w:val="00CF018A"/>
    <w:rsid w:val="00CF0191"/>
    <w:rsid w:val="00CF01F8"/>
    <w:rsid w:val="00CF0259"/>
    <w:rsid w:val="00CF0273"/>
    <w:rsid w:val="00CF0292"/>
    <w:rsid w:val="00CF03A3"/>
    <w:rsid w:val="00CF052E"/>
    <w:rsid w:val="00CF05CE"/>
    <w:rsid w:val="00CF0649"/>
    <w:rsid w:val="00CF06F1"/>
    <w:rsid w:val="00CF0AE4"/>
    <w:rsid w:val="00CF0B4F"/>
    <w:rsid w:val="00CF0D97"/>
    <w:rsid w:val="00CF0DA7"/>
    <w:rsid w:val="00CF0E9A"/>
    <w:rsid w:val="00CF0FA9"/>
    <w:rsid w:val="00CF1133"/>
    <w:rsid w:val="00CF117A"/>
    <w:rsid w:val="00CF12B1"/>
    <w:rsid w:val="00CF1413"/>
    <w:rsid w:val="00CF1446"/>
    <w:rsid w:val="00CF14A8"/>
    <w:rsid w:val="00CF1534"/>
    <w:rsid w:val="00CF1598"/>
    <w:rsid w:val="00CF15D2"/>
    <w:rsid w:val="00CF1904"/>
    <w:rsid w:val="00CF196E"/>
    <w:rsid w:val="00CF1A88"/>
    <w:rsid w:val="00CF1AFD"/>
    <w:rsid w:val="00CF1D8F"/>
    <w:rsid w:val="00CF1DA9"/>
    <w:rsid w:val="00CF1E20"/>
    <w:rsid w:val="00CF1F61"/>
    <w:rsid w:val="00CF200C"/>
    <w:rsid w:val="00CF2031"/>
    <w:rsid w:val="00CF208C"/>
    <w:rsid w:val="00CF225E"/>
    <w:rsid w:val="00CF2369"/>
    <w:rsid w:val="00CF23D5"/>
    <w:rsid w:val="00CF2512"/>
    <w:rsid w:val="00CF252F"/>
    <w:rsid w:val="00CF25D4"/>
    <w:rsid w:val="00CF25D9"/>
    <w:rsid w:val="00CF26B8"/>
    <w:rsid w:val="00CF28C0"/>
    <w:rsid w:val="00CF2946"/>
    <w:rsid w:val="00CF29EF"/>
    <w:rsid w:val="00CF2A57"/>
    <w:rsid w:val="00CF2A8B"/>
    <w:rsid w:val="00CF2ABA"/>
    <w:rsid w:val="00CF2B40"/>
    <w:rsid w:val="00CF2B8C"/>
    <w:rsid w:val="00CF2B8E"/>
    <w:rsid w:val="00CF2CCB"/>
    <w:rsid w:val="00CF2CCF"/>
    <w:rsid w:val="00CF2E5F"/>
    <w:rsid w:val="00CF2EA4"/>
    <w:rsid w:val="00CF301B"/>
    <w:rsid w:val="00CF3072"/>
    <w:rsid w:val="00CF3097"/>
    <w:rsid w:val="00CF3153"/>
    <w:rsid w:val="00CF3163"/>
    <w:rsid w:val="00CF31BD"/>
    <w:rsid w:val="00CF322E"/>
    <w:rsid w:val="00CF3299"/>
    <w:rsid w:val="00CF32BB"/>
    <w:rsid w:val="00CF3310"/>
    <w:rsid w:val="00CF3341"/>
    <w:rsid w:val="00CF349D"/>
    <w:rsid w:val="00CF35B9"/>
    <w:rsid w:val="00CF365A"/>
    <w:rsid w:val="00CF36C3"/>
    <w:rsid w:val="00CF3714"/>
    <w:rsid w:val="00CF3865"/>
    <w:rsid w:val="00CF3972"/>
    <w:rsid w:val="00CF39ED"/>
    <w:rsid w:val="00CF3B4A"/>
    <w:rsid w:val="00CF3C22"/>
    <w:rsid w:val="00CF3C5F"/>
    <w:rsid w:val="00CF3C64"/>
    <w:rsid w:val="00CF3CB5"/>
    <w:rsid w:val="00CF3D5C"/>
    <w:rsid w:val="00CF3ED1"/>
    <w:rsid w:val="00CF3EEB"/>
    <w:rsid w:val="00CF3F13"/>
    <w:rsid w:val="00CF3F9D"/>
    <w:rsid w:val="00CF411B"/>
    <w:rsid w:val="00CF4153"/>
    <w:rsid w:val="00CF4213"/>
    <w:rsid w:val="00CF426F"/>
    <w:rsid w:val="00CF4278"/>
    <w:rsid w:val="00CF432B"/>
    <w:rsid w:val="00CF43CB"/>
    <w:rsid w:val="00CF4441"/>
    <w:rsid w:val="00CF445A"/>
    <w:rsid w:val="00CF4493"/>
    <w:rsid w:val="00CF44DC"/>
    <w:rsid w:val="00CF4667"/>
    <w:rsid w:val="00CF48E7"/>
    <w:rsid w:val="00CF498F"/>
    <w:rsid w:val="00CF4AC4"/>
    <w:rsid w:val="00CF4B0B"/>
    <w:rsid w:val="00CF4BE9"/>
    <w:rsid w:val="00CF4C55"/>
    <w:rsid w:val="00CF4E57"/>
    <w:rsid w:val="00CF4EA4"/>
    <w:rsid w:val="00CF4EA7"/>
    <w:rsid w:val="00CF4F44"/>
    <w:rsid w:val="00CF4FB9"/>
    <w:rsid w:val="00CF4FD5"/>
    <w:rsid w:val="00CF4FFD"/>
    <w:rsid w:val="00CF514F"/>
    <w:rsid w:val="00CF5281"/>
    <w:rsid w:val="00CF548E"/>
    <w:rsid w:val="00CF5515"/>
    <w:rsid w:val="00CF5841"/>
    <w:rsid w:val="00CF585E"/>
    <w:rsid w:val="00CF58C1"/>
    <w:rsid w:val="00CF5A62"/>
    <w:rsid w:val="00CF5B98"/>
    <w:rsid w:val="00CF5D9A"/>
    <w:rsid w:val="00CF6100"/>
    <w:rsid w:val="00CF6172"/>
    <w:rsid w:val="00CF6213"/>
    <w:rsid w:val="00CF6281"/>
    <w:rsid w:val="00CF62C8"/>
    <w:rsid w:val="00CF6318"/>
    <w:rsid w:val="00CF6365"/>
    <w:rsid w:val="00CF63BB"/>
    <w:rsid w:val="00CF655A"/>
    <w:rsid w:val="00CF6606"/>
    <w:rsid w:val="00CF664C"/>
    <w:rsid w:val="00CF675F"/>
    <w:rsid w:val="00CF67C8"/>
    <w:rsid w:val="00CF6A8E"/>
    <w:rsid w:val="00CF6B21"/>
    <w:rsid w:val="00CF6B50"/>
    <w:rsid w:val="00CF6B91"/>
    <w:rsid w:val="00CF6C82"/>
    <w:rsid w:val="00CF6CFB"/>
    <w:rsid w:val="00CF6E61"/>
    <w:rsid w:val="00CF700B"/>
    <w:rsid w:val="00CF7129"/>
    <w:rsid w:val="00CF749B"/>
    <w:rsid w:val="00CF74D3"/>
    <w:rsid w:val="00CF7581"/>
    <w:rsid w:val="00CF7599"/>
    <w:rsid w:val="00CF7619"/>
    <w:rsid w:val="00CF764F"/>
    <w:rsid w:val="00CF7703"/>
    <w:rsid w:val="00CF775B"/>
    <w:rsid w:val="00CF797A"/>
    <w:rsid w:val="00CF7A47"/>
    <w:rsid w:val="00CF7A51"/>
    <w:rsid w:val="00CF7C73"/>
    <w:rsid w:val="00CF7CB8"/>
    <w:rsid w:val="00CF7CFF"/>
    <w:rsid w:val="00CF7D08"/>
    <w:rsid w:val="00CF7DB0"/>
    <w:rsid w:val="00CF7E70"/>
    <w:rsid w:val="00CF7FBB"/>
    <w:rsid w:val="00D002E7"/>
    <w:rsid w:val="00D00397"/>
    <w:rsid w:val="00D005EE"/>
    <w:rsid w:val="00D005FA"/>
    <w:rsid w:val="00D006C3"/>
    <w:rsid w:val="00D00719"/>
    <w:rsid w:val="00D00743"/>
    <w:rsid w:val="00D007A1"/>
    <w:rsid w:val="00D007D7"/>
    <w:rsid w:val="00D0091B"/>
    <w:rsid w:val="00D0095A"/>
    <w:rsid w:val="00D009D2"/>
    <w:rsid w:val="00D00A7A"/>
    <w:rsid w:val="00D00B3B"/>
    <w:rsid w:val="00D00B62"/>
    <w:rsid w:val="00D00BBB"/>
    <w:rsid w:val="00D00C23"/>
    <w:rsid w:val="00D00D06"/>
    <w:rsid w:val="00D00E55"/>
    <w:rsid w:val="00D00ED6"/>
    <w:rsid w:val="00D00EE3"/>
    <w:rsid w:val="00D00F68"/>
    <w:rsid w:val="00D010FA"/>
    <w:rsid w:val="00D011D7"/>
    <w:rsid w:val="00D0123D"/>
    <w:rsid w:val="00D01473"/>
    <w:rsid w:val="00D014CB"/>
    <w:rsid w:val="00D015CB"/>
    <w:rsid w:val="00D015F2"/>
    <w:rsid w:val="00D01631"/>
    <w:rsid w:val="00D01654"/>
    <w:rsid w:val="00D01672"/>
    <w:rsid w:val="00D01746"/>
    <w:rsid w:val="00D01757"/>
    <w:rsid w:val="00D01791"/>
    <w:rsid w:val="00D0182A"/>
    <w:rsid w:val="00D01844"/>
    <w:rsid w:val="00D0185A"/>
    <w:rsid w:val="00D0190C"/>
    <w:rsid w:val="00D01A70"/>
    <w:rsid w:val="00D01AEB"/>
    <w:rsid w:val="00D01BF6"/>
    <w:rsid w:val="00D01C01"/>
    <w:rsid w:val="00D01C09"/>
    <w:rsid w:val="00D01C11"/>
    <w:rsid w:val="00D01C50"/>
    <w:rsid w:val="00D01C77"/>
    <w:rsid w:val="00D01CE5"/>
    <w:rsid w:val="00D01D8B"/>
    <w:rsid w:val="00D01FBB"/>
    <w:rsid w:val="00D0206D"/>
    <w:rsid w:val="00D02215"/>
    <w:rsid w:val="00D02300"/>
    <w:rsid w:val="00D02436"/>
    <w:rsid w:val="00D02440"/>
    <w:rsid w:val="00D02515"/>
    <w:rsid w:val="00D02558"/>
    <w:rsid w:val="00D025D6"/>
    <w:rsid w:val="00D026F2"/>
    <w:rsid w:val="00D0272F"/>
    <w:rsid w:val="00D0275E"/>
    <w:rsid w:val="00D027FB"/>
    <w:rsid w:val="00D028FA"/>
    <w:rsid w:val="00D02961"/>
    <w:rsid w:val="00D029BF"/>
    <w:rsid w:val="00D029F5"/>
    <w:rsid w:val="00D02CCD"/>
    <w:rsid w:val="00D02CEE"/>
    <w:rsid w:val="00D02E24"/>
    <w:rsid w:val="00D02E7D"/>
    <w:rsid w:val="00D02E8A"/>
    <w:rsid w:val="00D02FD3"/>
    <w:rsid w:val="00D03059"/>
    <w:rsid w:val="00D0312C"/>
    <w:rsid w:val="00D03137"/>
    <w:rsid w:val="00D03270"/>
    <w:rsid w:val="00D032AC"/>
    <w:rsid w:val="00D03315"/>
    <w:rsid w:val="00D0338C"/>
    <w:rsid w:val="00D03556"/>
    <w:rsid w:val="00D035EB"/>
    <w:rsid w:val="00D03619"/>
    <w:rsid w:val="00D0362D"/>
    <w:rsid w:val="00D0387F"/>
    <w:rsid w:val="00D03891"/>
    <w:rsid w:val="00D03B21"/>
    <w:rsid w:val="00D03B4A"/>
    <w:rsid w:val="00D03B58"/>
    <w:rsid w:val="00D03CB3"/>
    <w:rsid w:val="00D03D8C"/>
    <w:rsid w:val="00D03D9D"/>
    <w:rsid w:val="00D03DDA"/>
    <w:rsid w:val="00D03DDD"/>
    <w:rsid w:val="00D03EF0"/>
    <w:rsid w:val="00D03FFE"/>
    <w:rsid w:val="00D04129"/>
    <w:rsid w:val="00D043A7"/>
    <w:rsid w:val="00D04453"/>
    <w:rsid w:val="00D046DE"/>
    <w:rsid w:val="00D04724"/>
    <w:rsid w:val="00D048EF"/>
    <w:rsid w:val="00D04C31"/>
    <w:rsid w:val="00D04D4A"/>
    <w:rsid w:val="00D04EA9"/>
    <w:rsid w:val="00D04EDC"/>
    <w:rsid w:val="00D04FEC"/>
    <w:rsid w:val="00D05030"/>
    <w:rsid w:val="00D050A4"/>
    <w:rsid w:val="00D050BA"/>
    <w:rsid w:val="00D050BE"/>
    <w:rsid w:val="00D0562A"/>
    <w:rsid w:val="00D0565D"/>
    <w:rsid w:val="00D05661"/>
    <w:rsid w:val="00D0585D"/>
    <w:rsid w:val="00D0599B"/>
    <w:rsid w:val="00D059EC"/>
    <w:rsid w:val="00D05B5C"/>
    <w:rsid w:val="00D05B73"/>
    <w:rsid w:val="00D05D7D"/>
    <w:rsid w:val="00D05DB3"/>
    <w:rsid w:val="00D05E8F"/>
    <w:rsid w:val="00D05E90"/>
    <w:rsid w:val="00D05F00"/>
    <w:rsid w:val="00D0602F"/>
    <w:rsid w:val="00D06050"/>
    <w:rsid w:val="00D06094"/>
    <w:rsid w:val="00D060BA"/>
    <w:rsid w:val="00D060EA"/>
    <w:rsid w:val="00D06180"/>
    <w:rsid w:val="00D06198"/>
    <w:rsid w:val="00D0626A"/>
    <w:rsid w:val="00D06361"/>
    <w:rsid w:val="00D0647D"/>
    <w:rsid w:val="00D06510"/>
    <w:rsid w:val="00D06637"/>
    <w:rsid w:val="00D0672F"/>
    <w:rsid w:val="00D069E8"/>
    <w:rsid w:val="00D06B20"/>
    <w:rsid w:val="00D06B8F"/>
    <w:rsid w:val="00D06D73"/>
    <w:rsid w:val="00D06DEC"/>
    <w:rsid w:val="00D06EAD"/>
    <w:rsid w:val="00D06EBA"/>
    <w:rsid w:val="00D06EC9"/>
    <w:rsid w:val="00D06EF0"/>
    <w:rsid w:val="00D06F36"/>
    <w:rsid w:val="00D070B4"/>
    <w:rsid w:val="00D070E8"/>
    <w:rsid w:val="00D073EC"/>
    <w:rsid w:val="00D07445"/>
    <w:rsid w:val="00D074B2"/>
    <w:rsid w:val="00D0759E"/>
    <w:rsid w:val="00D07696"/>
    <w:rsid w:val="00D077E2"/>
    <w:rsid w:val="00D0789C"/>
    <w:rsid w:val="00D078C5"/>
    <w:rsid w:val="00D078D6"/>
    <w:rsid w:val="00D07935"/>
    <w:rsid w:val="00D07B77"/>
    <w:rsid w:val="00D07CE4"/>
    <w:rsid w:val="00D07D1B"/>
    <w:rsid w:val="00D07D22"/>
    <w:rsid w:val="00D07F7D"/>
    <w:rsid w:val="00D100D6"/>
    <w:rsid w:val="00D10197"/>
    <w:rsid w:val="00D10269"/>
    <w:rsid w:val="00D103C6"/>
    <w:rsid w:val="00D1043B"/>
    <w:rsid w:val="00D104BA"/>
    <w:rsid w:val="00D104CD"/>
    <w:rsid w:val="00D10626"/>
    <w:rsid w:val="00D1069D"/>
    <w:rsid w:val="00D106D9"/>
    <w:rsid w:val="00D106E2"/>
    <w:rsid w:val="00D106ED"/>
    <w:rsid w:val="00D10749"/>
    <w:rsid w:val="00D1076D"/>
    <w:rsid w:val="00D10859"/>
    <w:rsid w:val="00D10A1B"/>
    <w:rsid w:val="00D10AAE"/>
    <w:rsid w:val="00D10AC7"/>
    <w:rsid w:val="00D10B4A"/>
    <w:rsid w:val="00D10BAC"/>
    <w:rsid w:val="00D10BF2"/>
    <w:rsid w:val="00D10CCC"/>
    <w:rsid w:val="00D10D1E"/>
    <w:rsid w:val="00D10DC9"/>
    <w:rsid w:val="00D10E7C"/>
    <w:rsid w:val="00D11126"/>
    <w:rsid w:val="00D11442"/>
    <w:rsid w:val="00D114C7"/>
    <w:rsid w:val="00D114D5"/>
    <w:rsid w:val="00D11557"/>
    <w:rsid w:val="00D11563"/>
    <w:rsid w:val="00D11582"/>
    <w:rsid w:val="00D115E1"/>
    <w:rsid w:val="00D1161F"/>
    <w:rsid w:val="00D11776"/>
    <w:rsid w:val="00D11833"/>
    <w:rsid w:val="00D1187C"/>
    <w:rsid w:val="00D11AF1"/>
    <w:rsid w:val="00D11B74"/>
    <w:rsid w:val="00D11C9A"/>
    <w:rsid w:val="00D11CCC"/>
    <w:rsid w:val="00D11CD4"/>
    <w:rsid w:val="00D11D5C"/>
    <w:rsid w:val="00D11F28"/>
    <w:rsid w:val="00D11F50"/>
    <w:rsid w:val="00D1206E"/>
    <w:rsid w:val="00D120B3"/>
    <w:rsid w:val="00D12158"/>
    <w:rsid w:val="00D12224"/>
    <w:rsid w:val="00D12269"/>
    <w:rsid w:val="00D12281"/>
    <w:rsid w:val="00D12346"/>
    <w:rsid w:val="00D124E9"/>
    <w:rsid w:val="00D125EF"/>
    <w:rsid w:val="00D1266E"/>
    <w:rsid w:val="00D12810"/>
    <w:rsid w:val="00D1293B"/>
    <w:rsid w:val="00D12983"/>
    <w:rsid w:val="00D1299B"/>
    <w:rsid w:val="00D12BE8"/>
    <w:rsid w:val="00D12C44"/>
    <w:rsid w:val="00D131F1"/>
    <w:rsid w:val="00D133AD"/>
    <w:rsid w:val="00D13477"/>
    <w:rsid w:val="00D1359E"/>
    <w:rsid w:val="00D135B3"/>
    <w:rsid w:val="00D1360C"/>
    <w:rsid w:val="00D13673"/>
    <w:rsid w:val="00D1368A"/>
    <w:rsid w:val="00D136DD"/>
    <w:rsid w:val="00D13773"/>
    <w:rsid w:val="00D13820"/>
    <w:rsid w:val="00D139D4"/>
    <w:rsid w:val="00D139F0"/>
    <w:rsid w:val="00D13ABE"/>
    <w:rsid w:val="00D13AC8"/>
    <w:rsid w:val="00D13C9B"/>
    <w:rsid w:val="00D13E44"/>
    <w:rsid w:val="00D13EC1"/>
    <w:rsid w:val="00D13F94"/>
    <w:rsid w:val="00D13FE6"/>
    <w:rsid w:val="00D13FF0"/>
    <w:rsid w:val="00D1402C"/>
    <w:rsid w:val="00D14040"/>
    <w:rsid w:val="00D14058"/>
    <w:rsid w:val="00D14228"/>
    <w:rsid w:val="00D14444"/>
    <w:rsid w:val="00D144C6"/>
    <w:rsid w:val="00D145CB"/>
    <w:rsid w:val="00D1474F"/>
    <w:rsid w:val="00D14765"/>
    <w:rsid w:val="00D14835"/>
    <w:rsid w:val="00D1484A"/>
    <w:rsid w:val="00D14A01"/>
    <w:rsid w:val="00D14AE6"/>
    <w:rsid w:val="00D14B8C"/>
    <w:rsid w:val="00D14BDC"/>
    <w:rsid w:val="00D14D48"/>
    <w:rsid w:val="00D15091"/>
    <w:rsid w:val="00D15262"/>
    <w:rsid w:val="00D1529C"/>
    <w:rsid w:val="00D152F7"/>
    <w:rsid w:val="00D1554F"/>
    <w:rsid w:val="00D155A8"/>
    <w:rsid w:val="00D156AE"/>
    <w:rsid w:val="00D157BA"/>
    <w:rsid w:val="00D15951"/>
    <w:rsid w:val="00D159C9"/>
    <w:rsid w:val="00D15A76"/>
    <w:rsid w:val="00D15BA2"/>
    <w:rsid w:val="00D15BD0"/>
    <w:rsid w:val="00D15C99"/>
    <w:rsid w:val="00D15CF9"/>
    <w:rsid w:val="00D15D4E"/>
    <w:rsid w:val="00D15E9C"/>
    <w:rsid w:val="00D15F42"/>
    <w:rsid w:val="00D15FAB"/>
    <w:rsid w:val="00D1603B"/>
    <w:rsid w:val="00D16063"/>
    <w:rsid w:val="00D16083"/>
    <w:rsid w:val="00D160F1"/>
    <w:rsid w:val="00D16160"/>
    <w:rsid w:val="00D163A1"/>
    <w:rsid w:val="00D16405"/>
    <w:rsid w:val="00D164DF"/>
    <w:rsid w:val="00D168AB"/>
    <w:rsid w:val="00D16923"/>
    <w:rsid w:val="00D16C38"/>
    <w:rsid w:val="00D16C6D"/>
    <w:rsid w:val="00D16CD0"/>
    <w:rsid w:val="00D16CF6"/>
    <w:rsid w:val="00D16DC2"/>
    <w:rsid w:val="00D16E5B"/>
    <w:rsid w:val="00D16EF5"/>
    <w:rsid w:val="00D16FD8"/>
    <w:rsid w:val="00D170CF"/>
    <w:rsid w:val="00D1730A"/>
    <w:rsid w:val="00D17350"/>
    <w:rsid w:val="00D173E1"/>
    <w:rsid w:val="00D17502"/>
    <w:rsid w:val="00D17631"/>
    <w:rsid w:val="00D176F7"/>
    <w:rsid w:val="00D177A9"/>
    <w:rsid w:val="00D178CA"/>
    <w:rsid w:val="00D17913"/>
    <w:rsid w:val="00D17B96"/>
    <w:rsid w:val="00D17BC9"/>
    <w:rsid w:val="00D17BF2"/>
    <w:rsid w:val="00D17CAC"/>
    <w:rsid w:val="00D17F41"/>
    <w:rsid w:val="00D202FA"/>
    <w:rsid w:val="00D2072E"/>
    <w:rsid w:val="00D20A0A"/>
    <w:rsid w:val="00D20AC8"/>
    <w:rsid w:val="00D20ADE"/>
    <w:rsid w:val="00D20B51"/>
    <w:rsid w:val="00D20C74"/>
    <w:rsid w:val="00D20DA5"/>
    <w:rsid w:val="00D20DBA"/>
    <w:rsid w:val="00D20E4F"/>
    <w:rsid w:val="00D20F0A"/>
    <w:rsid w:val="00D20F17"/>
    <w:rsid w:val="00D20F5E"/>
    <w:rsid w:val="00D20FB7"/>
    <w:rsid w:val="00D21041"/>
    <w:rsid w:val="00D21142"/>
    <w:rsid w:val="00D211A8"/>
    <w:rsid w:val="00D2143F"/>
    <w:rsid w:val="00D216C3"/>
    <w:rsid w:val="00D216D8"/>
    <w:rsid w:val="00D216ED"/>
    <w:rsid w:val="00D21798"/>
    <w:rsid w:val="00D21BC8"/>
    <w:rsid w:val="00D21D15"/>
    <w:rsid w:val="00D21EA0"/>
    <w:rsid w:val="00D21EC8"/>
    <w:rsid w:val="00D21F07"/>
    <w:rsid w:val="00D2203A"/>
    <w:rsid w:val="00D220AA"/>
    <w:rsid w:val="00D2214C"/>
    <w:rsid w:val="00D2222D"/>
    <w:rsid w:val="00D22233"/>
    <w:rsid w:val="00D22314"/>
    <w:rsid w:val="00D2238D"/>
    <w:rsid w:val="00D22544"/>
    <w:rsid w:val="00D22645"/>
    <w:rsid w:val="00D226F1"/>
    <w:rsid w:val="00D2270E"/>
    <w:rsid w:val="00D22766"/>
    <w:rsid w:val="00D22792"/>
    <w:rsid w:val="00D227E9"/>
    <w:rsid w:val="00D22889"/>
    <w:rsid w:val="00D2291B"/>
    <w:rsid w:val="00D22951"/>
    <w:rsid w:val="00D229E2"/>
    <w:rsid w:val="00D22AED"/>
    <w:rsid w:val="00D22B5D"/>
    <w:rsid w:val="00D22C98"/>
    <w:rsid w:val="00D22D2E"/>
    <w:rsid w:val="00D22E3C"/>
    <w:rsid w:val="00D22E59"/>
    <w:rsid w:val="00D22F0E"/>
    <w:rsid w:val="00D23070"/>
    <w:rsid w:val="00D23079"/>
    <w:rsid w:val="00D23146"/>
    <w:rsid w:val="00D23147"/>
    <w:rsid w:val="00D23149"/>
    <w:rsid w:val="00D231ED"/>
    <w:rsid w:val="00D233DB"/>
    <w:rsid w:val="00D2380C"/>
    <w:rsid w:val="00D23811"/>
    <w:rsid w:val="00D23A8D"/>
    <w:rsid w:val="00D23BDE"/>
    <w:rsid w:val="00D23C2E"/>
    <w:rsid w:val="00D23C3D"/>
    <w:rsid w:val="00D23CB0"/>
    <w:rsid w:val="00D23CF5"/>
    <w:rsid w:val="00D23D2B"/>
    <w:rsid w:val="00D23D46"/>
    <w:rsid w:val="00D23D4E"/>
    <w:rsid w:val="00D23ED7"/>
    <w:rsid w:val="00D23F34"/>
    <w:rsid w:val="00D23FE3"/>
    <w:rsid w:val="00D24039"/>
    <w:rsid w:val="00D2403C"/>
    <w:rsid w:val="00D2405C"/>
    <w:rsid w:val="00D241FD"/>
    <w:rsid w:val="00D2423B"/>
    <w:rsid w:val="00D242A3"/>
    <w:rsid w:val="00D2436B"/>
    <w:rsid w:val="00D243BB"/>
    <w:rsid w:val="00D244A6"/>
    <w:rsid w:val="00D244C0"/>
    <w:rsid w:val="00D24581"/>
    <w:rsid w:val="00D2462A"/>
    <w:rsid w:val="00D24805"/>
    <w:rsid w:val="00D24B2E"/>
    <w:rsid w:val="00D24C31"/>
    <w:rsid w:val="00D24D18"/>
    <w:rsid w:val="00D24DF2"/>
    <w:rsid w:val="00D24E9C"/>
    <w:rsid w:val="00D24F37"/>
    <w:rsid w:val="00D2535E"/>
    <w:rsid w:val="00D25381"/>
    <w:rsid w:val="00D25496"/>
    <w:rsid w:val="00D254B0"/>
    <w:rsid w:val="00D2558D"/>
    <w:rsid w:val="00D25613"/>
    <w:rsid w:val="00D258C7"/>
    <w:rsid w:val="00D25A2E"/>
    <w:rsid w:val="00D25C78"/>
    <w:rsid w:val="00D25D03"/>
    <w:rsid w:val="00D25D33"/>
    <w:rsid w:val="00D26078"/>
    <w:rsid w:val="00D26082"/>
    <w:rsid w:val="00D260CD"/>
    <w:rsid w:val="00D26104"/>
    <w:rsid w:val="00D26291"/>
    <w:rsid w:val="00D263A2"/>
    <w:rsid w:val="00D26499"/>
    <w:rsid w:val="00D264B8"/>
    <w:rsid w:val="00D264CE"/>
    <w:rsid w:val="00D2651F"/>
    <w:rsid w:val="00D26549"/>
    <w:rsid w:val="00D2664B"/>
    <w:rsid w:val="00D2668A"/>
    <w:rsid w:val="00D266B7"/>
    <w:rsid w:val="00D26728"/>
    <w:rsid w:val="00D26758"/>
    <w:rsid w:val="00D2677C"/>
    <w:rsid w:val="00D267B4"/>
    <w:rsid w:val="00D268DC"/>
    <w:rsid w:val="00D26A88"/>
    <w:rsid w:val="00D26B0A"/>
    <w:rsid w:val="00D26B50"/>
    <w:rsid w:val="00D26B7B"/>
    <w:rsid w:val="00D26BA7"/>
    <w:rsid w:val="00D26D14"/>
    <w:rsid w:val="00D26D24"/>
    <w:rsid w:val="00D26DCD"/>
    <w:rsid w:val="00D26E13"/>
    <w:rsid w:val="00D26ED0"/>
    <w:rsid w:val="00D26ED8"/>
    <w:rsid w:val="00D26EEF"/>
    <w:rsid w:val="00D26F5F"/>
    <w:rsid w:val="00D27076"/>
    <w:rsid w:val="00D2712C"/>
    <w:rsid w:val="00D27136"/>
    <w:rsid w:val="00D271DF"/>
    <w:rsid w:val="00D272B0"/>
    <w:rsid w:val="00D27341"/>
    <w:rsid w:val="00D2741E"/>
    <w:rsid w:val="00D275A6"/>
    <w:rsid w:val="00D275B7"/>
    <w:rsid w:val="00D27625"/>
    <w:rsid w:val="00D2763A"/>
    <w:rsid w:val="00D27733"/>
    <w:rsid w:val="00D277F0"/>
    <w:rsid w:val="00D27803"/>
    <w:rsid w:val="00D2795B"/>
    <w:rsid w:val="00D279B8"/>
    <w:rsid w:val="00D279C2"/>
    <w:rsid w:val="00D27B87"/>
    <w:rsid w:val="00D27E5A"/>
    <w:rsid w:val="00D27E86"/>
    <w:rsid w:val="00D27F29"/>
    <w:rsid w:val="00D300C1"/>
    <w:rsid w:val="00D30139"/>
    <w:rsid w:val="00D30456"/>
    <w:rsid w:val="00D304CE"/>
    <w:rsid w:val="00D304FF"/>
    <w:rsid w:val="00D30597"/>
    <w:rsid w:val="00D305D5"/>
    <w:rsid w:val="00D306AB"/>
    <w:rsid w:val="00D30758"/>
    <w:rsid w:val="00D3077A"/>
    <w:rsid w:val="00D307EA"/>
    <w:rsid w:val="00D309DE"/>
    <w:rsid w:val="00D309F7"/>
    <w:rsid w:val="00D30BBE"/>
    <w:rsid w:val="00D30C28"/>
    <w:rsid w:val="00D30CFD"/>
    <w:rsid w:val="00D30D69"/>
    <w:rsid w:val="00D30DB2"/>
    <w:rsid w:val="00D30F6A"/>
    <w:rsid w:val="00D30FB0"/>
    <w:rsid w:val="00D3106E"/>
    <w:rsid w:val="00D310FA"/>
    <w:rsid w:val="00D31101"/>
    <w:rsid w:val="00D31136"/>
    <w:rsid w:val="00D312AF"/>
    <w:rsid w:val="00D313EE"/>
    <w:rsid w:val="00D3142D"/>
    <w:rsid w:val="00D3154B"/>
    <w:rsid w:val="00D315B1"/>
    <w:rsid w:val="00D316E3"/>
    <w:rsid w:val="00D31820"/>
    <w:rsid w:val="00D3188E"/>
    <w:rsid w:val="00D31950"/>
    <w:rsid w:val="00D31CA6"/>
    <w:rsid w:val="00D31CAB"/>
    <w:rsid w:val="00D31CBA"/>
    <w:rsid w:val="00D31CFE"/>
    <w:rsid w:val="00D31DED"/>
    <w:rsid w:val="00D31DFB"/>
    <w:rsid w:val="00D31E14"/>
    <w:rsid w:val="00D31F0A"/>
    <w:rsid w:val="00D31F3F"/>
    <w:rsid w:val="00D3209C"/>
    <w:rsid w:val="00D320EA"/>
    <w:rsid w:val="00D3214C"/>
    <w:rsid w:val="00D32177"/>
    <w:rsid w:val="00D321AF"/>
    <w:rsid w:val="00D322A7"/>
    <w:rsid w:val="00D3237F"/>
    <w:rsid w:val="00D32380"/>
    <w:rsid w:val="00D3238B"/>
    <w:rsid w:val="00D32457"/>
    <w:rsid w:val="00D326BE"/>
    <w:rsid w:val="00D32756"/>
    <w:rsid w:val="00D327F4"/>
    <w:rsid w:val="00D32803"/>
    <w:rsid w:val="00D328DD"/>
    <w:rsid w:val="00D328E6"/>
    <w:rsid w:val="00D32937"/>
    <w:rsid w:val="00D32940"/>
    <w:rsid w:val="00D329C8"/>
    <w:rsid w:val="00D32A56"/>
    <w:rsid w:val="00D32B6E"/>
    <w:rsid w:val="00D32E00"/>
    <w:rsid w:val="00D32E6F"/>
    <w:rsid w:val="00D32FDE"/>
    <w:rsid w:val="00D33074"/>
    <w:rsid w:val="00D33087"/>
    <w:rsid w:val="00D330AA"/>
    <w:rsid w:val="00D3326E"/>
    <w:rsid w:val="00D33286"/>
    <w:rsid w:val="00D332AF"/>
    <w:rsid w:val="00D332D8"/>
    <w:rsid w:val="00D334D0"/>
    <w:rsid w:val="00D334E0"/>
    <w:rsid w:val="00D33641"/>
    <w:rsid w:val="00D33B16"/>
    <w:rsid w:val="00D33B20"/>
    <w:rsid w:val="00D33C43"/>
    <w:rsid w:val="00D33C84"/>
    <w:rsid w:val="00D33D18"/>
    <w:rsid w:val="00D33DED"/>
    <w:rsid w:val="00D34023"/>
    <w:rsid w:val="00D3405F"/>
    <w:rsid w:val="00D340C8"/>
    <w:rsid w:val="00D342A7"/>
    <w:rsid w:val="00D3446C"/>
    <w:rsid w:val="00D344CA"/>
    <w:rsid w:val="00D34500"/>
    <w:rsid w:val="00D345C8"/>
    <w:rsid w:val="00D34776"/>
    <w:rsid w:val="00D348C4"/>
    <w:rsid w:val="00D3496D"/>
    <w:rsid w:val="00D349B6"/>
    <w:rsid w:val="00D34C75"/>
    <w:rsid w:val="00D34DA3"/>
    <w:rsid w:val="00D34DC3"/>
    <w:rsid w:val="00D34E9D"/>
    <w:rsid w:val="00D34EA6"/>
    <w:rsid w:val="00D34EE9"/>
    <w:rsid w:val="00D34FD9"/>
    <w:rsid w:val="00D3504A"/>
    <w:rsid w:val="00D3509A"/>
    <w:rsid w:val="00D350CE"/>
    <w:rsid w:val="00D350FB"/>
    <w:rsid w:val="00D350FF"/>
    <w:rsid w:val="00D353E3"/>
    <w:rsid w:val="00D35401"/>
    <w:rsid w:val="00D35453"/>
    <w:rsid w:val="00D356FD"/>
    <w:rsid w:val="00D357B1"/>
    <w:rsid w:val="00D35824"/>
    <w:rsid w:val="00D3591E"/>
    <w:rsid w:val="00D35A38"/>
    <w:rsid w:val="00D35A7B"/>
    <w:rsid w:val="00D35A84"/>
    <w:rsid w:val="00D35BE3"/>
    <w:rsid w:val="00D35CC5"/>
    <w:rsid w:val="00D35D75"/>
    <w:rsid w:val="00D35D99"/>
    <w:rsid w:val="00D35E0E"/>
    <w:rsid w:val="00D35ED7"/>
    <w:rsid w:val="00D35EF7"/>
    <w:rsid w:val="00D35FD4"/>
    <w:rsid w:val="00D36157"/>
    <w:rsid w:val="00D3618A"/>
    <w:rsid w:val="00D3627B"/>
    <w:rsid w:val="00D3629C"/>
    <w:rsid w:val="00D362B0"/>
    <w:rsid w:val="00D3647A"/>
    <w:rsid w:val="00D3666F"/>
    <w:rsid w:val="00D366B9"/>
    <w:rsid w:val="00D366F5"/>
    <w:rsid w:val="00D368CD"/>
    <w:rsid w:val="00D36932"/>
    <w:rsid w:val="00D36B1A"/>
    <w:rsid w:val="00D36BB7"/>
    <w:rsid w:val="00D36BE6"/>
    <w:rsid w:val="00D36BF0"/>
    <w:rsid w:val="00D36CE9"/>
    <w:rsid w:val="00D36D0F"/>
    <w:rsid w:val="00D36ECF"/>
    <w:rsid w:val="00D36F6D"/>
    <w:rsid w:val="00D3713E"/>
    <w:rsid w:val="00D3717D"/>
    <w:rsid w:val="00D371AD"/>
    <w:rsid w:val="00D37257"/>
    <w:rsid w:val="00D37341"/>
    <w:rsid w:val="00D37444"/>
    <w:rsid w:val="00D3749D"/>
    <w:rsid w:val="00D3763F"/>
    <w:rsid w:val="00D37694"/>
    <w:rsid w:val="00D376C2"/>
    <w:rsid w:val="00D377F2"/>
    <w:rsid w:val="00D378A2"/>
    <w:rsid w:val="00D379FF"/>
    <w:rsid w:val="00D37A14"/>
    <w:rsid w:val="00D37A4C"/>
    <w:rsid w:val="00D37A62"/>
    <w:rsid w:val="00D37AFA"/>
    <w:rsid w:val="00D37B43"/>
    <w:rsid w:val="00D37C02"/>
    <w:rsid w:val="00D37C26"/>
    <w:rsid w:val="00D37CAB"/>
    <w:rsid w:val="00D37E57"/>
    <w:rsid w:val="00D37FBA"/>
    <w:rsid w:val="00D37FDB"/>
    <w:rsid w:val="00D4010A"/>
    <w:rsid w:val="00D40116"/>
    <w:rsid w:val="00D401B4"/>
    <w:rsid w:val="00D4028B"/>
    <w:rsid w:val="00D40337"/>
    <w:rsid w:val="00D40386"/>
    <w:rsid w:val="00D4056C"/>
    <w:rsid w:val="00D40830"/>
    <w:rsid w:val="00D40841"/>
    <w:rsid w:val="00D40845"/>
    <w:rsid w:val="00D4088A"/>
    <w:rsid w:val="00D4094C"/>
    <w:rsid w:val="00D40972"/>
    <w:rsid w:val="00D40B33"/>
    <w:rsid w:val="00D40B4E"/>
    <w:rsid w:val="00D40C3B"/>
    <w:rsid w:val="00D40D01"/>
    <w:rsid w:val="00D40EC5"/>
    <w:rsid w:val="00D40F87"/>
    <w:rsid w:val="00D40FB2"/>
    <w:rsid w:val="00D40FF5"/>
    <w:rsid w:val="00D410B0"/>
    <w:rsid w:val="00D410E0"/>
    <w:rsid w:val="00D411F4"/>
    <w:rsid w:val="00D41265"/>
    <w:rsid w:val="00D41464"/>
    <w:rsid w:val="00D414B8"/>
    <w:rsid w:val="00D414C7"/>
    <w:rsid w:val="00D41514"/>
    <w:rsid w:val="00D4155D"/>
    <w:rsid w:val="00D41577"/>
    <w:rsid w:val="00D4158B"/>
    <w:rsid w:val="00D415A5"/>
    <w:rsid w:val="00D415CD"/>
    <w:rsid w:val="00D41751"/>
    <w:rsid w:val="00D417C2"/>
    <w:rsid w:val="00D41817"/>
    <w:rsid w:val="00D4181A"/>
    <w:rsid w:val="00D41878"/>
    <w:rsid w:val="00D419D9"/>
    <w:rsid w:val="00D41C0A"/>
    <w:rsid w:val="00D41CB1"/>
    <w:rsid w:val="00D41CBD"/>
    <w:rsid w:val="00D41D3E"/>
    <w:rsid w:val="00D41D50"/>
    <w:rsid w:val="00D41F5F"/>
    <w:rsid w:val="00D41FE0"/>
    <w:rsid w:val="00D420D7"/>
    <w:rsid w:val="00D421E3"/>
    <w:rsid w:val="00D4228B"/>
    <w:rsid w:val="00D422C8"/>
    <w:rsid w:val="00D423AD"/>
    <w:rsid w:val="00D42681"/>
    <w:rsid w:val="00D42871"/>
    <w:rsid w:val="00D4287F"/>
    <w:rsid w:val="00D42963"/>
    <w:rsid w:val="00D42B60"/>
    <w:rsid w:val="00D42B93"/>
    <w:rsid w:val="00D42BEC"/>
    <w:rsid w:val="00D42D42"/>
    <w:rsid w:val="00D42EC1"/>
    <w:rsid w:val="00D42ECD"/>
    <w:rsid w:val="00D42EE6"/>
    <w:rsid w:val="00D42EE9"/>
    <w:rsid w:val="00D42FD2"/>
    <w:rsid w:val="00D43183"/>
    <w:rsid w:val="00D433D9"/>
    <w:rsid w:val="00D434A1"/>
    <w:rsid w:val="00D4355B"/>
    <w:rsid w:val="00D4373E"/>
    <w:rsid w:val="00D4374F"/>
    <w:rsid w:val="00D437C7"/>
    <w:rsid w:val="00D43AF0"/>
    <w:rsid w:val="00D43B2E"/>
    <w:rsid w:val="00D43B70"/>
    <w:rsid w:val="00D43D48"/>
    <w:rsid w:val="00D43D56"/>
    <w:rsid w:val="00D43D6E"/>
    <w:rsid w:val="00D44048"/>
    <w:rsid w:val="00D44151"/>
    <w:rsid w:val="00D4419E"/>
    <w:rsid w:val="00D4426B"/>
    <w:rsid w:val="00D4428A"/>
    <w:rsid w:val="00D44419"/>
    <w:rsid w:val="00D44460"/>
    <w:rsid w:val="00D4454C"/>
    <w:rsid w:val="00D44553"/>
    <w:rsid w:val="00D44670"/>
    <w:rsid w:val="00D44710"/>
    <w:rsid w:val="00D44749"/>
    <w:rsid w:val="00D44929"/>
    <w:rsid w:val="00D4498B"/>
    <w:rsid w:val="00D449CD"/>
    <w:rsid w:val="00D44A5C"/>
    <w:rsid w:val="00D44AD1"/>
    <w:rsid w:val="00D44BE9"/>
    <w:rsid w:val="00D44D8F"/>
    <w:rsid w:val="00D44F8C"/>
    <w:rsid w:val="00D45077"/>
    <w:rsid w:val="00D45133"/>
    <w:rsid w:val="00D45245"/>
    <w:rsid w:val="00D45317"/>
    <w:rsid w:val="00D45401"/>
    <w:rsid w:val="00D454E7"/>
    <w:rsid w:val="00D456A8"/>
    <w:rsid w:val="00D45717"/>
    <w:rsid w:val="00D4576B"/>
    <w:rsid w:val="00D45812"/>
    <w:rsid w:val="00D458D2"/>
    <w:rsid w:val="00D45A18"/>
    <w:rsid w:val="00D45AD5"/>
    <w:rsid w:val="00D45B49"/>
    <w:rsid w:val="00D45DF7"/>
    <w:rsid w:val="00D45E7D"/>
    <w:rsid w:val="00D45FB3"/>
    <w:rsid w:val="00D460AE"/>
    <w:rsid w:val="00D460D9"/>
    <w:rsid w:val="00D461BE"/>
    <w:rsid w:val="00D4626F"/>
    <w:rsid w:val="00D46282"/>
    <w:rsid w:val="00D462D5"/>
    <w:rsid w:val="00D4635F"/>
    <w:rsid w:val="00D46362"/>
    <w:rsid w:val="00D46543"/>
    <w:rsid w:val="00D46544"/>
    <w:rsid w:val="00D465F0"/>
    <w:rsid w:val="00D466EF"/>
    <w:rsid w:val="00D46795"/>
    <w:rsid w:val="00D46C2F"/>
    <w:rsid w:val="00D46CD7"/>
    <w:rsid w:val="00D46D23"/>
    <w:rsid w:val="00D46DBD"/>
    <w:rsid w:val="00D46E47"/>
    <w:rsid w:val="00D46F58"/>
    <w:rsid w:val="00D46F59"/>
    <w:rsid w:val="00D47057"/>
    <w:rsid w:val="00D4707A"/>
    <w:rsid w:val="00D470B9"/>
    <w:rsid w:val="00D4711F"/>
    <w:rsid w:val="00D471F4"/>
    <w:rsid w:val="00D472AB"/>
    <w:rsid w:val="00D472DA"/>
    <w:rsid w:val="00D47361"/>
    <w:rsid w:val="00D47362"/>
    <w:rsid w:val="00D473CF"/>
    <w:rsid w:val="00D47495"/>
    <w:rsid w:val="00D475E1"/>
    <w:rsid w:val="00D47741"/>
    <w:rsid w:val="00D4780A"/>
    <w:rsid w:val="00D4783A"/>
    <w:rsid w:val="00D479DC"/>
    <w:rsid w:val="00D47B1F"/>
    <w:rsid w:val="00D47B30"/>
    <w:rsid w:val="00D47B85"/>
    <w:rsid w:val="00D47D25"/>
    <w:rsid w:val="00D47D56"/>
    <w:rsid w:val="00D47DB9"/>
    <w:rsid w:val="00D47DC6"/>
    <w:rsid w:val="00D47EFD"/>
    <w:rsid w:val="00D47F28"/>
    <w:rsid w:val="00D47F89"/>
    <w:rsid w:val="00D47F9F"/>
    <w:rsid w:val="00D47FA8"/>
    <w:rsid w:val="00D50177"/>
    <w:rsid w:val="00D50271"/>
    <w:rsid w:val="00D50296"/>
    <w:rsid w:val="00D5029A"/>
    <w:rsid w:val="00D502F7"/>
    <w:rsid w:val="00D505C4"/>
    <w:rsid w:val="00D50729"/>
    <w:rsid w:val="00D50739"/>
    <w:rsid w:val="00D50759"/>
    <w:rsid w:val="00D507D0"/>
    <w:rsid w:val="00D5097B"/>
    <w:rsid w:val="00D50A03"/>
    <w:rsid w:val="00D50AA7"/>
    <w:rsid w:val="00D50B38"/>
    <w:rsid w:val="00D50BBD"/>
    <w:rsid w:val="00D50BE1"/>
    <w:rsid w:val="00D50C23"/>
    <w:rsid w:val="00D50EA8"/>
    <w:rsid w:val="00D510AB"/>
    <w:rsid w:val="00D51165"/>
    <w:rsid w:val="00D5117A"/>
    <w:rsid w:val="00D512DF"/>
    <w:rsid w:val="00D5130E"/>
    <w:rsid w:val="00D513BF"/>
    <w:rsid w:val="00D51464"/>
    <w:rsid w:val="00D51469"/>
    <w:rsid w:val="00D51507"/>
    <w:rsid w:val="00D516A1"/>
    <w:rsid w:val="00D516CB"/>
    <w:rsid w:val="00D51741"/>
    <w:rsid w:val="00D517A4"/>
    <w:rsid w:val="00D51821"/>
    <w:rsid w:val="00D5193A"/>
    <w:rsid w:val="00D51981"/>
    <w:rsid w:val="00D51A18"/>
    <w:rsid w:val="00D51B16"/>
    <w:rsid w:val="00D51B24"/>
    <w:rsid w:val="00D51BE6"/>
    <w:rsid w:val="00D51BFC"/>
    <w:rsid w:val="00D51C0C"/>
    <w:rsid w:val="00D51D85"/>
    <w:rsid w:val="00D51F1B"/>
    <w:rsid w:val="00D51F36"/>
    <w:rsid w:val="00D520B1"/>
    <w:rsid w:val="00D5211E"/>
    <w:rsid w:val="00D52232"/>
    <w:rsid w:val="00D52299"/>
    <w:rsid w:val="00D5231A"/>
    <w:rsid w:val="00D52426"/>
    <w:rsid w:val="00D524CC"/>
    <w:rsid w:val="00D524D6"/>
    <w:rsid w:val="00D52596"/>
    <w:rsid w:val="00D5264E"/>
    <w:rsid w:val="00D52653"/>
    <w:rsid w:val="00D526C7"/>
    <w:rsid w:val="00D5282F"/>
    <w:rsid w:val="00D528B8"/>
    <w:rsid w:val="00D5292F"/>
    <w:rsid w:val="00D529E6"/>
    <w:rsid w:val="00D52B26"/>
    <w:rsid w:val="00D52B48"/>
    <w:rsid w:val="00D52B50"/>
    <w:rsid w:val="00D52B53"/>
    <w:rsid w:val="00D52B80"/>
    <w:rsid w:val="00D52C41"/>
    <w:rsid w:val="00D5302E"/>
    <w:rsid w:val="00D5326B"/>
    <w:rsid w:val="00D532C9"/>
    <w:rsid w:val="00D532EB"/>
    <w:rsid w:val="00D53358"/>
    <w:rsid w:val="00D5339F"/>
    <w:rsid w:val="00D534AB"/>
    <w:rsid w:val="00D534DA"/>
    <w:rsid w:val="00D53511"/>
    <w:rsid w:val="00D5351D"/>
    <w:rsid w:val="00D535CD"/>
    <w:rsid w:val="00D535DB"/>
    <w:rsid w:val="00D53677"/>
    <w:rsid w:val="00D5372A"/>
    <w:rsid w:val="00D53751"/>
    <w:rsid w:val="00D53762"/>
    <w:rsid w:val="00D539C7"/>
    <w:rsid w:val="00D539E6"/>
    <w:rsid w:val="00D53A4E"/>
    <w:rsid w:val="00D53C8E"/>
    <w:rsid w:val="00D53CC4"/>
    <w:rsid w:val="00D53DD2"/>
    <w:rsid w:val="00D53E2C"/>
    <w:rsid w:val="00D53EA1"/>
    <w:rsid w:val="00D5405C"/>
    <w:rsid w:val="00D541D4"/>
    <w:rsid w:val="00D541FD"/>
    <w:rsid w:val="00D5422D"/>
    <w:rsid w:val="00D542CD"/>
    <w:rsid w:val="00D54382"/>
    <w:rsid w:val="00D543ED"/>
    <w:rsid w:val="00D543F6"/>
    <w:rsid w:val="00D544E7"/>
    <w:rsid w:val="00D5450B"/>
    <w:rsid w:val="00D54595"/>
    <w:rsid w:val="00D545F3"/>
    <w:rsid w:val="00D5461B"/>
    <w:rsid w:val="00D54699"/>
    <w:rsid w:val="00D54849"/>
    <w:rsid w:val="00D548D0"/>
    <w:rsid w:val="00D548E6"/>
    <w:rsid w:val="00D54932"/>
    <w:rsid w:val="00D54992"/>
    <w:rsid w:val="00D549BD"/>
    <w:rsid w:val="00D54B05"/>
    <w:rsid w:val="00D54BA9"/>
    <w:rsid w:val="00D54C46"/>
    <w:rsid w:val="00D54CC9"/>
    <w:rsid w:val="00D54D2A"/>
    <w:rsid w:val="00D54E5A"/>
    <w:rsid w:val="00D54EB7"/>
    <w:rsid w:val="00D54EC1"/>
    <w:rsid w:val="00D54EC2"/>
    <w:rsid w:val="00D54F24"/>
    <w:rsid w:val="00D54F57"/>
    <w:rsid w:val="00D54F7F"/>
    <w:rsid w:val="00D54FE9"/>
    <w:rsid w:val="00D54FEB"/>
    <w:rsid w:val="00D5515C"/>
    <w:rsid w:val="00D552E6"/>
    <w:rsid w:val="00D55314"/>
    <w:rsid w:val="00D55652"/>
    <w:rsid w:val="00D55744"/>
    <w:rsid w:val="00D557FA"/>
    <w:rsid w:val="00D558B6"/>
    <w:rsid w:val="00D558FD"/>
    <w:rsid w:val="00D5595C"/>
    <w:rsid w:val="00D55AF9"/>
    <w:rsid w:val="00D55BD3"/>
    <w:rsid w:val="00D55C63"/>
    <w:rsid w:val="00D55E41"/>
    <w:rsid w:val="00D56005"/>
    <w:rsid w:val="00D561CB"/>
    <w:rsid w:val="00D562C5"/>
    <w:rsid w:val="00D562DC"/>
    <w:rsid w:val="00D56541"/>
    <w:rsid w:val="00D56560"/>
    <w:rsid w:val="00D5662A"/>
    <w:rsid w:val="00D56665"/>
    <w:rsid w:val="00D5668C"/>
    <w:rsid w:val="00D567DA"/>
    <w:rsid w:val="00D56914"/>
    <w:rsid w:val="00D56950"/>
    <w:rsid w:val="00D569DA"/>
    <w:rsid w:val="00D56ABA"/>
    <w:rsid w:val="00D56B02"/>
    <w:rsid w:val="00D56C76"/>
    <w:rsid w:val="00D56D48"/>
    <w:rsid w:val="00D56DD3"/>
    <w:rsid w:val="00D56F48"/>
    <w:rsid w:val="00D56FAD"/>
    <w:rsid w:val="00D57070"/>
    <w:rsid w:val="00D5708F"/>
    <w:rsid w:val="00D570E3"/>
    <w:rsid w:val="00D57137"/>
    <w:rsid w:val="00D571E5"/>
    <w:rsid w:val="00D572B2"/>
    <w:rsid w:val="00D57303"/>
    <w:rsid w:val="00D57322"/>
    <w:rsid w:val="00D5733B"/>
    <w:rsid w:val="00D573DE"/>
    <w:rsid w:val="00D573FA"/>
    <w:rsid w:val="00D57494"/>
    <w:rsid w:val="00D57693"/>
    <w:rsid w:val="00D577EC"/>
    <w:rsid w:val="00D57845"/>
    <w:rsid w:val="00D57856"/>
    <w:rsid w:val="00D578B0"/>
    <w:rsid w:val="00D57A89"/>
    <w:rsid w:val="00D57A90"/>
    <w:rsid w:val="00D57AF8"/>
    <w:rsid w:val="00D57B5F"/>
    <w:rsid w:val="00D57B86"/>
    <w:rsid w:val="00D57C77"/>
    <w:rsid w:val="00D57D16"/>
    <w:rsid w:val="00D57D9C"/>
    <w:rsid w:val="00D57DFF"/>
    <w:rsid w:val="00D57E2E"/>
    <w:rsid w:val="00D57F0E"/>
    <w:rsid w:val="00D57F10"/>
    <w:rsid w:val="00D57F18"/>
    <w:rsid w:val="00D57FF9"/>
    <w:rsid w:val="00D60021"/>
    <w:rsid w:val="00D6006C"/>
    <w:rsid w:val="00D600E6"/>
    <w:rsid w:val="00D6015C"/>
    <w:rsid w:val="00D6017D"/>
    <w:rsid w:val="00D60183"/>
    <w:rsid w:val="00D6019C"/>
    <w:rsid w:val="00D602C6"/>
    <w:rsid w:val="00D603CE"/>
    <w:rsid w:val="00D60420"/>
    <w:rsid w:val="00D604E1"/>
    <w:rsid w:val="00D60561"/>
    <w:rsid w:val="00D605EA"/>
    <w:rsid w:val="00D60658"/>
    <w:rsid w:val="00D6072C"/>
    <w:rsid w:val="00D60751"/>
    <w:rsid w:val="00D60799"/>
    <w:rsid w:val="00D607B3"/>
    <w:rsid w:val="00D609A3"/>
    <w:rsid w:val="00D609C6"/>
    <w:rsid w:val="00D60CC8"/>
    <w:rsid w:val="00D60D5D"/>
    <w:rsid w:val="00D60D61"/>
    <w:rsid w:val="00D60DB4"/>
    <w:rsid w:val="00D60DEC"/>
    <w:rsid w:val="00D6101F"/>
    <w:rsid w:val="00D6105C"/>
    <w:rsid w:val="00D610E3"/>
    <w:rsid w:val="00D61165"/>
    <w:rsid w:val="00D6118F"/>
    <w:rsid w:val="00D612CD"/>
    <w:rsid w:val="00D6140E"/>
    <w:rsid w:val="00D6144D"/>
    <w:rsid w:val="00D614A9"/>
    <w:rsid w:val="00D614E6"/>
    <w:rsid w:val="00D615DE"/>
    <w:rsid w:val="00D615F8"/>
    <w:rsid w:val="00D61678"/>
    <w:rsid w:val="00D6173C"/>
    <w:rsid w:val="00D61740"/>
    <w:rsid w:val="00D61835"/>
    <w:rsid w:val="00D619C0"/>
    <w:rsid w:val="00D61A5A"/>
    <w:rsid w:val="00D61B20"/>
    <w:rsid w:val="00D61C41"/>
    <w:rsid w:val="00D61C99"/>
    <w:rsid w:val="00D61D0C"/>
    <w:rsid w:val="00D61D19"/>
    <w:rsid w:val="00D61D9D"/>
    <w:rsid w:val="00D61DF0"/>
    <w:rsid w:val="00D61ECD"/>
    <w:rsid w:val="00D61FBD"/>
    <w:rsid w:val="00D62213"/>
    <w:rsid w:val="00D62284"/>
    <w:rsid w:val="00D624A4"/>
    <w:rsid w:val="00D624C9"/>
    <w:rsid w:val="00D625F3"/>
    <w:rsid w:val="00D626B4"/>
    <w:rsid w:val="00D6277D"/>
    <w:rsid w:val="00D627CC"/>
    <w:rsid w:val="00D6283E"/>
    <w:rsid w:val="00D628F3"/>
    <w:rsid w:val="00D6292B"/>
    <w:rsid w:val="00D629B1"/>
    <w:rsid w:val="00D62B99"/>
    <w:rsid w:val="00D62D18"/>
    <w:rsid w:val="00D62EC6"/>
    <w:rsid w:val="00D6329F"/>
    <w:rsid w:val="00D633BF"/>
    <w:rsid w:val="00D6346D"/>
    <w:rsid w:val="00D634DE"/>
    <w:rsid w:val="00D636E6"/>
    <w:rsid w:val="00D637B3"/>
    <w:rsid w:val="00D6391D"/>
    <w:rsid w:val="00D639CC"/>
    <w:rsid w:val="00D63A35"/>
    <w:rsid w:val="00D63A65"/>
    <w:rsid w:val="00D63B0F"/>
    <w:rsid w:val="00D63C1E"/>
    <w:rsid w:val="00D63CA1"/>
    <w:rsid w:val="00D63CF2"/>
    <w:rsid w:val="00D63E06"/>
    <w:rsid w:val="00D63E85"/>
    <w:rsid w:val="00D6404B"/>
    <w:rsid w:val="00D6407A"/>
    <w:rsid w:val="00D641D3"/>
    <w:rsid w:val="00D6425B"/>
    <w:rsid w:val="00D6432C"/>
    <w:rsid w:val="00D6434F"/>
    <w:rsid w:val="00D6442C"/>
    <w:rsid w:val="00D64492"/>
    <w:rsid w:val="00D6456A"/>
    <w:rsid w:val="00D645B6"/>
    <w:rsid w:val="00D64767"/>
    <w:rsid w:val="00D64775"/>
    <w:rsid w:val="00D64776"/>
    <w:rsid w:val="00D64792"/>
    <w:rsid w:val="00D647D1"/>
    <w:rsid w:val="00D647FF"/>
    <w:rsid w:val="00D6480E"/>
    <w:rsid w:val="00D6486E"/>
    <w:rsid w:val="00D648C7"/>
    <w:rsid w:val="00D6499C"/>
    <w:rsid w:val="00D64ADF"/>
    <w:rsid w:val="00D64AF7"/>
    <w:rsid w:val="00D64B0C"/>
    <w:rsid w:val="00D64BBC"/>
    <w:rsid w:val="00D64C23"/>
    <w:rsid w:val="00D64C4B"/>
    <w:rsid w:val="00D64C66"/>
    <w:rsid w:val="00D64C80"/>
    <w:rsid w:val="00D64E3B"/>
    <w:rsid w:val="00D65022"/>
    <w:rsid w:val="00D65033"/>
    <w:rsid w:val="00D6508C"/>
    <w:rsid w:val="00D650EA"/>
    <w:rsid w:val="00D6513F"/>
    <w:rsid w:val="00D65223"/>
    <w:rsid w:val="00D65305"/>
    <w:rsid w:val="00D65410"/>
    <w:rsid w:val="00D65433"/>
    <w:rsid w:val="00D65505"/>
    <w:rsid w:val="00D6571A"/>
    <w:rsid w:val="00D65746"/>
    <w:rsid w:val="00D6587F"/>
    <w:rsid w:val="00D65899"/>
    <w:rsid w:val="00D658EF"/>
    <w:rsid w:val="00D65A6B"/>
    <w:rsid w:val="00D65AFE"/>
    <w:rsid w:val="00D65D06"/>
    <w:rsid w:val="00D65DD5"/>
    <w:rsid w:val="00D65E27"/>
    <w:rsid w:val="00D6600A"/>
    <w:rsid w:val="00D6602A"/>
    <w:rsid w:val="00D6616B"/>
    <w:rsid w:val="00D66385"/>
    <w:rsid w:val="00D664A4"/>
    <w:rsid w:val="00D664D8"/>
    <w:rsid w:val="00D66600"/>
    <w:rsid w:val="00D66615"/>
    <w:rsid w:val="00D6672F"/>
    <w:rsid w:val="00D66783"/>
    <w:rsid w:val="00D667C9"/>
    <w:rsid w:val="00D6687A"/>
    <w:rsid w:val="00D66903"/>
    <w:rsid w:val="00D669EF"/>
    <w:rsid w:val="00D6709F"/>
    <w:rsid w:val="00D67133"/>
    <w:rsid w:val="00D671E3"/>
    <w:rsid w:val="00D67432"/>
    <w:rsid w:val="00D6757C"/>
    <w:rsid w:val="00D675EA"/>
    <w:rsid w:val="00D675ED"/>
    <w:rsid w:val="00D677EE"/>
    <w:rsid w:val="00D67804"/>
    <w:rsid w:val="00D678DA"/>
    <w:rsid w:val="00D67973"/>
    <w:rsid w:val="00D679BA"/>
    <w:rsid w:val="00D67A25"/>
    <w:rsid w:val="00D67A33"/>
    <w:rsid w:val="00D67A50"/>
    <w:rsid w:val="00D67AA5"/>
    <w:rsid w:val="00D67BC7"/>
    <w:rsid w:val="00D67BFD"/>
    <w:rsid w:val="00D67C76"/>
    <w:rsid w:val="00D67CBF"/>
    <w:rsid w:val="00D67DCA"/>
    <w:rsid w:val="00D67DEB"/>
    <w:rsid w:val="00D70033"/>
    <w:rsid w:val="00D7011B"/>
    <w:rsid w:val="00D7016A"/>
    <w:rsid w:val="00D70305"/>
    <w:rsid w:val="00D70338"/>
    <w:rsid w:val="00D7036C"/>
    <w:rsid w:val="00D703AD"/>
    <w:rsid w:val="00D70499"/>
    <w:rsid w:val="00D705AD"/>
    <w:rsid w:val="00D7067F"/>
    <w:rsid w:val="00D706E6"/>
    <w:rsid w:val="00D70856"/>
    <w:rsid w:val="00D70880"/>
    <w:rsid w:val="00D7089E"/>
    <w:rsid w:val="00D7099C"/>
    <w:rsid w:val="00D70AA0"/>
    <w:rsid w:val="00D70D30"/>
    <w:rsid w:val="00D70D6D"/>
    <w:rsid w:val="00D70EB7"/>
    <w:rsid w:val="00D70FED"/>
    <w:rsid w:val="00D7116A"/>
    <w:rsid w:val="00D71177"/>
    <w:rsid w:val="00D71478"/>
    <w:rsid w:val="00D7149F"/>
    <w:rsid w:val="00D715E0"/>
    <w:rsid w:val="00D71625"/>
    <w:rsid w:val="00D716FD"/>
    <w:rsid w:val="00D71869"/>
    <w:rsid w:val="00D71966"/>
    <w:rsid w:val="00D71A3D"/>
    <w:rsid w:val="00D71A85"/>
    <w:rsid w:val="00D71B34"/>
    <w:rsid w:val="00D71B82"/>
    <w:rsid w:val="00D71BA5"/>
    <w:rsid w:val="00D71BAB"/>
    <w:rsid w:val="00D71BAF"/>
    <w:rsid w:val="00D71C1C"/>
    <w:rsid w:val="00D71C50"/>
    <w:rsid w:val="00D71C6A"/>
    <w:rsid w:val="00D71CEC"/>
    <w:rsid w:val="00D71D11"/>
    <w:rsid w:val="00D71D40"/>
    <w:rsid w:val="00D71DD6"/>
    <w:rsid w:val="00D71EA8"/>
    <w:rsid w:val="00D71EB5"/>
    <w:rsid w:val="00D71F10"/>
    <w:rsid w:val="00D720CB"/>
    <w:rsid w:val="00D722EE"/>
    <w:rsid w:val="00D72301"/>
    <w:rsid w:val="00D7234F"/>
    <w:rsid w:val="00D72480"/>
    <w:rsid w:val="00D72520"/>
    <w:rsid w:val="00D72578"/>
    <w:rsid w:val="00D72643"/>
    <w:rsid w:val="00D726B8"/>
    <w:rsid w:val="00D7287F"/>
    <w:rsid w:val="00D728E7"/>
    <w:rsid w:val="00D7299B"/>
    <w:rsid w:val="00D729AB"/>
    <w:rsid w:val="00D72C08"/>
    <w:rsid w:val="00D72C75"/>
    <w:rsid w:val="00D72D91"/>
    <w:rsid w:val="00D72E1B"/>
    <w:rsid w:val="00D72EB4"/>
    <w:rsid w:val="00D72EE5"/>
    <w:rsid w:val="00D73049"/>
    <w:rsid w:val="00D73075"/>
    <w:rsid w:val="00D73086"/>
    <w:rsid w:val="00D73149"/>
    <w:rsid w:val="00D7328F"/>
    <w:rsid w:val="00D73325"/>
    <w:rsid w:val="00D7339B"/>
    <w:rsid w:val="00D733B6"/>
    <w:rsid w:val="00D734C2"/>
    <w:rsid w:val="00D734DE"/>
    <w:rsid w:val="00D735FF"/>
    <w:rsid w:val="00D737A3"/>
    <w:rsid w:val="00D737BC"/>
    <w:rsid w:val="00D737BE"/>
    <w:rsid w:val="00D737E6"/>
    <w:rsid w:val="00D738D3"/>
    <w:rsid w:val="00D739F1"/>
    <w:rsid w:val="00D73B53"/>
    <w:rsid w:val="00D73B6B"/>
    <w:rsid w:val="00D73B74"/>
    <w:rsid w:val="00D73BD8"/>
    <w:rsid w:val="00D73BF9"/>
    <w:rsid w:val="00D73CB6"/>
    <w:rsid w:val="00D73CE6"/>
    <w:rsid w:val="00D73D0B"/>
    <w:rsid w:val="00D73D0D"/>
    <w:rsid w:val="00D73F99"/>
    <w:rsid w:val="00D73FC1"/>
    <w:rsid w:val="00D74251"/>
    <w:rsid w:val="00D7433B"/>
    <w:rsid w:val="00D74358"/>
    <w:rsid w:val="00D7447D"/>
    <w:rsid w:val="00D74481"/>
    <w:rsid w:val="00D7457C"/>
    <w:rsid w:val="00D745A5"/>
    <w:rsid w:val="00D74783"/>
    <w:rsid w:val="00D74879"/>
    <w:rsid w:val="00D74926"/>
    <w:rsid w:val="00D74AA1"/>
    <w:rsid w:val="00D74AE0"/>
    <w:rsid w:val="00D74B44"/>
    <w:rsid w:val="00D74BB7"/>
    <w:rsid w:val="00D74CF9"/>
    <w:rsid w:val="00D74E18"/>
    <w:rsid w:val="00D74E1B"/>
    <w:rsid w:val="00D74E7F"/>
    <w:rsid w:val="00D74EAE"/>
    <w:rsid w:val="00D74F24"/>
    <w:rsid w:val="00D75051"/>
    <w:rsid w:val="00D7509E"/>
    <w:rsid w:val="00D750B9"/>
    <w:rsid w:val="00D750DB"/>
    <w:rsid w:val="00D75107"/>
    <w:rsid w:val="00D75127"/>
    <w:rsid w:val="00D751B0"/>
    <w:rsid w:val="00D75424"/>
    <w:rsid w:val="00D7542A"/>
    <w:rsid w:val="00D7544B"/>
    <w:rsid w:val="00D7568A"/>
    <w:rsid w:val="00D7595F"/>
    <w:rsid w:val="00D7598C"/>
    <w:rsid w:val="00D75B18"/>
    <w:rsid w:val="00D75B4A"/>
    <w:rsid w:val="00D75C19"/>
    <w:rsid w:val="00D75D20"/>
    <w:rsid w:val="00D75D23"/>
    <w:rsid w:val="00D75D24"/>
    <w:rsid w:val="00D75F01"/>
    <w:rsid w:val="00D76008"/>
    <w:rsid w:val="00D76154"/>
    <w:rsid w:val="00D7625E"/>
    <w:rsid w:val="00D764D4"/>
    <w:rsid w:val="00D7653E"/>
    <w:rsid w:val="00D766EF"/>
    <w:rsid w:val="00D767BE"/>
    <w:rsid w:val="00D76A28"/>
    <w:rsid w:val="00D76B06"/>
    <w:rsid w:val="00D76B1E"/>
    <w:rsid w:val="00D76C3A"/>
    <w:rsid w:val="00D76C6F"/>
    <w:rsid w:val="00D76CF6"/>
    <w:rsid w:val="00D76D32"/>
    <w:rsid w:val="00D76D73"/>
    <w:rsid w:val="00D76DC8"/>
    <w:rsid w:val="00D76E65"/>
    <w:rsid w:val="00D76EC0"/>
    <w:rsid w:val="00D76EE0"/>
    <w:rsid w:val="00D770D4"/>
    <w:rsid w:val="00D772D3"/>
    <w:rsid w:val="00D773B0"/>
    <w:rsid w:val="00D775B0"/>
    <w:rsid w:val="00D776A3"/>
    <w:rsid w:val="00D77795"/>
    <w:rsid w:val="00D7779D"/>
    <w:rsid w:val="00D777AA"/>
    <w:rsid w:val="00D77821"/>
    <w:rsid w:val="00D77A20"/>
    <w:rsid w:val="00D77A3D"/>
    <w:rsid w:val="00D77A8C"/>
    <w:rsid w:val="00D77BA9"/>
    <w:rsid w:val="00D77E5F"/>
    <w:rsid w:val="00D77E9F"/>
    <w:rsid w:val="00D77ED8"/>
    <w:rsid w:val="00D77F1F"/>
    <w:rsid w:val="00D77F49"/>
    <w:rsid w:val="00D77F98"/>
    <w:rsid w:val="00D80065"/>
    <w:rsid w:val="00D800BF"/>
    <w:rsid w:val="00D8014B"/>
    <w:rsid w:val="00D80169"/>
    <w:rsid w:val="00D801D1"/>
    <w:rsid w:val="00D802EA"/>
    <w:rsid w:val="00D80317"/>
    <w:rsid w:val="00D803BE"/>
    <w:rsid w:val="00D803F8"/>
    <w:rsid w:val="00D803F9"/>
    <w:rsid w:val="00D8059F"/>
    <w:rsid w:val="00D805B3"/>
    <w:rsid w:val="00D806E3"/>
    <w:rsid w:val="00D8078D"/>
    <w:rsid w:val="00D807A4"/>
    <w:rsid w:val="00D8082D"/>
    <w:rsid w:val="00D808C4"/>
    <w:rsid w:val="00D80A25"/>
    <w:rsid w:val="00D80A43"/>
    <w:rsid w:val="00D80ABC"/>
    <w:rsid w:val="00D80B16"/>
    <w:rsid w:val="00D80DBC"/>
    <w:rsid w:val="00D80E5B"/>
    <w:rsid w:val="00D80F5D"/>
    <w:rsid w:val="00D80F9A"/>
    <w:rsid w:val="00D81017"/>
    <w:rsid w:val="00D81022"/>
    <w:rsid w:val="00D812BD"/>
    <w:rsid w:val="00D81618"/>
    <w:rsid w:val="00D81672"/>
    <w:rsid w:val="00D81689"/>
    <w:rsid w:val="00D816E5"/>
    <w:rsid w:val="00D817DD"/>
    <w:rsid w:val="00D8185D"/>
    <w:rsid w:val="00D81A79"/>
    <w:rsid w:val="00D81B3B"/>
    <w:rsid w:val="00D81B43"/>
    <w:rsid w:val="00D81CB4"/>
    <w:rsid w:val="00D81EF0"/>
    <w:rsid w:val="00D81F8D"/>
    <w:rsid w:val="00D82006"/>
    <w:rsid w:val="00D8203F"/>
    <w:rsid w:val="00D822F0"/>
    <w:rsid w:val="00D824AC"/>
    <w:rsid w:val="00D824F5"/>
    <w:rsid w:val="00D82540"/>
    <w:rsid w:val="00D82554"/>
    <w:rsid w:val="00D82933"/>
    <w:rsid w:val="00D8293E"/>
    <w:rsid w:val="00D8297B"/>
    <w:rsid w:val="00D829A4"/>
    <w:rsid w:val="00D82A07"/>
    <w:rsid w:val="00D82A4C"/>
    <w:rsid w:val="00D82B40"/>
    <w:rsid w:val="00D82B8A"/>
    <w:rsid w:val="00D82BB1"/>
    <w:rsid w:val="00D82BC6"/>
    <w:rsid w:val="00D82E57"/>
    <w:rsid w:val="00D82EB7"/>
    <w:rsid w:val="00D82F2F"/>
    <w:rsid w:val="00D82F4F"/>
    <w:rsid w:val="00D82F82"/>
    <w:rsid w:val="00D8307A"/>
    <w:rsid w:val="00D830A2"/>
    <w:rsid w:val="00D830F6"/>
    <w:rsid w:val="00D83343"/>
    <w:rsid w:val="00D83385"/>
    <w:rsid w:val="00D8338B"/>
    <w:rsid w:val="00D83396"/>
    <w:rsid w:val="00D833FB"/>
    <w:rsid w:val="00D83496"/>
    <w:rsid w:val="00D834F3"/>
    <w:rsid w:val="00D8358A"/>
    <w:rsid w:val="00D835CD"/>
    <w:rsid w:val="00D835F4"/>
    <w:rsid w:val="00D83648"/>
    <w:rsid w:val="00D8366C"/>
    <w:rsid w:val="00D83675"/>
    <w:rsid w:val="00D83769"/>
    <w:rsid w:val="00D8384E"/>
    <w:rsid w:val="00D83894"/>
    <w:rsid w:val="00D83925"/>
    <w:rsid w:val="00D8395C"/>
    <w:rsid w:val="00D83A48"/>
    <w:rsid w:val="00D83AA8"/>
    <w:rsid w:val="00D83AAA"/>
    <w:rsid w:val="00D83C00"/>
    <w:rsid w:val="00D84131"/>
    <w:rsid w:val="00D84175"/>
    <w:rsid w:val="00D8421F"/>
    <w:rsid w:val="00D84272"/>
    <w:rsid w:val="00D842F0"/>
    <w:rsid w:val="00D8435B"/>
    <w:rsid w:val="00D8440F"/>
    <w:rsid w:val="00D84438"/>
    <w:rsid w:val="00D8465E"/>
    <w:rsid w:val="00D846F8"/>
    <w:rsid w:val="00D84797"/>
    <w:rsid w:val="00D848C6"/>
    <w:rsid w:val="00D84E0B"/>
    <w:rsid w:val="00D84EE0"/>
    <w:rsid w:val="00D84F03"/>
    <w:rsid w:val="00D84F21"/>
    <w:rsid w:val="00D84F66"/>
    <w:rsid w:val="00D8503F"/>
    <w:rsid w:val="00D850C5"/>
    <w:rsid w:val="00D85118"/>
    <w:rsid w:val="00D85196"/>
    <w:rsid w:val="00D851E0"/>
    <w:rsid w:val="00D8524F"/>
    <w:rsid w:val="00D85276"/>
    <w:rsid w:val="00D852EF"/>
    <w:rsid w:val="00D8531D"/>
    <w:rsid w:val="00D8539C"/>
    <w:rsid w:val="00D853F7"/>
    <w:rsid w:val="00D8549C"/>
    <w:rsid w:val="00D85709"/>
    <w:rsid w:val="00D8577A"/>
    <w:rsid w:val="00D8578E"/>
    <w:rsid w:val="00D85886"/>
    <w:rsid w:val="00D858D7"/>
    <w:rsid w:val="00D8594A"/>
    <w:rsid w:val="00D8595E"/>
    <w:rsid w:val="00D85A35"/>
    <w:rsid w:val="00D85A51"/>
    <w:rsid w:val="00D85B67"/>
    <w:rsid w:val="00D85C65"/>
    <w:rsid w:val="00D85CEC"/>
    <w:rsid w:val="00D85D22"/>
    <w:rsid w:val="00D85E29"/>
    <w:rsid w:val="00D85FA5"/>
    <w:rsid w:val="00D85FCD"/>
    <w:rsid w:val="00D860FA"/>
    <w:rsid w:val="00D8615A"/>
    <w:rsid w:val="00D86549"/>
    <w:rsid w:val="00D8661A"/>
    <w:rsid w:val="00D866C9"/>
    <w:rsid w:val="00D86734"/>
    <w:rsid w:val="00D86741"/>
    <w:rsid w:val="00D8675C"/>
    <w:rsid w:val="00D867A7"/>
    <w:rsid w:val="00D868BE"/>
    <w:rsid w:val="00D868D2"/>
    <w:rsid w:val="00D869D6"/>
    <w:rsid w:val="00D86AC1"/>
    <w:rsid w:val="00D86BC3"/>
    <w:rsid w:val="00D86C54"/>
    <w:rsid w:val="00D86CD3"/>
    <w:rsid w:val="00D86D90"/>
    <w:rsid w:val="00D86D9F"/>
    <w:rsid w:val="00D86E44"/>
    <w:rsid w:val="00D87108"/>
    <w:rsid w:val="00D87157"/>
    <w:rsid w:val="00D871CE"/>
    <w:rsid w:val="00D87312"/>
    <w:rsid w:val="00D87384"/>
    <w:rsid w:val="00D8738C"/>
    <w:rsid w:val="00D873DB"/>
    <w:rsid w:val="00D87440"/>
    <w:rsid w:val="00D876C7"/>
    <w:rsid w:val="00D8779B"/>
    <w:rsid w:val="00D8785C"/>
    <w:rsid w:val="00D879CB"/>
    <w:rsid w:val="00D87A0F"/>
    <w:rsid w:val="00D87A72"/>
    <w:rsid w:val="00D87B15"/>
    <w:rsid w:val="00D87C63"/>
    <w:rsid w:val="00D87CD6"/>
    <w:rsid w:val="00D87D86"/>
    <w:rsid w:val="00D9004F"/>
    <w:rsid w:val="00D900A5"/>
    <w:rsid w:val="00D90103"/>
    <w:rsid w:val="00D90182"/>
    <w:rsid w:val="00D90184"/>
    <w:rsid w:val="00D90247"/>
    <w:rsid w:val="00D902A6"/>
    <w:rsid w:val="00D90325"/>
    <w:rsid w:val="00D90398"/>
    <w:rsid w:val="00D903F0"/>
    <w:rsid w:val="00D90406"/>
    <w:rsid w:val="00D904C7"/>
    <w:rsid w:val="00D904DC"/>
    <w:rsid w:val="00D904E7"/>
    <w:rsid w:val="00D90531"/>
    <w:rsid w:val="00D90632"/>
    <w:rsid w:val="00D90685"/>
    <w:rsid w:val="00D906CA"/>
    <w:rsid w:val="00D906D4"/>
    <w:rsid w:val="00D908E7"/>
    <w:rsid w:val="00D909F0"/>
    <w:rsid w:val="00D90A10"/>
    <w:rsid w:val="00D90A51"/>
    <w:rsid w:val="00D90CD2"/>
    <w:rsid w:val="00D90D2D"/>
    <w:rsid w:val="00D90D55"/>
    <w:rsid w:val="00D90E30"/>
    <w:rsid w:val="00D90EC9"/>
    <w:rsid w:val="00D90ED8"/>
    <w:rsid w:val="00D90F50"/>
    <w:rsid w:val="00D90FA9"/>
    <w:rsid w:val="00D91061"/>
    <w:rsid w:val="00D910AC"/>
    <w:rsid w:val="00D910F1"/>
    <w:rsid w:val="00D91181"/>
    <w:rsid w:val="00D91205"/>
    <w:rsid w:val="00D91283"/>
    <w:rsid w:val="00D91352"/>
    <w:rsid w:val="00D91397"/>
    <w:rsid w:val="00D913A5"/>
    <w:rsid w:val="00D913BE"/>
    <w:rsid w:val="00D913D5"/>
    <w:rsid w:val="00D91462"/>
    <w:rsid w:val="00D91504"/>
    <w:rsid w:val="00D9154D"/>
    <w:rsid w:val="00D915C9"/>
    <w:rsid w:val="00D91622"/>
    <w:rsid w:val="00D9162E"/>
    <w:rsid w:val="00D9169A"/>
    <w:rsid w:val="00D916ED"/>
    <w:rsid w:val="00D91793"/>
    <w:rsid w:val="00D9184B"/>
    <w:rsid w:val="00D918D3"/>
    <w:rsid w:val="00D9195C"/>
    <w:rsid w:val="00D91AF9"/>
    <w:rsid w:val="00D91BB3"/>
    <w:rsid w:val="00D91C2E"/>
    <w:rsid w:val="00D91C94"/>
    <w:rsid w:val="00D91D2E"/>
    <w:rsid w:val="00D91DB4"/>
    <w:rsid w:val="00D91E59"/>
    <w:rsid w:val="00D91EE3"/>
    <w:rsid w:val="00D91EF0"/>
    <w:rsid w:val="00D91F40"/>
    <w:rsid w:val="00D922D8"/>
    <w:rsid w:val="00D922F0"/>
    <w:rsid w:val="00D923DC"/>
    <w:rsid w:val="00D92487"/>
    <w:rsid w:val="00D925EA"/>
    <w:rsid w:val="00D92635"/>
    <w:rsid w:val="00D92646"/>
    <w:rsid w:val="00D9268A"/>
    <w:rsid w:val="00D9276C"/>
    <w:rsid w:val="00D92907"/>
    <w:rsid w:val="00D9290F"/>
    <w:rsid w:val="00D929A7"/>
    <w:rsid w:val="00D929D2"/>
    <w:rsid w:val="00D92AA8"/>
    <w:rsid w:val="00D92B0A"/>
    <w:rsid w:val="00D92B31"/>
    <w:rsid w:val="00D92C51"/>
    <w:rsid w:val="00D92CDB"/>
    <w:rsid w:val="00D92D4E"/>
    <w:rsid w:val="00D92DCF"/>
    <w:rsid w:val="00D92F10"/>
    <w:rsid w:val="00D92F4B"/>
    <w:rsid w:val="00D93143"/>
    <w:rsid w:val="00D931FF"/>
    <w:rsid w:val="00D93271"/>
    <w:rsid w:val="00D932CC"/>
    <w:rsid w:val="00D93366"/>
    <w:rsid w:val="00D93452"/>
    <w:rsid w:val="00D934A7"/>
    <w:rsid w:val="00D93502"/>
    <w:rsid w:val="00D93513"/>
    <w:rsid w:val="00D937A9"/>
    <w:rsid w:val="00D937DC"/>
    <w:rsid w:val="00D93865"/>
    <w:rsid w:val="00D9389D"/>
    <w:rsid w:val="00D93950"/>
    <w:rsid w:val="00D93985"/>
    <w:rsid w:val="00D939B4"/>
    <w:rsid w:val="00D93A23"/>
    <w:rsid w:val="00D93B58"/>
    <w:rsid w:val="00D93B80"/>
    <w:rsid w:val="00D93BA8"/>
    <w:rsid w:val="00D93C05"/>
    <w:rsid w:val="00D93C5E"/>
    <w:rsid w:val="00D93CE3"/>
    <w:rsid w:val="00D93D11"/>
    <w:rsid w:val="00D93D89"/>
    <w:rsid w:val="00D93E27"/>
    <w:rsid w:val="00D94050"/>
    <w:rsid w:val="00D94370"/>
    <w:rsid w:val="00D94464"/>
    <w:rsid w:val="00D94493"/>
    <w:rsid w:val="00D9452D"/>
    <w:rsid w:val="00D94680"/>
    <w:rsid w:val="00D946AE"/>
    <w:rsid w:val="00D946CC"/>
    <w:rsid w:val="00D946D3"/>
    <w:rsid w:val="00D9471D"/>
    <w:rsid w:val="00D94B47"/>
    <w:rsid w:val="00D94B51"/>
    <w:rsid w:val="00D94B79"/>
    <w:rsid w:val="00D94BD9"/>
    <w:rsid w:val="00D94BEA"/>
    <w:rsid w:val="00D94CC0"/>
    <w:rsid w:val="00D94D97"/>
    <w:rsid w:val="00D95000"/>
    <w:rsid w:val="00D9512A"/>
    <w:rsid w:val="00D95269"/>
    <w:rsid w:val="00D9531D"/>
    <w:rsid w:val="00D953B0"/>
    <w:rsid w:val="00D953ED"/>
    <w:rsid w:val="00D954BB"/>
    <w:rsid w:val="00D95539"/>
    <w:rsid w:val="00D95645"/>
    <w:rsid w:val="00D95732"/>
    <w:rsid w:val="00D95776"/>
    <w:rsid w:val="00D9578E"/>
    <w:rsid w:val="00D95916"/>
    <w:rsid w:val="00D95958"/>
    <w:rsid w:val="00D95AE6"/>
    <w:rsid w:val="00D95B63"/>
    <w:rsid w:val="00D95CD5"/>
    <w:rsid w:val="00D95DA7"/>
    <w:rsid w:val="00D95E18"/>
    <w:rsid w:val="00D95EB0"/>
    <w:rsid w:val="00D96072"/>
    <w:rsid w:val="00D96140"/>
    <w:rsid w:val="00D961D4"/>
    <w:rsid w:val="00D962C8"/>
    <w:rsid w:val="00D9630D"/>
    <w:rsid w:val="00D963F0"/>
    <w:rsid w:val="00D966E4"/>
    <w:rsid w:val="00D9672A"/>
    <w:rsid w:val="00D967B4"/>
    <w:rsid w:val="00D967D0"/>
    <w:rsid w:val="00D96816"/>
    <w:rsid w:val="00D96870"/>
    <w:rsid w:val="00D96B11"/>
    <w:rsid w:val="00D96B34"/>
    <w:rsid w:val="00D96BFB"/>
    <w:rsid w:val="00D96C43"/>
    <w:rsid w:val="00D96CF5"/>
    <w:rsid w:val="00D96DF6"/>
    <w:rsid w:val="00D96E26"/>
    <w:rsid w:val="00D96F66"/>
    <w:rsid w:val="00D971AA"/>
    <w:rsid w:val="00D97205"/>
    <w:rsid w:val="00D97217"/>
    <w:rsid w:val="00D9732D"/>
    <w:rsid w:val="00D97385"/>
    <w:rsid w:val="00D973A3"/>
    <w:rsid w:val="00D9744D"/>
    <w:rsid w:val="00D9748F"/>
    <w:rsid w:val="00D974B6"/>
    <w:rsid w:val="00D97713"/>
    <w:rsid w:val="00D978AD"/>
    <w:rsid w:val="00D978B9"/>
    <w:rsid w:val="00D97ACA"/>
    <w:rsid w:val="00D97CCE"/>
    <w:rsid w:val="00D97D72"/>
    <w:rsid w:val="00D97EDE"/>
    <w:rsid w:val="00DA001A"/>
    <w:rsid w:val="00DA0049"/>
    <w:rsid w:val="00DA0053"/>
    <w:rsid w:val="00DA0188"/>
    <w:rsid w:val="00DA021C"/>
    <w:rsid w:val="00DA06BB"/>
    <w:rsid w:val="00DA08C0"/>
    <w:rsid w:val="00DA08D7"/>
    <w:rsid w:val="00DA09A3"/>
    <w:rsid w:val="00DA0A36"/>
    <w:rsid w:val="00DA0A9E"/>
    <w:rsid w:val="00DA0AA3"/>
    <w:rsid w:val="00DA0B63"/>
    <w:rsid w:val="00DA0D5D"/>
    <w:rsid w:val="00DA0E3D"/>
    <w:rsid w:val="00DA0ED7"/>
    <w:rsid w:val="00DA0ED9"/>
    <w:rsid w:val="00DA0EE0"/>
    <w:rsid w:val="00DA0F00"/>
    <w:rsid w:val="00DA0F7D"/>
    <w:rsid w:val="00DA0F8E"/>
    <w:rsid w:val="00DA0FDC"/>
    <w:rsid w:val="00DA1169"/>
    <w:rsid w:val="00DA129A"/>
    <w:rsid w:val="00DA139C"/>
    <w:rsid w:val="00DA140B"/>
    <w:rsid w:val="00DA1539"/>
    <w:rsid w:val="00DA1587"/>
    <w:rsid w:val="00DA1657"/>
    <w:rsid w:val="00DA1704"/>
    <w:rsid w:val="00DA17DE"/>
    <w:rsid w:val="00DA1826"/>
    <w:rsid w:val="00DA184B"/>
    <w:rsid w:val="00DA1940"/>
    <w:rsid w:val="00DA199D"/>
    <w:rsid w:val="00DA1A13"/>
    <w:rsid w:val="00DA1A81"/>
    <w:rsid w:val="00DA1AFB"/>
    <w:rsid w:val="00DA1D50"/>
    <w:rsid w:val="00DA1DA1"/>
    <w:rsid w:val="00DA1F70"/>
    <w:rsid w:val="00DA2112"/>
    <w:rsid w:val="00DA21BB"/>
    <w:rsid w:val="00DA21C8"/>
    <w:rsid w:val="00DA21EC"/>
    <w:rsid w:val="00DA2228"/>
    <w:rsid w:val="00DA2238"/>
    <w:rsid w:val="00DA244C"/>
    <w:rsid w:val="00DA24D0"/>
    <w:rsid w:val="00DA253B"/>
    <w:rsid w:val="00DA259B"/>
    <w:rsid w:val="00DA2617"/>
    <w:rsid w:val="00DA26BE"/>
    <w:rsid w:val="00DA298E"/>
    <w:rsid w:val="00DA2A05"/>
    <w:rsid w:val="00DA2AC4"/>
    <w:rsid w:val="00DA2B75"/>
    <w:rsid w:val="00DA2B88"/>
    <w:rsid w:val="00DA2CA0"/>
    <w:rsid w:val="00DA2D3E"/>
    <w:rsid w:val="00DA2D9B"/>
    <w:rsid w:val="00DA2DEF"/>
    <w:rsid w:val="00DA2E53"/>
    <w:rsid w:val="00DA2F1B"/>
    <w:rsid w:val="00DA306F"/>
    <w:rsid w:val="00DA3280"/>
    <w:rsid w:val="00DA3286"/>
    <w:rsid w:val="00DA32F0"/>
    <w:rsid w:val="00DA33A3"/>
    <w:rsid w:val="00DA33A4"/>
    <w:rsid w:val="00DA3429"/>
    <w:rsid w:val="00DA345E"/>
    <w:rsid w:val="00DA35B7"/>
    <w:rsid w:val="00DA369D"/>
    <w:rsid w:val="00DA3822"/>
    <w:rsid w:val="00DA39B4"/>
    <w:rsid w:val="00DA3A58"/>
    <w:rsid w:val="00DA3A8A"/>
    <w:rsid w:val="00DA3DB6"/>
    <w:rsid w:val="00DA3DC2"/>
    <w:rsid w:val="00DA3E15"/>
    <w:rsid w:val="00DA3F00"/>
    <w:rsid w:val="00DA4016"/>
    <w:rsid w:val="00DA4019"/>
    <w:rsid w:val="00DA42FB"/>
    <w:rsid w:val="00DA43BC"/>
    <w:rsid w:val="00DA441F"/>
    <w:rsid w:val="00DA4474"/>
    <w:rsid w:val="00DA4489"/>
    <w:rsid w:val="00DA44F9"/>
    <w:rsid w:val="00DA4595"/>
    <w:rsid w:val="00DA45AB"/>
    <w:rsid w:val="00DA4689"/>
    <w:rsid w:val="00DA46CD"/>
    <w:rsid w:val="00DA4704"/>
    <w:rsid w:val="00DA4909"/>
    <w:rsid w:val="00DA49F6"/>
    <w:rsid w:val="00DA4A89"/>
    <w:rsid w:val="00DA4D5D"/>
    <w:rsid w:val="00DA4D7B"/>
    <w:rsid w:val="00DA4DA5"/>
    <w:rsid w:val="00DA4E8D"/>
    <w:rsid w:val="00DA509B"/>
    <w:rsid w:val="00DA5141"/>
    <w:rsid w:val="00DA52FE"/>
    <w:rsid w:val="00DA5398"/>
    <w:rsid w:val="00DA555D"/>
    <w:rsid w:val="00DA5583"/>
    <w:rsid w:val="00DA5588"/>
    <w:rsid w:val="00DA55A5"/>
    <w:rsid w:val="00DA55EC"/>
    <w:rsid w:val="00DA56A3"/>
    <w:rsid w:val="00DA5777"/>
    <w:rsid w:val="00DA57EE"/>
    <w:rsid w:val="00DA59C7"/>
    <w:rsid w:val="00DA5AA7"/>
    <w:rsid w:val="00DA5B44"/>
    <w:rsid w:val="00DA5B9E"/>
    <w:rsid w:val="00DA5D25"/>
    <w:rsid w:val="00DA5D89"/>
    <w:rsid w:val="00DA5DD3"/>
    <w:rsid w:val="00DA5DDE"/>
    <w:rsid w:val="00DA5E4D"/>
    <w:rsid w:val="00DA5F89"/>
    <w:rsid w:val="00DA6039"/>
    <w:rsid w:val="00DA609F"/>
    <w:rsid w:val="00DA6236"/>
    <w:rsid w:val="00DA6518"/>
    <w:rsid w:val="00DA6544"/>
    <w:rsid w:val="00DA664B"/>
    <w:rsid w:val="00DA6763"/>
    <w:rsid w:val="00DA67BC"/>
    <w:rsid w:val="00DA6896"/>
    <w:rsid w:val="00DA6B1D"/>
    <w:rsid w:val="00DA6B52"/>
    <w:rsid w:val="00DA6C64"/>
    <w:rsid w:val="00DA6C99"/>
    <w:rsid w:val="00DA6CB5"/>
    <w:rsid w:val="00DA6D25"/>
    <w:rsid w:val="00DA6D57"/>
    <w:rsid w:val="00DA6E21"/>
    <w:rsid w:val="00DA6F4D"/>
    <w:rsid w:val="00DA6F82"/>
    <w:rsid w:val="00DA7034"/>
    <w:rsid w:val="00DA7312"/>
    <w:rsid w:val="00DA73E0"/>
    <w:rsid w:val="00DA7449"/>
    <w:rsid w:val="00DA7514"/>
    <w:rsid w:val="00DA7693"/>
    <w:rsid w:val="00DA76A7"/>
    <w:rsid w:val="00DA77E1"/>
    <w:rsid w:val="00DA7842"/>
    <w:rsid w:val="00DA79CD"/>
    <w:rsid w:val="00DA7A57"/>
    <w:rsid w:val="00DA7AAF"/>
    <w:rsid w:val="00DA7AFB"/>
    <w:rsid w:val="00DA7C44"/>
    <w:rsid w:val="00DA7C7A"/>
    <w:rsid w:val="00DB0084"/>
    <w:rsid w:val="00DB02BF"/>
    <w:rsid w:val="00DB0402"/>
    <w:rsid w:val="00DB04D1"/>
    <w:rsid w:val="00DB052C"/>
    <w:rsid w:val="00DB05A9"/>
    <w:rsid w:val="00DB0630"/>
    <w:rsid w:val="00DB08D4"/>
    <w:rsid w:val="00DB0A3A"/>
    <w:rsid w:val="00DB0B59"/>
    <w:rsid w:val="00DB0C8F"/>
    <w:rsid w:val="00DB0DC8"/>
    <w:rsid w:val="00DB0E81"/>
    <w:rsid w:val="00DB12F3"/>
    <w:rsid w:val="00DB13A4"/>
    <w:rsid w:val="00DB163F"/>
    <w:rsid w:val="00DB1713"/>
    <w:rsid w:val="00DB1875"/>
    <w:rsid w:val="00DB198E"/>
    <w:rsid w:val="00DB19AD"/>
    <w:rsid w:val="00DB1ACE"/>
    <w:rsid w:val="00DB1B5E"/>
    <w:rsid w:val="00DB1C0B"/>
    <w:rsid w:val="00DB1D08"/>
    <w:rsid w:val="00DB1D19"/>
    <w:rsid w:val="00DB1E20"/>
    <w:rsid w:val="00DB1E59"/>
    <w:rsid w:val="00DB1F6A"/>
    <w:rsid w:val="00DB21D2"/>
    <w:rsid w:val="00DB23A2"/>
    <w:rsid w:val="00DB2454"/>
    <w:rsid w:val="00DB25A5"/>
    <w:rsid w:val="00DB26DB"/>
    <w:rsid w:val="00DB2780"/>
    <w:rsid w:val="00DB294B"/>
    <w:rsid w:val="00DB2968"/>
    <w:rsid w:val="00DB299C"/>
    <w:rsid w:val="00DB29E3"/>
    <w:rsid w:val="00DB2B9B"/>
    <w:rsid w:val="00DB2C43"/>
    <w:rsid w:val="00DB2DAF"/>
    <w:rsid w:val="00DB30F7"/>
    <w:rsid w:val="00DB32D4"/>
    <w:rsid w:val="00DB337A"/>
    <w:rsid w:val="00DB343B"/>
    <w:rsid w:val="00DB3623"/>
    <w:rsid w:val="00DB3643"/>
    <w:rsid w:val="00DB36D1"/>
    <w:rsid w:val="00DB38F4"/>
    <w:rsid w:val="00DB398C"/>
    <w:rsid w:val="00DB3AE7"/>
    <w:rsid w:val="00DB3C4B"/>
    <w:rsid w:val="00DB3CA6"/>
    <w:rsid w:val="00DB3ED8"/>
    <w:rsid w:val="00DB3FE2"/>
    <w:rsid w:val="00DB40BC"/>
    <w:rsid w:val="00DB40CF"/>
    <w:rsid w:val="00DB4111"/>
    <w:rsid w:val="00DB42E6"/>
    <w:rsid w:val="00DB42F1"/>
    <w:rsid w:val="00DB442F"/>
    <w:rsid w:val="00DB463E"/>
    <w:rsid w:val="00DB46CD"/>
    <w:rsid w:val="00DB4751"/>
    <w:rsid w:val="00DB4779"/>
    <w:rsid w:val="00DB48BD"/>
    <w:rsid w:val="00DB48F6"/>
    <w:rsid w:val="00DB4980"/>
    <w:rsid w:val="00DB4A4C"/>
    <w:rsid w:val="00DB4AA8"/>
    <w:rsid w:val="00DB4B7F"/>
    <w:rsid w:val="00DB4DB7"/>
    <w:rsid w:val="00DB4E26"/>
    <w:rsid w:val="00DB4E36"/>
    <w:rsid w:val="00DB4E5E"/>
    <w:rsid w:val="00DB4F2A"/>
    <w:rsid w:val="00DB4FFA"/>
    <w:rsid w:val="00DB4FFE"/>
    <w:rsid w:val="00DB5030"/>
    <w:rsid w:val="00DB50F6"/>
    <w:rsid w:val="00DB5129"/>
    <w:rsid w:val="00DB51F3"/>
    <w:rsid w:val="00DB5357"/>
    <w:rsid w:val="00DB561C"/>
    <w:rsid w:val="00DB5754"/>
    <w:rsid w:val="00DB57B0"/>
    <w:rsid w:val="00DB587B"/>
    <w:rsid w:val="00DB5932"/>
    <w:rsid w:val="00DB5966"/>
    <w:rsid w:val="00DB5980"/>
    <w:rsid w:val="00DB59FD"/>
    <w:rsid w:val="00DB5A52"/>
    <w:rsid w:val="00DB5AFB"/>
    <w:rsid w:val="00DB5B02"/>
    <w:rsid w:val="00DB5B70"/>
    <w:rsid w:val="00DB5C81"/>
    <w:rsid w:val="00DB5CF8"/>
    <w:rsid w:val="00DB5D3F"/>
    <w:rsid w:val="00DB5DC4"/>
    <w:rsid w:val="00DB5E13"/>
    <w:rsid w:val="00DB5EBB"/>
    <w:rsid w:val="00DB5FAC"/>
    <w:rsid w:val="00DB5FCC"/>
    <w:rsid w:val="00DB603F"/>
    <w:rsid w:val="00DB60F4"/>
    <w:rsid w:val="00DB61D7"/>
    <w:rsid w:val="00DB62C4"/>
    <w:rsid w:val="00DB6435"/>
    <w:rsid w:val="00DB6452"/>
    <w:rsid w:val="00DB65A5"/>
    <w:rsid w:val="00DB65B6"/>
    <w:rsid w:val="00DB6650"/>
    <w:rsid w:val="00DB6821"/>
    <w:rsid w:val="00DB688A"/>
    <w:rsid w:val="00DB6AF7"/>
    <w:rsid w:val="00DB6B31"/>
    <w:rsid w:val="00DB6B48"/>
    <w:rsid w:val="00DB6C00"/>
    <w:rsid w:val="00DB6CA9"/>
    <w:rsid w:val="00DB6D28"/>
    <w:rsid w:val="00DB6D86"/>
    <w:rsid w:val="00DB6E49"/>
    <w:rsid w:val="00DB6F64"/>
    <w:rsid w:val="00DB7123"/>
    <w:rsid w:val="00DB7276"/>
    <w:rsid w:val="00DB7363"/>
    <w:rsid w:val="00DB7368"/>
    <w:rsid w:val="00DB74A7"/>
    <w:rsid w:val="00DB75A3"/>
    <w:rsid w:val="00DB772C"/>
    <w:rsid w:val="00DB77A7"/>
    <w:rsid w:val="00DB77BA"/>
    <w:rsid w:val="00DB7979"/>
    <w:rsid w:val="00DB7B1D"/>
    <w:rsid w:val="00DB7BF8"/>
    <w:rsid w:val="00DB7D3C"/>
    <w:rsid w:val="00DB7D44"/>
    <w:rsid w:val="00DB7E03"/>
    <w:rsid w:val="00DC01AA"/>
    <w:rsid w:val="00DC01E4"/>
    <w:rsid w:val="00DC03F7"/>
    <w:rsid w:val="00DC041D"/>
    <w:rsid w:val="00DC0441"/>
    <w:rsid w:val="00DC0458"/>
    <w:rsid w:val="00DC04B6"/>
    <w:rsid w:val="00DC04C6"/>
    <w:rsid w:val="00DC04F9"/>
    <w:rsid w:val="00DC052B"/>
    <w:rsid w:val="00DC05B0"/>
    <w:rsid w:val="00DC06D6"/>
    <w:rsid w:val="00DC070D"/>
    <w:rsid w:val="00DC0867"/>
    <w:rsid w:val="00DC0A15"/>
    <w:rsid w:val="00DC0CEC"/>
    <w:rsid w:val="00DC0D0E"/>
    <w:rsid w:val="00DC0E30"/>
    <w:rsid w:val="00DC0E5F"/>
    <w:rsid w:val="00DC0E80"/>
    <w:rsid w:val="00DC0F46"/>
    <w:rsid w:val="00DC0FB3"/>
    <w:rsid w:val="00DC11C1"/>
    <w:rsid w:val="00DC1367"/>
    <w:rsid w:val="00DC1370"/>
    <w:rsid w:val="00DC144A"/>
    <w:rsid w:val="00DC14BE"/>
    <w:rsid w:val="00DC150E"/>
    <w:rsid w:val="00DC1555"/>
    <w:rsid w:val="00DC15A2"/>
    <w:rsid w:val="00DC15BC"/>
    <w:rsid w:val="00DC1712"/>
    <w:rsid w:val="00DC1734"/>
    <w:rsid w:val="00DC1736"/>
    <w:rsid w:val="00DC17AE"/>
    <w:rsid w:val="00DC1816"/>
    <w:rsid w:val="00DC19C9"/>
    <w:rsid w:val="00DC1BB4"/>
    <w:rsid w:val="00DC1E02"/>
    <w:rsid w:val="00DC1E23"/>
    <w:rsid w:val="00DC1F3E"/>
    <w:rsid w:val="00DC1FB9"/>
    <w:rsid w:val="00DC2021"/>
    <w:rsid w:val="00DC206F"/>
    <w:rsid w:val="00DC2156"/>
    <w:rsid w:val="00DC21AD"/>
    <w:rsid w:val="00DC21D1"/>
    <w:rsid w:val="00DC2220"/>
    <w:rsid w:val="00DC224F"/>
    <w:rsid w:val="00DC2303"/>
    <w:rsid w:val="00DC2313"/>
    <w:rsid w:val="00DC2396"/>
    <w:rsid w:val="00DC24E5"/>
    <w:rsid w:val="00DC256D"/>
    <w:rsid w:val="00DC2591"/>
    <w:rsid w:val="00DC2714"/>
    <w:rsid w:val="00DC2799"/>
    <w:rsid w:val="00DC2813"/>
    <w:rsid w:val="00DC2883"/>
    <w:rsid w:val="00DC29B2"/>
    <w:rsid w:val="00DC29FD"/>
    <w:rsid w:val="00DC2BD4"/>
    <w:rsid w:val="00DC2BD8"/>
    <w:rsid w:val="00DC2BF3"/>
    <w:rsid w:val="00DC2C3E"/>
    <w:rsid w:val="00DC2D7A"/>
    <w:rsid w:val="00DC2E6A"/>
    <w:rsid w:val="00DC2FB1"/>
    <w:rsid w:val="00DC30F1"/>
    <w:rsid w:val="00DC31E1"/>
    <w:rsid w:val="00DC31EE"/>
    <w:rsid w:val="00DC32CB"/>
    <w:rsid w:val="00DC3309"/>
    <w:rsid w:val="00DC3335"/>
    <w:rsid w:val="00DC335D"/>
    <w:rsid w:val="00DC3362"/>
    <w:rsid w:val="00DC3399"/>
    <w:rsid w:val="00DC33E2"/>
    <w:rsid w:val="00DC355B"/>
    <w:rsid w:val="00DC37FD"/>
    <w:rsid w:val="00DC3890"/>
    <w:rsid w:val="00DC38C7"/>
    <w:rsid w:val="00DC395B"/>
    <w:rsid w:val="00DC3984"/>
    <w:rsid w:val="00DC39E9"/>
    <w:rsid w:val="00DC3A23"/>
    <w:rsid w:val="00DC3A60"/>
    <w:rsid w:val="00DC3C58"/>
    <w:rsid w:val="00DC3CEB"/>
    <w:rsid w:val="00DC3D52"/>
    <w:rsid w:val="00DC3E6D"/>
    <w:rsid w:val="00DC3F2E"/>
    <w:rsid w:val="00DC3FE5"/>
    <w:rsid w:val="00DC4016"/>
    <w:rsid w:val="00DC4038"/>
    <w:rsid w:val="00DC41FD"/>
    <w:rsid w:val="00DC42DE"/>
    <w:rsid w:val="00DC43E9"/>
    <w:rsid w:val="00DC43EA"/>
    <w:rsid w:val="00DC4439"/>
    <w:rsid w:val="00DC4554"/>
    <w:rsid w:val="00DC4555"/>
    <w:rsid w:val="00DC45F3"/>
    <w:rsid w:val="00DC45FA"/>
    <w:rsid w:val="00DC461D"/>
    <w:rsid w:val="00DC463A"/>
    <w:rsid w:val="00DC46B7"/>
    <w:rsid w:val="00DC46E7"/>
    <w:rsid w:val="00DC47C2"/>
    <w:rsid w:val="00DC48E7"/>
    <w:rsid w:val="00DC4A78"/>
    <w:rsid w:val="00DC4AF9"/>
    <w:rsid w:val="00DC4B05"/>
    <w:rsid w:val="00DC4BF5"/>
    <w:rsid w:val="00DC4D8C"/>
    <w:rsid w:val="00DC4DFC"/>
    <w:rsid w:val="00DC4E96"/>
    <w:rsid w:val="00DC4F08"/>
    <w:rsid w:val="00DC5068"/>
    <w:rsid w:val="00DC50A5"/>
    <w:rsid w:val="00DC5356"/>
    <w:rsid w:val="00DC5373"/>
    <w:rsid w:val="00DC53AE"/>
    <w:rsid w:val="00DC562A"/>
    <w:rsid w:val="00DC5651"/>
    <w:rsid w:val="00DC56CE"/>
    <w:rsid w:val="00DC56D0"/>
    <w:rsid w:val="00DC5739"/>
    <w:rsid w:val="00DC573C"/>
    <w:rsid w:val="00DC575D"/>
    <w:rsid w:val="00DC57AE"/>
    <w:rsid w:val="00DC5827"/>
    <w:rsid w:val="00DC5935"/>
    <w:rsid w:val="00DC5DAD"/>
    <w:rsid w:val="00DC5DC4"/>
    <w:rsid w:val="00DC5DD4"/>
    <w:rsid w:val="00DC5DF2"/>
    <w:rsid w:val="00DC5E16"/>
    <w:rsid w:val="00DC5EED"/>
    <w:rsid w:val="00DC5F28"/>
    <w:rsid w:val="00DC5F78"/>
    <w:rsid w:val="00DC5FB3"/>
    <w:rsid w:val="00DC61A0"/>
    <w:rsid w:val="00DC6284"/>
    <w:rsid w:val="00DC62BA"/>
    <w:rsid w:val="00DC6303"/>
    <w:rsid w:val="00DC6349"/>
    <w:rsid w:val="00DC636A"/>
    <w:rsid w:val="00DC63E3"/>
    <w:rsid w:val="00DC648E"/>
    <w:rsid w:val="00DC64F6"/>
    <w:rsid w:val="00DC6587"/>
    <w:rsid w:val="00DC6644"/>
    <w:rsid w:val="00DC666B"/>
    <w:rsid w:val="00DC6676"/>
    <w:rsid w:val="00DC66F5"/>
    <w:rsid w:val="00DC68C4"/>
    <w:rsid w:val="00DC693F"/>
    <w:rsid w:val="00DC69B8"/>
    <w:rsid w:val="00DC6B97"/>
    <w:rsid w:val="00DC6C22"/>
    <w:rsid w:val="00DC6DBC"/>
    <w:rsid w:val="00DC7063"/>
    <w:rsid w:val="00DC71A3"/>
    <w:rsid w:val="00DC7333"/>
    <w:rsid w:val="00DC73CA"/>
    <w:rsid w:val="00DC73F2"/>
    <w:rsid w:val="00DC7409"/>
    <w:rsid w:val="00DC7435"/>
    <w:rsid w:val="00DC7497"/>
    <w:rsid w:val="00DC75CB"/>
    <w:rsid w:val="00DC761D"/>
    <w:rsid w:val="00DC76B6"/>
    <w:rsid w:val="00DC76E8"/>
    <w:rsid w:val="00DC7762"/>
    <w:rsid w:val="00DC7824"/>
    <w:rsid w:val="00DC78D5"/>
    <w:rsid w:val="00DC7A28"/>
    <w:rsid w:val="00DC7A5C"/>
    <w:rsid w:val="00DC7BC8"/>
    <w:rsid w:val="00DC7C0B"/>
    <w:rsid w:val="00DC7D04"/>
    <w:rsid w:val="00DD00D3"/>
    <w:rsid w:val="00DD02A9"/>
    <w:rsid w:val="00DD03D7"/>
    <w:rsid w:val="00DD04F2"/>
    <w:rsid w:val="00DD0624"/>
    <w:rsid w:val="00DD0674"/>
    <w:rsid w:val="00DD07A8"/>
    <w:rsid w:val="00DD07D1"/>
    <w:rsid w:val="00DD083C"/>
    <w:rsid w:val="00DD0929"/>
    <w:rsid w:val="00DD0A39"/>
    <w:rsid w:val="00DD0A5B"/>
    <w:rsid w:val="00DD0A79"/>
    <w:rsid w:val="00DD0B3B"/>
    <w:rsid w:val="00DD0B58"/>
    <w:rsid w:val="00DD0BB3"/>
    <w:rsid w:val="00DD0BB9"/>
    <w:rsid w:val="00DD0E29"/>
    <w:rsid w:val="00DD0E2F"/>
    <w:rsid w:val="00DD0EC7"/>
    <w:rsid w:val="00DD0F2D"/>
    <w:rsid w:val="00DD0F3D"/>
    <w:rsid w:val="00DD0F6A"/>
    <w:rsid w:val="00DD0F82"/>
    <w:rsid w:val="00DD0FE0"/>
    <w:rsid w:val="00DD0FE2"/>
    <w:rsid w:val="00DD0FFE"/>
    <w:rsid w:val="00DD10A8"/>
    <w:rsid w:val="00DD110C"/>
    <w:rsid w:val="00DD111A"/>
    <w:rsid w:val="00DD1154"/>
    <w:rsid w:val="00DD11A4"/>
    <w:rsid w:val="00DD11C1"/>
    <w:rsid w:val="00DD1296"/>
    <w:rsid w:val="00DD129B"/>
    <w:rsid w:val="00DD149F"/>
    <w:rsid w:val="00DD1520"/>
    <w:rsid w:val="00DD1551"/>
    <w:rsid w:val="00DD1581"/>
    <w:rsid w:val="00DD1659"/>
    <w:rsid w:val="00DD16ED"/>
    <w:rsid w:val="00DD17FB"/>
    <w:rsid w:val="00DD1A68"/>
    <w:rsid w:val="00DD1B4E"/>
    <w:rsid w:val="00DD1CAB"/>
    <w:rsid w:val="00DD1D00"/>
    <w:rsid w:val="00DD1E7C"/>
    <w:rsid w:val="00DD1FFC"/>
    <w:rsid w:val="00DD208C"/>
    <w:rsid w:val="00DD20FF"/>
    <w:rsid w:val="00DD222B"/>
    <w:rsid w:val="00DD223F"/>
    <w:rsid w:val="00DD2254"/>
    <w:rsid w:val="00DD2265"/>
    <w:rsid w:val="00DD22CC"/>
    <w:rsid w:val="00DD2341"/>
    <w:rsid w:val="00DD2343"/>
    <w:rsid w:val="00DD2394"/>
    <w:rsid w:val="00DD24B9"/>
    <w:rsid w:val="00DD268E"/>
    <w:rsid w:val="00DD270E"/>
    <w:rsid w:val="00DD2774"/>
    <w:rsid w:val="00DD2925"/>
    <w:rsid w:val="00DD2A88"/>
    <w:rsid w:val="00DD2C9D"/>
    <w:rsid w:val="00DD2CE6"/>
    <w:rsid w:val="00DD2D66"/>
    <w:rsid w:val="00DD2DC8"/>
    <w:rsid w:val="00DD2F32"/>
    <w:rsid w:val="00DD2FC1"/>
    <w:rsid w:val="00DD2FD3"/>
    <w:rsid w:val="00DD31A6"/>
    <w:rsid w:val="00DD32E0"/>
    <w:rsid w:val="00DD34D0"/>
    <w:rsid w:val="00DD353D"/>
    <w:rsid w:val="00DD35BD"/>
    <w:rsid w:val="00DD35EC"/>
    <w:rsid w:val="00DD376A"/>
    <w:rsid w:val="00DD38AB"/>
    <w:rsid w:val="00DD38B7"/>
    <w:rsid w:val="00DD3965"/>
    <w:rsid w:val="00DD3A02"/>
    <w:rsid w:val="00DD3A1A"/>
    <w:rsid w:val="00DD3C70"/>
    <w:rsid w:val="00DD3CA9"/>
    <w:rsid w:val="00DD3CB1"/>
    <w:rsid w:val="00DD3CED"/>
    <w:rsid w:val="00DD3D06"/>
    <w:rsid w:val="00DD3DA7"/>
    <w:rsid w:val="00DD3E34"/>
    <w:rsid w:val="00DD3E6B"/>
    <w:rsid w:val="00DD3EAF"/>
    <w:rsid w:val="00DD41D7"/>
    <w:rsid w:val="00DD42A2"/>
    <w:rsid w:val="00DD42F4"/>
    <w:rsid w:val="00DD4324"/>
    <w:rsid w:val="00DD4327"/>
    <w:rsid w:val="00DD4337"/>
    <w:rsid w:val="00DD44A4"/>
    <w:rsid w:val="00DD4742"/>
    <w:rsid w:val="00DD48A2"/>
    <w:rsid w:val="00DD48BD"/>
    <w:rsid w:val="00DD4945"/>
    <w:rsid w:val="00DD4982"/>
    <w:rsid w:val="00DD49DF"/>
    <w:rsid w:val="00DD4B54"/>
    <w:rsid w:val="00DD4CEC"/>
    <w:rsid w:val="00DD4D84"/>
    <w:rsid w:val="00DD4F52"/>
    <w:rsid w:val="00DD4FDD"/>
    <w:rsid w:val="00DD4FEE"/>
    <w:rsid w:val="00DD51CC"/>
    <w:rsid w:val="00DD5265"/>
    <w:rsid w:val="00DD53A3"/>
    <w:rsid w:val="00DD5475"/>
    <w:rsid w:val="00DD5597"/>
    <w:rsid w:val="00DD55C4"/>
    <w:rsid w:val="00DD5647"/>
    <w:rsid w:val="00DD5685"/>
    <w:rsid w:val="00DD56CE"/>
    <w:rsid w:val="00DD57A8"/>
    <w:rsid w:val="00DD57B3"/>
    <w:rsid w:val="00DD57B8"/>
    <w:rsid w:val="00DD5B43"/>
    <w:rsid w:val="00DD5B80"/>
    <w:rsid w:val="00DD5BD3"/>
    <w:rsid w:val="00DD5C6D"/>
    <w:rsid w:val="00DD5CA5"/>
    <w:rsid w:val="00DD5D9B"/>
    <w:rsid w:val="00DD5E29"/>
    <w:rsid w:val="00DD5E79"/>
    <w:rsid w:val="00DD5E7B"/>
    <w:rsid w:val="00DD5E86"/>
    <w:rsid w:val="00DD6068"/>
    <w:rsid w:val="00DD6071"/>
    <w:rsid w:val="00DD60D3"/>
    <w:rsid w:val="00DD60F1"/>
    <w:rsid w:val="00DD60F5"/>
    <w:rsid w:val="00DD6202"/>
    <w:rsid w:val="00DD626F"/>
    <w:rsid w:val="00DD627C"/>
    <w:rsid w:val="00DD62B1"/>
    <w:rsid w:val="00DD62BE"/>
    <w:rsid w:val="00DD62C0"/>
    <w:rsid w:val="00DD6355"/>
    <w:rsid w:val="00DD638F"/>
    <w:rsid w:val="00DD63D2"/>
    <w:rsid w:val="00DD63F2"/>
    <w:rsid w:val="00DD6415"/>
    <w:rsid w:val="00DD6551"/>
    <w:rsid w:val="00DD6646"/>
    <w:rsid w:val="00DD6858"/>
    <w:rsid w:val="00DD687D"/>
    <w:rsid w:val="00DD6928"/>
    <w:rsid w:val="00DD6A86"/>
    <w:rsid w:val="00DD6B2C"/>
    <w:rsid w:val="00DD6C42"/>
    <w:rsid w:val="00DD6C8C"/>
    <w:rsid w:val="00DD6D08"/>
    <w:rsid w:val="00DD6D30"/>
    <w:rsid w:val="00DD6E76"/>
    <w:rsid w:val="00DD6F7B"/>
    <w:rsid w:val="00DD7029"/>
    <w:rsid w:val="00DD70C1"/>
    <w:rsid w:val="00DD70C5"/>
    <w:rsid w:val="00DD7115"/>
    <w:rsid w:val="00DD769C"/>
    <w:rsid w:val="00DD776C"/>
    <w:rsid w:val="00DD7787"/>
    <w:rsid w:val="00DD77B2"/>
    <w:rsid w:val="00DD7805"/>
    <w:rsid w:val="00DD782A"/>
    <w:rsid w:val="00DD789C"/>
    <w:rsid w:val="00DD78EE"/>
    <w:rsid w:val="00DD7B77"/>
    <w:rsid w:val="00DD7C39"/>
    <w:rsid w:val="00DD7DA0"/>
    <w:rsid w:val="00DD7E79"/>
    <w:rsid w:val="00DD7E98"/>
    <w:rsid w:val="00DD7F9F"/>
    <w:rsid w:val="00DD7FC3"/>
    <w:rsid w:val="00DE0153"/>
    <w:rsid w:val="00DE04FA"/>
    <w:rsid w:val="00DE0758"/>
    <w:rsid w:val="00DE0851"/>
    <w:rsid w:val="00DE0866"/>
    <w:rsid w:val="00DE09DD"/>
    <w:rsid w:val="00DE0D09"/>
    <w:rsid w:val="00DE0D72"/>
    <w:rsid w:val="00DE0D77"/>
    <w:rsid w:val="00DE0D8B"/>
    <w:rsid w:val="00DE0DC2"/>
    <w:rsid w:val="00DE0FCA"/>
    <w:rsid w:val="00DE101F"/>
    <w:rsid w:val="00DE10FB"/>
    <w:rsid w:val="00DE1108"/>
    <w:rsid w:val="00DE1117"/>
    <w:rsid w:val="00DE118F"/>
    <w:rsid w:val="00DE12E4"/>
    <w:rsid w:val="00DE12E5"/>
    <w:rsid w:val="00DE12F0"/>
    <w:rsid w:val="00DE14D5"/>
    <w:rsid w:val="00DE1628"/>
    <w:rsid w:val="00DE169A"/>
    <w:rsid w:val="00DE169C"/>
    <w:rsid w:val="00DE1713"/>
    <w:rsid w:val="00DE17D9"/>
    <w:rsid w:val="00DE17DC"/>
    <w:rsid w:val="00DE1925"/>
    <w:rsid w:val="00DE1961"/>
    <w:rsid w:val="00DE19EF"/>
    <w:rsid w:val="00DE1AD4"/>
    <w:rsid w:val="00DE1BF2"/>
    <w:rsid w:val="00DE1CF4"/>
    <w:rsid w:val="00DE1D18"/>
    <w:rsid w:val="00DE1ED1"/>
    <w:rsid w:val="00DE1FFF"/>
    <w:rsid w:val="00DE2142"/>
    <w:rsid w:val="00DE21B7"/>
    <w:rsid w:val="00DE222E"/>
    <w:rsid w:val="00DE2302"/>
    <w:rsid w:val="00DE23F7"/>
    <w:rsid w:val="00DE2557"/>
    <w:rsid w:val="00DE2768"/>
    <w:rsid w:val="00DE279E"/>
    <w:rsid w:val="00DE27AC"/>
    <w:rsid w:val="00DE28CA"/>
    <w:rsid w:val="00DE2A2F"/>
    <w:rsid w:val="00DE2D24"/>
    <w:rsid w:val="00DE2DDC"/>
    <w:rsid w:val="00DE2E46"/>
    <w:rsid w:val="00DE2FCF"/>
    <w:rsid w:val="00DE3193"/>
    <w:rsid w:val="00DE31B8"/>
    <w:rsid w:val="00DE331F"/>
    <w:rsid w:val="00DE33FA"/>
    <w:rsid w:val="00DE349A"/>
    <w:rsid w:val="00DE34CC"/>
    <w:rsid w:val="00DE353B"/>
    <w:rsid w:val="00DE354B"/>
    <w:rsid w:val="00DE35DD"/>
    <w:rsid w:val="00DE3A8B"/>
    <w:rsid w:val="00DE3AE0"/>
    <w:rsid w:val="00DE3B74"/>
    <w:rsid w:val="00DE3BCC"/>
    <w:rsid w:val="00DE3C61"/>
    <w:rsid w:val="00DE3CD8"/>
    <w:rsid w:val="00DE3CD9"/>
    <w:rsid w:val="00DE3D84"/>
    <w:rsid w:val="00DE3DB1"/>
    <w:rsid w:val="00DE3E20"/>
    <w:rsid w:val="00DE3E96"/>
    <w:rsid w:val="00DE3EE6"/>
    <w:rsid w:val="00DE3F00"/>
    <w:rsid w:val="00DE4057"/>
    <w:rsid w:val="00DE4196"/>
    <w:rsid w:val="00DE41AD"/>
    <w:rsid w:val="00DE4245"/>
    <w:rsid w:val="00DE4272"/>
    <w:rsid w:val="00DE4287"/>
    <w:rsid w:val="00DE44EF"/>
    <w:rsid w:val="00DE4547"/>
    <w:rsid w:val="00DE4586"/>
    <w:rsid w:val="00DE45A1"/>
    <w:rsid w:val="00DE46CD"/>
    <w:rsid w:val="00DE4855"/>
    <w:rsid w:val="00DE48D1"/>
    <w:rsid w:val="00DE49CA"/>
    <w:rsid w:val="00DE4A1B"/>
    <w:rsid w:val="00DE4A36"/>
    <w:rsid w:val="00DE4AB0"/>
    <w:rsid w:val="00DE4B5C"/>
    <w:rsid w:val="00DE4F82"/>
    <w:rsid w:val="00DE50AA"/>
    <w:rsid w:val="00DE5161"/>
    <w:rsid w:val="00DE516C"/>
    <w:rsid w:val="00DE526C"/>
    <w:rsid w:val="00DE53A9"/>
    <w:rsid w:val="00DE54C4"/>
    <w:rsid w:val="00DE559A"/>
    <w:rsid w:val="00DE56C6"/>
    <w:rsid w:val="00DE577E"/>
    <w:rsid w:val="00DE57E8"/>
    <w:rsid w:val="00DE5906"/>
    <w:rsid w:val="00DE5912"/>
    <w:rsid w:val="00DE5952"/>
    <w:rsid w:val="00DE59E7"/>
    <w:rsid w:val="00DE5AE8"/>
    <w:rsid w:val="00DE5AF4"/>
    <w:rsid w:val="00DE5B21"/>
    <w:rsid w:val="00DE5C6B"/>
    <w:rsid w:val="00DE5D3C"/>
    <w:rsid w:val="00DE5E26"/>
    <w:rsid w:val="00DE5E47"/>
    <w:rsid w:val="00DE5EA0"/>
    <w:rsid w:val="00DE5ECF"/>
    <w:rsid w:val="00DE5EF5"/>
    <w:rsid w:val="00DE5F0F"/>
    <w:rsid w:val="00DE5F1D"/>
    <w:rsid w:val="00DE5F5E"/>
    <w:rsid w:val="00DE60E6"/>
    <w:rsid w:val="00DE60F8"/>
    <w:rsid w:val="00DE616E"/>
    <w:rsid w:val="00DE6229"/>
    <w:rsid w:val="00DE6371"/>
    <w:rsid w:val="00DE6402"/>
    <w:rsid w:val="00DE6519"/>
    <w:rsid w:val="00DE65BF"/>
    <w:rsid w:val="00DE691E"/>
    <w:rsid w:val="00DE697B"/>
    <w:rsid w:val="00DE698D"/>
    <w:rsid w:val="00DE6A0D"/>
    <w:rsid w:val="00DE6AE6"/>
    <w:rsid w:val="00DE6C14"/>
    <w:rsid w:val="00DE6C96"/>
    <w:rsid w:val="00DE6CBC"/>
    <w:rsid w:val="00DE6DDF"/>
    <w:rsid w:val="00DE6DF4"/>
    <w:rsid w:val="00DE6E22"/>
    <w:rsid w:val="00DE6F3A"/>
    <w:rsid w:val="00DE6FF1"/>
    <w:rsid w:val="00DE7029"/>
    <w:rsid w:val="00DE705C"/>
    <w:rsid w:val="00DE71E4"/>
    <w:rsid w:val="00DE72AB"/>
    <w:rsid w:val="00DE7343"/>
    <w:rsid w:val="00DE77D1"/>
    <w:rsid w:val="00DE7817"/>
    <w:rsid w:val="00DE782F"/>
    <w:rsid w:val="00DE78CE"/>
    <w:rsid w:val="00DE791A"/>
    <w:rsid w:val="00DE7978"/>
    <w:rsid w:val="00DE79AF"/>
    <w:rsid w:val="00DE7BE3"/>
    <w:rsid w:val="00DE7E69"/>
    <w:rsid w:val="00DE7EBA"/>
    <w:rsid w:val="00DE7F1D"/>
    <w:rsid w:val="00DE7FCC"/>
    <w:rsid w:val="00DE7FED"/>
    <w:rsid w:val="00DF0078"/>
    <w:rsid w:val="00DF0145"/>
    <w:rsid w:val="00DF01D2"/>
    <w:rsid w:val="00DF01DB"/>
    <w:rsid w:val="00DF0255"/>
    <w:rsid w:val="00DF03A3"/>
    <w:rsid w:val="00DF05A9"/>
    <w:rsid w:val="00DF07D8"/>
    <w:rsid w:val="00DF07DE"/>
    <w:rsid w:val="00DF0813"/>
    <w:rsid w:val="00DF08B0"/>
    <w:rsid w:val="00DF08B5"/>
    <w:rsid w:val="00DF0914"/>
    <w:rsid w:val="00DF091A"/>
    <w:rsid w:val="00DF09AF"/>
    <w:rsid w:val="00DF09F7"/>
    <w:rsid w:val="00DF09F8"/>
    <w:rsid w:val="00DF0BC5"/>
    <w:rsid w:val="00DF0BCE"/>
    <w:rsid w:val="00DF0D6C"/>
    <w:rsid w:val="00DF0DC5"/>
    <w:rsid w:val="00DF0E99"/>
    <w:rsid w:val="00DF0FCE"/>
    <w:rsid w:val="00DF0FD5"/>
    <w:rsid w:val="00DF13E5"/>
    <w:rsid w:val="00DF164E"/>
    <w:rsid w:val="00DF1712"/>
    <w:rsid w:val="00DF173B"/>
    <w:rsid w:val="00DF17D5"/>
    <w:rsid w:val="00DF1B6E"/>
    <w:rsid w:val="00DF1B8E"/>
    <w:rsid w:val="00DF1BB5"/>
    <w:rsid w:val="00DF1D51"/>
    <w:rsid w:val="00DF1DC7"/>
    <w:rsid w:val="00DF1E08"/>
    <w:rsid w:val="00DF2095"/>
    <w:rsid w:val="00DF2097"/>
    <w:rsid w:val="00DF222A"/>
    <w:rsid w:val="00DF229C"/>
    <w:rsid w:val="00DF22B4"/>
    <w:rsid w:val="00DF2388"/>
    <w:rsid w:val="00DF23ED"/>
    <w:rsid w:val="00DF266F"/>
    <w:rsid w:val="00DF2822"/>
    <w:rsid w:val="00DF2882"/>
    <w:rsid w:val="00DF2980"/>
    <w:rsid w:val="00DF2A02"/>
    <w:rsid w:val="00DF2AAE"/>
    <w:rsid w:val="00DF2BBC"/>
    <w:rsid w:val="00DF2C23"/>
    <w:rsid w:val="00DF2C46"/>
    <w:rsid w:val="00DF2CBB"/>
    <w:rsid w:val="00DF2D36"/>
    <w:rsid w:val="00DF2D5E"/>
    <w:rsid w:val="00DF2E25"/>
    <w:rsid w:val="00DF2FBB"/>
    <w:rsid w:val="00DF3087"/>
    <w:rsid w:val="00DF308F"/>
    <w:rsid w:val="00DF32EE"/>
    <w:rsid w:val="00DF32EF"/>
    <w:rsid w:val="00DF33DE"/>
    <w:rsid w:val="00DF35EA"/>
    <w:rsid w:val="00DF36D9"/>
    <w:rsid w:val="00DF37B2"/>
    <w:rsid w:val="00DF387C"/>
    <w:rsid w:val="00DF38F8"/>
    <w:rsid w:val="00DF38FC"/>
    <w:rsid w:val="00DF39E1"/>
    <w:rsid w:val="00DF3B6A"/>
    <w:rsid w:val="00DF3C67"/>
    <w:rsid w:val="00DF3D68"/>
    <w:rsid w:val="00DF3DF5"/>
    <w:rsid w:val="00DF3E60"/>
    <w:rsid w:val="00DF3EAF"/>
    <w:rsid w:val="00DF3F8C"/>
    <w:rsid w:val="00DF405F"/>
    <w:rsid w:val="00DF4161"/>
    <w:rsid w:val="00DF41B6"/>
    <w:rsid w:val="00DF427B"/>
    <w:rsid w:val="00DF43A2"/>
    <w:rsid w:val="00DF4482"/>
    <w:rsid w:val="00DF4490"/>
    <w:rsid w:val="00DF4577"/>
    <w:rsid w:val="00DF46DD"/>
    <w:rsid w:val="00DF472B"/>
    <w:rsid w:val="00DF493D"/>
    <w:rsid w:val="00DF49C2"/>
    <w:rsid w:val="00DF4A04"/>
    <w:rsid w:val="00DF4A88"/>
    <w:rsid w:val="00DF4B0E"/>
    <w:rsid w:val="00DF4CCF"/>
    <w:rsid w:val="00DF4CF5"/>
    <w:rsid w:val="00DF4F50"/>
    <w:rsid w:val="00DF514E"/>
    <w:rsid w:val="00DF5163"/>
    <w:rsid w:val="00DF523D"/>
    <w:rsid w:val="00DF52B1"/>
    <w:rsid w:val="00DF53FB"/>
    <w:rsid w:val="00DF5425"/>
    <w:rsid w:val="00DF542B"/>
    <w:rsid w:val="00DF54E8"/>
    <w:rsid w:val="00DF5549"/>
    <w:rsid w:val="00DF554D"/>
    <w:rsid w:val="00DF569C"/>
    <w:rsid w:val="00DF588F"/>
    <w:rsid w:val="00DF5916"/>
    <w:rsid w:val="00DF592F"/>
    <w:rsid w:val="00DF5A13"/>
    <w:rsid w:val="00DF5C18"/>
    <w:rsid w:val="00DF5CAA"/>
    <w:rsid w:val="00DF5CD0"/>
    <w:rsid w:val="00DF5D7B"/>
    <w:rsid w:val="00DF5DB6"/>
    <w:rsid w:val="00DF5E14"/>
    <w:rsid w:val="00DF5E22"/>
    <w:rsid w:val="00DF5E55"/>
    <w:rsid w:val="00DF5E56"/>
    <w:rsid w:val="00DF5E8B"/>
    <w:rsid w:val="00DF6052"/>
    <w:rsid w:val="00DF60AB"/>
    <w:rsid w:val="00DF60B6"/>
    <w:rsid w:val="00DF6159"/>
    <w:rsid w:val="00DF61BD"/>
    <w:rsid w:val="00DF6308"/>
    <w:rsid w:val="00DF63C6"/>
    <w:rsid w:val="00DF640A"/>
    <w:rsid w:val="00DF6413"/>
    <w:rsid w:val="00DF64B2"/>
    <w:rsid w:val="00DF668B"/>
    <w:rsid w:val="00DF6789"/>
    <w:rsid w:val="00DF6A2D"/>
    <w:rsid w:val="00DF6A66"/>
    <w:rsid w:val="00DF6BE2"/>
    <w:rsid w:val="00DF6E43"/>
    <w:rsid w:val="00DF6E67"/>
    <w:rsid w:val="00DF6ED3"/>
    <w:rsid w:val="00DF6EF4"/>
    <w:rsid w:val="00DF7013"/>
    <w:rsid w:val="00DF70C1"/>
    <w:rsid w:val="00DF7104"/>
    <w:rsid w:val="00DF71D8"/>
    <w:rsid w:val="00DF72DD"/>
    <w:rsid w:val="00DF73F0"/>
    <w:rsid w:val="00DF7420"/>
    <w:rsid w:val="00DF751C"/>
    <w:rsid w:val="00DF752D"/>
    <w:rsid w:val="00DF7633"/>
    <w:rsid w:val="00DF76D8"/>
    <w:rsid w:val="00DF77AC"/>
    <w:rsid w:val="00DF77D7"/>
    <w:rsid w:val="00DF790F"/>
    <w:rsid w:val="00DF7A20"/>
    <w:rsid w:val="00DF7A5C"/>
    <w:rsid w:val="00DF7AD0"/>
    <w:rsid w:val="00DF7B60"/>
    <w:rsid w:val="00DF7B86"/>
    <w:rsid w:val="00DF7D12"/>
    <w:rsid w:val="00DF7D9D"/>
    <w:rsid w:val="00DF7E5F"/>
    <w:rsid w:val="00DF7EA9"/>
    <w:rsid w:val="00DF7FCE"/>
    <w:rsid w:val="00E00018"/>
    <w:rsid w:val="00E000AB"/>
    <w:rsid w:val="00E001C9"/>
    <w:rsid w:val="00E0026F"/>
    <w:rsid w:val="00E00597"/>
    <w:rsid w:val="00E005C3"/>
    <w:rsid w:val="00E0073E"/>
    <w:rsid w:val="00E0091F"/>
    <w:rsid w:val="00E00A00"/>
    <w:rsid w:val="00E00A69"/>
    <w:rsid w:val="00E00A9F"/>
    <w:rsid w:val="00E00AEA"/>
    <w:rsid w:val="00E00B94"/>
    <w:rsid w:val="00E00DEA"/>
    <w:rsid w:val="00E00E51"/>
    <w:rsid w:val="00E00F9A"/>
    <w:rsid w:val="00E00FED"/>
    <w:rsid w:val="00E011E2"/>
    <w:rsid w:val="00E01282"/>
    <w:rsid w:val="00E01375"/>
    <w:rsid w:val="00E015AE"/>
    <w:rsid w:val="00E016A9"/>
    <w:rsid w:val="00E01740"/>
    <w:rsid w:val="00E01808"/>
    <w:rsid w:val="00E018A9"/>
    <w:rsid w:val="00E01CBD"/>
    <w:rsid w:val="00E01CBE"/>
    <w:rsid w:val="00E01E5A"/>
    <w:rsid w:val="00E01FC1"/>
    <w:rsid w:val="00E01FCE"/>
    <w:rsid w:val="00E02024"/>
    <w:rsid w:val="00E02147"/>
    <w:rsid w:val="00E022F5"/>
    <w:rsid w:val="00E0236B"/>
    <w:rsid w:val="00E02546"/>
    <w:rsid w:val="00E02625"/>
    <w:rsid w:val="00E02642"/>
    <w:rsid w:val="00E026C0"/>
    <w:rsid w:val="00E027BA"/>
    <w:rsid w:val="00E0284D"/>
    <w:rsid w:val="00E028EB"/>
    <w:rsid w:val="00E029E4"/>
    <w:rsid w:val="00E029EE"/>
    <w:rsid w:val="00E02A2D"/>
    <w:rsid w:val="00E02BDA"/>
    <w:rsid w:val="00E02BE3"/>
    <w:rsid w:val="00E02C22"/>
    <w:rsid w:val="00E02CC9"/>
    <w:rsid w:val="00E02CEA"/>
    <w:rsid w:val="00E02DC9"/>
    <w:rsid w:val="00E02E67"/>
    <w:rsid w:val="00E03057"/>
    <w:rsid w:val="00E030AB"/>
    <w:rsid w:val="00E030B4"/>
    <w:rsid w:val="00E034B3"/>
    <w:rsid w:val="00E036E1"/>
    <w:rsid w:val="00E03796"/>
    <w:rsid w:val="00E0388B"/>
    <w:rsid w:val="00E038B1"/>
    <w:rsid w:val="00E03976"/>
    <w:rsid w:val="00E03ADC"/>
    <w:rsid w:val="00E03B58"/>
    <w:rsid w:val="00E03B5D"/>
    <w:rsid w:val="00E03D04"/>
    <w:rsid w:val="00E03D0D"/>
    <w:rsid w:val="00E03D7D"/>
    <w:rsid w:val="00E03DD8"/>
    <w:rsid w:val="00E03E27"/>
    <w:rsid w:val="00E03E5B"/>
    <w:rsid w:val="00E03FF6"/>
    <w:rsid w:val="00E04009"/>
    <w:rsid w:val="00E043F7"/>
    <w:rsid w:val="00E0449D"/>
    <w:rsid w:val="00E04560"/>
    <w:rsid w:val="00E046CC"/>
    <w:rsid w:val="00E04766"/>
    <w:rsid w:val="00E047D3"/>
    <w:rsid w:val="00E047E8"/>
    <w:rsid w:val="00E047FF"/>
    <w:rsid w:val="00E04860"/>
    <w:rsid w:val="00E048FA"/>
    <w:rsid w:val="00E04903"/>
    <w:rsid w:val="00E0498A"/>
    <w:rsid w:val="00E049A2"/>
    <w:rsid w:val="00E04A0C"/>
    <w:rsid w:val="00E04B1A"/>
    <w:rsid w:val="00E04BF9"/>
    <w:rsid w:val="00E04D32"/>
    <w:rsid w:val="00E04D62"/>
    <w:rsid w:val="00E04D68"/>
    <w:rsid w:val="00E04D90"/>
    <w:rsid w:val="00E04DDB"/>
    <w:rsid w:val="00E04E50"/>
    <w:rsid w:val="00E04F1B"/>
    <w:rsid w:val="00E05139"/>
    <w:rsid w:val="00E05342"/>
    <w:rsid w:val="00E05375"/>
    <w:rsid w:val="00E053C2"/>
    <w:rsid w:val="00E05430"/>
    <w:rsid w:val="00E055F4"/>
    <w:rsid w:val="00E0562F"/>
    <w:rsid w:val="00E05753"/>
    <w:rsid w:val="00E057C3"/>
    <w:rsid w:val="00E05950"/>
    <w:rsid w:val="00E05A5A"/>
    <w:rsid w:val="00E05AF1"/>
    <w:rsid w:val="00E05C74"/>
    <w:rsid w:val="00E05DDC"/>
    <w:rsid w:val="00E05F4C"/>
    <w:rsid w:val="00E05F50"/>
    <w:rsid w:val="00E0601F"/>
    <w:rsid w:val="00E060CF"/>
    <w:rsid w:val="00E061A2"/>
    <w:rsid w:val="00E061D2"/>
    <w:rsid w:val="00E06269"/>
    <w:rsid w:val="00E062C0"/>
    <w:rsid w:val="00E06300"/>
    <w:rsid w:val="00E06317"/>
    <w:rsid w:val="00E0634A"/>
    <w:rsid w:val="00E06371"/>
    <w:rsid w:val="00E063E9"/>
    <w:rsid w:val="00E06449"/>
    <w:rsid w:val="00E06510"/>
    <w:rsid w:val="00E06635"/>
    <w:rsid w:val="00E0672B"/>
    <w:rsid w:val="00E0672C"/>
    <w:rsid w:val="00E0672F"/>
    <w:rsid w:val="00E0676E"/>
    <w:rsid w:val="00E0680B"/>
    <w:rsid w:val="00E06821"/>
    <w:rsid w:val="00E0683D"/>
    <w:rsid w:val="00E0697B"/>
    <w:rsid w:val="00E06A48"/>
    <w:rsid w:val="00E06CA5"/>
    <w:rsid w:val="00E06CB0"/>
    <w:rsid w:val="00E06CEC"/>
    <w:rsid w:val="00E06E14"/>
    <w:rsid w:val="00E0717A"/>
    <w:rsid w:val="00E071A2"/>
    <w:rsid w:val="00E071FA"/>
    <w:rsid w:val="00E07275"/>
    <w:rsid w:val="00E0734B"/>
    <w:rsid w:val="00E07389"/>
    <w:rsid w:val="00E0746B"/>
    <w:rsid w:val="00E07485"/>
    <w:rsid w:val="00E074EF"/>
    <w:rsid w:val="00E07508"/>
    <w:rsid w:val="00E07536"/>
    <w:rsid w:val="00E075B9"/>
    <w:rsid w:val="00E0763E"/>
    <w:rsid w:val="00E0766B"/>
    <w:rsid w:val="00E07695"/>
    <w:rsid w:val="00E07731"/>
    <w:rsid w:val="00E0781E"/>
    <w:rsid w:val="00E07874"/>
    <w:rsid w:val="00E078A8"/>
    <w:rsid w:val="00E0799B"/>
    <w:rsid w:val="00E07A49"/>
    <w:rsid w:val="00E07A5D"/>
    <w:rsid w:val="00E07AD2"/>
    <w:rsid w:val="00E07ADB"/>
    <w:rsid w:val="00E07B58"/>
    <w:rsid w:val="00E07BC9"/>
    <w:rsid w:val="00E07D1F"/>
    <w:rsid w:val="00E07DA4"/>
    <w:rsid w:val="00E07DE9"/>
    <w:rsid w:val="00E07FC1"/>
    <w:rsid w:val="00E07FD6"/>
    <w:rsid w:val="00E100BC"/>
    <w:rsid w:val="00E100DA"/>
    <w:rsid w:val="00E100FF"/>
    <w:rsid w:val="00E101CF"/>
    <w:rsid w:val="00E1024E"/>
    <w:rsid w:val="00E10332"/>
    <w:rsid w:val="00E10372"/>
    <w:rsid w:val="00E1039D"/>
    <w:rsid w:val="00E105C6"/>
    <w:rsid w:val="00E10714"/>
    <w:rsid w:val="00E10A48"/>
    <w:rsid w:val="00E10A87"/>
    <w:rsid w:val="00E10A97"/>
    <w:rsid w:val="00E10AF8"/>
    <w:rsid w:val="00E10C44"/>
    <w:rsid w:val="00E10CB9"/>
    <w:rsid w:val="00E10D78"/>
    <w:rsid w:val="00E10DAD"/>
    <w:rsid w:val="00E10DAE"/>
    <w:rsid w:val="00E11030"/>
    <w:rsid w:val="00E1106F"/>
    <w:rsid w:val="00E1118A"/>
    <w:rsid w:val="00E11246"/>
    <w:rsid w:val="00E11254"/>
    <w:rsid w:val="00E11261"/>
    <w:rsid w:val="00E11345"/>
    <w:rsid w:val="00E1134C"/>
    <w:rsid w:val="00E11414"/>
    <w:rsid w:val="00E1145E"/>
    <w:rsid w:val="00E11492"/>
    <w:rsid w:val="00E11607"/>
    <w:rsid w:val="00E11787"/>
    <w:rsid w:val="00E11829"/>
    <w:rsid w:val="00E118C1"/>
    <w:rsid w:val="00E11920"/>
    <w:rsid w:val="00E1196B"/>
    <w:rsid w:val="00E119FD"/>
    <w:rsid w:val="00E11A73"/>
    <w:rsid w:val="00E11C2E"/>
    <w:rsid w:val="00E11CD0"/>
    <w:rsid w:val="00E11E06"/>
    <w:rsid w:val="00E11E28"/>
    <w:rsid w:val="00E1213A"/>
    <w:rsid w:val="00E121C0"/>
    <w:rsid w:val="00E1228B"/>
    <w:rsid w:val="00E12452"/>
    <w:rsid w:val="00E1246B"/>
    <w:rsid w:val="00E12485"/>
    <w:rsid w:val="00E12531"/>
    <w:rsid w:val="00E12534"/>
    <w:rsid w:val="00E1255F"/>
    <w:rsid w:val="00E125AD"/>
    <w:rsid w:val="00E127DD"/>
    <w:rsid w:val="00E1286D"/>
    <w:rsid w:val="00E12916"/>
    <w:rsid w:val="00E129F2"/>
    <w:rsid w:val="00E12A9D"/>
    <w:rsid w:val="00E12DB8"/>
    <w:rsid w:val="00E12DE6"/>
    <w:rsid w:val="00E12E29"/>
    <w:rsid w:val="00E12F44"/>
    <w:rsid w:val="00E12F4B"/>
    <w:rsid w:val="00E12F7E"/>
    <w:rsid w:val="00E1304E"/>
    <w:rsid w:val="00E130FE"/>
    <w:rsid w:val="00E1313A"/>
    <w:rsid w:val="00E1336D"/>
    <w:rsid w:val="00E133D5"/>
    <w:rsid w:val="00E13425"/>
    <w:rsid w:val="00E13494"/>
    <w:rsid w:val="00E134B3"/>
    <w:rsid w:val="00E13805"/>
    <w:rsid w:val="00E13866"/>
    <w:rsid w:val="00E13B30"/>
    <w:rsid w:val="00E13CBE"/>
    <w:rsid w:val="00E13D08"/>
    <w:rsid w:val="00E13D3B"/>
    <w:rsid w:val="00E13D67"/>
    <w:rsid w:val="00E13DC1"/>
    <w:rsid w:val="00E13E3C"/>
    <w:rsid w:val="00E1403A"/>
    <w:rsid w:val="00E1410C"/>
    <w:rsid w:val="00E143BE"/>
    <w:rsid w:val="00E148E2"/>
    <w:rsid w:val="00E14A40"/>
    <w:rsid w:val="00E14B79"/>
    <w:rsid w:val="00E14BA3"/>
    <w:rsid w:val="00E14CA8"/>
    <w:rsid w:val="00E14CDB"/>
    <w:rsid w:val="00E14E96"/>
    <w:rsid w:val="00E14ECD"/>
    <w:rsid w:val="00E14F47"/>
    <w:rsid w:val="00E14FE1"/>
    <w:rsid w:val="00E150CE"/>
    <w:rsid w:val="00E15117"/>
    <w:rsid w:val="00E15168"/>
    <w:rsid w:val="00E151B7"/>
    <w:rsid w:val="00E15268"/>
    <w:rsid w:val="00E1534C"/>
    <w:rsid w:val="00E153E6"/>
    <w:rsid w:val="00E15496"/>
    <w:rsid w:val="00E15514"/>
    <w:rsid w:val="00E155D4"/>
    <w:rsid w:val="00E15683"/>
    <w:rsid w:val="00E156D1"/>
    <w:rsid w:val="00E15741"/>
    <w:rsid w:val="00E15756"/>
    <w:rsid w:val="00E1584A"/>
    <w:rsid w:val="00E15866"/>
    <w:rsid w:val="00E158F2"/>
    <w:rsid w:val="00E15997"/>
    <w:rsid w:val="00E15C77"/>
    <w:rsid w:val="00E15D64"/>
    <w:rsid w:val="00E15FCF"/>
    <w:rsid w:val="00E1602F"/>
    <w:rsid w:val="00E162E2"/>
    <w:rsid w:val="00E16378"/>
    <w:rsid w:val="00E163CB"/>
    <w:rsid w:val="00E16650"/>
    <w:rsid w:val="00E16684"/>
    <w:rsid w:val="00E16723"/>
    <w:rsid w:val="00E1676B"/>
    <w:rsid w:val="00E16892"/>
    <w:rsid w:val="00E169B9"/>
    <w:rsid w:val="00E16B9E"/>
    <w:rsid w:val="00E16BC9"/>
    <w:rsid w:val="00E16C04"/>
    <w:rsid w:val="00E16D88"/>
    <w:rsid w:val="00E16DC1"/>
    <w:rsid w:val="00E16F40"/>
    <w:rsid w:val="00E16FDD"/>
    <w:rsid w:val="00E17020"/>
    <w:rsid w:val="00E174F5"/>
    <w:rsid w:val="00E17534"/>
    <w:rsid w:val="00E1759A"/>
    <w:rsid w:val="00E175BE"/>
    <w:rsid w:val="00E175C4"/>
    <w:rsid w:val="00E176E6"/>
    <w:rsid w:val="00E17727"/>
    <w:rsid w:val="00E17739"/>
    <w:rsid w:val="00E177A7"/>
    <w:rsid w:val="00E17861"/>
    <w:rsid w:val="00E178C7"/>
    <w:rsid w:val="00E1796E"/>
    <w:rsid w:val="00E179A8"/>
    <w:rsid w:val="00E17A6E"/>
    <w:rsid w:val="00E17B22"/>
    <w:rsid w:val="00E17B70"/>
    <w:rsid w:val="00E17BEC"/>
    <w:rsid w:val="00E17CC6"/>
    <w:rsid w:val="00E17DE0"/>
    <w:rsid w:val="00E17F19"/>
    <w:rsid w:val="00E202E7"/>
    <w:rsid w:val="00E20399"/>
    <w:rsid w:val="00E203C7"/>
    <w:rsid w:val="00E203EA"/>
    <w:rsid w:val="00E20415"/>
    <w:rsid w:val="00E20436"/>
    <w:rsid w:val="00E20570"/>
    <w:rsid w:val="00E20596"/>
    <w:rsid w:val="00E20767"/>
    <w:rsid w:val="00E2078E"/>
    <w:rsid w:val="00E207FA"/>
    <w:rsid w:val="00E20807"/>
    <w:rsid w:val="00E20948"/>
    <w:rsid w:val="00E20963"/>
    <w:rsid w:val="00E209AB"/>
    <w:rsid w:val="00E20D50"/>
    <w:rsid w:val="00E20D68"/>
    <w:rsid w:val="00E20DAB"/>
    <w:rsid w:val="00E20DDB"/>
    <w:rsid w:val="00E20DF8"/>
    <w:rsid w:val="00E20E1B"/>
    <w:rsid w:val="00E20E8C"/>
    <w:rsid w:val="00E20E9D"/>
    <w:rsid w:val="00E20EE9"/>
    <w:rsid w:val="00E2103B"/>
    <w:rsid w:val="00E210FB"/>
    <w:rsid w:val="00E2110E"/>
    <w:rsid w:val="00E21263"/>
    <w:rsid w:val="00E212F1"/>
    <w:rsid w:val="00E21364"/>
    <w:rsid w:val="00E213D0"/>
    <w:rsid w:val="00E215AE"/>
    <w:rsid w:val="00E216CF"/>
    <w:rsid w:val="00E2173F"/>
    <w:rsid w:val="00E2183A"/>
    <w:rsid w:val="00E2187A"/>
    <w:rsid w:val="00E218A4"/>
    <w:rsid w:val="00E21A61"/>
    <w:rsid w:val="00E21AD7"/>
    <w:rsid w:val="00E21B92"/>
    <w:rsid w:val="00E21BB5"/>
    <w:rsid w:val="00E21D86"/>
    <w:rsid w:val="00E21EF8"/>
    <w:rsid w:val="00E21F1E"/>
    <w:rsid w:val="00E21F55"/>
    <w:rsid w:val="00E21F5F"/>
    <w:rsid w:val="00E21F96"/>
    <w:rsid w:val="00E2209D"/>
    <w:rsid w:val="00E22162"/>
    <w:rsid w:val="00E221D8"/>
    <w:rsid w:val="00E2231C"/>
    <w:rsid w:val="00E224C2"/>
    <w:rsid w:val="00E2260A"/>
    <w:rsid w:val="00E2288A"/>
    <w:rsid w:val="00E22BE9"/>
    <w:rsid w:val="00E22C2D"/>
    <w:rsid w:val="00E22C52"/>
    <w:rsid w:val="00E22CA4"/>
    <w:rsid w:val="00E22D6C"/>
    <w:rsid w:val="00E22DA0"/>
    <w:rsid w:val="00E22E16"/>
    <w:rsid w:val="00E22F30"/>
    <w:rsid w:val="00E22F5F"/>
    <w:rsid w:val="00E23035"/>
    <w:rsid w:val="00E2307D"/>
    <w:rsid w:val="00E23178"/>
    <w:rsid w:val="00E2317C"/>
    <w:rsid w:val="00E23222"/>
    <w:rsid w:val="00E233B5"/>
    <w:rsid w:val="00E234CC"/>
    <w:rsid w:val="00E234D6"/>
    <w:rsid w:val="00E234FF"/>
    <w:rsid w:val="00E2359F"/>
    <w:rsid w:val="00E2360D"/>
    <w:rsid w:val="00E2369A"/>
    <w:rsid w:val="00E237BF"/>
    <w:rsid w:val="00E238FC"/>
    <w:rsid w:val="00E23928"/>
    <w:rsid w:val="00E239CC"/>
    <w:rsid w:val="00E239D4"/>
    <w:rsid w:val="00E23B8A"/>
    <w:rsid w:val="00E23C07"/>
    <w:rsid w:val="00E23C13"/>
    <w:rsid w:val="00E23C56"/>
    <w:rsid w:val="00E23CF2"/>
    <w:rsid w:val="00E23E00"/>
    <w:rsid w:val="00E23E29"/>
    <w:rsid w:val="00E2406C"/>
    <w:rsid w:val="00E240B6"/>
    <w:rsid w:val="00E2416D"/>
    <w:rsid w:val="00E2420A"/>
    <w:rsid w:val="00E2420B"/>
    <w:rsid w:val="00E242DE"/>
    <w:rsid w:val="00E243EB"/>
    <w:rsid w:val="00E2449A"/>
    <w:rsid w:val="00E24562"/>
    <w:rsid w:val="00E24736"/>
    <w:rsid w:val="00E24849"/>
    <w:rsid w:val="00E249C8"/>
    <w:rsid w:val="00E249E6"/>
    <w:rsid w:val="00E24ACE"/>
    <w:rsid w:val="00E24B7E"/>
    <w:rsid w:val="00E24BFF"/>
    <w:rsid w:val="00E24D92"/>
    <w:rsid w:val="00E24E5E"/>
    <w:rsid w:val="00E24EEF"/>
    <w:rsid w:val="00E24FB3"/>
    <w:rsid w:val="00E2500F"/>
    <w:rsid w:val="00E25077"/>
    <w:rsid w:val="00E25371"/>
    <w:rsid w:val="00E2539E"/>
    <w:rsid w:val="00E253BA"/>
    <w:rsid w:val="00E25437"/>
    <w:rsid w:val="00E25577"/>
    <w:rsid w:val="00E25609"/>
    <w:rsid w:val="00E2563D"/>
    <w:rsid w:val="00E2564C"/>
    <w:rsid w:val="00E256E8"/>
    <w:rsid w:val="00E25775"/>
    <w:rsid w:val="00E25A40"/>
    <w:rsid w:val="00E25B0F"/>
    <w:rsid w:val="00E25DB7"/>
    <w:rsid w:val="00E25E0A"/>
    <w:rsid w:val="00E25E2E"/>
    <w:rsid w:val="00E25EFA"/>
    <w:rsid w:val="00E25F33"/>
    <w:rsid w:val="00E25FA5"/>
    <w:rsid w:val="00E25FAD"/>
    <w:rsid w:val="00E260E1"/>
    <w:rsid w:val="00E2615E"/>
    <w:rsid w:val="00E262C4"/>
    <w:rsid w:val="00E26663"/>
    <w:rsid w:val="00E266B4"/>
    <w:rsid w:val="00E266C9"/>
    <w:rsid w:val="00E26804"/>
    <w:rsid w:val="00E26851"/>
    <w:rsid w:val="00E26903"/>
    <w:rsid w:val="00E26946"/>
    <w:rsid w:val="00E2696A"/>
    <w:rsid w:val="00E269BE"/>
    <w:rsid w:val="00E26E4F"/>
    <w:rsid w:val="00E26E67"/>
    <w:rsid w:val="00E26F20"/>
    <w:rsid w:val="00E2705A"/>
    <w:rsid w:val="00E27075"/>
    <w:rsid w:val="00E2709A"/>
    <w:rsid w:val="00E270E5"/>
    <w:rsid w:val="00E27169"/>
    <w:rsid w:val="00E272BC"/>
    <w:rsid w:val="00E27405"/>
    <w:rsid w:val="00E2744D"/>
    <w:rsid w:val="00E2756E"/>
    <w:rsid w:val="00E27760"/>
    <w:rsid w:val="00E27951"/>
    <w:rsid w:val="00E27952"/>
    <w:rsid w:val="00E27959"/>
    <w:rsid w:val="00E279CF"/>
    <w:rsid w:val="00E27A52"/>
    <w:rsid w:val="00E27AF4"/>
    <w:rsid w:val="00E27B50"/>
    <w:rsid w:val="00E27CEF"/>
    <w:rsid w:val="00E27D26"/>
    <w:rsid w:val="00E27EF9"/>
    <w:rsid w:val="00E27EFC"/>
    <w:rsid w:val="00E300C4"/>
    <w:rsid w:val="00E301A6"/>
    <w:rsid w:val="00E301C5"/>
    <w:rsid w:val="00E3029B"/>
    <w:rsid w:val="00E302EF"/>
    <w:rsid w:val="00E3050B"/>
    <w:rsid w:val="00E30533"/>
    <w:rsid w:val="00E306F8"/>
    <w:rsid w:val="00E307C5"/>
    <w:rsid w:val="00E30985"/>
    <w:rsid w:val="00E30AD3"/>
    <w:rsid w:val="00E30E87"/>
    <w:rsid w:val="00E30EAA"/>
    <w:rsid w:val="00E310E5"/>
    <w:rsid w:val="00E3119C"/>
    <w:rsid w:val="00E3122C"/>
    <w:rsid w:val="00E312E7"/>
    <w:rsid w:val="00E31531"/>
    <w:rsid w:val="00E3172B"/>
    <w:rsid w:val="00E31753"/>
    <w:rsid w:val="00E3182D"/>
    <w:rsid w:val="00E3186D"/>
    <w:rsid w:val="00E31990"/>
    <w:rsid w:val="00E319AF"/>
    <w:rsid w:val="00E319C0"/>
    <w:rsid w:val="00E31B02"/>
    <w:rsid w:val="00E31B1C"/>
    <w:rsid w:val="00E31B49"/>
    <w:rsid w:val="00E31EA8"/>
    <w:rsid w:val="00E322BA"/>
    <w:rsid w:val="00E323A7"/>
    <w:rsid w:val="00E324C0"/>
    <w:rsid w:val="00E32702"/>
    <w:rsid w:val="00E3270D"/>
    <w:rsid w:val="00E3272D"/>
    <w:rsid w:val="00E327D2"/>
    <w:rsid w:val="00E32975"/>
    <w:rsid w:val="00E32AEA"/>
    <w:rsid w:val="00E32AF0"/>
    <w:rsid w:val="00E32D03"/>
    <w:rsid w:val="00E32DFD"/>
    <w:rsid w:val="00E330E6"/>
    <w:rsid w:val="00E3316B"/>
    <w:rsid w:val="00E33241"/>
    <w:rsid w:val="00E33288"/>
    <w:rsid w:val="00E3352C"/>
    <w:rsid w:val="00E33751"/>
    <w:rsid w:val="00E33773"/>
    <w:rsid w:val="00E337F4"/>
    <w:rsid w:val="00E33964"/>
    <w:rsid w:val="00E33B0E"/>
    <w:rsid w:val="00E33BED"/>
    <w:rsid w:val="00E33C14"/>
    <w:rsid w:val="00E33C22"/>
    <w:rsid w:val="00E33C6B"/>
    <w:rsid w:val="00E33CA9"/>
    <w:rsid w:val="00E33CB1"/>
    <w:rsid w:val="00E33CC7"/>
    <w:rsid w:val="00E33D53"/>
    <w:rsid w:val="00E33E4E"/>
    <w:rsid w:val="00E33F85"/>
    <w:rsid w:val="00E34006"/>
    <w:rsid w:val="00E34009"/>
    <w:rsid w:val="00E3401D"/>
    <w:rsid w:val="00E34127"/>
    <w:rsid w:val="00E3413C"/>
    <w:rsid w:val="00E341C9"/>
    <w:rsid w:val="00E34307"/>
    <w:rsid w:val="00E3430B"/>
    <w:rsid w:val="00E3434E"/>
    <w:rsid w:val="00E34371"/>
    <w:rsid w:val="00E3465F"/>
    <w:rsid w:val="00E34710"/>
    <w:rsid w:val="00E3475C"/>
    <w:rsid w:val="00E34840"/>
    <w:rsid w:val="00E34892"/>
    <w:rsid w:val="00E348E6"/>
    <w:rsid w:val="00E3498B"/>
    <w:rsid w:val="00E34AB2"/>
    <w:rsid w:val="00E34B25"/>
    <w:rsid w:val="00E34B6E"/>
    <w:rsid w:val="00E34BA3"/>
    <w:rsid w:val="00E34C54"/>
    <w:rsid w:val="00E34CCA"/>
    <w:rsid w:val="00E34DE0"/>
    <w:rsid w:val="00E34F88"/>
    <w:rsid w:val="00E34FBC"/>
    <w:rsid w:val="00E35173"/>
    <w:rsid w:val="00E35246"/>
    <w:rsid w:val="00E35351"/>
    <w:rsid w:val="00E353B3"/>
    <w:rsid w:val="00E356FD"/>
    <w:rsid w:val="00E3571D"/>
    <w:rsid w:val="00E3573D"/>
    <w:rsid w:val="00E3582B"/>
    <w:rsid w:val="00E35A4C"/>
    <w:rsid w:val="00E35A6C"/>
    <w:rsid w:val="00E35AE2"/>
    <w:rsid w:val="00E35CEA"/>
    <w:rsid w:val="00E35CFB"/>
    <w:rsid w:val="00E35D21"/>
    <w:rsid w:val="00E35D71"/>
    <w:rsid w:val="00E35DF0"/>
    <w:rsid w:val="00E35E31"/>
    <w:rsid w:val="00E35E8F"/>
    <w:rsid w:val="00E36013"/>
    <w:rsid w:val="00E3639A"/>
    <w:rsid w:val="00E363B9"/>
    <w:rsid w:val="00E363D5"/>
    <w:rsid w:val="00E3653E"/>
    <w:rsid w:val="00E3659F"/>
    <w:rsid w:val="00E36944"/>
    <w:rsid w:val="00E369E1"/>
    <w:rsid w:val="00E36BC2"/>
    <w:rsid w:val="00E36C0A"/>
    <w:rsid w:val="00E36C4F"/>
    <w:rsid w:val="00E36DFC"/>
    <w:rsid w:val="00E36E1F"/>
    <w:rsid w:val="00E36ED7"/>
    <w:rsid w:val="00E36F29"/>
    <w:rsid w:val="00E3709C"/>
    <w:rsid w:val="00E371C2"/>
    <w:rsid w:val="00E371ED"/>
    <w:rsid w:val="00E3726E"/>
    <w:rsid w:val="00E37278"/>
    <w:rsid w:val="00E372C7"/>
    <w:rsid w:val="00E37560"/>
    <w:rsid w:val="00E375CD"/>
    <w:rsid w:val="00E375DD"/>
    <w:rsid w:val="00E3767E"/>
    <w:rsid w:val="00E377BE"/>
    <w:rsid w:val="00E378A2"/>
    <w:rsid w:val="00E378E9"/>
    <w:rsid w:val="00E37B8C"/>
    <w:rsid w:val="00E37D9C"/>
    <w:rsid w:val="00E37DC2"/>
    <w:rsid w:val="00E37DCF"/>
    <w:rsid w:val="00E4032B"/>
    <w:rsid w:val="00E403B2"/>
    <w:rsid w:val="00E4041F"/>
    <w:rsid w:val="00E40447"/>
    <w:rsid w:val="00E406F6"/>
    <w:rsid w:val="00E407BB"/>
    <w:rsid w:val="00E40A81"/>
    <w:rsid w:val="00E40B17"/>
    <w:rsid w:val="00E40B5A"/>
    <w:rsid w:val="00E40B90"/>
    <w:rsid w:val="00E40C3A"/>
    <w:rsid w:val="00E40C45"/>
    <w:rsid w:val="00E40D30"/>
    <w:rsid w:val="00E40DFB"/>
    <w:rsid w:val="00E41062"/>
    <w:rsid w:val="00E410AC"/>
    <w:rsid w:val="00E410E7"/>
    <w:rsid w:val="00E4110F"/>
    <w:rsid w:val="00E4142E"/>
    <w:rsid w:val="00E414A2"/>
    <w:rsid w:val="00E414E3"/>
    <w:rsid w:val="00E4154E"/>
    <w:rsid w:val="00E415CA"/>
    <w:rsid w:val="00E41669"/>
    <w:rsid w:val="00E417D2"/>
    <w:rsid w:val="00E41887"/>
    <w:rsid w:val="00E419DD"/>
    <w:rsid w:val="00E41A0A"/>
    <w:rsid w:val="00E41A1C"/>
    <w:rsid w:val="00E41BD3"/>
    <w:rsid w:val="00E41E53"/>
    <w:rsid w:val="00E41E6F"/>
    <w:rsid w:val="00E420D7"/>
    <w:rsid w:val="00E420E3"/>
    <w:rsid w:val="00E4212F"/>
    <w:rsid w:val="00E4218F"/>
    <w:rsid w:val="00E42245"/>
    <w:rsid w:val="00E423E3"/>
    <w:rsid w:val="00E4251A"/>
    <w:rsid w:val="00E425D2"/>
    <w:rsid w:val="00E42638"/>
    <w:rsid w:val="00E426C3"/>
    <w:rsid w:val="00E42729"/>
    <w:rsid w:val="00E42777"/>
    <w:rsid w:val="00E4291A"/>
    <w:rsid w:val="00E4291F"/>
    <w:rsid w:val="00E42A12"/>
    <w:rsid w:val="00E42A47"/>
    <w:rsid w:val="00E42A84"/>
    <w:rsid w:val="00E42AAF"/>
    <w:rsid w:val="00E42CC7"/>
    <w:rsid w:val="00E42CD3"/>
    <w:rsid w:val="00E42D07"/>
    <w:rsid w:val="00E42EE4"/>
    <w:rsid w:val="00E42F8F"/>
    <w:rsid w:val="00E430D5"/>
    <w:rsid w:val="00E43175"/>
    <w:rsid w:val="00E431A0"/>
    <w:rsid w:val="00E431C9"/>
    <w:rsid w:val="00E4325A"/>
    <w:rsid w:val="00E432D4"/>
    <w:rsid w:val="00E432EF"/>
    <w:rsid w:val="00E434C4"/>
    <w:rsid w:val="00E43526"/>
    <w:rsid w:val="00E435CF"/>
    <w:rsid w:val="00E43618"/>
    <w:rsid w:val="00E437B5"/>
    <w:rsid w:val="00E437FC"/>
    <w:rsid w:val="00E43804"/>
    <w:rsid w:val="00E43859"/>
    <w:rsid w:val="00E43901"/>
    <w:rsid w:val="00E4392F"/>
    <w:rsid w:val="00E439D5"/>
    <w:rsid w:val="00E439EE"/>
    <w:rsid w:val="00E43A01"/>
    <w:rsid w:val="00E43A37"/>
    <w:rsid w:val="00E43A83"/>
    <w:rsid w:val="00E43BD5"/>
    <w:rsid w:val="00E43C2B"/>
    <w:rsid w:val="00E43EE1"/>
    <w:rsid w:val="00E44257"/>
    <w:rsid w:val="00E4432B"/>
    <w:rsid w:val="00E44362"/>
    <w:rsid w:val="00E443CA"/>
    <w:rsid w:val="00E4442F"/>
    <w:rsid w:val="00E4446B"/>
    <w:rsid w:val="00E44474"/>
    <w:rsid w:val="00E4459E"/>
    <w:rsid w:val="00E445B1"/>
    <w:rsid w:val="00E447B1"/>
    <w:rsid w:val="00E447B6"/>
    <w:rsid w:val="00E448EE"/>
    <w:rsid w:val="00E4497E"/>
    <w:rsid w:val="00E44A0E"/>
    <w:rsid w:val="00E44A35"/>
    <w:rsid w:val="00E44B43"/>
    <w:rsid w:val="00E44E50"/>
    <w:rsid w:val="00E44E81"/>
    <w:rsid w:val="00E44F63"/>
    <w:rsid w:val="00E45131"/>
    <w:rsid w:val="00E4513B"/>
    <w:rsid w:val="00E4513F"/>
    <w:rsid w:val="00E451CE"/>
    <w:rsid w:val="00E452F0"/>
    <w:rsid w:val="00E4535D"/>
    <w:rsid w:val="00E453FA"/>
    <w:rsid w:val="00E45412"/>
    <w:rsid w:val="00E4573A"/>
    <w:rsid w:val="00E458C0"/>
    <w:rsid w:val="00E45B9E"/>
    <w:rsid w:val="00E45BB1"/>
    <w:rsid w:val="00E45C97"/>
    <w:rsid w:val="00E45CC7"/>
    <w:rsid w:val="00E45D7F"/>
    <w:rsid w:val="00E45EAB"/>
    <w:rsid w:val="00E45FB4"/>
    <w:rsid w:val="00E45FC8"/>
    <w:rsid w:val="00E45FCB"/>
    <w:rsid w:val="00E4600F"/>
    <w:rsid w:val="00E4604B"/>
    <w:rsid w:val="00E46100"/>
    <w:rsid w:val="00E46112"/>
    <w:rsid w:val="00E46177"/>
    <w:rsid w:val="00E46269"/>
    <w:rsid w:val="00E462A3"/>
    <w:rsid w:val="00E462FD"/>
    <w:rsid w:val="00E46370"/>
    <w:rsid w:val="00E46684"/>
    <w:rsid w:val="00E46A35"/>
    <w:rsid w:val="00E46B23"/>
    <w:rsid w:val="00E46B51"/>
    <w:rsid w:val="00E46C7C"/>
    <w:rsid w:val="00E46D0D"/>
    <w:rsid w:val="00E46D80"/>
    <w:rsid w:val="00E46E7A"/>
    <w:rsid w:val="00E46EE8"/>
    <w:rsid w:val="00E46FED"/>
    <w:rsid w:val="00E4708B"/>
    <w:rsid w:val="00E470C7"/>
    <w:rsid w:val="00E47169"/>
    <w:rsid w:val="00E474AD"/>
    <w:rsid w:val="00E474FF"/>
    <w:rsid w:val="00E4756A"/>
    <w:rsid w:val="00E476C6"/>
    <w:rsid w:val="00E477C1"/>
    <w:rsid w:val="00E477DE"/>
    <w:rsid w:val="00E4789A"/>
    <w:rsid w:val="00E478CD"/>
    <w:rsid w:val="00E478F8"/>
    <w:rsid w:val="00E4791D"/>
    <w:rsid w:val="00E47920"/>
    <w:rsid w:val="00E47A14"/>
    <w:rsid w:val="00E47A26"/>
    <w:rsid w:val="00E47AAF"/>
    <w:rsid w:val="00E47B7B"/>
    <w:rsid w:val="00E47BA3"/>
    <w:rsid w:val="00E47C1B"/>
    <w:rsid w:val="00E47D07"/>
    <w:rsid w:val="00E47DFF"/>
    <w:rsid w:val="00E47F30"/>
    <w:rsid w:val="00E47F7E"/>
    <w:rsid w:val="00E501DC"/>
    <w:rsid w:val="00E50338"/>
    <w:rsid w:val="00E50370"/>
    <w:rsid w:val="00E5041D"/>
    <w:rsid w:val="00E5048F"/>
    <w:rsid w:val="00E504EC"/>
    <w:rsid w:val="00E505D8"/>
    <w:rsid w:val="00E5062C"/>
    <w:rsid w:val="00E506AD"/>
    <w:rsid w:val="00E5077E"/>
    <w:rsid w:val="00E507D2"/>
    <w:rsid w:val="00E50832"/>
    <w:rsid w:val="00E50A0F"/>
    <w:rsid w:val="00E50A5E"/>
    <w:rsid w:val="00E50AA4"/>
    <w:rsid w:val="00E50B1C"/>
    <w:rsid w:val="00E50BA5"/>
    <w:rsid w:val="00E50DFD"/>
    <w:rsid w:val="00E50E28"/>
    <w:rsid w:val="00E50E42"/>
    <w:rsid w:val="00E50E7B"/>
    <w:rsid w:val="00E50F7B"/>
    <w:rsid w:val="00E50F8B"/>
    <w:rsid w:val="00E5105F"/>
    <w:rsid w:val="00E51195"/>
    <w:rsid w:val="00E511DD"/>
    <w:rsid w:val="00E511E0"/>
    <w:rsid w:val="00E512CE"/>
    <w:rsid w:val="00E51468"/>
    <w:rsid w:val="00E51557"/>
    <w:rsid w:val="00E516BF"/>
    <w:rsid w:val="00E516E2"/>
    <w:rsid w:val="00E516EE"/>
    <w:rsid w:val="00E518A9"/>
    <w:rsid w:val="00E51933"/>
    <w:rsid w:val="00E51A2A"/>
    <w:rsid w:val="00E51B3C"/>
    <w:rsid w:val="00E51B93"/>
    <w:rsid w:val="00E51C31"/>
    <w:rsid w:val="00E51D35"/>
    <w:rsid w:val="00E51E1F"/>
    <w:rsid w:val="00E51E60"/>
    <w:rsid w:val="00E520B9"/>
    <w:rsid w:val="00E52240"/>
    <w:rsid w:val="00E52271"/>
    <w:rsid w:val="00E523E2"/>
    <w:rsid w:val="00E523F9"/>
    <w:rsid w:val="00E524B7"/>
    <w:rsid w:val="00E52563"/>
    <w:rsid w:val="00E525B6"/>
    <w:rsid w:val="00E525C9"/>
    <w:rsid w:val="00E52683"/>
    <w:rsid w:val="00E5268A"/>
    <w:rsid w:val="00E52723"/>
    <w:rsid w:val="00E527FC"/>
    <w:rsid w:val="00E528F4"/>
    <w:rsid w:val="00E52977"/>
    <w:rsid w:val="00E52A6A"/>
    <w:rsid w:val="00E52A82"/>
    <w:rsid w:val="00E52AE9"/>
    <w:rsid w:val="00E52B20"/>
    <w:rsid w:val="00E52BEE"/>
    <w:rsid w:val="00E52CD5"/>
    <w:rsid w:val="00E53165"/>
    <w:rsid w:val="00E5317B"/>
    <w:rsid w:val="00E53191"/>
    <w:rsid w:val="00E53235"/>
    <w:rsid w:val="00E53281"/>
    <w:rsid w:val="00E532E1"/>
    <w:rsid w:val="00E53489"/>
    <w:rsid w:val="00E535BE"/>
    <w:rsid w:val="00E5366C"/>
    <w:rsid w:val="00E53723"/>
    <w:rsid w:val="00E5385A"/>
    <w:rsid w:val="00E538D1"/>
    <w:rsid w:val="00E53C38"/>
    <w:rsid w:val="00E53CFD"/>
    <w:rsid w:val="00E53E59"/>
    <w:rsid w:val="00E53EC2"/>
    <w:rsid w:val="00E53F56"/>
    <w:rsid w:val="00E53F76"/>
    <w:rsid w:val="00E53FC4"/>
    <w:rsid w:val="00E5413A"/>
    <w:rsid w:val="00E541BF"/>
    <w:rsid w:val="00E542FD"/>
    <w:rsid w:val="00E5432A"/>
    <w:rsid w:val="00E543D6"/>
    <w:rsid w:val="00E543D8"/>
    <w:rsid w:val="00E54447"/>
    <w:rsid w:val="00E5445C"/>
    <w:rsid w:val="00E546D4"/>
    <w:rsid w:val="00E5479F"/>
    <w:rsid w:val="00E547D1"/>
    <w:rsid w:val="00E5494F"/>
    <w:rsid w:val="00E5497C"/>
    <w:rsid w:val="00E54B1F"/>
    <w:rsid w:val="00E54B64"/>
    <w:rsid w:val="00E54CD7"/>
    <w:rsid w:val="00E54E4D"/>
    <w:rsid w:val="00E54EAD"/>
    <w:rsid w:val="00E54EFF"/>
    <w:rsid w:val="00E54FB6"/>
    <w:rsid w:val="00E55067"/>
    <w:rsid w:val="00E55313"/>
    <w:rsid w:val="00E554BA"/>
    <w:rsid w:val="00E55550"/>
    <w:rsid w:val="00E555B9"/>
    <w:rsid w:val="00E55664"/>
    <w:rsid w:val="00E55678"/>
    <w:rsid w:val="00E55679"/>
    <w:rsid w:val="00E55687"/>
    <w:rsid w:val="00E558B0"/>
    <w:rsid w:val="00E559B0"/>
    <w:rsid w:val="00E55B7F"/>
    <w:rsid w:val="00E55BEC"/>
    <w:rsid w:val="00E55C2E"/>
    <w:rsid w:val="00E55D69"/>
    <w:rsid w:val="00E55F17"/>
    <w:rsid w:val="00E55FAA"/>
    <w:rsid w:val="00E5601D"/>
    <w:rsid w:val="00E5607B"/>
    <w:rsid w:val="00E560BF"/>
    <w:rsid w:val="00E560E7"/>
    <w:rsid w:val="00E5623B"/>
    <w:rsid w:val="00E56253"/>
    <w:rsid w:val="00E562C1"/>
    <w:rsid w:val="00E562FF"/>
    <w:rsid w:val="00E5637F"/>
    <w:rsid w:val="00E563D9"/>
    <w:rsid w:val="00E56709"/>
    <w:rsid w:val="00E56712"/>
    <w:rsid w:val="00E5673E"/>
    <w:rsid w:val="00E568AF"/>
    <w:rsid w:val="00E569A1"/>
    <w:rsid w:val="00E569A2"/>
    <w:rsid w:val="00E569C6"/>
    <w:rsid w:val="00E56A4D"/>
    <w:rsid w:val="00E56BB9"/>
    <w:rsid w:val="00E56C36"/>
    <w:rsid w:val="00E56D0D"/>
    <w:rsid w:val="00E56DA4"/>
    <w:rsid w:val="00E56E65"/>
    <w:rsid w:val="00E56FAA"/>
    <w:rsid w:val="00E570F2"/>
    <w:rsid w:val="00E57225"/>
    <w:rsid w:val="00E5722E"/>
    <w:rsid w:val="00E572FC"/>
    <w:rsid w:val="00E5750C"/>
    <w:rsid w:val="00E57688"/>
    <w:rsid w:val="00E5771B"/>
    <w:rsid w:val="00E579B9"/>
    <w:rsid w:val="00E57AAA"/>
    <w:rsid w:val="00E57B86"/>
    <w:rsid w:val="00E57C34"/>
    <w:rsid w:val="00E57C95"/>
    <w:rsid w:val="00E57CFA"/>
    <w:rsid w:val="00E57E16"/>
    <w:rsid w:val="00E57F12"/>
    <w:rsid w:val="00E600D3"/>
    <w:rsid w:val="00E600EE"/>
    <w:rsid w:val="00E600FC"/>
    <w:rsid w:val="00E60139"/>
    <w:rsid w:val="00E60197"/>
    <w:rsid w:val="00E60291"/>
    <w:rsid w:val="00E602A8"/>
    <w:rsid w:val="00E602D0"/>
    <w:rsid w:val="00E603A2"/>
    <w:rsid w:val="00E60443"/>
    <w:rsid w:val="00E60473"/>
    <w:rsid w:val="00E6049E"/>
    <w:rsid w:val="00E60653"/>
    <w:rsid w:val="00E6068C"/>
    <w:rsid w:val="00E60746"/>
    <w:rsid w:val="00E60798"/>
    <w:rsid w:val="00E607A2"/>
    <w:rsid w:val="00E6089E"/>
    <w:rsid w:val="00E60A38"/>
    <w:rsid w:val="00E60AAD"/>
    <w:rsid w:val="00E60C31"/>
    <w:rsid w:val="00E60C77"/>
    <w:rsid w:val="00E60EB4"/>
    <w:rsid w:val="00E60FBF"/>
    <w:rsid w:val="00E6106E"/>
    <w:rsid w:val="00E6145A"/>
    <w:rsid w:val="00E614B2"/>
    <w:rsid w:val="00E615B3"/>
    <w:rsid w:val="00E616DF"/>
    <w:rsid w:val="00E6170D"/>
    <w:rsid w:val="00E617B5"/>
    <w:rsid w:val="00E61972"/>
    <w:rsid w:val="00E61A6B"/>
    <w:rsid w:val="00E61A96"/>
    <w:rsid w:val="00E61B72"/>
    <w:rsid w:val="00E61BD3"/>
    <w:rsid w:val="00E61CAD"/>
    <w:rsid w:val="00E61CE7"/>
    <w:rsid w:val="00E61F3E"/>
    <w:rsid w:val="00E62104"/>
    <w:rsid w:val="00E6215C"/>
    <w:rsid w:val="00E62391"/>
    <w:rsid w:val="00E624B4"/>
    <w:rsid w:val="00E62595"/>
    <w:rsid w:val="00E627A0"/>
    <w:rsid w:val="00E62970"/>
    <w:rsid w:val="00E62975"/>
    <w:rsid w:val="00E62A21"/>
    <w:rsid w:val="00E62DD6"/>
    <w:rsid w:val="00E62FA8"/>
    <w:rsid w:val="00E63118"/>
    <w:rsid w:val="00E63123"/>
    <w:rsid w:val="00E632BB"/>
    <w:rsid w:val="00E63330"/>
    <w:rsid w:val="00E633EB"/>
    <w:rsid w:val="00E6355A"/>
    <w:rsid w:val="00E6395F"/>
    <w:rsid w:val="00E639E4"/>
    <w:rsid w:val="00E63A80"/>
    <w:rsid w:val="00E63B5A"/>
    <w:rsid w:val="00E63B61"/>
    <w:rsid w:val="00E63BDA"/>
    <w:rsid w:val="00E63BF8"/>
    <w:rsid w:val="00E63D1E"/>
    <w:rsid w:val="00E63DC0"/>
    <w:rsid w:val="00E63E7C"/>
    <w:rsid w:val="00E64027"/>
    <w:rsid w:val="00E640AE"/>
    <w:rsid w:val="00E6418D"/>
    <w:rsid w:val="00E6427D"/>
    <w:rsid w:val="00E6435B"/>
    <w:rsid w:val="00E64377"/>
    <w:rsid w:val="00E64458"/>
    <w:rsid w:val="00E64523"/>
    <w:rsid w:val="00E64601"/>
    <w:rsid w:val="00E64626"/>
    <w:rsid w:val="00E64C18"/>
    <w:rsid w:val="00E64C72"/>
    <w:rsid w:val="00E64D16"/>
    <w:rsid w:val="00E64DB4"/>
    <w:rsid w:val="00E64DE9"/>
    <w:rsid w:val="00E64E1B"/>
    <w:rsid w:val="00E651C9"/>
    <w:rsid w:val="00E65318"/>
    <w:rsid w:val="00E6532D"/>
    <w:rsid w:val="00E65335"/>
    <w:rsid w:val="00E65337"/>
    <w:rsid w:val="00E65343"/>
    <w:rsid w:val="00E6538B"/>
    <w:rsid w:val="00E653F9"/>
    <w:rsid w:val="00E6540B"/>
    <w:rsid w:val="00E65459"/>
    <w:rsid w:val="00E654BD"/>
    <w:rsid w:val="00E655A7"/>
    <w:rsid w:val="00E65613"/>
    <w:rsid w:val="00E65712"/>
    <w:rsid w:val="00E65905"/>
    <w:rsid w:val="00E65984"/>
    <w:rsid w:val="00E659A6"/>
    <w:rsid w:val="00E659FD"/>
    <w:rsid w:val="00E65B4D"/>
    <w:rsid w:val="00E65C26"/>
    <w:rsid w:val="00E65DB6"/>
    <w:rsid w:val="00E65E3B"/>
    <w:rsid w:val="00E65F92"/>
    <w:rsid w:val="00E66059"/>
    <w:rsid w:val="00E66128"/>
    <w:rsid w:val="00E66145"/>
    <w:rsid w:val="00E66146"/>
    <w:rsid w:val="00E66199"/>
    <w:rsid w:val="00E66318"/>
    <w:rsid w:val="00E66532"/>
    <w:rsid w:val="00E66607"/>
    <w:rsid w:val="00E667E4"/>
    <w:rsid w:val="00E667E5"/>
    <w:rsid w:val="00E66818"/>
    <w:rsid w:val="00E66844"/>
    <w:rsid w:val="00E66A0C"/>
    <w:rsid w:val="00E66A50"/>
    <w:rsid w:val="00E66C39"/>
    <w:rsid w:val="00E66CED"/>
    <w:rsid w:val="00E66D00"/>
    <w:rsid w:val="00E66E58"/>
    <w:rsid w:val="00E66E7F"/>
    <w:rsid w:val="00E66F34"/>
    <w:rsid w:val="00E66FAB"/>
    <w:rsid w:val="00E66FB3"/>
    <w:rsid w:val="00E66FFC"/>
    <w:rsid w:val="00E67152"/>
    <w:rsid w:val="00E672B1"/>
    <w:rsid w:val="00E6730A"/>
    <w:rsid w:val="00E67322"/>
    <w:rsid w:val="00E673BB"/>
    <w:rsid w:val="00E673E5"/>
    <w:rsid w:val="00E6741E"/>
    <w:rsid w:val="00E6742B"/>
    <w:rsid w:val="00E6751D"/>
    <w:rsid w:val="00E6755A"/>
    <w:rsid w:val="00E6756C"/>
    <w:rsid w:val="00E67634"/>
    <w:rsid w:val="00E67845"/>
    <w:rsid w:val="00E6786B"/>
    <w:rsid w:val="00E67969"/>
    <w:rsid w:val="00E6797C"/>
    <w:rsid w:val="00E67B18"/>
    <w:rsid w:val="00E67BB6"/>
    <w:rsid w:val="00E67C1E"/>
    <w:rsid w:val="00E67C65"/>
    <w:rsid w:val="00E67EBA"/>
    <w:rsid w:val="00E67FEF"/>
    <w:rsid w:val="00E70109"/>
    <w:rsid w:val="00E701C6"/>
    <w:rsid w:val="00E701FA"/>
    <w:rsid w:val="00E70274"/>
    <w:rsid w:val="00E703D4"/>
    <w:rsid w:val="00E70806"/>
    <w:rsid w:val="00E70835"/>
    <w:rsid w:val="00E70A42"/>
    <w:rsid w:val="00E70A58"/>
    <w:rsid w:val="00E70A5F"/>
    <w:rsid w:val="00E70B69"/>
    <w:rsid w:val="00E70BCA"/>
    <w:rsid w:val="00E70BFA"/>
    <w:rsid w:val="00E70D7C"/>
    <w:rsid w:val="00E70DA1"/>
    <w:rsid w:val="00E70EBD"/>
    <w:rsid w:val="00E710EA"/>
    <w:rsid w:val="00E713EE"/>
    <w:rsid w:val="00E7140D"/>
    <w:rsid w:val="00E717BE"/>
    <w:rsid w:val="00E717C5"/>
    <w:rsid w:val="00E717D2"/>
    <w:rsid w:val="00E71807"/>
    <w:rsid w:val="00E718B9"/>
    <w:rsid w:val="00E7190C"/>
    <w:rsid w:val="00E719F3"/>
    <w:rsid w:val="00E71A5C"/>
    <w:rsid w:val="00E71A81"/>
    <w:rsid w:val="00E71B74"/>
    <w:rsid w:val="00E71D3F"/>
    <w:rsid w:val="00E71E33"/>
    <w:rsid w:val="00E71ECA"/>
    <w:rsid w:val="00E72024"/>
    <w:rsid w:val="00E72098"/>
    <w:rsid w:val="00E72209"/>
    <w:rsid w:val="00E72255"/>
    <w:rsid w:val="00E7226B"/>
    <w:rsid w:val="00E72421"/>
    <w:rsid w:val="00E72469"/>
    <w:rsid w:val="00E725AF"/>
    <w:rsid w:val="00E7263C"/>
    <w:rsid w:val="00E72670"/>
    <w:rsid w:val="00E7294E"/>
    <w:rsid w:val="00E7295D"/>
    <w:rsid w:val="00E72AFA"/>
    <w:rsid w:val="00E72BD6"/>
    <w:rsid w:val="00E72C4B"/>
    <w:rsid w:val="00E72D96"/>
    <w:rsid w:val="00E72DA9"/>
    <w:rsid w:val="00E72E88"/>
    <w:rsid w:val="00E72F83"/>
    <w:rsid w:val="00E73102"/>
    <w:rsid w:val="00E73113"/>
    <w:rsid w:val="00E7312F"/>
    <w:rsid w:val="00E731C3"/>
    <w:rsid w:val="00E7321C"/>
    <w:rsid w:val="00E7322B"/>
    <w:rsid w:val="00E73304"/>
    <w:rsid w:val="00E733F8"/>
    <w:rsid w:val="00E73478"/>
    <w:rsid w:val="00E73480"/>
    <w:rsid w:val="00E734BC"/>
    <w:rsid w:val="00E734D0"/>
    <w:rsid w:val="00E7370A"/>
    <w:rsid w:val="00E73778"/>
    <w:rsid w:val="00E737ED"/>
    <w:rsid w:val="00E73A21"/>
    <w:rsid w:val="00E73ADE"/>
    <w:rsid w:val="00E73B07"/>
    <w:rsid w:val="00E73B2C"/>
    <w:rsid w:val="00E73B79"/>
    <w:rsid w:val="00E73D45"/>
    <w:rsid w:val="00E73D63"/>
    <w:rsid w:val="00E73DA2"/>
    <w:rsid w:val="00E73E00"/>
    <w:rsid w:val="00E73EB1"/>
    <w:rsid w:val="00E73F0D"/>
    <w:rsid w:val="00E73F40"/>
    <w:rsid w:val="00E73F7D"/>
    <w:rsid w:val="00E73F86"/>
    <w:rsid w:val="00E73FD5"/>
    <w:rsid w:val="00E73FF8"/>
    <w:rsid w:val="00E740CD"/>
    <w:rsid w:val="00E74155"/>
    <w:rsid w:val="00E741B4"/>
    <w:rsid w:val="00E7428D"/>
    <w:rsid w:val="00E744FB"/>
    <w:rsid w:val="00E745AD"/>
    <w:rsid w:val="00E74645"/>
    <w:rsid w:val="00E74672"/>
    <w:rsid w:val="00E7489A"/>
    <w:rsid w:val="00E748BF"/>
    <w:rsid w:val="00E748C2"/>
    <w:rsid w:val="00E749E9"/>
    <w:rsid w:val="00E74A10"/>
    <w:rsid w:val="00E74AC0"/>
    <w:rsid w:val="00E74B22"/>
    <w:rsid w:val="00E74CB7"/>
    <w:rsid w:val="00E74D26"/>
    <w:rsid w:val="00E74DCB"/>
    <w:rsid w:val="00E74DE3"/>
    <w:rsid w:val="00E74E30"/>
    <w:rsid w:val="00E74EE1"/>
    <w:rsid w:val="00E74F21"/>
    <w:rsid w:val="00E750FA"/>
    <w:rsid w:val="00E751AB"/>
    <w:rsid w:val="00E75314"/>
    <w:rsid w:val="00E7534A"/>
    <w:rsid w:val="00E7535C"/>
    <w:rsid w:val="00E75377"/>
    <w:rsid w:val="00E75565"/>
    <w:rsid w:val="00E75769"/>
    <w:rsid w:val="00E757EB"/>
    <w:rsid w:val="00E75914"/>
    <w:rsid w:val="00E75AEB"/>
    <w:rsid w:val="00E75CDE"/>
    <w:rsid w:val="00E75DF5"/>
    <w:rsid w:val="00E75E02"/>
    <w:rsid w:val="00E75F2B"/>
    <w:rsid w:val="00E75F85"/>
    <w:rsid w:val="00E75F93"/>
    <w:rsid w:val="00E7600D"/>
    <w:rsid w:val="00E76011"/>
    <w:rsid w:val="00E76037"/>
    <w:rsid w:val="00E760EB"/>
    <w:rsid w:val="00E7622C"/>
    <w:rsid w:val="00E7622D"/>
    <w:rsid w:val="00E762A3"/>
    <w:rsid w:val="00E7635A"/>
    <w:rsid w:val="00E7642B"/>
    <w:rsid w:val="00E7647D"/>
    <w:rsid w:val="00E766C9"/>
    <w:rsid w:val="00E7678E"/>
    <w:rsid w:val="00E76792"/>
    <w:rsid w:val="00E767BF"/>
    <w:rsid w:val="00E7686F"/>
    <w:rsid w:val="00E769C5"/>
    <w:rsid w:val="00E76A01"/>
    <w:rsid w:val="00E76A39"/>
    <w:rsid w:val="00E76B15"/>
    <w:rsid w:val="00E76B58"/>
    <w:rsid w:val="00E76B90"/>
    <w:rsid w:val="00E76BF1"/>
    <w:rsid w:val="00E76C74"/>
    <w:rsid w:val="00E76D46"/>
    <w:rsid w:val="00E76F3C"/>
    <w:rsid w:val="00E77096"/>
    <w:rsid w:val="00E770FD"/>
    <w:rsid w:val="00E77158"/>
    <w:rsid w:val="00E771F0"/>
    <w:rsid w:val="00E77336"/>
    <w:rsid w:val="00E77354"/>
    <w:rsid w:val="00E7744B"/>
    <w:rsid w:val="00E774E2"/>
    <w:rsid w:val="00E7763B"/>
    <w:rsid w:val="00E777AC"/>
    <w:rsid w:val="00E77813"/>
    <w:rsid w:val="00E77873"/>
    <w:rsid w:val="00E77877"/>
    <w:rsid w:val="00E7788B"/>
    <w:rsid w:val="00E779D8"/>
    <w:rsid w:val="00E77A1F"/>
    <w:rsid w:val="00E77A7C"/>
    <w:rsid w:val="00E77ABE"/>
    <w:rsid w:val="00E77B85"/>
    <w:rsid w:val="00E77BB7"/>
    <w:rsid w:val="00E77C75"/>
    <w:rsid w:val="00E77D67"/>
    <w:rsid w:val="00E77DFB"/>
    <w:rsid w:val="00E77EFB"/>
    <w:rsid w:val="00E77FF9"/>
    <w:rsid w:val="00E8000F"/>
    <w:rsid w:val="00E80020"/>
    <w:rsid w:val="00E802C4"/>
    <w:rsid w:val="00E80380"/>
    <w:rsid w:val="00E803D4"/>
    <w:rsid w:val="00E80429"/>
    <w:rsid w:val="00E8066D"/>
    <w:rsid w:val="00E8079F"/>
    <w:rsid w:val="00E807B6"/>
    <w:rsid w:val="00E807EB"/>
    <w:rsid w:val="00E8087B"/>
    <w:rsid w:val="00E808A4"/>
    <w:rsid w:val="00E8094C"/>
    <w:rsid w:val="00E809B1"/>
    <w:rsid w:val="00E80A7A"/>
    <w:rsid w:val="00E80B64"/>
    <w:rsid w:val="00E80BA0"/>
    <w:rsid w:val="00E80D50"/>
    <w:rsid w:val="00E80DC7"/>
    <w:rsid w:val="00E80EE5"/>
    <w:rsid w:val="00E81174"/>
    <w:rsid w:val="00E81261"/>
    <w:rsid w:val="00E812BC"/>
    <w:rsid w:val="00E8135D"/>
    <w:rsid w:val="00E81485"/>
    <w:rsid w:val="00E814D3"/>
    <w:rsid w:val="00E81608"/>
    <w:rsid w:val="00E81732"/>
    <w:rsid w:val="00E817A0"/>
    <w:rsid w:val="00E817B9"/>
    <w:rsid w:val="00E8182C"/>
    <w:rsid w:val="00E8199D"/>
    <w:rsid w:val="00E8199E"/>
    <w:rsid w:val="00E81B76"/>
    <w:rsid w:val="00E81E52"/>
    <w:rsid w:val="00E81F8C"/>
    <w:rsid w:val="00E81FA1"/>
    <w:rsid w:val="00E81FE5"/>
    <w:rsid w:val="00E82050"/>
    <w:rsid w:val="00E820B9"/>
    <w:rsid w:val="00E8214E"/>
    <w:rsid w:val="00E82279"/>
    <w:rsid w:val="00E82427"/>
    <w:rsid w:val="00E82468"/>
    <w:rsid w:val="00E82681"/>
    <w:rsid w:val="00E82698"/>
    <w:rsid w:val="00E826F7"/>
    <w:rsid w:val="00E82796"/>
    <w:rsid w:val="00E827EA"/>
    <w:rsid w:val="00E82848"/>
    <w:rsid w:val="00E8293A"/>
    <w:rsid w:val="00E82B48"/>
    <w:rsid w:val="00E82B5E"/>
    <w:rsid w:val="00E82BF5"/>
    <w:rsid w:val="00E82C67"/>
    <w:rsid w:val="00E82D35"/>
    <w:rsid w:val="00E82D43"/>
    <w:rsid w:val="00E82DE5"/>
    <w:rsid w:val="00E82E2E"/>
    <w:rsid w:val="00E82F02"/>
    <w:rsid w:val="00E82F82"/>
    <w:rsid w:val="00E8307F"/>
    <w:rsid w:val="00E83181"/>
    <w:rsid w:val="00E831AA"/>
    <w:rsid w:val="00E831CA"/>
    <w:rsid w:val="00E831F7"/>
    <w:rsid w:val="00E83249"/>
    <w:rsid w:val="00E83384"/>
    <w:rsid w:val="00E83456"/>
    <w:rsid w:val="00E83558"/>
    <w:rsid w:val="00E83684"/>
    <w:rsid w:val="00E8385E"/>
    <w:rsid w:val="00E83870"/>
    <w:rsid w:val="00E8389D"/>
    <w:rsid w:val="00E83950"/>
    <w:rsid w:val="00E83A90"/>
    <w:rsid w:val="00E83ADB"/>
    <w:rsid w:val="00E83D99"/>
    <w:rsid w:val="00E83D9E"/>
    <w:rsid w:val="00E83ED4"/>
    <w:rsid w:val="00E84001"/>
    <w:rsid w:val="00E8407A"/>
    <w:rsid w:val="00E840AA"/>
    <w:rsid w:val="00E841A4"/>
    <w:rsid w:val="00E844B9"/>
    <w:rsid w:val="00E844BF"/>
    <w:rsid w:val="00E84549"/>
    <w:rsid w:val="00E84590"/>
    <w:rsid w:val="00E845A1"/>
    <w:rsid w:val="00E84640"/>
    <w:rsid w:val="00E84666"/>
    <w:rsid w:val="00E8479F"/>
    <w:rsid w:val="00E84819"/>
    <w:rsid w:val="00E84821"/>
    <w:rsid w:val="00E84889"/>
    <w:rsid w:val="00E848D2"/>
    <w:rsid w:val="00E84A7D"/>
    <w:rsid w:val="00E84AD4"/>
    <w:rsid w:val="00E84B65"/>
    <w:rsid w:val="00E84D4A"/>
    <w:rsid w:val="00E84EC2"/>
    <w:rsid w:val="00E84F0A"/>
    <w:rsid w:val="00E84FF1"/>
    <w:rsid w:val="00E850F7"/>
    <w:rsid w:val="00E85151"/>
    <w:rsid w:val="00E85174"/>
    <w:rsid w:val="00E851F6"/>
    <w:rsid w:val="00E85218"/>
    <w:rsid w:val="00E8521C"/>
    <w:rsid w:val="00E853A8"/>
    <w:rsid w:val="00E8549B"/>
    <w:rsid w:val="00E85534"/>
    <w:rsid w:val="00E85547"/>
    <w:rsid w:val="00E85599"/>
    <w:rsid w:val="00E855EC"/>
    <w:rsid w:val="00E856A2"/>
    <w:rsid w:val="00E8576E"/>
    <w:rsid w:val="00E85847"/>
    <w:rsid w:val="00E8586F"/>
    <w:rsid w:val="00E8589F"/>
    <w:rsid w:val="00E858B9"/>
    <w:rsid w:val="00E85A2F"/>
    <w:rsid w:val="00E85A92"/>
    <w:rsid w:val="00E85AF4"/>
    <w:rsid w:val="00E85C21"/>
    <w:rsid w:val="00E85C66"/>
    <w:rsid w:val="00E85CD0"/>
    <w:rsid w:val="00E86203"/>
    <w:rsid w:val="00E8634B"/>
    <w:rsid w:val="00E863E1"/>
    <w:rsid w:val="00E864B0"/>
    <w:rsid w:val="00E8673E"/>
    <w:rsid w:val="00E8679E"/>
    <w:rsid w:val="00E868C5"/>
    <w:rsid w:val="00E86A72"/>
    <w:rsid w:val="00E86CC3"/>
    <w:rsid w:val="00E86DA8"/>
    <w:rsid w:val="00E86E00"/>
    <w:rsid w:val="00E86F28"/>
    <w:rsid w:val="00E86F34"/>
    <w:rsid w:val="00E86FBA"/>
    <w:rsid w:val="00E87106"/>
    <w:rsid w:val="00E871D1"/>
    <w:rsid w:val="00E87203"/>
    <w:rsid w:val="00E8720C"/>
    <w:rsid w:val="00E872C1"/>
    <w:rsid w:val="00E87325"/>
    <w:rsid w:val="00E873F4"/>
    <w:rsid w:val="00E87404"/>
    <w:rsid w:val="00E87417"/>
    <w:rsid w:val="00E87432"/>
    <w:rsid w:val="00E87537"/>
    <w:rsid w:val="00E87538"/>
    <w:rsid w:val="00E87556"/>
    <w:rsid w:val="00E876A2"/>
    <w:rsid w:val="00E877CF"/>
    <w:rsid w:val="00E877F1"/>
    <w:rsid w:val="00E878AC"/>
    <w:rsid w:val="00E87954"/>
    <w:rsid w:val="00E879DC"/>
    <w:rsid w:val="00E87AE7"/>
    <w:rsid w:val="00E87C66"/>
    <w:rsid w:val="00E87CE7"/>
    <w:rsid w:val="00E87D04"/>
    <w:rsid w:val="00E87D78"/>
    <w:rsid w:val="00E87DAC"/>
    <w:rsid w:val="00E87DCB"/>
    <w:rsid w:val="00E87E1B"/>
    <w:rsid w:val="00E87EFA"/>
    <w:rsid w:val="00E9024F"/>
    <w:rsid w:val="00E90317"/>
    <w:rsid w:val="00E904D6"/>
    <w:rsid w:val="00E90657"/>
    <w:rsid w:val="00E9065C"/>
    <w:rsid w:val="00E90A41"/>
    <w:rsid w:val="00E90A82"/>
    <w:rsid w:val="00E90B64"/>
    <w:rsid w:val="00E90CCD"/>
    <w:rsid w:val="00E90EED"/>
    <w:rsid w:val="00E910A9"/>
    <w:rsid w:val="00E911DF"/>
    <w:rsid w:val="00E9123E"/>
    <w:rsid w:val="00E91303"/>
    <w:rsid w:val="00E9134B"/>
    <w:rsid w:val="00E9135B"/>
    <w:rsid w:val="00E913EF"/>
    <w:rsid w:val="00E914C9"/>
    <w:rsid w:val="00E914CC"/>
    <w:rsid w:val="00E91586"/>
    <w:rsid w:val="00E915A3"/>
    <w:rsid w:val="00E915BE"/>
    <w:rsid w:val="00E91650"/>
    <w:rsid w:val="00E91656"/>
    <w:rsid w:val="00E91657"/>
    <w:rsid w:val="00E916F6"/>
    <w:rsid w:val="00E9184C"/>
    <w:rsid w:val="00E91860"/>
    <w:rsid w:val="00E918BF"/>
    <w:rsid w:val="00E919D0"/>
    <w:rsid w:val="00E919D2"/>
    <w:rsid w:val="00E91AA9"/>
    <w:rsid w:val="00E91B31"/>
    <w:rsid w:val="00E91C3A"/>
    <w:rsid w:val="00E91C45"/>
    <w:rsid w:val="00E91E45"/>
    <w:rsid w:val="00E91F31"/>
    <w:rsid w:val="00E91FF6"/>
    <w:rsid w:val="00E92047"/>
    <w:rsid w:val="00E9204E"/>
    <w:rsid w:val="00E920A8"/>
    <w:rsid w:val="00E92126"/>
    <w:rsid w:val="00E92182"/>
    <w:rsid w:val="00E92239"/>
    <w:rsid w:val="00E922E0"/>
    <w:rsid w:val="00E9232D"/>
    <w:rsid w:val="00E924CF"/>
    <w:rsid w:val="00E92507"/>
    <w:rsid w:val="00E926A2"/>
    <w:rsid w:val="00E92714"/>
    <w:rsid w:val="00E92789"/>
    <w:rsid w:val="00E927D9"/>
    <w:rsid w:val="00E92D1E"/>
    <w:rsid w:val="00E92D50"/>
    <w:rsid w:val="00E92DB4"/>
    <w:rsid w:val="00E92F71"/>
    <w:rsid w:val="00E92FED"/>
    <w:rsid w:val="00E93159"/>
    <w:rsid w:val="00E931C8"/>
    <w:rsid w:val="00E93232"/>
    <w:rsid w:val="00E93410"/>
    <w:rsid w:val="00E93507"/>
    <w:rsid w:val="00E93549"/>
    <w:rsid w:val="00E9355E"/>
    <w:rsid w:val="00E9359C"/>
    <w:rsid w:val="00E935AA"/>
    <w:rsid w:val="00E9367D"/>
    <w:rsid w:val="00E93A81"/>
    <w:rsid w:val="00E93AAE"/>
    <w:rsid w:val="00E93AE3"/>
    <w:rsid w:val="00E93CC0"/>
    <w:rsid w:val="00E93CC1"/>
    <w:rsid w:val="00E93D32"/>
    <w:rsid w:val="00E93DA1"/>
    <w:rsid w:val="00E93DC6"/>
    <w:rsid w:val="00E93E7A"/>
    <w:rsid w:val="00E93EC7"/>
    <w:rsid w:val="00E93F6A"/>
    <w:rsid w:val="00E940B3"/>
    <w:rsid w:val="00E940E8"/>
    <w:rsid w:val="00E940FD"/>
    <w:rsid w:val="00E941D2"/>
    <w:rsid w:val="00E941F7"/>
    <w:rsid w:val="00E9429F"/>
    <w:rsid w:val="00E94528"/>
    <w:rsid w:val="00E9452F"/>
    <w:rsid w:val="00E945F1"/>
    <w:rsid w:val="00E948DF"/>
    <w:rsid w:val="00E94907"/>
    <w:rsid w:val="00E9491F"/>
    <w:rsid w:val="00E94964"/>
    <w:rsid w:val="00E949F5"/>
    <w:rsid w:val="00E94B65"/>
    <w:rsid w:val="00E94C57"/>
    <w:rsid w:val="00E94C85"/>
    <w:rsid w:val="00E94DB2"/>
    <w:rsid w:val="00E95031"/>
    <w:rsid w:val="00E95302"/>
    <w:rsid w:val="00E95327"/>
    <w:rsid w:val="00E953AD"/>
    <w:rsid w:val="00E95527"/>
    <w:rsid w:val="00E95541"/>
    <w:rsid w:val="00E95562"/>
    <w:rsid w:val="00E9557D"/>
    <w:rsid w:val="00E955A2"/>
    <w:rsid w:val="00E956A3"/>
    <w:rsid w:val="00E95731"/>
    <w:rsid w:val="00E957FA"/>
    <w:rsid w:val="00E9589A"/>
    <w:rsid w:val="00E958AB"/>
    <w:rsid w:val="00E958CF"/>
    <w:rsid w:val="00E9591F"/>
    <w:rsid w:val="00E95990"/>
    <w:rsid w:val="00E959BE"/>
    <w:rsid w:val="00E959EE"/>
    <w:rsid w:val="00E95C17"/>
    <w:rsid w:val="00E95D1F"/>
    <w:rsid w:val="00E95FD7"/>
    <w:rsid w:val="00E95FE5"/>
    <w:rsid w:val="00E960E4"/>
    <w:rsid w:val="00E9617C"/>
    <w:rsid w:val="00E961C4"/>
    <w:rsid w:val="00E96247"/>
    <w:rsid w:val="00E963B1"/>
    <w:rsid w:val="00E963B8"/>
    <w:rsid w:val="00E965B0"/>
    <w:rsid w:val="00E9662B"/>
    <w:rsid w:val="00E9692C"/>
    <w:rsid w:val="00E9696D"/>
    <w:rsid w:val="00E96A42"/>
    <w:rsid w:val="00E96BBD"/>
    <w:rsid w:val="00E96BD9"/>
    <w:rsid w:val="00E96C04"/>
    <w:rsid w:val="00E96C0A"/>
    <w:rsid w:val="00E96C4D"/>
    <w:rsid w:val="00E96D93"/>
    <w:rsid w:val="00E96E08"/>
    <w:rsid w:val="00E96EB6"/>
    <w:rsid w:val="00E96F05"/>
    <w:rsid w:val="00E96F1F"/>
    <w:rsid w:val="00E96F6D"/>
    <w:rsid w:val="00E97053"/>
    <w:rsid w:val="00E970B3"/>
    <w:rsid w:val="00E97165"/>
    <w:rsid w:val="00E9725D"/>
    <w:rsid w:val="00E9727F"/>
    <w:rsid w:val="00E9735A"/>
    <w:rsid w:val="00E97406"/>
    <w:rsid w:val="00E9740E"/>
    <w:rsid w:val="00E974CB"/>
    <w:rsid w:val="00E975B5"/>
    <w:rsid w:val="00E97626"/>
    <w:rsid w:val="00E9777C"/>
    <w:rsid w:val="00E977F4"/>
    <w:rsid w:val="00E977F7"/>
    <w:rsid w:val="00E978F7"/>
    <w:rsid w:val="00E979A8"/>
    <w:rsid w:val="00E97A16"/>
    <w:rsid w:val="00E97B85"/>
    <w:rsid w:val="00E97C7A"/>
    <w:rsid w:val="00E97FBA"/>
    <w:rsid w:val="00E97FCA"/>
    <w:rsid w:val="00E97FEC"/>
    <w:rsid w:val="00E97FFE"/>
    <w:rsid w:val="00EA0120"/>
    <w:rsid w:val="00EA0140"/>
    <w:rsid w:val="00EA0162"/>
    <w:rsid w:val="00EA0176"/>
    <w:rsid w:val="00EA01A1"/>
    <w:rsid w:val="00EA01D2"/>
    <w:rsid w:val="00EA01FC"/>
    <w:rsid w:val="00EA0347"/>
    <w:rsid w:val="00EA0696"/>
    <w:rsid w:val="00EA06F7"/>
    <w:rsid w:val="00EA079E"/>
    <w:rsid w:val="00EA0892"/>
    <w:rsid w:val="00EA08A6"/>
    <w:rsid w:val="00EA092A"/>
    <w:rsid w:val="00EA0961"/>
    <w:rsid w:val="00EA09C5"/>
    <w:rsid w:val="00EA0A0F"/>
    <w:rsid w:val="00EA0A3F"/>
    <w:rsid w:val="00EA0C00"/>
    <w:rsid w:val="00EA0C57"/>
    <w:rsid w:val="00EA0E38"/>
    <w:rsid w:val="00EA0EA5"/>
    <w:rsid w:val="00EA0EE0"/>
    <w:rsid w:val="00EA0FF1"/>
    <w:rsid w:val="00EA1130"/>
    <w:rsid w:val="00EA12BC"/>
    <w:rsid w:val="00EA1572"/>
    <w:rsid w:val="00EA178C"/>
    <w:rsid w:val="00EA1793"/>
    <w:rsid w:val="00EA181F"/>
    <w:rsid w:val="00EA18FE"/>
    <w:rsid w:val="00EA1971"/>
    <w:rsid w:val="00EA1979"/>
    <w:rsid w:val="00EA19BB"/>
    <w:rsid w:val="00EA1B9B"/>
    <w:rsid w:val="00EA1C69"/>
    <w:rsid w:val="00EA1CDE"/>
    <w:rsid w:val="00EA1CE8"/>
    <w:rsid w:val="00EA1EAD"/>
    <w:rsid w:val="00EA21BF"/>
    <w:rsid w:val="00EA2361"/>
    <w:rsid w:val="00EA23D8"/>
    <w:rsid w:val="00EA24D4"/>
    <w:rsid w:val="00EA256A"/>
    <w:rsid w:val="00EA2645"/>
    <w:rsid w:val="00EA26C9"/>
    <w:rsid w:val="00EA271A"/>
    <w:rsid w:val="00EA286C"/>
    <w:rsid w:val="00EA290F"/>
    <w:rsid w:val="00EA2A42"/>
    <w:rsid w:val="00EA2A81"/>
    <w:rsid w:val="00EA2B10"/>
    <w:rsid w:val="00EA2B20"/>
    <w:rsid w:val="00EA2B8F"/>
    <w:rsid w:val="00EA2C2B"/>
    <w:rsid w:val="00EA2C90"/>
    <w:rsid w:val="00EA2C95"/>
    <w:rsid w:val="00EA2D4F"/>
    <w:rsid w:val="00EA2E3D"/>
    <w:rsid w:val="00EA2ECD"/>
    <w:rsid w:val="00EA2F4A"/>
    <w:rsid w:val="00EA3026"/>
    <w:rsid w:val="00EA3074"/>
    <w:rsid w:val="00EA30A7"/>
    <w:rsid w:val="00EA30C8"/>
    <w:rsid w:val="00EA312D"/>
    <w:rsid w:val="00EA3411"/>
    <w:rsid w:val="00EA34BD"/>
    <w:rsid w:val="00EA3504"/>
    <w:rsid w:val="00EA3556"/>
    <w:rsid w:val="00EA35D1"/>
    <w:rsid w:val="00EA3601"/>
    <w:rsid w:val="00EA36A7"/>
    <w:rsid w:val="00EA36C2"/>
    <w:rsid w:val="00EA371F"/>
    <w:rsid w:val="00EA3729"/>
    <w:rsid w:val="00EA37E9"/>
    <w:rsid w:val="00EA3A76"/>
    <w:rsid w:val="00EA3B48"/>
    <w:rsid w:val="00EA3D1E"/>
    <w:rsid w:val="00EA3D81"/>
    <w:rsid w:val="00EA3EC3"/>
    <w:rsid w:val="00EA4168"/>
    <w:rsid w:val="00EA41EE"/>
    <w:rsid w:val="00EA434A"/>
    <w:rsid w:val="00EA438D"/>
    <w:rsid w:val="00EA43E9"/>
    <w:rsid w:val="00EA4457"/>
    <w:rsid w:val="00EA458B"/>
    <w:rsid w:val="00EA458C"/>
    <w:rsid w:val="00EA45C7"/>
    <w:rsid w:val="00EA45E6"/>
    <w:rsid w:val="00EA467A"/>
    <w:rsid w:val="00EA46AA"/>
    <w:rsid w:val="00EA47FE"/>
    <w:rsid w:val="00EA4819"/>
    <w:rsid w:val="00EA485C"/>
    <w:rsid w:val="00EA4870"/>
    <w:rsid w:val="00EA4890"/>
    <w:rsid w:val="00EA49D8"/>
    <w:rsid w:val="00EA49F2"/>
    <w:rsid w:val="00EA4A9E"/>
    <w:rsid w:val="00EA4AC4"/>
    <w:rsid w:val="00EA4B7A"/>
    <w:rsid w:val="00EA4C45"/>
    <w:rsid w:val="00EA4D0A"/>
    <w:rsid w:val="00EA4E7D"/>
    <w:rsid w:val="00EA4ED6"/>
    <w:rsid w:val="00EA4EEF"/>
    <w:rsid w:val="00EA4EFB"/>
    <w:rsid w:val="00EA4FEA"/>
    <w:rsid w:val="00EA5181"/>
    <w:rsid w:val="00EA5437"/>
    <w:rsid w:val="00EA5503"/>
    <w:rsid w:val="00EA55EC"/>
    <w:rsid w:val="00EA55F4"/>
    <w:rsid w:val="00EA5975"/>
    <w:rsid w:val="00EA597F"/>
    <w:rsid w:val="00EA59F5"/>
    <w:rsid w:val="00EA5A04"/>
    <w:rsid w:val="00EA5A4A"/>
    <w:rsid w:val="00EA5A8E"/>
    <w:rsid w:val="00EA5C8D"/>
    <w:rsid w:val="00EA5CBC"/>
    <w:rsid w:val="00EA5DDA"/>
    <w:rsid w:val="00EA5DE9"/>
    <w:rsid w:val="00EA5F49"/>
    <w:rsid w:val="00EA5FD2"/>
    <w:rsid w:val="00EA6004"/>
    <w:rsid w:val="00EA6016"/>
    <w:rsid w:val="00EA604D"/>
    <w:rsid w:val="00EA6064"/>
    <w:rsid w:val="00EA60BB"/>
    <w:rsid w:val="00EA60D6"/>
    <w:rsid w:val="00EA60F1"/>
    <w:rsid w:val="00EA611D"/>
    <w:rsid w:val="00EA63D3"/>
    <w:rsid w:val="00EA640F"/>
    <w:rsid w:val="00EA64E2"/>
    <w:rsid w:val="00EA655B"/>
    <w:rsid w:val="00EA6608"/>
    <w:rsid w:val="00EA663D"/>
    <w:rsid w:val="00EA66A5"/>
    <w:rsid w:val="00EA678D"/>
    <w:rsid w:val="00EA67F5"/>
    <w:rsid w:val="00EA687F"/>
    <w:rsid w:val="00EA68D3"/>
    <w:rsid w:val="00EA68E4"/>
    <w:rsid w:val="00EA6994"/>
    <w:rsid w:val="00EA6A4C"/>
    <w:rsid w:val="00EA6A66"/>
    <w:rsid w:val="00EA6B74"/>
    <w:rsid w:val="00EA6BB6"/>
    <w:rsid w:val="00EA6C45"/>
    <w:rsid w:val="00EA6D3E"/>
    <w:rsid w:val="00EA6F9A"/>
    <w:rsid w:val="00EA6FAD"/>
    <w:rsid w:val="00EA7008"/>
    <w:rsid w:val="00EA702E"/>
    <w:rsid w:val="00EA7043"/>
    <w:rsid w:val="00EA7067"/>
    <w:rsid w:val="00EA7223"/>
    <w:rsid w:val="00EA7381"/>
    <w:rsid w:val="00EA7681"/>
    <w:rsid w:val="00EA76E6"/>
    <w:rsid w:val="00EA7712"/>
    <w:rsid w:val="00EA7757"/>
    <w:rsid w:val="00EA7B95"/>
    <w:rsid w:val="00EA7D78"/>
    <w:rsid w:val="00EA7D9C"/>
    <w:rsid w:val="00EA7E1A"/>
    <w:rsid w:val="00EA7E5D"/>
    <w:rsid w:val="00EA7FC1"/>
    <w:rsid w:val="00EB008C"/>
    <w:rsid w:val="00EB00E5"/>
    <w:rsid w:val="00EB019B"/>
    <w:rsid w:val="00EB020A"/>
    <w:rsid w:val="00EB023C"/>
    <w:rsid w:val="00EB02CE"/>
    <w:rsid w:val="00EB02E7"/>
    <w:rsid w:val="00EB03FB"/>
    <w:rsid w:val="00EB0589"/>
    <w:rsid w:val="00EB05F7"/>
    <w:rsid w:val="00EB0626"/>
    <w:rsid w:val="00EB06BB"/>
    <w:rsid w:val="00EB0816"/>
    <w:rsid w:val="00EB0974"/>
    <w:rsid w:val="00EB0A0E"/>
    <w:rsid w:val="00EB0A82"/>
    <w:rsid w:val="00EB0BB8"/>
    <w:rsid w:val="00EB0CCB"/>
    <w:rsid w:val="00EB0DFD"/>
    <w:rsid w:val="00EB0EAF"/>
    <w:rsid w:val="00EB0F09"/>
    <w:rsid w:val="00EB0F2F"/>
    <w:rsid w:val="00EB0F49"/>
    <w:rsid w:val="00EB0F6A"/>
    <w:rsid w:val="00EB0F8C"/>
    <w:rsid w:val="00EB10E3"/>
    <w:rsid w:val="00EB1144"/>
    <w:rsid w:val="00EB1310"/>
    <w:rsid w:val="00EB1374"/>
    <w:rsid w:val="00EB1460"/>
    <w:rsid w:val="00EB148E"/>
    <w:rsid w:val="00EB14FC"/>
    <w:rsid w:val="00EB1580"/>
    <w:rsid w:val="00EB16E9"/>
    <w:rsid w:val="00EB171D"/>
    <w:rsid w:val="00EB1737"/>
    <w:rsid w:val="00EB1A4F"/>
    <w:rsid w:val="00EB1B77"/>
    <w:rsid w:val="00EB1C53"/>
    <w:rsid w:val="00EB1D3D"/>
    <w:rsid w:val="00EB1F49"/>
    <w:rsid w:val="00EB217D"/>
    <w:rsid w:val="00EB2213"/>
    <w:rsid w:val="00EB22B7"/>
    <w:rsid w:val="00EB242F"/>
    <w:rsid w:val="00EB2477"/>
    <w:rsid w:val="00EB2587"/>
    <w:rsid w:val="00EB260A"/>
    <w:rsid w:val="00EB265D"/>
    <w:rsid w:val="00EB2663"/>
    <w:rsid w:val="00EB26BF"/>
    <w:rsid w:val="00EB26CE"/>
    <w:rsid w:val="00EB2745"/>
    <w:rsid w:val="00EB27BD"/>
    <w:rsid w:val="00EB283D"/>
    <w:rsid w:val="00EB2858"/>
    <w:rsid w:val="00EB2864"/>
    <w:rsid w:val="00EB2ABF"/>
    <w:rsid w:val="00EB2B70"/>
    <w:rsid w:val="00EB2CBC"/>
    <w:rsid w:val="00EB2D4D"/>
    <w:rsid w:val="00EB2D8E"/>
    <w:rsid w:val="00EB2DD3"/>
    <w:rsid w:val="00EB2E80"/>
    <w:rsid w:val="00EB2ECB"/>
    <w:rsid w:val="00EB2FEC"/>
    <w:rsid w:val="00EB3061"/>
    <w:rsid w:val="00EB30A6"/>
    <w:rsid w:val="00EB3130"/>
    <w:rsid w:val="00EB324C"/>
    <w:rsid w:val="00EB32AE"/>
    <w:rsid w:val="00EB32FB"/>
    <w:rsid w:val="00EB3524"/>
    <w:rsid w:val="00EB3541"/>
    <w:rsid w:val="00EB3544"/>
    <w:rsid w:val="00EB3761"/>
    <w:rsid w:val="00EB3860"/>
    <w:rsid w:val="00EB3B7C"/>
    <w:rsid w:val="00EB3C94"/>
    <w:rsid w:val="00EB3D5D"/>
    <w:rsid w:val="00EB3F4E"/>
    <w:rsid w:val="00EB3F71"/>
    <w:rsid w:val="00EB4074"/>
    <w:rsid w:val="00EB40CC"/>
    <w:rsid w:val="00EB4400"/>
    <w:rsid w:val="00EB441D"/>
    <w:rsid w:val="00EB44B2"/>
    <w:rsid w:val="00EB4524"/>
    <w:rsid w:val="00EB4536"/>
    <w:rsid w:val="00EB456B"/>
    <w:rsid w:val="00EB45CB"/>
    <w:rsid w:val="00EB45E7"/>
    <w:rsid w:val="00EB4737"/>
    <w:rsid w:val="00EB4822"/>
    <w:rsid w:val="00EB4882"/>
    <w:rsid w:val="00EB48AF"/>
    <w:rsid w:val="00EB48C4"/>
    <w:rsid w:val="00EB4997"/>
    <w:rsid w:val="00EB49A4"/>
    <w:rsid w:val="00EB4A5E"/>
    <w:rsid w:val="00EB4B12"/>
    <w:rsid w:val="00EB4B15"/>
    <w:rsid w:val="00EB4C8F"/>
    <w:rsid w:val="00EB4D7E"/>
    <w:rsid w:val="00EB4E4C"/>
    <w:rsid w:val="00EB4E89"/>
    <w:rsid w:val="00EB50AF"/>
    <w:rsid w:val="00EB516C"/>
    <w:rsid w:val="00EB519C"/>
    <w:rsid w:val="00EB52EB"/>
    <w:rsid w:val="00EB5380"/>
    <w:rsid w:val="00EB53A8"/>
    <w:rsid w:val="00EB541D"/>
    <w:rsid w:val="00EB546A"/>
    <w:rsid w:val="00EB54BE"/>
    <w:rsid w:val="00EB558D"/>
    <w:rsid w:val="00EB5911"/>
    <w:rsid w:val="00EB59E5"/>
    <w:rsid w:val="00EB5A75"/>
    <w:rsid w:val="00EB5B89"/>
    <w:rsid w:val="00EB5B9E"/>
    <w:rsid w:val="00EB5BE1"/>
    <w:rsid w:val="00EB5C15"/>
    <w:rsid w:val="00EB5D7E"/>
    <w:rsid w:val="00EB5D9F"/>
    <w:rsid w:val="00EB5F3E"/>
    <w:rsid w:val="00EB5F68"/>
    <w:rsid w:val="00EB5FA4"/>
    <w:rsid w:val="00EB5FD8"/>
    <w:rsid w:val="00EB5FE6"/>
    <w:rsid w:val="00EB60F6"/>
    <w:rsid w:val="00EB6106"/>
    <w:rsid w:val="00EB6476"/>
    <w:rsid w:val="00EB64F0"/>
    <w:rsid w:val="00EB65B9"/>
    <w:rsid w:val="00EB6634"/>
    <w:rsid w:val="00EB6680"/>
    <w:rsid w:val="00EB66BD"/>
    <w:rsid w:val="00EB673A"/>
    <w:rsid w:val="00EB674C"/>
    <w:rsid w:val="00EB682D"/>
    <w:rsid w:val="00EB6864"/>
    <w:rsid w:val="00EB69E6"/>
    <w:rsid w:val="00EB6A57"/>
    <w:rsid w:val="00EB6A88"/>
    <w:rsid w:val="00EB6B11"/>
    <w:rsid w:val="00EB6BA4"/>
    <w:rsid w:val="00EB6CB4"/>
    <w:rsid w:val="00EB6CB8"/>
    <w:rsid w:val="00EB6D83"/>
    <w:rsid w:val="00EB6E16"/>
    <w:rsid w:val="00EB6E98"/>
    <w:rsid w:val="00EB6F73"/>
    <w:rsid w:val="00EB70F7"/>
    <w:rsid w:val="00EB713D"/>
    <w:rsid w:val="00EB716F"/>
    <w:rsid w:val="00EB737E"/>
    <w:rsid w:val="00EB7384"/>
    <w:rsid w:val="00EB73CD"/>
    <w:rsid w:val="00EB7442"/>
    <w:rsid w:val="00EB745B"/>
    <w:rsid w:val="00EB7503"/>
    <w:rsid w:val="00EB7622"/>
    <w:rsid w:val="00EB762F"/>
    <w:rsid w:val="00EB76E2"/>
    <w:rsid w:val="00EB76E6"/>
    <w:rsid w:val="00EB7737"/>
    <w:rsid w:val="00EB7777"/>
    <w:rsid w:val="00EB7846"/>
    <w:rsid w:val="00EB7880"/>
    <w:rsid w:val="00EB78D2"/>
    <w:rsid w:val="00EB7900"/>
    <w:rsid w:val="00EB7A13"/>
    <w:rsid w:val="00EB7AE8"/>
    <w:rsid w:val="00EB7AF3"/>
    <w:rsid w:val="00EB7BF9"/>
    <w:rsid w:val="00EB7C06"/>
    <w:rsid w:val="00EB7D7A"/>
    <w:rsid w:val="00EB7F1D"/>
    <w:rsid w:val="00EB7F5A"/>
    <w:rsid w:val="00EC0009"/>
    <w:rsid w:val="00EC0092"/>
    <w:rsid w:val="00EC00B3"/>
    <w:rsid w:val="00EC0115"/>
    <w:rsid w:val="00EC0183"/>
    <w:rsid w:val="00EC0251"/>
    <w:rsid w:val="00EC03F0"/>
    <w:rsid w:val="00EC057B"/>
    <w:rsid w:val="00EC06B1"/>
    <w:rsid w:val="00EC0876"/>
    <w:rsid w:val="00EC08F8"/>
    <w:rsid w:val="00EC0B4E"/>
    <w:rsid w:val="00EC0B93"/>
    <w:rsid w:val="00EC0C18"/>
    <w:rsid w:val="00EC0C59"/>
    <w:rsid w:val="00EC0C7A"/>
    <w:rsid w:val="00EC0CE0"/>
    <w:rsid w:val="00EC0DAF"/>
    <w:rsid w:val="00EC0DC4"/>
    <w:rsid w:val="00EC0DD3"/>
    <w:rsid w:val="00EC0E51"/>
    <w:rsid w:val="00EC0F15"/>
    <w:rsid w:val="00EC0FF3"/>
    <w:rsid w:val="00EC107F"/>
    <w:rsid w:val="00EC10A1"/>
    <w:rsid w:val="00EC1120"/>
    <w:rsid w:val="00EC115C"/>
    <w:rsid w:val="00EC128C"/>
    <w:rsid w:val="00EC136F"/>
    <w:rsid w:val="00EC144D"/>
    <w:rsid w:val="00EC158C"/>
    <w:rsid w:val="00EC1643"/>
    <w:rsid w:val="00EC17A8"/>
    <w:rsid w:val="00EC18FA"/>
    <w:rsid w:val="00EC195B"/>
    <w:rsid w:val="00EC1A7E"/>
    <w:rsid w:val="00EC1ADA"/>
    <w:rsid w:val="00EC1C57"/>
    <w:rsid w:val="00EC1CDE"/>
    <w:rsid w:val="00EC1E96"/>
    <w:rsid w:val="00EC1ED4"/>
    <w:rsid w:val="00EC2277"/>
    <w:rsid w:val="00EC23BD"/>
    <w:rsid w:val="00EC23FF"/>
    <w:rsid w:val="00EC2486"/>
    <w:rsid w:val="00EC25E9"/>
    <w:rsid w:val="00EC2607"/>
    <w:rsid w:val="00EC2638"/>
    <w:rsid w:val="00EC2655"/>
    <w:rsid w:val="00EC26A9"/>
    <w:rsid w:val="00EC270A"/>
    <w:rsid w:val="00EC276E"/>
    <w:rsid w:val="00EC27F6"/>
    <w:rsid w:val="00EC296C"/>
    <w:rsid w:val="00EC298B"/>
    <w:rsid w:val="00EC299C"/>
    <w:rsid w:val="00EC2ACC"/>
    <w:rsid w:val="00EC2B53"/>
    <w:rsid w:val="00EC2C0F"/>
    <w:rsid w:val="00EC2D36"/>
    <w:rsid w:val="00EC2D75"/>
    <w:rsid w:val="00EC2DED"/>
    <w:rsid w:val="00EC2E7A"/>
    <w:rsid w:val="00EC2EAE"/>
    <w:rsid w:val="00EC2F2C"/>
    <w:rsid w:val="00EC2F62"/>
    <w:rsid w:val="00EC2FD9"/>
    <w:rsid w:val="00EC302B"/>
    <w:rsid w:val="00EC319B"/>
    <w:rsid w:val="00EC35DE"/>
    <w:rsid w:val="00EC3788"/>
    <w:rsid w:val="00EC37D6"/>
    <w:rsid w:val="00EC3814"/>
    <w:rsid w:val="00EC3828"/>
    <w:rsid w:val="00EC384A"/>
    <w:rsid w:val="00EC384B"/>
    <w:rsid w:val="00EC38D6"/>
    <w:rsid w:val="00EC394A"/>
    <w:rsid w:val="00EC3A2B"/>
    <w:rsid w:val="00EC3AD5"/>
    <w:rsid w:val="00EC3CC7"/>
    <w:rsid w:val="00EC3E85"/>
    <w:rsid w:val="00EC3F0B"/>
    <w:rsid w:val="00EC3FCD"/>
    <w:rsid w:val="00EC3FEF"/>
    <w:rsid w:val="00EC4142"/>
    <w:rsid w:val="00EC4269"/>
    <w:rsid w:val="00EC4364"/>
    <w:rsid w:val="00EC4531"/>
    <w:rsid w:val="00EC4559"/>
    <w:rsid w:val="00EC461F"/>
    <w:rsid w:val="00EC4654"/>
    <w:rsid w:val="00EC46E6"/>
    <w:rsid w:val="00EC46EC"/>
    <w:rsid w:val="00EC4B8F"/>
    <w:rsid w:val="00EC4BED"/>
    <w:rsid w:val="00EC4C74"/>
    <w:rsid w:val="00EC4CA8"/>
    <w:rsid w:val="00EC4CC5"/>
    <w:rsid w:val="00EC50BC"/>
    <w:rsid w:val="00EC50E4"/>
    <w:rsid w:val="00EC51EE"/>
    <w:rsid w:val="00EC52CB"/>
    <w:rsid w:val="00EC538E"/>
    <w:rsid w:val="00EC5457"/>
    <w:rsid w:val="00EC54CB"/>
    <w:rsid w:val="00EC56D2"/>
    <w:rsid w:val="00EC578A"/>
    <w:rsid w:val="00EC57CC"/>
    <w:rsid w:val="00EC582F"/>
    <w:rsid w:val="00EC59DD"/>
    <w:rsid w:val="00EC5B79"/>
    <w:rsid w:val="00EC5BD3"/>
    <w:rsid w:val="00EC5BEB"/>
    <w:rsid w:val="00EC5C56"/>
    <w:rsid w:val="00EC5C6C"/>
    <w:rsid w:val="00EC5C78"/>
    <w:rsid w:val="00EC5EAB"/>
    <w:rsid w:val="00EC5F7F"/>
    <w:rsid w:val="00EC6038"/>
    <w:rsid w:val="00EC60C8"/>
    <w:rsid w:val="00EC6226"/>
    <w:rsid w:val="00EC623E"/>
    <w:rsid w:val="00EC629B"/>
    <w:rsid w:val="00EC63F1"/>
    <w:rsid w:val="00EC6448"/>
    <w:rsid w:val="00EC6476"/>
    <w:rsid w:val="00EC64CA"/>
    <w:rsid w:val="00EC66E1"/>
    <w:rsid w:val="00EC682F"/>
    <w:rsid w:val="00EC6832"/>
    <w:rsid w:val="00EC699A"/>
    <w:rsid w:val="00EC69A7"/>
    <w:rsid w:val="00EC6A8D"/>
    <w:rsid w:val="00EC6B55"/>
    <w:rsid w:val="00EC6DCB"/>
    <w:rsid w:val="00EC6E58"/>
    <w:rsid w:val="00EC6E7C"/>
    <w:rsid w:val="00EC6F20"/>
    <w:rsid w:val="00EC6F53"/>
    <w:rsid w:val="00EC7049"/>
    <w:rsid w:val="00EC70AF"/>
    <w:rsid w:val="00EC71D4"/>
    <w:rsid w:val="00EC72A0"/>
    <w:rsid w:val="00EC72BB"/>
    <w:rsid w:val="00EC72C4"/>
    <w:rsid w:val="00EC7334"/>
    <w:rsid w:val="00EC7439"/>
    <w:rsid w:val="00EC74DA"/>
    <w:rsid w:val="00EC75AA"/>
    <w:rsid w:val="00EC768E"/>
    <w:rsid w:val="00EC76A5"/>
    <w:rsid w:val="00EC7705"/>
    <w:rsid w:val="00EC7ABB"/>
    <w:rsid w:val="00EC7AC2"/>
    <w:rsid w:val="00EC7B66"/>
    <w:rsid w:val="00EC7BDE"/>
    <w:rsid w:val="00EC7C29"/>
    <w:rsid w:val="00EC7CB1"/>
    <w:rsid w:val="00EC7CF4"/>
    <w:rsid w:val="00EC7E0A"/>
    <w:rsid w:val="00EC7E1E"/>
    <w:rsid w:val="00ED006C"/>
    <w:rsid w:val="00ED0072"/>
    <w:rsid w:val="00ED00BF"/>
    <w:rsid w:val="00ED00E5"/>
    <w:rsid w:val="00ED014E"/>
    <w:rsid w:val="00ED01D9"/>
    <w:rsid w:val="00ED020B"/>
    <w:rsid w:val="00ED023F"/>
    <w:rsid w:val="00ED0629"/>
    <w:rsid w:val="00ED0688"/>
    <w:rsid w:val="00ED07C4"/>
    <w:rsid w:val="00ED0834"/>
    <w:rsid w:val="00ED08DF"/>
    <w:rsid w:val="00ED093B"/>
    <w:rsid w:val="00ED09FA"/>
    <w:rsid w:val="00ED0A24"/>
    <w:rsid w:val="00ED0A56"/>
    <w:rsid w:val="00ED0BB4"/>
    <w:rsid w:val="00ED0BE2"/>
    <w:rsid w:val="00ED0C92"/>
    <w:rsid w:val="00ED0E5C"/>
    <w:rsid w:val="00ED0E6E"/>
    <w:rsid w:val="00ED0E77"/>
    <w:rsid w:val="00ED0EBA"/>
    <w:rsid w:val="00ED0F16"/>
    <w:rsid w:val="00ED0F39"/>
    <w:rsid w:val="00ED109F"/>
    <w:rsid w:val="00ED1274"/>
    <w:rsid w:val="00ED138E"/>
    <w:rsid w:val="00ED13D8"/>
    <w:rsid w:val="00ED13EA"/>
    <w:rsid w:val="00ED1434"/>
    <w:rsid w:val="00ED14B2"/>
    <w:rsid w:val="00ED154C"/>
    <w:rsid w:val="00ED15CB"/>
    <w:rsid w:val="00ED1692"/>
    <w:rsid w:val="00ED16D6"/>
    <w:rsid w:val="00ED1727"/>
    <w:rsid w:val="00ED17A5"/>
    <w:rsid w:val="00ED189A"/>
    <w:rsid w:val="00ED18B6"/>
    <w:rsid w:val="00ED1BD3"/>
    <w:rsid w:val="00ED1CE4"/>
    <w:rsid w:val="00ED1EDF"/>
    <w:rsid w:val="00ED1F61"/>
    <w:rsid w:val="00ED20CC"/>
    <w:rsid w:val="00ED2200"/>
    <w:rsid w:val="00ED22E8"/>
    <w:rsid w:val="00ED2362"/>
    <w:rsid w:val="00ED24F9"/>
    <w:rsid w:val="00ED2568"/>
    <w:rsid w:val="00ED25BF"/>
    <w:rsid w:val="00ED2620"/>
    <w:rsid w:val="00ED263A"/>
    <w:rsid w:val="00ED268E"/>
    <w:rsid w:val="00ED26EF"/>
    <w:rsid w:val="00ED2711"/>
    <w:rsid w:val="00ED2730"/>
    <w:rsid w:val="00ED2794"/>
    <w:rsid w:val="00ED29C7"/>
    <w:rsid w:val="00ED2A8D"/>
    <w:rsid w:val="00ED2B33"/>
    <w:rsid w:val="00ED2D71"/>
    <w:rsid w:val="00ED2DF1"/>
    <w:rsid w:val="00ED2EC5"/>
    <w:rsid w:val="00ED2FDB"/>
    <w:rsid w:val="00ED32FF"/>
    <w:rsid w:val="00ED357A"/>
    <w:rsid w:val="00ED366C"/>
    <w:rsid w:val="00ED36BF"/>
    <w:rsid w:val="00ED36CF"/>
    <w:rsid w:val="00ED3711"/>
    <w:rsid w:val="00ED3ACD"/>
    <w:rsid w:val="00ED3CDE"/>
    <w:rsid w:val="00ED3D51"/>
    <w:rsid w:val="00ED3F18"/>
    <w:rsid w:val="00ED4049"/>
    <w:rsid w:val="00ED4083"/>
    <w:rsid w:val="00ED40AF"/>
    <w:rsid w:val="00ED4105"/>
    <w:rsid w:val="00ED41F4"/>
    <w:rsid w:val="00ED4257"/>
    <w:rsid w:val="00ED433D"/>
    <w:rsid w:val="00ED4341"/>
    <w:rsid w:val="00ED4451"/>
    <w:rsid w:val="00ED449A"/>
    <w:rsid w:val="00ED451B"/>
    <w:rsid w:val="00ED46E7"/>
    <w:rsid w:val="00ED4847"/>
    <w:rsid w:val="00ED48E8"/>
    <w:rsid w:val="00ED4A05"/>
    <w:rsid w:val="00ED4A1E"/>
    <w:rsid w:val="00ED4ABE"/>
    <w:rsid w:val="00ED4B11"/>
    <w:rsid w:val="00ED4BEE"/>
    <w:rsid w:val="00ED4C19"/>
    <w:rsid w:val="00ED4EC2"/>
    <w:rsid w:val="00ED4EE8"/>
    <w:rsid w:val="00ED506B"/>
    <w:rsid w:val="00ED50E9"/>
    <w:rsid w:val="00ED52B5"/>
    <w:rsid w:val="00ED537A"/>
    <w:rsid w:val="00ED53A6"/>
    <w:rsid w:val="00ED5423"/>
    <w:rsid w:val="00ED54EA"/>
    <w:rsid w:val="00ED565A"/>
    <w:rsid w:val="00ED568F"/>
    <w:rsid w:val="00ED576A"/>
    <w:rsid w:val="00ED5773"/>
    <w:rsid w:val="00ED57F9"/>
    <w:rsid w:val="00ED5853"/>
    <w:rsid w:val="00ED5B64"/>
    <w:rsid w:val="00ED5C8E"/>
    <w:rsid w:val="00ED5CFA"/>
    <w:rsid w:val="00ED5F15"/>
    <w:rsid w:val="00ED5F82"/>
    <w:rsid w:val="00ED5FF3"/>
    <w:rsid w:val="00ED6078"/>
    <w:rsid w:val="00ED6217"/>
    <w:rsid w:val="00ED62DA"/>
    <w:rsid w:val="00ED6325"/>
    <w:rsid w:val="00ED6550"/>
    <w:rsid w:val="00ED65E1"/>
    <w:rsid w:val="00ED6673"/>
    <w:rsid w:val="00ED699E"/>
    <w:rsid w:val="00ED6C2D"/>
    <w:rsid w:val="00ED6D7E"/>
    <w:rsid w:val="00ED6DC5"/>
    <w:rsid w:val="00ED6DF6"/>
    <w:rsid w:val="00ED7040"/>
    <w:rsid w:val="00ED7230"/>
    <w:rsid w:val="00ED7415"/>
    <w:rsid w:val="00ED74E4"/>
    <w:rsid w:val="00ED7568"/>
    <w:rsid w:val="00ED7597"/>
    <w:rsid w:val="00ED7682"/>
    <w:rsid w:val="00ED77CD"/>
    <w:rsid w:val="00ED78E8"/>
    <w:rsid w:val="00ED78F9"/>
    <w:rsid w:val="00ED79BB"/>
    <w:rsid w:val="00ED7B16"/>
    <w:rsid w:val="00ED7B6E"/>
    <w:rsid w:val="00ED7D56"/>
    <w:rsid w:val="00ED7E38"/>
    <w:rsid w:val="00EE0012"/>
    <w:rsid w:val="00EE003A"/>
    <w:rsid w:val="00EE00D0"/>
    <w:rsid w:val="00EE00E3"/>
    <w:rsid w:val="00EE047D"/>
    <w:rsid w:val="00EE04A1"/>
    <w:rsid w:val="00EE05F8"/>
    <w:rsid w:val="00EE073F"/>
    <w:rsid w:val="00EE0795"/>
    <w:rsid w:val="00EE081F"/>
    <w:rsid w:val="00EE0964"/>
    <w:rsid w:val="00EE099E"/>
    <w:rsid w:val="00EE0AE2"/>
    <w:rsid w:val="00EE0AEF"/>
    <w:rsid w:val="00EE0E17"/>
    <w:rsid w:val="00EE0EAA"/>
    <w:rsid w:val="00EE0EEE"/>
    <w:rsid w:val="00EE0EF2"/>
    <w:rsid w:val="00EE0F3C"/>
    <w:rsid w:val="00EE0F61"/>
    <w:rsid w:val="00EE105B"/>
    <w:rsid w:val="00EE111B"/>
    <w:rsid w:val="00EE113C"/>
    <w:rsid w:val="00EE117E"/>
    <w:rsid w:val="00EE13FE"/>
    <w:rsid w:val="00EE1431"/>
    <w:rsid w:val="00EE14CC"/>
    <w:rsid w:val="00EE1547"/>
    <w:rsid w:val="00EE1632"/>
    <w:rsid w:val="00EE179A"/>
    <w:rsid w:val="00EE18BE"/>
    <w:rsid w:val="00EE192C"/>
    <w:rsid w:val="00EE1A00"/>
    <w:rsid w:val="00EE1B40"/>
    <w:rsid w:val="00EE1B5D"/>
    <w:rsid w:val="00EE1B81"/>
    <w:rsid w:val="00EE1C44"/>
    <w:rsid w:val="00EE1CE6"/>
    <w:rsid w:val="00EE1D4C"/>
    <w:rsid w:val="00EE1DAE"/>
    <w:rsid w:val="00EE1FF7"/>
    <w:rsid w:val="00EE2017"/>
    <w:rsid w:val="00EE217A"/>
    <w:rsid w:val="00EE220C"/>
    <w:rsid w:val="00EE22E5"/>
    <w:rsid w:val="00EE22E7"/>
    <w:rsid w:val="00EE231C"/>
    <w:rsid w:val="00EE24DD"/>
    <w:rsid w:val="00EE2533"/>
    <w:rsid w:val="00EE25FE"/>
    <w:rsid w:val="00EE260E"/>
    <w:rsid w:val="00EE2775"/>
    <w:rsid w:val="00EE277B"/>
    <w:rsid w:val="00EE27B1"/>
    <w:rsid w:val="00EE280F"/>
    <w:rsid w:val="00EE2869"/>
    <w:rsid w:val="00EE28B0"/>
    <w:rsid w:val="00EE2AA1"/>
    <w:rsid w:val="00EE2BF5"/>
    <w:rsid w:val="00EE2C3F"/>
    <w:rsid w:val="00EE2C4C"/>
    <w:rsid w:val="00EE2CD6"/>
    <w:rsid w:val="00EE2D94"/>
    <w:rsid w:val="00EE2DA7"/>
    <w:rsid w:val="00EE2DFF"/>
    <w:rsid w:val="00EE2FA7"/>
    <w:rsid w:val="00EE3051"/>
    <w:rsid w:val="00EE3117"/>
    <w:rsid w:val="00EE333B"/>
    <w:rsid w:val="00EE3406"/>
    <w:rsid w:val="00EE351D"/>
    <w:rsid w:val="00EE3548"/>
    <w:rsid w:val="00EE35F2"/>
    <w:rsid w:val="00EE3989"/>
    <w:rsid w:val="00EE3A90"/>
    <w:rsid w:val="00EE3C5F"/>
    <w:rsid w:val="00EE3E1A"/>
    <w:rsid w:val="00EE3E26"/>
    <w:rsid w:val="00EE3E6F"/>
    <w:rsid w:val="00EE3EBC"/>
    <w:rsid w:val="00EE409F"/>
    <w:rsid w:val="00EE40FC"/>
    <w:rsid w:val="00EE4122"/>
    <w:rsid w:val="00EE413C"/>
    <w:rsid w:val="00EE41F9"/>
    <w:rsid w:val="00EE4240"/>
    <w:rsid w:val="00EE4248"/>
    <w:rsid w:val="00EE4448"/>
    <w:rsid w:val="00EE452E"/>
    <w:rsid w:val="00EE4999"/>
    <w:rsid w:val="00EE49EB"/>
    <w:rsid w:val="00EE4AF4"/>
    <w:rsid w:val="00EE4B93"/>
    <w:rsid w:val="00EE4D30"/>
    <w:rsid w:val="00EE4DCE"/>
    <w:rsid w:val="00EE4E6D"/>
    <w:rsid w:val="00EE4ED3"/>
    <w:rsid w:val="00EE4F6C"/>
    <w:rsid w:val="00EE4F75"/>
    <w:rsid w:val="00EE4FE2"/>
    <w:rsid w:val="00EE5001"/>
    <w:rsid w:val="00EE501D"/>
    <w:rsid w:val="00EE50D6"/>
    <w:rsid w:val="00EE5119"/>
    <w:rsid w:val="00EE5161"/>
    <w:rsid w:val="00EE527D"/>
    <w:rsid w:val="00EE52AC"/>
    <w:rsid w:val="00EE53E1"/>
    <w:rsid w:val="00EE54E1"/>
    <w:rsid w:val="00EE5508"/>
    <w:rsid w:val="00EE563F"/>
    <w:rsid w:val="00EE569C"/>
    <w:rsid w:val="00EE5742"/>
    <w:rsid w:val="00EE57F0"/>
    <w:rsid w:val="00EE57FF"/>
    <w:rsid w:val="00EE586D"/>
    <w:rsid w:val="00EE59BB"/>
    <w:rsid w:val="00EE59CC"/>
    <w:rsid w:val="00EE5B48"/>
    <w:rsid w:val="00EE5B92"/>
    <w:rsid w:val="00EE5C0C"/>
    <w:rsid w:val="00EE5E79"/>
    <w:rsid w:val="00EE609E"/>
    <w:rsid w:val="00EE61F3"/>
    <w:rsid w:val="00EE643B"/>
    <w:rsid w:val="00EE64C8"/>
    <w:rsid w:val="00EE64F8"/>
    <w:rsid w:val="00EE681D"/>
    <w:rsid w:val="00EE6875"/>
    <w:rsid w:val="00EE68DB"/>
    <w:rsid w:val="00EE6A99"/>
    <w:rsid w:val="00EE6AED"/>
    <w:rsid w:val="00EE6B3F"/>
    <w:rsid w:val="00EE6BAD"/>
    <w:rsid w:val="00EE6C6C"/>
    <w:rsid w:val="00EE6DD8"/>
    <w:rsid w:val="00EE701D"/>
    <w:rsid w:val="00EE73C8"/>
    <w:rsid w:val="00EE748C"/>
    <w:rsid w:val="00EE765F"/>
    <w:rsid w:val="00EE76F8"/>
    <w:rsid w:val="00EE781E"/>
    <w:rsid w:val="00EE78E3"/>
    <w:rsid w:val="00EE7914"/>
    <w:rsid w:val="00EE7919"/>
    <w:rsid w:val="00EE79D9"/>
    <w:rsid w:val="00EE7AC5"/>
    <w:rsid w:val="00EE7DEA"/>
    <w:rsid w:val="00EE7EB6"/>
    <w:rsid w:val="00EE7FB4"/>
    <w:rsid w:val="00EF0059"/>
    <w:rsid w:val="00EF00F9"/>
    <w:rsid w:val="00EF012B"/>
    <w:rsid w:val="00EF0161"/>
    <w:rsid w:val="00EF02A0"/>
    <w:rsid w:val="00EF02C3"/>
    <w:rsid w:val="00EF0332"/>
    <w:rsid w:val="00EF03CA"/>
    <w:rsid w:val="00EF03FD"/>
    <w:rsid w:val="00EF0696"/>
    <w:rsid w:val="00EF072C"/>
    <w:rsid w:val="00EF0749"/>
    <w:rsid w:val="00EF078C"/>
    <w:rsid w:val="00EF07A6"/>
    <w:rsid w:val="00EF07C0"/>
    <w:rsid w:val="00EF0859"/>
    <w:rsid w:val="00EF0886"/>
    <w:rsid w:val="00EF08A6"/>
    <w:rsid w:val="00EF0903"/>
    <w:rsid w:val="00EF0935"/>
    <w:rsid w:val="00EF0975"/>
    <w:rsid w:val="00EF0A0B"/>
    <w:rsid w:val="00EF0A12"/>
    <w:rsid w:val="00EF0AAD"/>
    <w:rsid w:val="00EF0AC6"/>
    <w:rsid w:val="00EF0B39"/>
    <w:rsid w:val="00EF0BE0"/>
    <w:rsid w:val="00EF0C15"/>
    <w:rsid w:val="00EF0C16"/>
    <w:rsid w:val="00EF0C6E"/>
    <w:rsid w:val="00EF1094"/>
    <w:rsid w:val="00EF124A"/>
    <w:rsid w:val="00EF12FE"/>
    <w:rsid w:val="00EF1418"/>
    <w:rsid w:val="00EF14D5"/>
    <w:rsid w:val="00EF15C5"/>
    <w:rsid w:val="00EF1696"/>
    <w:rsid w:val="00EF16FD"/>
    <w:rsid w:val="00EF18A1"/>
    <w:rsid w:val="00EF19F2"/>
    <w:rsid w:val="00EF1CD2"/>
    <w:rsid w:val="00EF1D01"/>
    <w:rsid w:val="00EF1DA3"/>
    <w:rsid w:val="00EF1DB0"/>
    <w:rsid w:val="00EF1DD7"/>
    <w:rsid w:val="00EF1F28"/>
    <w:rsid w:val="00EF2112"/>
    <w:rsid w:val="00EF216F"/>
    <w:rsid w:val="00EF222B"/>
    <w:rsid w:val="00EF2495"/>
    <w:rsid w:val="00EF25DC"/>
    <w:rsid w:val="00EF25F4"/>
    <w:rsid w:val="00EF277A"/>
    <w:rsid w:val="00EF27AF"/>
    <w:rsid w:val="00EF2894"/>
    <w:rsid w:val="00EF28EA"/>
    <w:rsid w:val="00EF290E"/>
    <w:rsid w:val="00EF2C58"/>
    <w:rsid w:val="00EF2FC3"/>
    <w:rsid w:val="00EF3063"/>
    <w:rsid w:val="00EF31D6"/>
    <w:rsid w:val="00EF323F"/>
    <w:rsid w:val="00EF3396"/>
    <w:rsid w:val="00EF3451"/>
    <w:rsid w:val="00EF3529"/>
    <w:rsid w:val="00EF354B"/>
    <w:rsid w:val="00EF35E0"/>
    <w:rsid w:val="00EF3621"/>
    <w:rsid w:val="00EF37A9"/>
    <w:rsid w:val="00EF386D"/>
    <w:rsid w:val="00EF3977"/>
    <w:rsid w:val="00EF3ADE"/>
    <w:rsid w:val="00EF3B00"/>
    <w:rsid w:val="00EF3B95"/>
    <w:rsid w:val="00EF3BDD"/>
    <w:rsid w:val="00EF3C21"/>
    <w:rsid w:val="00EF3CA6"/>
    <w:rsid w:val="00EF3D0D"/>
    <w:rsid w:val="00EF3E1A"/>
    <w:rsid w:val="00EF3E75"/>
    <w:rsid w:val="00EF3E91"/>
    <w:rsid w:val="00EF3F83"/>
    <w:rsid w:val="00EF404F"/>
    <w:rsid w:val="00EF4150"/>
    <w:rsid w:val="00EF41CE"/>
    <w:rsid w:val="00EF41EB"/>
    <w:rsid w:val="00EF4496"/>
    <w:rsid w:val="00EF4601"/>
    <w:rsid w:val="00EF4647"/>
    <w:rsid w:val="00EF47AF"/>
    <w:rsid w:val="00EF4815"/>
    <w:rsid w:val="00EF4885"/>
    <w:rsid w:val="00EF488F"/>
    <w:rsid w:val="00EF48CC"/>
    <w:rsid w:val="00EF48FC"/>
    <w:rsid w:val="00EF49D2"/>
    <w:rsid w:val="00EF4A3A"/>
    <w:rsid w:val="00EF4ADA"/>
    <w:rsid w:val="00EF4AED"/>
    <w:rsid w:val="00EF4B05"/>
    <w:rsid w:val="00EF4B07"/>
    <w:rsid w:val="00EF4C13"/>
    <w:rsid w:val="00EF4C25"/>
    <w:rsid w:val="00EF4C7D"/>
    <w:rsid w:val="00EF4EB8"/>
    <w:rsid w:val="00EF4EC6"/>
    <w:rsid w:val="00EF4EF1"/>
    <w:rsid w:val="00EF510D"/>
    <w:rsid w:val="00EF53EC"/>
    <w:rsid w:val="00EF55E8"/>
    <w:rsid w:val="00EF5637"/>
    <w:rsid w:val="00EF5654"/>
    <w:rsid w:val="00EF5678"/>
    <w:rsid w:val="00EF56A5"/>
    <w:rsid w:val="00EF573B"/>
    <w:rsid w:val="00EF5885"/>
    <w:rsid w:val="00EF5A42"/>
    <w:rsid w:val="00EF5A78"/>
    <w:rsid w:val="00EF5AE9"/>
    <w:rsid w:val="00EF5B67"/>
    <w:rsid w:val="00EF5EC1"/>
    <w:rsid w:val="00EF5EF3"/>
    <w:rsid w:val="00EF5F59"/>
    <w:rsid w:val="00EF5FCD"/>
    <w:rsid w:val="00EF60ED"/>
    <w:rsid w:val="00EF614B"/>
    <w:rsid w:val="00EF61A5"/>
    <w:rsid w:val="00EF6237"/>
    <w:rsid w:val="00EF6369"/>
    <w:rsid w:val="00EF667D"/>
    <w:rsid w:val="00EF66B4"/>
    <w:rsid w:val="00EF66FB"/>
    <w:rsid w:val="00EF684F"/>
    <w:rsid w:val="00EF6885"/>
    <w:rsid w:val="00EF68D3"/>
    <w:rsid w:val="00EF69C5"/>
    <w:rsid w:val="00EF6A94"/>
    <w:rsid w:val="00EF6C89"/>
    <w:rsid w:val="00EF6CDF"/>
    <w:rsid w:val="00EF6DC3"/>
    <w:rsid w:val="00EF6DC5"/>
    <w:rsid w:val="00EF6E95"/>
    <w:rsid w:val="00EF6F26"/>
    <w:rsid w:val="00EF70B1"/>
    <w:rsid w:val="00EF7122"/>
    <w:rsid w:val="00EF7136"/>
    <w:rsid w:val="00EF72DB"/>
    <w:rsid w:val="00EF7358"/>
    <w:rsid w:val="00EF744E"/>
    <w:rsid w:val="00EF746B"/>
    <w:rsid w:val="00EF7508"/>
    <w:rsid w:val="00EF7565"/>
    <w:rsid w:val="00EF768F"/>
    <w:rsid w:val="00EF784D"/>
    <w:rsid w:val="00EF7947"/>
    <w:rsid w:val="00EF79E0"/>
    <w:rsid w:val="00EF7A6E"/>
    <w:rsid w:val="00EF7AE4"/>
    <w:rsid w:val="00EF7B9A"/>
    <w:rsid w:val="00EF7BCD"/>
    <w:rsid w:val="00EF7C78"/>
    <w:rsid w:val="00EF7DB1"/>
    <w:rsid w:val="00EF7DBF"/>
    <w:rsid w:val="00EF7F5C"/>
    <w:rsid w:val="00F00101"/>
    <w:rsid w:val="00F003AE"/>
    <w:rsid w:val="00F0040D"/>
    <w:rsid w:val="00F00477"/>
    <w:rsid w:val="00F0055A"/>
    <w:rsid w:val="00F005B7"/>
    <w:rsid w:val="00F006D9"/>
    <w:rsid w:val="00F006F5"/>
    <w:rsid w:val="00F00809"/>
    <w:rsid w:val="00F0084F"/>
    <w:rsid w:val="00F0089B"/>
    <w:rsid w:val="00F008AC"/>
    <w:rsid w:val="00F00962"/>
    <w:rsid w:val="00F009D5"/>
    <w:rsid w:val="00F009DF"/>
    <w:rsid w:val="00F00A18"/>
    <w:rsid w:val="00F00A9E"/>
    <w:rsid w:val="00F00AFD"/>
    <w:rsid w:val="00F00C8D"/>
    <w:rsid w:val="00F00D98"/>
    <w:rsid w:val="00F00E70"/>
    <w:rsid w:val="00F00ED4"/>
    <w:rsid w:val="00F00F24"/>
    <w:rsid w:val="00F00F51"/>
    <w:rsid w:val="00F00F77"/>
    <w:rsid w:val="00F00F9A"/>
    <w:rsid w:val="00F01074"/>
    <w:rsid w:val="00F010A7"/>
    <w:rsid w:val="00F014AB"/>
    <w:rsid w:val="00F014E1"/>
    <w:rsid w:val="00F01578"/>
    <w:rsid w:val="00F0164B"/>
    <w:rsid w:val="00F0175C"/>
    <w:rsid w:val="00F0175D"/>
    <w:rsid w:val="00F018C1"/>
    <w:rsid w:val="00F01B3A"/>
    <w:rsid w:val="00F01B90"/>
    <w:rsid w:val="00F01CD7"/>
    <w:rsid w:val="00F01E09"/>
    <w:rsid w:val="00F01EA2"/>
    <w:rsid w:val="00F02033"/>
    <w:rsid w:val="00F020DD"/>
    <w:rsid w:val="00F02102"/>
    <w:rsid w:val="00F0210E"/>
    <w:rsid w:val="00F0213C"/>
    <w:rsid w:val="00F0223F"/>
    <w:rsid w:val="00F0225D"/>
    <w:rsid w:val="00F0227B"/>
    <w:rsid w:val="00F0236A"/>
    <w:rsid w:val="00F023F5"/>
    <w:rsid w:val="00F02422"/>
    <w:rsid w:val="00F025BB"/>
    <w:rsid w:val="00F02606"/>
    <w:rsid w:val="00F029B2"/>
    <w:rsid w:val="00F02A11"/>
    <w:rsid w:val="00F02AD1"/>
    <w:rsid w:val="00F02B29"/>
    <w:rsid w:val="00F02BD0"/>
    <w:rsid w:val="00F02CEF"/>
    <w:rsid w:val="00F02D60"/>
    <w:rsid w:val="00F02DE5"/>
    <w:rsid w:val="00F02F7E"/>
    <w:rsid w:val="00F02F84"/>
    <w:rsid w:val="00F03077"/>
    <w:rsid w:val="00F030A2"/>
    <w:rsid w:val="00F030F0"/>
    <w:rsid w:val="00F03287"/>
    <w:rsid w:val="00F0333C"/>
    <w:rsid w:val="00F033F4"/>
    <w:rsid w:val="00F0350D"/>
    <w:rsid w:val="00F0354C"/>
    <w:rsid w:val="00F03610"/>
    <w:rsid w:val="00F03959"/>
    <w:rsid w:val="00F039ED"/>
    <w:rsid w:val="00F039F4"/>
    <w:rsid w:val="00F03A09"/>
    <w:rsid w:val="00F03BF0"/>
    <w:rsid w:val="00F03C30"/>
    <w:rsid w:val="00F03C56"/>
    <w:rsid w:val="00F03C92"/>
    <w:rsid w:val="00F03D4D"/>
    <w:rsid w:val="00F03E4D"/>
    <w:rsid w:val="00F041A2"/>
    <w:rsid w:val="00F0421C"/>
    <w:rsid w:val="00F04302"/>
    <w:rsid w:val="00F0436E"/>
    <w:rsid w:val="00F043B5"/>
    <w:rsid w:val="00F04428"/>
    <w:rsid w:val="00F04470"/>
    <w:rsid w:val="00F044F8"/>
    <w:rsid w:val="00F044FC"/>
    <w:rsid w:val="00F0470B"/>
    <w:rsid w:val="00F048A5"/>
    <w:rsid w:val="00F04B7C"/>
    <w:rsid w:val="00F04DEF"/>
    <w:rsid w:val="00F04DF7"/>
    <w:rsid w:val="00F04ECB"/>
    <w:rsid w:val="00F04F3C"/>
    <w:rsid w:val="00F050C0"/>
    <w:rsid w:val="00F050E8"/>
    <w:rsid w:val="00F05148"/>
    <w:rsid w:val="00F05471"/>
    <w:rsid w:val="00F05592"/>
    <w:rsid w:val="00F055FE"/>
    <w:rsid w:val="00F05722"/>
    <w:rsid w:val="00F05734"/>
    <w:rsid w:val="00F0588F"/>
    <w:rsid w:val="00F05938"/>
    <w:rsid w:val="00F05DD8"/>
    <w:rsid w:val="00F05DE5"/>
    <w:rsid w:val="00F05EED"/>
    <w:rsid w:val="00F05F50"/>
    <w:rsid w:val="00F0607B"/>
    <w:rsid w:val="00F06209"/>
    <w:rsid w:val="00F0622E"/>
    <w:rsid w:val="00F06255"/>
    <w:rsid w:val="00F0628A"/>
    <w:rsid w:val="00F063B9"/>
    <w:rsid w:val="00F063E1"/>
    <w:rsid w:val="00F06443"/>
    <w:rsid w:val="00F064A6"/>
    <w:rsid w:val="00F0653C"/>
    <w:rsid w:val="00F06615"/>
    <w:rsid w:val="00F06664"/>
    <w:rsid w:val="00F06727"/>
    <w:rsid w:val="00F067BC"/>
    <w:rsid w:val="00F069FF"/>
    <w:rsid w:val="00F06B2A"/>
    <w:rsid w:val="00F06D57"/>
    <w:rsid w:val="00F06E52"/>
    <w:rsid w:val="00F06E56"/>
    <w:rsid w:val="00F07045"/>
    <w:rsid w:val="00F07068"/>
    <w:rsid w:val="00F07193"/>
    <w:rsid w:val="00F071CC"/>
    <w:rsid w:val="00F073C5"/>
    <w:rsid w:val="00F074F1"/>
    <w:rsid w:val="00F0750F"/>
    <w:rsid w:val="00F0760B"/>
    <w:rsid w:val="00F07655"/>
    <w:rsid w:val="00F0776A"/>
    <w:rsid w:val="00F07775"/>
    <w:rsid w:val="00F077C5"/>
    <w:rsid w:val="00F07817"/>
    <w:rsid w:val="00F07884"/>
    <w:rsid w:val="00F0798B"/>
    <w:rsid w:val="00F07A5A"/>
    <w:rsid w:val="00F07C0E"/>
    <w:rsid w:val="00F07C9C"/>
    <w:rsid w:val="00F07D63"/>
    <w:rsid w:val="00F07E48"/>
    <w:rsid w:val="00F07F53"/>
    <w:rsid w:val="00F07F74"/>
    <w:rsid w:val="00F07FB2"/>
    <w:rsid w:val="00F07FFD"/>
    <w:rsid w:val="00F10000"/>
    <w:rsid w:val="00F10195"/>
    <w:rsid w:val="00F101E6"/>
    <w:rsid w:val="00F10271"/>
    <w:rsid w:val="00F1027E"/>
    <w:rsid w:val="00F10517"/>
    <w:rsid w:val="00F105B3"/>
    <w:rsid w:val="00F105FD"/>
    <w:rsid w:val="00F10714"/>
    <w:rsid w:val="00F107E0"/>
    <w:rsid w:val="00F108BD"/>
    <w:rsid w:val="00F109C6"/>
    <w:rsid w:val="00F10A72"/>
    <w:rsid w:val="00F10A90"/>
    <w:rsid w:val="00F10D2C"/>
    <w:rsid w:val="00F10D8C"/>
    <w:rsid w:val="00F10DA6"/>
    <w:rsid w:val="00F10DE9"/>
    <w:rsid w:val="00F10FF8"/>
    <w:rsid w:val="00F11037"/>
    <w:rsid w:val="00F1111C"/>
    <w:rsid w:val="00F111DB"/>
    <w:rsid w:val="00F11208"/>
    <w:rsid w:val="00F112ED"/>
    <w:rsid w:val="00F11364"/>
    <w:rsid w:val="00F1156A"/>
    <w:rsid w:val="00F1188F"/>
    <w:rsid w:val="00F11A7B"/>
    <w:rsid w:val="00F11BE8"/>
    <w:rsid w:val="00F11C40"/>
    <w:rsid w:val="00F11D3A"/>
    <w:rsid w:val="00F11D3D"/>
    <w:rsid w:val="00F11D6E"/>
    <w:rsid w:val="00F1200A"/>
    <w:rsid w:val="00F120A3"/>
    <w:rsid w:val="00F12220"/>
    <w:rsid w:val="00F12436"/>
    <w:rsid w:val="00F124B6"/>
    <w:rsid w:val="00F124F2"/>
    <w:rsid w:val="00F12611"/>
    <w:rsid w:val="00F1263E"/>
    <w:rsid w:val="00F1269D"/>
    <w:rsid w:val="00F126E9"/>
    <w:rsid w:val="00F12798"/>
    <w:rsid w:val="00F128F9"/>
    <w:rsid w:val="00F1299C"/>
    <w:rsid w:val="00F12A0D"/>
    <w:rsid w:val="00F12A24"/>
    <w:rsid w:val="00F12A8B"/>
    <w:rsid w:val="00F12D0F"/>
    <w:rsid w:val="00F12D4B"/>
    <w:rsid w:val="00F12E53"/>
    <w:rsid w:val="00F12E84"/>
    <w:rsid w:val="00F12EFD"/>
    <w:rsid w:val="00F12F0C"/>
    <w:rsid w:val="00F12F83"/>
    <w:rsid w:val="00F1306D"/>
    <w:rsid w:val="00F13180"/>
    <w:rsid w:val="00F13206"/>
    <w:rsid w:val="00F13281"/>
    <w:rsid w:val="00F132CF"/>
    <w:rsid w:val="00F134F0"/>
    <w:rsid w:val="00F135ED"/>
    <w:rsid w:val="00F13616"/>
    <w:rsid w:val="00F13667"/>
    <w:rsid w:val="00F13766"/>
    <w:rsid w:val="00F13792"/>
    <w:rsid w:val="00F137FC"/>
    <w:rsid w:val="00F13911"/>
    <w:rsid w:val="00F1398F"/>
    <w:rsid w:val="00F13A2C"/>
    <w:rsid w:val="00F13A85"/>
    <w:rsid w:val="00F13B4B"/>
    <w:rsid w:val="00F13C05"/>
    <w:rsid w:val="00F13CCB"/>
    <w:rsid w:val="00F13CDF"/>
    <w:rsid w:val="00F13DDA"/>
    <w:rsid w:val="00F13E2F"/>
    <w:rsid w:val="00F13E35"/>
    <w:rsid w:val="00F13FE6"/>
    <w:rsid w:val="00F1400D"/>
    <w:rsid w:val="00F14052"/>
    <w:rsid w:val="00F14110"/>
    <w:rsid w:val="00F14148"/>
    <w:rsid w:val="00F14155"/>
    <w:rsid w:val="00F1419D"/>
    <w:rsid w:val="00F141C2"/>
    <w:rsid w:val="00F14360"/>
    <w:rsid w:val="00F14447"/>
    <w:rsid w:val="00F14564"/>
    <w:rsid w:val="00F1466A"/>
    <w:rsid w:val="00F1467A"/>
    <w:rsid w:val="00F146E2"/>
    <w:rsid w:val="00F1472B"/>
    <w:rsid w:val="00F14849"/>
    <w:rsid w:val="00F148E9"/>
    <w:rsid w:val="00F14959"/>
    <w:rsid w:val="00F1497A"/>
    <w:rsid w:val="00F14AEE"/>
    <w:rsid w:val="00F14BB7"/>
    <w:rsid w:val="00F14CEB"/>
    <w:rsid w:val="00F14DDA"/>
    <w:rsid w:val="00F14DE8"/>
    <w:rsid w:val="00F14E24"/>
    <w:rsid w:val="00F14E52"/>
    <w:rsid w:val="00F14EC8"/>
    <w:rsid w:val="00F14EF2"/>
    <w:rsid w:val="00F1502B"/>
    <w:rsid w:val="00F15149"/>
    <w:rsid w:val="00F15302"/>
    <w:rsid w:val="00F1555D"/>
    <w:rsid w:val="00F1581B"/>
    <w:rsid w:val="00F15827"/>
    <w:rsid w:val="00F15880"/>
    <w:rsid w:val="00F1588F"/>
    <w:rsid w:val="00F15A6F"/>
    <w:rsid w:val="00F15B3B"/>
    <w:rsid w:val="00F15BB2"/>
    <w:rsid w:val="00F15BD6"/>
    <w:rsid w:val="00F15DF4"/>
    <w:rsid w:val="00F15E51"/>
    <w:rsid w:val="00F15EA2"/>
    <w:rsid w:val="00F15EC0"/>
    <w:rsid w:val="00F15F74"/>
    <w:rsid w:val="00F15FA3"/>
    <w:rsid w:val="00F160CD"/>
    <w:rsid w:val="00F160DD"/>
    <w:rsid w:val="00F16163"/>
    <w:rsid w:val="00F161C7"/>
    <w:rsid w:val="00F16354"/>
    <w:rsid w:val="00F1636B"/>
    <w:rsid w:val="00F16376"/>
    <w:rsid w:val="00F16540"/>
    <w:rsid w:val="00F16579"/>
    <w:rsid w:val="00F16687"/>
    <w:rsid w:val="00F166E5"/>
    <w:rsid w:val="00F167A0"/>
    <w:rsid w:val="00F167F8"/>
    <w:rsid w:val="00F16BDB"/>
    <w:rsid w:val="00F16CDB"/>
    <w:rsid w:val="00F16DC2"/>
    <w:rsid w:val="00F16E03"/>
    <w:rsid w:val="00F16E44"/>
    <w:rsid w:val="00F16EDC"/>
    <w:rsid w:val="00F16F1D"/>
    <w:rsid w:val="00F16F65"/>
    <w:rsid w:val="00F1706A"/>
    <w:rsid w:val="00F17263"/>
    <w:rsid w:val="00F172AC"/>
    <w:rsid w:val="00F172FC"/>
    <w:rsid w:val="00F1740D"/>
    <w:rsid w:val="00F17431"/>
    <w:rsid w:val="00F1746C"/>
    <w:rsid w:val="00F1756F"/>
    <w:rsid w:val="00F17779"/>
    <w:rsid w:val="00F1779E"/>
    <w:rsid w:val="00F178CB"/>
    <w:rsid w:val="00F179C4"/>
    <w:rsid w:val="00F17B76"/>
    <w:rsid w:val="00F17CFD"/>
    <w:rsid w:val="00F17D88"/>
    <w:rsid w:val="00F17E00"/>
    <w:rsid w:val="00F17E0B"/>
    <w:rsid w:val="00F17F0C"/>
    <w:rsid w:val="00F17F0F"/>
    <w:rsid w:val="00F20312"/>
    <w:rsid w:val="00F203A9"/>
    <w:rsid w:val="00F20402"/>
    <w:rsid w:val="00F20470"/>
    <w:rsid w:val="00F20576"/>
    <w:rsid w:val="00F20675"/>
    <w:rsid w:val="00F20793"/>
    <w:rsid w:val="00F2082D"/>
    <w:rsid w:val="00F20856"/>
    <w:rsid w:val="00F209B5"/>
    <w:rsid w:val="00F20B68"/>
    <w:rsid w:val="00F20CE6"/>
    <w:rsid w:val="00F20D25"/>
    <w:rsid w:val="00F20E5A"/>
    <w:rsid w:val="00F20F45"/>
    <w:rsid w:val="00F20FB8"/>
    <w:rsid w:val="00F20FFD"/>
    <w:rsid w:val="00F210F5"/>
    <w:rsid w:val="00F21140"/>
    <w:rsid w:val="00F2119D"/>
    <w:rsid w:val="00F21212"/>
    <w:rsid w:val="00F21283"/>
    <w:rsid w:val="00F21546"/>
    <w:rsid w:val="00F215A0"/>
    <w:rsid w:val="00F215CF"/>
    <w:rsid w:val="00F216AD"/>
    <w:rsid w:val="00F21735"/>
    <w:rsid w:val="00F218D2"/>
    <w:rsid w:val="00F21BFB"/>
    <w:rsid w:val="00F21DDF"/>
    <w:rsid w:val="00F21E7A"/>
    <w:rsid w:val="00F21E89"/>
    <w:rsid w:val="00F22083"/>
    <w:rsid w:val="00F22108"/>
    <w:rsid w:val="00F22140"/>
    <w:rsid w:val="00F2216C"/>
    <w:rsid w:val="00F221CA"/>
    <w:rsid w:val="00F2238C"/>
    <w:rsid w:val="00F22402"/>
    <w:rsid w:val="00F22483"/>
    <w:rsid w:val="00F224BB"/>
    <w:rsid w:val="00F2253E"/>
    <w:rsid w:val="00F225F6"/>
    <w:rsid w:val="00F226B0"/>
    <w:rsid w:val="00F22A08"/>
    <w:rsid w:val="00F22A0B"/>
    <w:rsid w:val="00F22A2E"/>
    <w:rsid w:val="00F22B9F"/>
    <w:rsid w:val="00F22BEA"/>
    <w:rsid w:val="00F22CC2"/>
    <w:rsid w:val="00F22F2F"/>
    <w:rsid w:val="00F230DF"/>
    <w:rsid w:val="00F2329A"/>
    <w:rsid w:val="00F232A7"/>
    <w:rsid w:val="00F23458"/>
    <w:rsid w:val="00F234AB"/>
    <w:rsid w:val="00F234CA"/>
    <w:rsid w:val="00F235D0"/>
    <w:rsid w:val="00F2368F"/>
    <w:rsid w:val="00F23787"/>
    <w:rsid w:val="00F23818"/>
    <w:rsid w:val="00F23830"/>
    <w:rsid w:val="00F238C9"/>
    <w:rsid w:val="00F23A25"/>
    <w:rsid w:val="00F23A26"/>
    <w:rsid w:val="00F23AAD"/>
    <w:rsid w:val="00F23ABE"/>
    <w:rsid w:val="00F23CEB"/>
    <w:rsid w:val="00F23D00"/>
    <w:rsid w:val="00F23D13"/>
    <w:rsid w:val="00F23D4F"/>
    <w:rsid w:val="00F23E8C"/>
    <w:rsid w:val="00F24050"/>
    <w:rsid w:val="00F240CC"/>
    <w:rsid w:val="00F2420E"/>
    <w:rsid w:val="00F24376"/>
    <w:rsid w:val="00F244E9"/>
    <w:rsid w:val="00F24592"/>
    <w:rsid w:val="00F245DF"/>
    <w:rsid w:val="00F245F0"/>
    <w:rsid w:val="00F24887"/>
    <w:rsid w:val="00F248BF"/>
    <w:rsid w:val="00F248C7"/>
    <w:rsid w:val="00F248CE"/>
    <w:rsid w:val="00F24947"/>
    <w:rsid w:val="00F24972"/>
    <w:rsid w:val="00F249DD"/>
    <w:rsid w:val="00F24A5A"/>
    <w:rsid w:val="00F24A65"/>
    <w:rsid w:val="00F24C1B"/>
    <w:rsid w:val="00F24C74"/>
    <w:rsid w:val="00F24C86"/>
    <w:rsid w:val="00F24CCD"/>
    <w:rsid w:val="00F24D4A"/>
    <w:rsid w:val="00F24DCE"/>
    <w:rsid w:val="00F24ECA"/>
    <w:rsid w:val="00F24F65"/>
    <w:rsid w:val="00F250F9"/>
    <w:rsid w:val="00F25126"/>
    <w:rsid w:val="00F251AA"/>
    <w:rsid w:val="00F251D6"/>
    <w:rsid w:val="00F25490"/>
    <w:rsid w:val="00F255CB"/>
    <w:rsid w:val="00F255DB"/>
    <w:rsid w:val="00F255F4"/>
    <w:rsid w:val="00F25736"/>
    <w:rsid w:val="00F2577A"/>
    <w:rsid w:val="00F25813"/>
    <w:rsid w:val="00F25923"/>
    <w:rsid w:val="00F25A27"/>
    <w:rsid w:val="00F25BEA"/>
    <w:rsid w:val="00F25C20"/>
    <w:rsid w:val="00F25C5B"/>
    <w:rsid w:val="00F25CD9"/>
    <w:rsid w:val="00F25D1C"/>
    <w:rsid w:val="00F25E63"/>
    <w:rsid w:val="00F25F0B"/>
    <w:rsid w:val="00F26191"/>
    <w:rsid w:val="00F26270"/>
    <w:rsid w:val="00F26525"/>
    <w:rsid w:val="00F26545"/>
    <w:rsid w:val="00F265C4"/>
    <w:rsid w:val="00F266C6"/>
    <w:rsid w:val="00F26886"/>
    <w:rsid w:val="00F268A4"/>
    <w:rsid w:val="00F268C5"/>
    <w:rsid w:val="00F26904"/>
    <w:rsid w:val="00F26A26"/>
    <w:rsid w:val="00F26C4E"/>
    <w:rsid w:val="00F26CA1"/>
    <w:rsid w:val="00F26CE4"/>
    <w:rsid w:val="00F26D74"/>
    <w:rsid w:val="00F26E7B"/>
    <w:rsid w:val="00F26F41"/>
    <w:rsid w:val="00F26FEA"/>
    <w:rsid w:val="00F27093"/>
    <w:rsid w:val="00F27094"/>
    <w:rsid w:val="00F270A1"/>
    <w:rsid w:val="00F2712D"/>
    <w:rsid w:val="00F271E7"/>
    <w:rsid w:val="00F2738B"/>
    <w:rsid w:val="00F27398"/>
    <w:rsid w:val="00F2740E"/>
    <w:rsid w:val="00F27471"/>
    <w:rsid w:val="00F27525"/>
    <w:rsid w:val="00F2755F"/>
    <w:rsid w:val="00F2758E"/>
    <w:rsid w:val="00F275FB"/>
    <w:rsid w:val="00F27649"/>
    <w:rsid w:val="00F277AB"/>
    <w:rsid w:val="00F27A2D"/>
    <w:rsid w:val="00F27B59"/>
    <w:rsid w:val="00F27B7A"/>
    <w:rsid w:val="00F27BD9"/>
    <w:rsid w:val="00F27DB6"/>
    <w:rsid w:val="00F27E4E"/>
    <w:rsid w:val="00F27EB1"/>
    <w:rsid w:val="00F27F0D"/>
    <w:rsid w:val="00F27F43"/>
    <w:rsid w:val="00F30137"/>
    <w:rsid w:val="00F3014E"/>
    <w:rsid w:val="00F30286"/>
    <w:rsid w:val="00F3043B"/>
    <w:rsid w:val="00F304F5"/>
    <w:rsid w:val="00F305A7"/>
    <w:rsid w:val="00F305EC"/>
    <w:rsid w:val="00F30680"/>
    <w:rsid w:val="00F30699"/>
    <w:rsid w:val="00F309C6"/>
    <w:rsid w:val="00F30B55"/>
    <w:rsid w:val="00F30D8B"/>
    <w:rsid w:val="00F30DFE"/>
    <w:rsid w:val="00F30ECB"/>
    <w:rsid w:val="00F310DC"/>
    <w:rsid w:val="00F31103"/>
    <w:rsid w:val="00F3112B"/>
    <w:rsid w:val="00F311E0"/>
    <w:rsid w:val="00F311EA"/>
    <w:rsid w:val="00F312FA"/>
    <w:rsid w:val="00F3138F"/>
    <w:rsid w:val="00F313B0"/>
    <w:rsid w:val="00F3155D"/>
    <w:rsid w:val="00F3157E"/>
    <w:rsid w:val="00F31597"/>
    <w:rsid w:val="00F31691"/>
    <w:rsid w:val="00F3171A"/>
    <w:rsid w:val="00F31876"/>
    <w:rsid w:val="00F318BD"/>
    <w:rsid w:val="00F318D1"/>
    <w:rsid w:val="00F3198E"/>
    <w:rsid w:val="00F319C4"/>
    <w:rsid w:val="00F31A10"/>
    <w:rsid w:val="00F31C0E"/>
    <w:rsid w:val="00F31CCF"/>
    <w:rsid w:val="00F31DCF"/>
    <w:rsid w:val="00F31E79"/>
    <w:rsid w:val="00F3202F"/>
    <w:rsid w:val="00F3214E"/>
    <w:rsid w:val="00F32150"/>
    <w:rsid w:val="00F322EE"/>
    <w:rsid w:val="00F32582"/>
    <w:rsid w:val="00F32678"/>
    <w:rsid w:val="00F32776"/>
    <w:rsid w:val="00F3277D"/>
    <w:rsid w:val="00F32A22"/>
    <w:rsid w:val="00F32AD1"/>
    <w:rsid w:val="00F32B05"/>
    <w:rsid w:val="00F32CA1"/>
    <w:rsid w:val="00F32D3D"/>
    <w:rsid w:val="00F32EFA"/>
    <w:rsid w:val="00F33039"/>
    <w:rsid w:val="00F33272"/>
    <w:rsid w:val="00F3352A"/>
    <w:rsid w:val="00F3359F"/>
    <w:rsid w:val="00F33621"/>
    <w:rsid w:val="00F33666"/>
    <w:rsid w:val="00F3367D"/>
    <w:rsid w:val="00F33898"/>
    <w:rsid w:val="00F33913"/>
    <w:rsid w:val="00F33A2E"/>
    <w:rsid w:val="00F33AC0"/>
    <w:rsid w:val="00F33BE1"/>
    <w:rsid w:val="00F33C8F"/>
    <w:rsid w:val="00F33D4E"/>
    <w:rsid w:val="00F33D81"/>
    <w:rsid w:val="00F33DD2"/>
    <w:rsid w:val="00F33E59"/>
    <w:rsid w:val="00F33E68"/>
    <w:rsid w:val="00F34061"/>
    <w:rsid w:val="00F340F1"/>
    <w:rsid w:val="00F341CA"/>
    <w:rsid w:val="00F34303"/>
    <w:rsid w:val="00F343D8"/>
    <w:rsid w:val="00F343E9"/>
    <w:rsid w:val="00F34430"/>
    <w:rsid w:val="00F345F7"/>
    <w:rsid w:val="00F34620"/>
    <w:rsid w:val="00F346C6"/>
    <w:rsid w:val="00F34790"/>
    <w:rsid w:val="00F3486D"/>
    <w:rsid w:val="00F34A0C"/>
    <w:rsid w:val="00F34A17"/>
    <w:rsid w:val="00F34A59"/>
    <w:rsid w:val="00F34AEC"/>
    <w:rsid w:val="00F34AF0"/>
    <w:rsid w:val="00F34B5E"/>
    <w:rsid w:val="00F34B74"/>
    <w:rsid w:val="00F34BB9"/>
    <w:rsid w:val="00F34C5F"/>
    <w:rsid w:val="00F34ECD"/>
    <w:rsid w:val="00F34EFA"/>
    <w:rsid w:val="00F351AE"/>
    <w:rsid w:val="00F3521F"/>
    <w:rsid w:val="00F35256"/>
    <w:rsid w:val="00F35263"/>
    <w:rsid w:val="00F352EF"/>
    <w:rsid w:val="00F3530F"/>
    <w:rsid w:val="00F35313"/>
    <w:rsid w:val="00F35406"/>
    <w:rsid w:val="00F3543D"/>
    <w:rsid w:val="00F35556"/>
    <w:rsid w:val="00F3555A"/>
    <w:rsid w:val="00F355F9"/>
    <w:rsid w:val="00F35603"/>
    <w:rsid w:val="00F357C6"/>
    <w:rsid w:val="00F35932"/>
    <w:rsid w:val="00F35B22"/>
    <w:rsid w:val="00F35CFE"/>
    <w:rsid w:val="00F35D70"/>
    <w:rsid w:val="00F35EBC"/>
    <w:rsid w:val="00F35EF2"/>
    <w:rsid w:val="00F36082"/>
    <w:rsid w:val="00F360DE"/>
    <w:rsid w:val="00F36252"/>
    <w:rsid w:val="00F364A3"/>
    <w:rsid w:val="00F364C0"/>
    <w:rsid w:val="00F364FA"/>
    <w:rsid w:val="00F366A5"/>
    <w:rsid w:val="00F367CC"/>
    <w:rsid w:val="00F367D1"/>
    <w:rsid w:val="00F367D3"/>
    <w:rsid w:val="00F367EA"/>
    <w:rsid w:val="00F367ED"/>
    <w:rsid w:val="00F3695C"/>
    <w:rsid w:val="00F36A3C"/>
    <w:rsid w:val="00F36CFE"/>
    <w:rsid w:val="00F36D42"/>
    <w:rsid w:val="00F36DDE"/>
    <w:rsid w:val="00F36E22"/>
    <w:rsid w:val="00F36E5C"/>
    <w:rsid w:val="00F36F3E"/>
    <w:rsid w:val="00F36F72"/>
    <w:rsid w:val="00F36F81"/>
    <w:rsid w:val="00F37195"/>
    <w:rsid w:val="00F372C9"/>
    <w:rsid w:val="00F374A6"/>
    <w:rsid w:val="00F375D7"/>
    <w:rsid w:val="00F37805"/>
    <w:rsid w:val="00F37861"/>
    <w:rsid w:val="00F37928"/>
    <w:rsid w:val="00F37BB7"/>
    <w:rsid w:val="00F37BCB"/>
    <w:rsid w:val="00F37BCD"/>
    <w:rsid w:val="00F37C2E"/>
    <w:rsid w:val="00F37D30"/>
    <w:rsid w:val="00F37DED"/>
    <w:rsid w:val="00F37F91"/>
    <w:rsid w:val="00F37FB8"/>
    <w:rsid w:val="00F4016C"/>
    <w:rsid w:val="00F40322"/>
    <w:rsid w:val="00F40388"/>
    <w:rsid w:val="00F404B4"/>
    <w:rsid w:val="00F404B5"/>
    <w:rsid w:val="00F40671"/>
    <w:rsid w:val="00F4083B"/>
    <w:rsid w:val="00F408B7"/>
    <w:rsid w:val="00F40985"/>
    <w:rsid w:val="00F40A00"/>
    <w:rsid w:val="00F40A2B"/>
    <w:rsid w:val="00F40C0B"/>
    <w:rsid w:val="00F40C4F"/>
    <w:rsid w:val="00F40C62"/>
    <w:rsid w:val="00F40CA3"/>
    <w:rsid w:val="00F40DEA"/>
    <w:rsid w:val="00F40E85"/>
    <w:rsid w:val="00F40F15"/>
    <w:rsid w:val="00F40F90"/>
    <w:rsid w:val="00F410AE"/>
    <w:rsid w:val="00F411F2"/>
    <w:rsid w:val="00F41216"/>
    <w:rsid w:val="00F41225"/>
    <w:rsid w:val="00F41316"/>
    <w:rsid w:val="00F4143E"/>
    <w:rsid w:val="00F414D8"/>
    <w:rsid w:val="00F415A1"/>
    <w:rsid w:val="00F415C8"/>
    <w:rsid w:val="00F415D8"/>
    <w:rsid w:val="00F416A2"/>
    <w:rsid w:val="00F41759"/>
    <w:rsid w:val="00F4180E"/>
    <w:rsid w:val="00F41861"/>
    <w:rsid w:val="00F41862"/>
    <w:rsid w:val="00F41875"/>
    <w:rsid w:val="00F41937"/>
    <w:rsid w:val="00F41980"/>
    <w:rsid w:val="00F41BA9"/>
    <w:rsid w:val="00F41C0B"/>
    <w:rsid w:val="00F41CCF"/>
    <w:rsid w:val="00F41D65"/>
    <w:rsid w:val="00F41DE6"/>
    <w:rsid w:val="00F41E18"/>
    <w:rsid w:val="00F41E80"/>
    <w:rsid w:val="00F41ED2"/>
    <w:rsid w:val="00F42060"/>
    <w:rsid w:val="00F420BA"/>
    <w:rsid w:val="00F420FA"/>
    <w:rsid w:val="00F421B9"/>
    <w:rsid w:val="00F42202"/>
    <w:rsid w:val="00F4225A"/>
    <w:rsid w:val="00F42319"/>
    <w:rsid w:val="00F42385"/>
    <w:rsid w:val="00F42459"/>
    <w:rsid w:val="00F424F0"/>
    <w:rsid w:val="00F4254B"/>
    <w:rsid w:val="00F425D9"/>
    <w:rsid w:val="00F42766"/>
    <w:rsid w:val="00F42834"/>
    <w:rsid w:val="00F4292C"/>
    <w:rsid w:val="00F42AAA"/>
    <w:rsid w:val="00F42AB2"/>
    <w:rsid w:val="00F42AF5"/>
    <w:rsid w:val="00F42B2D"/>
    <w:rsid w:val="00F42B53"/>
    <w:rsid w:val="00F42BCB"/>
    <w:rsid w:val="00F42C2C"/>
    <w:rsid w:val="00F42E45"/>
    <w:rsid w:val="00F42E8D"/>
    <w:rsid w:val="00F42F62"/>
    <w:rsid w:val="00F4302F"/>
    <w:rsid w:val="00F43097"/>
    <w:rsid w:val="00F43156"/>
    <w:rsid w:val="00F4319E"/>
    <w:rsid w:val="00F433C7"/>
    <w:rsid w:val="00F434E3"/>
    <w:rsid w:val="00F43584"/>
    <w:rsid w:val="00F436A4"/>
    <w:rsid w:val="00F43760"/>
    <w:rsid w:val="00F43A0B"/>
    <w:rsid w:val="00F43AFA"/>
    <w:rsid w:val="00F43B41"/>
    <w:rsid w:val="00F43B8D"/>
    <w:rsid w:val="00F43BA8"/>
    <w:rsid w:val="00F43C1B"/>
    <w:rsid w:val="00F43C58"/>
    <w:rsid w:val="00F43C9C"/>
    <w:rsid w:val="00F43D57"/>
    <w:rsid w:val="00F43D5D"/>
    <w:rsid w:val="00F43DBE"/>
    <w:rsid w:val="00F43E1D"/>
    <w:rsid w:val="00F43EFF"/>
    <w:rsid w:val="00F43F84"/>
    <w:rsid w:val="00F44399"/>
    <w:rsid w:val="00F44456"/>
    <w:rsid w:val="00F4445F"/>
    <w:rsid w:val="00F444E1"/>
    <w:rsid w:val="00F44522"/>
    <w:rsid w:val="00F4457E"/>
    <w:rsid w:val="00F4461C"/>
    <w:rsid w:val="00F44707"/>
    <w:rsid w:val="00F4479F"/>
    <w:rsid w:val="00F4483B"/>
    <w:rsid w:val="00F44A07"/>
    <w:rsid w:val="00F44B3F"/>
    <w:rsid w:val="00F44B7C"/>
    <w:rsid w:val="00F44BE8"/>
    <w:rsid w:val="00F44C8F"/>
    <w:rsid w:val="00F44D0A"/>
    <w:rsid w:val="00F44F8D"/>
    <w:rsid w:val="00F4504C"/>
    <w:rsid w:val="00F4511D"/>
    <w:rsid w:val="00F452AF"/>
    <w:rsid w:val="00F452CD"/>
    <w:rsid w:val="00F45709"/>
    <w:rsid w:val="00F45740"/>
    <w:rsid w:val="00F457A6"/>
    <w:rsid w:val="00F45888"/>
    <w:rsid w:val="00F4595E"/>
    <w:rsid w:val="00F459A9"/>
    <w:rsid w:val="00F45AD6"/>
    <w:rsid w:val="00F45B0B"/>
    <w:rsid w:val="00F45C02"/>
    <w:rsid w:val="00F45CDD"/>
    <w:rsid w:val="00F45E56"/>
    <w:rsid w:val="00F45F06"/>
    <w:rsid w:val="00F45FAB"/>
    <w:rsid w:val="00F46197"/>
    <w:rsid w:val="00F46283"/>
    <w:rsid w:val="00F463EB"/>
    <w:rsid w:val="00F4640B"/>
    <w:rsid w:val="00F46698"/>
    <w:rsid w:val="00F46728"/>
    <w:rsid w:val="00F46757"/>
    <w:rsid w:val="00F46874"/>
    <w:rsid w:val="00F468B7"/>
    <w:rsid w:val="00F4691B"/>
    <w:rsid w:val="00F46994"/>
    <w:rsid w:val="00F469DD"/>
    <w:rsid w:val="00F46A6A"/>
    <w:rsid w:val="00F46C05"/>
    <w:rsid w:val="00F46C1C"/>
    <w:rsid w:val="00F46C9C"/>
    <w:rsid w:val="00F46D16"/>
    <w:rsid w:val="00F46D5B"/>
    <w:rsid w:val="00F46FC4"/>
    <w:rsid w:val="00F470D5"/>
    <w:rsid w:val="00F470F7"/>
    <w:rsid w:val="00F4713B"/>
    <w:rsid w:val="00F471CF"/>
    <w:rsid w:val="00F472EC"/>
    <w:rsid w:val="00F4740D"/>
    <w:rsid w:val="00F47570"/>
    <w:rsid w:val="00F475A3"/>
    <w:rsid w:val="00F47674"/>
    <w:rsid w:val="00F47885"/>
    <w:rsid w:val="00F47901"/>
    <w:rsid w:val="00F47A1F"/>
    <w:rsid w:val="00F47ACE"/>
    <w:rsid w:val="00F47B64"/>
    <w:rsid w:val="00F47BB3"/>
    <w:rsid w:val="00F47C41"/>
    <w:rsid w:val="00F47E89"/>
    <w:rsid w:val="00F47EE6"/>
    <w:rsid w:val="00F5000B"/>
    <w:rsid w:val="00F50211"/>
    <w:rsid w:val="00F50317"/>
    <w:rsid w:val="00F503F9"/>
    <w:rsid w:val="00F5040F"/>
    <w:rsid w:val="00F5047F"/>
    <w:rsid w:val="00F504AF"/>
    <w:rsid w:val="00F50543"/>
    <w:rsid w:val="00F50546"/>
    <w:rsid w:val="00F507C9"/>
    <w:rsid w:val="00F5083B"/>
    <w:rsid w:val="00F5087F"/>
    <w:rsid w:val="00F50945"/>
    <w:rsid w:val="00F50952"/>
    <w:rsid w:val="00F50A67"/>
    <w:rsid w:val="00F50A7B"/>
    <w:rsid w:val="00F50BCF"/>
    <w:rsid w:val="00F50CBD"/>
    <w:rsid w:val="00F50D28"/>
    <w:rsid w:val="00F50DAB"/>
    <w:rsid w:val="00F51092"/>
    <w:rsid w:val="00F51192"/>
    <w:rsid w:val="00F51245"/>
    <w:rsid w:val="00F51287"/>
    <w:rsid w:val="00F5145D"/>
    <w:rsid w:val="00F516E2"/>
    <w:rsid w:val="00F5186C"/>
    <w:rsid w:val="00F518F1"/>
    <w:rsid w:val="00F51967"/>
    <w:rsid w:val="00F51AA3"/>
    <w:rsid w:val="00F51B04"/>
    <w:rsid w:val="00F51B91"/>
    <w:rsid w:val="00F51C81"/>
    <w:rsid w:val="00F51D57"/>
    <w:rsid w:val="00F51DE8"/>
    <w:rsid w:val="00F51EB2"/>
    <w:rsid w:val="00F51F84"/>
    <w:rsid w:val="00F52017"/>
    <w:rsid w:val="00F52025"/>
    <w:rsid w:val="00F52082"/>
    <w:rsid w:val="00F520E9"/>
    <w:rsid w:val="00F52105"/>
    <w:rsid w:val="00F5222A"/>
    <w:rsid w:val="00F52278"/>
    <w:rsid w:val="00F522A4"/>
    <w:rsid w:val="00F52372"/>
    <w:rsid w:val="00F5243D"/>
    <w:rsid w:val="00F5252E"/>
    <w:rsid w:val="00F526AB"/>
    <w:rsid w:val="00F52740"/>
    <w:rsid w:val="00F52852"/>
    <w:rsid w:val="00F528B0"/>
    <w:rsid w:val="00F52945"/>
    <w:rsid w:val="00F52982"/>
    <w:rsid w:val="00F529A1"/>
    <w:rsid w:val="00F529D1"/>
    <w:rsid w:val="00F529DD"/>
    <w:rsid w:val="00F52A15"/>
    <w:rsid w:val="00F52B0B"/>
    <w:rsid w:val="00F52B49"/>
    <w:rsid w:val="00F52B7B"/>
    <w:rsid w:val="00F52BC6"/>
    <w:rsid w:val="00F52CC2"/>
    <w:rsid w:val="00F52F4E"/>
    <w:rsid w:val="00F52F7E"/>
    <w:rsid w:val="00F5321B"/>
    <w:rsid w:val="00F53292"/>
    <w:rsid w:val="00F532B0"/>
    <w:rsid w:val="00F532C8"/>
    <w:rsid w:val="00F53527"/>
    <w:rsid w:val="00F53552"/>
    <w:rsid w:val="00F53702"/>
    <w:rsid w:val="00F5373D"/>
    <w:rsid w:val="00F538B0"/>
    <w:rsid w:val="00F53904"/>
    <w:rsid w:val="00F539B8"/>
    <w:rsid w:val="00F53A00"/>
    <w:rsid w:val="00F53A1C"/>
    <w:rsid w:val="00F53A29"/>
    <w:rsid w:val="00F53C0C"/>
    <w:rsid w:val="00F53C44"/>
    <w:rsid w:val="00F53D0E"/>
    <w:rsid w:val="00F53D2E"/>
    <w:rsid w:val="00F53DBC"/>
    <w:rsid w:val="00F53F3B"/>
    <w:rsid w:val="00F54145"/>
    <w:rsid w:val="00F5422B"/>
    <w:rsid w:val="00F54232"/>
    <w:rsid w:val="00F54296"/>
    <w:rsid w:val="00F5446B"/>
    <w:rsid w:val="00F54494"/>
    <w:rsid w:val="00F5453F"/>
    <w:rsid w:val="00F545A5"/>
    <w:rsid w:val="00F545B2"/>
    <w:rsid w:val="00F54726"/>
    <w:rsid w:val="00F5473D"/>
    <w:rsid w:val="00F5486E"/>
    <w:rsid w:val="00F54A30"/>
    <w:rsid w:val="00F54BE1"/>
    <w:rsid w:val="00F54BEA"/>
    <w:rsid w:val="00F54CF5"/>
    <w:rsid w:val="00F54E33"/>
    <w:rsid w:val="00F54ED9"/>
    <w:rsid w:val="00F54F19"/>
    <w:rsid w:val="00F54F54"/>
    <w:rsid w:val="00F55002"/>
    <w:rsid w:val="00F550CE"/>
    <w:rsid w:val="00F550D7"/>
    <w:rsid w:val="00F551B2"/>
    <w:rsid w:val="00F55221"/>
    <w:rsid w:val="00F552AC"/>
    <w:rsid w:val="00F55350"/>
    <w:rsid w:val="00F55358"/>
    <w:rsid w:val="00F55433"/>
    <w:rsid w:val="00F5545D"/>
    <w:rsid w:val="00F554CA"/>
    <w:rsid w:val="00F554ED"/>
    <w:rsid w:val="00F55610"/>
    <w:rsid w:val="00F55745"/>
    <w:rsid w:val="00F55876"/>
    <w:rsid w:val="00F55C72"/>
    <w:rsid w:val="00F55CC0"/>
    <w:rsid w:val="00F55DDE"/>
    <w:rsid w:val="00F55EA3"/>
    <w:rsid w:val="00F55FD7"/>
    <w:rsid w:val="00F5609B"/>
    <w:rsid w:val="00F5614D"/>
    <w:rsid w:val="00F561D6"/>
    <w:rsid w:val="00F56735"/>
    <w:rsid w:val="00F56789"/>
    <w:rsid w:val="00F56804"/>
    <w:rsid w:val="00F568A7"/>
    <w:rsid w:val="00F56A40"/>
    <w:rsid w:val="00F56A71"/>
    <w:rsid w:val="00F56B57"/>
    <w:rsid w:val="00F56B79"/>
    <w:rsid w:val="00F56C24"/>
    <w:rsid w:val="00F56DBF"/>
    <w:rsid w:val="00F5706F"/>
    <w:rsid w:val="00F571DB"/>
    <w:rsid w:val="00F5725B"/>
    <w:rsid w:val="00F572C7"/>
    <w:rsid w:val="00F57366"/>
    <w:rsid w:val="00F573E5"/>
    <w:rsid w:val="00F5741C"/>
    <w:rsid w:val="00F5742C"/>
    <w:rsid w:val="00F57445"/>
    <w:rsid w:val="00F57493"/>
    <w:rsid w:val="00F5749E"/>
    <w:rsid w:val="00F5751F"/>
    <w:rsid w:val="00F57526"/>
    <w:rsid w:val="00F575DF"/>
    <w:rsid w:val="00F5765E"/>
    <w:rsid w:val="00F576C4"/>
    <w:rsid w:val="00F57927"/>
    <w:rsid w:val="00F57942"/>
    <w:rsid w:val="00F579EB"/>
    <w:rsid w:val="00F57B22"/>
    <w:rsid w:val="00F57BB9"/>
    <w:rsid w:val="00F57C28"/>
    <w:rsid w:val="00F57CA9"/>
    <w:rsid w:val="00F57D22"/>
    <w:rsid w:val="00F57D32"/>
    <w:rsid w:val="00F57D63"/>
    <w:rsid w:val="00F57F3C"/>
    <w:rsid w:val="00F6006E"/>
    <w:rsid w:val="00F6009C"/>
    <w:rsid w:val="00F601AB"/>
    <w:rsid w:val="00F601C1"/>
    <w:rsid w:val="00F60238"/>
    <w:rsid w:val="00F602E9"/>
    <w:rsid w:val="00F60306"/>
    <w:rsid w:val="00F6035D"/>
    <w:rsid w:val="00F60442"/>
    <w:rsid w:val="00F6045D"/>
    <w:rsid w:val="00F6046D"/>
    <w:rsid w:val="00F60621"/>
    <w:rsid w:val="00F6064E"/>
    <w:rsid w:val="00F60666"/>
    <w:rsid w:val="00F606D2"/>
    <w:rsid w:val="00F6070E"/>
    <w:rsid w:val="00F6086B"/>
    <w:rsid w:val="00F60A2E"/>
    <w:rsid w:val="00F60B22"/>
    <w:rsid w:val="00F60B45"/>
    <w:rsid w:val="00F60B88"/>
    <w:rsid w:val="00F60BAE"/>
    <w:rsid w:val="00F60CA7"/>
    <w:rsid w:val="00F60FE9"/>
    <w:rsid w:val="00F61039"/>
    <w:rsid w:val="00F610BA"/>
    <w:rsid w:val="00F61109"/>
    <w:rsid w:val="00F611A8"/>
    <w:rsid w:val="00F6122E"/>
    <w:rsid w:val="00F612E1"/>
    <w:rsid w:val="00F6131D"/>
    <w:rsid w:val="00F61375"/>
    <w:rsid w:val="00F613A1"/>
    <w:rsid w:val="00F613AB"/>
    <w:rsid w:val="00F613E3"/>
    <w:rsid w:val="00F61486"/>
    <w:rsid w:val="00F6150E"/>
    <w:rsid w:val="00F616BC"/>
    <w:rsid w:val="00F6188C"/>
    <w:rsid w:val="00F61892"/>
    <w:rsid w:val="00F61928"/>
    <w:rsid w:val="00F61977"/>
    <w:rsid w:val="00F619F6"/>
    <w:rsid w:val="00F61A07"/>
    <w:rsid w:val="00F61B81"/>
    <w:rsid w:val="00F61BAD"/>
    <w:rsid w:val="00F61BB4"/>
    <w:rsid w:val="00F61CDA"/>
    <w:rsid w:val="00F61CE4"/>
    <w:rsid w:val="00F61D09"/>
    <w:rsid w:val="00F61D4B"/>
    <w:rsid w:val="00F61D6F"/>
    <w:rsid w:val="00F61E22"/>
    <w:rsid w:val="00F61E42"/>
    <w:rsid w:val="00F61E98"/>
    <w:rsid w:val="00F61EB8"/>
    <w:rsid w:val="00F61FAD"/>
    <w:rsid w:val="00F621AD"/>
    <w:rsid w:val="00F6229C"/>
    <w:rsid w:val="00F622AE"/>
    <w:rsid w:val="00F622F2"/>
    <w:rsid w:val="00F62309"/>
    <w:rsid w:val="00F626D2"/>
    <w:rsid w:val="00F626DC"/>
    <w:rsid w:val="00F627C4"/>
    <w:rsid w:val="00F629C9"/>
    <w:rsid w:val="00F62ACC"/>
    <w:rsid w:val="00F62B12"/>
    <w:rsid w:val="00F62C13"/>
    <w:rsid w:val="00F62C7E"/>
    <w:rsid w:val="00F62CE6"/>
    <w:rsid w:val="00F62DE2"/>
    <w:rsid w:val="00F62E6E"/>
    <w:rsid w:val="00F62F82"/>
    <w:rsid w:val="00F62FD1"/>
    <w:rsid w:val="00F630F5"/>
    <w:rsid w:val="00F6317D"/>
    <w:rsid w:val="00F63197"/>
    <w:rsid w:val="00F631E3"/>
    <w:rsid w:val="00F6328A"/>
    <w:rsid w:val="00F634A8"/>
    <w:rsid w:val="00F635EC"/>
    <w:rsid w:val="00F63678"/>
    <w:rsid w:val="00F636BB"/>
    <w:rsid w:val="00F6379D"/>
    <w:rsid w:val="00F637CA"/>
    <w:rsid w:val="00F639C1"/>
    <w:rsid w:val="00F639FE"/>
    <w:rsid w:val="00F63AB5"/>
    <w:rsid w:val="00F63ACF"/>
    <w:rsid w:val="00F63AF1"/>
    <w:rsid w:val="00F63B01"/>
    <w:rsid w:val="00F63B6B"/>
    <w:rsid w:val="00F63BE8"/>
    <w:rsid w:val="00F63C3D"/>
    <w:rsid w:val="00F63CA3"/>
    <w:rsid w:val="00F63D76"/>
    <w:rsid w:val="00F63E66"/>
    <w:rsid w:val="00F63E94"/>
    <w:rsid w:val="00F63F91"/>
    <w:rsid w:val="00F63FBF"/>
    <w:rsid w:val="00F640C8"/>
    <w:rsid w:val="00F643C1"/>
    <w:rsid w:val="00F64489"/>
    <w:rsid w:val="00F644DF"/>
    <w:rsid w:val="00F64580"/>
    <w:rsid w:val="00F645FE"/>
    <w:rsid w:val="00F64872"/>
    <w:rsid w:val="00F648B7"/>
    <w:rsid w:val="00F649BA"/>
    <w:rsid w:val="00F649CE"/>
    <w:rsid w:val="00F649FA"/>
    <w:rsid w:val="00F64BA9"/>
    <w:rsid w:val="00F64BD3"/>
    <w:rsid w:val="00F64BF2"/>
    <w:rsid w:val="00F64C53"/>
    <w:rsid w:val="00F64E50"/>
    <w:rsid w:val="00F64F66"/>
    <w:rsid w:val="00F64F9D"/>
    <w:rsid w:val="00F65015"/>
    <w:rsid w:val="00F65107"/>
    <w:rsid w:val="00F6511B"/>
    <w:rsid w:val="00F651DD"/>
    <w:rsid w:val="00F652CE"/>
    <w:rsid w:val="00F653AC"/>
    <w:rsid w:val="00F653E7"/>
    <w:rsid w:val="00F65463"/>
    <w:rsid w:val="00F65522"/>
    <w:rsid w:val="00F65658"/>
    <w:rsid w:val="00F6566A"/>
    <w:rsid w:val="00F656DC"/>
    <w:rsid w:val="00F65A1E"/>
    <w:rsid w:val="00F65AB5"/>
    <w:rsid w:val="00F65AEF"/>
    <w:rsid w:val="00F65C25"/>
    <w:rsid w:val="00F65D1E"/>
    <w:rsid w:val="00F65D3E"/>
    <w:rsid w:val="00F65E02"/>
    <w:rsid w:val="00F65E10"/>
    <w:rsid w:val="00F65EE5"/>
    <w:rsid w:val="00F65F3C"/>
    <w:rsid w:val="00F66029"/>
    <w:rsid w:val="00F66090"/>
    <w:rsid w:val="00F66202"/>
    <w:rsid w:val="00F66282"/>
    <w:rsid w:val="00F663EA"/>
    <w:rsid w:val="00F665FE"/>
    <w:rsid w:val="00F66697"/>
    <w:rsid w:val="00F667D3"/>
    <w:rsid w:val="00F6689F"/>
    <w:rsid w:val="00F6698F"/>
    <w:rsid w:val="00F66A3B"/>
    <w:rsid w:val="00F66A45"/>
    <w:rsid w:val="00F66AAC"/>
    <w:rsid w:val="00F66B39"/>
    <w:rsid w:val="00F66CF7"/>
    <w:rsid w:val="00F66D0B"/>
    <w:rsid w:val="00F66DE7"/>
    <w:rsid w:val="00F66E98"/>
    <w:rsid w:val="00F67020"/>
    <w:rsid w:val="00F6707F"/>
    <w:rsid w:val="00F671A8"/>
    <w:rsid w:val="00F672F2"/>
    <w:rsid w:val="00F67333"/>
    <w:rsid w:val="00F673DF"/>
    <w:rsid w:val="00F6749E"/>
    <w:rsid w:val="00F675D4"/>
    <w:rsid w:val="00F67681"/>
    <w:rsid w:val="00F67718"/>
    <w:rsid w:val="00F6778F"/>
    <w:rsid w:val="00F6789A"/>
    <w:rsid w:val="00F67923"/>
    <w:rsid w:val="00F679AA"/>
    <w:rsid w:val="00F679BC"/>
    <w:rsid w:val="00F67AB1"/>
    <w:rsid w:val="00F67D00"/>
    <w:rsid w:val="00F67DCF"/>
    <w:rsid w:val="00F67E03"/>
    <w:rsid w:val="00F67EA2"/>
    <w:rsid w:val="00F67F71"/>
    <w:rsid w:val="00F67FC6"/>
    <w:rsid w:val="00F67FCF"/>
    <w:rsid w:val="00F7012F"/>
    <w:rsid w:val="00F702FC"/>
    <w:rsid w:val="00F7051C"/>
    <w:rsid w:val="00F70650"/>
    <w:rsid w:val="00F707FF"/>
    <w:rsid w:val="00F7091C"/>
    <w:rsid w:val="00F7096D"/>
    <w:rsid w:val="00F709C3"/>
    <w:rsid w:val="00F70A17"/>
    <w:rsid w:val="00F70AAA"/>
    <w:rsid w:val="00F70D02"/>
    <w:rsid w:val="00F70E50"/>
    <w:rsid w:val="00F70F31"/>
    <w:rsid w:val="00F70F36"/>
    <w:rsid w:val="00F70F51"/>
    <w:rsid w:val="00F7118B"/>
    <w:rsid w:val="00F7118C"/>
    <w:rsid w:val="00F71278"/>
    <w:rsid w:val="00F71344"/>
    <w:rsid w:val="00F7134F"/>
    <w:rsid w:val="00F713BF"/>
    <w:rsid w:val="00F71464"/>
    <w:rsid w:val="00F714C5"/>
    <w:rsid w:val="00F71596"/>
    <w:rsid w:val="00F715A6"/>
    <w:rsid w:val="00F71604"/>
    <w:rsid w:val="00F7168D"/>
    <w:rsid w:val="00F716D2"/>
    <w:rsid w:val="00F71759"/>
    <w:rsid w:val="00F7181A"/>
    <w:rsid w:val="00F71905"/>
    <w:rsid w:val="00F7193C"/>
    <w:rsid w:val="00F7193E"/>
    <w:rsid w:val="00F7197F"/>
    <w:rsid w:val="00F71A25"/>
    <w:rsid w:val="00F71A64"/>
    <w:rsid w:val="00F71AD5"/>
    <w:rsid w:val="00F71B40"/>
    <w:rsid w:val="00F71BE4"/>
    <w:rsid w:val="00F71C69"/>
    <w:rsid w:val="00F71F2D"/>
    <w:rsid w:val="00F71F60"/>
    <w:rsid w:val="00F71F6B"/>
    <w:rsid w:val="00F71F99"/>
    <w:rsid w:val="00F72047"/>
    <w:rsid w:val="00F72198"/>
    <w:rsid w:val="00F721A6"/>
    <w:rsid w:val="00F72215"/>
    <w:rsid w:val="00F7226F"/>
    <w:rsid w:val="00F7238A"/>
    <w:rsid w:val="00F724A1"/>
    <w:rsid w:val="00F724FC"/>
    <w:rsid w:val="00F7256C"/>
    <w:rsid w:val="00F725C7"/>
    <w:rsid w:val="00F72747"/>
    <w:rsid w:val="00F728C8"/>
    <w:rsid w:val="00F729EE"/>
    <w:rsid w:val="00F72A0E"/>
    <w:rsid w:val="00F72A81"/>
    <w:rsid w:val="00F72ADA"/>
    <w:rsid w:val="00F72CC5"/>
    <w:rsid w:val="00F72E24"/>
    <w:rsid w:val="00F72E56"/>
    <w:rsid w:val="00F72E6C"/>
    <w:rsid w:val="00F72FF1"/>
    <w:rsid w:val="00F730F2"/>
    <w:rsid w:val="00F731C4"/>
    <w:rsid w:val="00F731EE"/>
    <w:rsid w:val="00F73209"/>
    <w:rsid w:val="00F73286"/>
    <w:rsid w:val="00F7338A"/>
    <w:rsid w:val="00F733C9"/>
    <w:rsid w:val="00F7343C"/>
    <w:rsid w:val="00F734C4"/>
    <w:rsid w:val="00F737BE"/>
    <w:rsid w:val="00F738DB"/>
    <w:rsid w:val="00F738EE"/>
    <w:rsid w:val="00F73A57"/>
    <w:rsid w:val="00F73B3B"/>
    <w:rsid w:val="00F73BAB"/>
    <w:rsid w:val="00F73CB3"/>
    <w:rsid w:val="00F73D7A"/>
    <w:rsid w:val="00F73DE5"/>
    <w:rsid w:val="00F74061"/>
    <w:rsid w:val="00F74290"/>
    <w:rsid w:val="00F74440"/>
    <w:rsid w:val="00F74472"/>
    <w:rsid w:val="00F745BF"/>
    <w:rsid w:val="00F746D6"/>
    <w:rsid w:val="00F74746"/>
    <w:rsid w:val="00F747E8"/>
    <w:rsid w:val="00F7486A"/>
    <w:rsid w:val="00F74962"/>
    <w:rsid w:val="00F749E1"/>
    <w:rsid w:val="00F74B09"/>
    <w:rsid w:val="00F74B1F"/>
    <w:rsid w:val="00F74B50"/>
    <w:rsid w:val="00F74C41"/>
    <w:rsid w:val="00F74CD2"/>
    <w:rsid w:val="00F74CDD"/>
    <w:rsid w:val="00F74D24"/>
    <w:rsid w:val="00F74D4C"/>
    <w:rsid w:val="00F74D86"/>
    <w:rsid w:val="00F74E3F"/>
    <w:rsid w:val="00F74E9E"/>
    <w:rsid w:val="00F74EAF"/>
    <w:rsid w:val="00F74FCA"/>
    <w:rsid w:val="00F7503B"/>
    <w:rsid w:val="00F750D1"/>
    <w:rsid w:val="00F750D7"/>
    <w:rsid w:val="00F75263"/>
    <w:rsid w:val="00F752F6"/>
    <w:rsid w:val="00F753A1"/>
    <w:rsid w:val="00F75483"/>
    <w:rsid w:val="00F755F4"/>
    <w:rsid w:val="00F75669"/>
    <w:rsid w:val="00F75676"/>
    <w:rsid w:val="00F756A2"/>
    <w:rsid w:val="00F75A65"/>
    <w:rsid w:val="00F75A79"/>
    <w:rsid w:val="00F75B48"/>
    <w:rsid w:val="00F75C41"/>
    <w:rsid w:val="00F75DA6"/>
    <w:rsid w:val="00F75F68"/>
    <w:rsid w:val="00F7614E"/>
    <w:rsid w:val="00F76161"/>
    <w:rsid w:val="00F7616C"/>
    <w:rsid w:val="00F76194"/>
    <w:rsid w:val="00F76195"/>
    <w:rsid w:val="00F761F3"/>
    <w:rsid w:val="00F7626B"/>
    <w:rsid w:val="00F762BC"/>
    <w:rsid w:val="00F762EA"/>
    <w:rsid w:val="00F76324"/>
    <w:rsid w:val="00F7635C"/>
    <w:rsid w:val="00F7640E"/>
    <w:rsid w:val="00F7642F"/>
    <w:rsid w:val="00F7659D"/>
    <w:rsid w:val="00F765F0"/>
    <w:rsid w:val="00F76700"/>
    <w:rsid w:val="00F7670B"/>
    <w:rsid w:val="00F76712"/>
    <w:rsid w:val="00F767F5"/>
    <w:rsid w:val="00F76830"/>
    <w:rsid w:val="00F76965"/>
    <w:rsid w:val="00F769AF"/>
    <w:rsid w:val="00F76A42"/>
    <w:rsid w:val="00F76A7D"/>
    <w:rsid w:val="00F76C34"/>
    <w:rsid w:val="00F76E0C"/>
    <w:rsid w:val="00F76ED9"/>
    <w:rsid w:val="00F76F2F"/>
    <w:rsid w:val="00F76F62"/>
    <w:rsid w:val="00F77098"/>
    <w:rsid w:val="00F770BC"/>
    <w:rsid w:val="00F7728C"/>
    <w:rsid w:val="00F7734D"/>
    <w:rsid w:val="00F774F3"/>
    <w:rsid w:val="00F7755E"/>
    <w:rsid w:val="00F77586"/>
    <w:rsid w:val="00F77616"/>
    <w:rsid w:val="00F77705"/>
    <w:rsid w:val="00F77858"/>
    <w:rsid w:val="00F778E0"/>
    <w:rsid w:val="00F778ED"/>
    <w:rsid w:val="00F77931"/>
    <w:rsid w:val="00F779CB"/>
    <w:rsid w:val="00F77A65"/>
    <w:rsid w:val="00F77BC4"/>
    <w:rsid w:val="00F77CAF"/>
    <w:rsid w:val="00F77EC1"/>
    <w:rsid w:val="00F77EEE"/>
    <w:rsid w:val="00F77F2C"/>
    <w:rsid w:val="00F800F6"/>
    <w:rsid w:val="00F80158"/>
    <w:rsid w:val="00F8019A"/>
    <w:rsid w:val="00F803C1"/>
    <w:rsid w:val="00F803CC"/>
    <w:rsid w:val="00F8043A"/>
    <w:rsid w:val="00F804CC"/>
    <w:rsid w:val="00F805C4"/>
    <w:rsid w:val="00F805D7"/>
    <w:rsid w:val="00F809BA"/>
    <w:rsid w:val="00F80A56"/>
    <w:rsid w:val="00F80B1D"/>
    <w:rsid w:val="00F80B8F"/>
    <w:rsid w:val="00F80C63"/>
    <w:rsid w:val="00F80E7B"/>
    <w:rsid w:val="00F80F19"/>
    <w:rsid w:val="00F80F8B"/>
    <w:rsid w:val="00F8110F"/>
    <w:rsid w:val="00F811CA"/>
    <w:rsid w:val="00F811F8"/>
    <w:rsid w:val="00F812FB"/>
    <w:rsid w:val="00F813D4"/>
    <w:rsid w:val="00F81445"/>
    <w:rsid w:val="00F814F2"/>
    <w:rsid w:val="00F81851"/>
    <w:rsid w:val="00F81A2F"/>
    <w:rsid w:val="00F81A47"/>
    <w:rsid w:val="00F81B66"/>
    <w:rsid w:val="00F81D5F"/>
    <w:rsid w:val="00F81D8F"/>
    <w:rsid w:val="00F820E2"/>
    <w:rsid w:val="00F8211A"/>
    <w:rsid w:val="00F822F6"/>
    <w:rsid w:val="00F8242C"/>
    <w:rsid w:val="00F82480"/>
    <w:rsid w:val="00F82496"/>
    <w:rsid w:val="00F82508"/>
    <w:rsid w:val="00F8260E"/>
    <w:rsid w:val="00F826F0"/>
    <w:rsid w:val="00F82797"/>
    <w:rsid w:val="00F82810"/>
    <w:rsid w:val="00F8291E"/>
    <w:rsid w:val="00F82951"/>
    <w:rsid w:val="00F8297C"/>
    <w:rsid w:val="00F82998"/>
    <w:rsid w:val="00F82A04"/>
    <w:rsid w:val="00F82A31"/>
    <w:rsid w:val="00F82A5A"/>
    <w:rsid w:val="00F82D04"/>
    <w:rsid w:val="00F82D62"/>
    <w:rsid w:val="00F82D74"/>
    <w:rsid w:val="00F82DB8"/>
    <w:rsid w:val="00F82FD4"/>
    <w:rsid w:val="00F83074"/>
    <w:rsid w:val="00F8325B"/>
    <w:rsid w:val="00F8327E"/>
    <w:rsid w:val="00F832B0"/>
    <w:rsid w:val="00F83313"/>
    <w:rsid w:val="00F83564"/>
    <w:rsid w:val="00F8364E"/>
    <w:rsid w:val="00F83651"/>
    <w:rsid w:val="00F83695"/>
    <w:rsid w:val="00F836F7"/>
    <w:rsid w:val="00F837CE"/>
    <w:rsid w:val="00F83A41"/>
    <w:rsid w:val="00F83A74"/>
    <w:rsid w:val="00F83B5D"/>
    <w:rsid w:val="00F83C48"/>
    <w:rsid w:val="00F83C4E"/>
    <w:rsid w:val="00F83C6D"/>
    <w:rsid w:val="00F83C79"/>
    <w:rsid w:val="00F83CD9"/>
    <w:rsid w:val="00F83D1C"/>
    <w:rsid w:val="00F83DEE"/>
    <w:rsid w:val="00F83DF4"/>
    <w:rsid w:val="00F83E3E"/>
    <w:rsid w:val="00F83EDC"/>
    <w:rsid w:val="00F83EE2"/>
    <w:rsid w:val="00F8404B"/>
    <w:rsid w:val="00F84287"/>
    <w:rsid w:val="00F84375"/>
    <w:rsid w:val="00F843BE"/>
    <w:rsid w:val="00F843D1"/>
    <w:rsid w:val="00F8451B"/>
    <w:rsid w:val="00F8451C"/>
    <w:rsid w:val="00F8453B"/>
    <w:rsid w:val="00F845D9"/>
    <w:rsid w:val="00F84627"/>
    <w:rsid w:val="00F8469F"/>
    <w:rsid w:val="00F8473C"/>
    <w:rsid w:val="00F84817"/>
    <w:rsid w:val="00F8483E"/>
    <w:rsid w:val="00F84989"/>
    <w:rsid w:val="00F849C7"/>
    <w:rsid w:val="00F84A2F"/>
    <w:rsid w:val="00F84A93"/>
    <w:rsid w:val="00F84AD7"/>
    <w:rsid w:val="00F84AEE"/>
    <w:rsid w:val="00F84CED"/>
    <w:rsid w:val="00F84D86"/>
    <w:rsid w:val="00F84DB8"/>
    <w:rsid w:val="00F84E3B"/>
    <w:rsid w:val="00F84EC1"/>
    <w:rsid w:val="00F84FC0"/>
    <w:rsid w:val="00F85037"/>
    <w:rsid w:val="00F852E6"/>
    <w:rsid w:val="00F8575F"/>
    <w:rsid w:val="00F857E7"/>
    <w:rsid w:val="00F857FA"/>
    <w:rsid w:val="00F85991"/>
    <w:rsid w:val="00F859D2"/>
    <w:rsid w:val="00F85A71"/>
    <w:rsid w:val="00F85AB4"/>
    <w:rsid w:val="00F85AD7"/>
    <w:rsid w:val="00F85BA6"/>
    <w:rsid w:val="00F85C85"/>
    <w:rsid w:val="00F85DBF"/>
    <w:rsid w:val="00F85DEF"/>
    <w:rsid w:val="00F85E65"/>
    <w:rsid w:val="00F85E82"/>
    <w:rsid w:val="00F85EAE"/>
    <w:rsid w:val="00F85ED0"/>
    <w:rsid w:val="00F85F62"/>
    <w:rsid w:val="00F86064"/>
    <w:rsid w:val="00F860EC"/>
    <w:rsid w:val="00F86138"/>
    <w:rsid w:val="00F86153"/>
    <w:rsid w:val="00F861E7"/>
    <w:rsid w:val="00F86610"/>
    <w:rsid w:val="00F8666A"/>
    <w:rsid w:val="00F866DE"/>
    <w:rsid w:val="00F868B3"/>
    <w:rsid w:val="00F86966"/>
    <w:rsid w:val="00F86A08"/>
    <w:rsid w:val="00F86B92"/>
    <w:rsid w:val="00F86BF1"/>
    <w:rsid w:val="00F86E6F"/>
    <w:rsid w:val="00F86ED9"/>
    <w:rsid w:val="00F87057"/>
    <w:rsid w:val="00F87072"/>
    <w:rsid w:val="00F8715C"/>
    <w:rsid w:val="00F871F5"/>
    <w:rsid w:val="00F8725E"/>
    <w:rsid w:val="00F87409"/>
    <w:rsid w:val="00F87423"/>
    <w:rsid w:val="00F87432"/>
    <w:rsid w:val="00F87477"/>
    <w:rsid w:val="00F87483"/>
    <w:rsid w:val="00F8774C"/>
    <w:rsid w:val="00F87753"/>
    <w:rsid w:val="00F8782A"/>
    <w:rsid w:val="00F879F4"/>
    <w:rsid w:val="00F87B03"/>
    <w:rsid w:val="00F87C33"/>
    <w:rsid w:val="00F87C8C"/>
    <w:rsid w:val="00F87CD3"/>
    <w:rsid w:val="00F87E0F"/>
    <w:rsid w:val="00F87E32"/>
    <w:rsid w:val="00F87E4C"/>
    <w:rsid w:val="00F87EA7"/>
    <w:rsid w:val="00F87EDC"/>
    <w:rsid w:val="00F90047"/>
    <w:rsid w:val="00F9028B"/>
    <w:rsid w:val="00F902AD"/>
    <w:rsid w:val="00F90417"/>
    <w:rsid w:val="00F9046F"/>
    <w:rsid w:val="00F90473"/>
    <w:rsid w:val="00F9053D"/>
    <w:rsid w:val="00F90561"/>
    <w:rsid w:val="00F906E8"/>
    <w:rsid w:val="00F9074E"/>
    <w:rsid w:val="00F907E8"/>
    <w:rsid w:val="00F90932"/>
    <w:rsid w:val="00F90A83"/>
    <w:rsid w:val="00F90B4D"/>
    <w:rsid w:val="00F90B77"/>
    <w:rsid w:val="00F90D4C"/>
    <w:rsid w:val="00F90E0C"/>
    <w:rsid w:val="00F91090"/>
    <w:rsid w:val="00F910B3"/>
    <w:rsid w:val="00F910D3"/>
    <w:rsid w:val="00F9117F"/>
    <w:rsid w:val="00F91329"/>
    <w:rsid w:val="00F91442"/>
    <w:rsid w:val="00F914BF"/>
    <w:rsid w:val="00F914DC"/>
    <w:rsid w:val="00F9169D"/>
    <w:rsid w:val="00F91729"/>
    <w:rsid w:val="00F91745"/>
    <w:rsid w:val="00F91753"/>
    <w:rsid w:val="00F91883"/>
    <w:rsid w:val="00F918D8"/>
    <w:rsid w:val="00F91BBE"/>
    <w:rsid w:val="00F91C48"/>
    <w:rsid w:val="00F91C9D"/>
    <w:rsid w:val="00F91D5E"/>
    <w:rsid w:val="00F91DC3"/>
    <w:rsid w:val="00F91E21"/>
    <w:rsid w:val="00F91F51"/>
    <w:rsid w:val="00F92062"/>
    <w:rsid w:val="00F92166"/>
    <w:rsid w:val="00F92277"/>
    <w:rsid w:val="00F923ED"/>
    <w:rsid w:val="00F925EB"/>
    <w:rsid w:val="00F92647"/>
    <w:rsid w:val="00F926D8"/>
    <w:rsid w:val="00F92770"/>
    <w:rsid w:val="00F927CA"/>
    <w:rsid w:val="00F92875"/>
    <w:rsid w:val="00F928BB"/>
    <w:rsid w:val="00F928D8"/>
    <w:rsid w:val="00F92A12"/>
    <w:rsid w:val="00F92A3C"/>
    <w:rsid w:val="00F92BFC"/>
    <w:rsid w:val="00F92C8E"/>
    <w:rsid w:val="00F92CBC"/>
    <w:rsid w:val="00F92F68"/>
    <w:rsid w:val="00F92FBF"/>
    <w:rsid w:val="00F93026"/>
    <w:rsid w:val="00F930D2"/>
    <w:rsid w:val="00F9322D"/>
    <w:rsid w:val="00F93290"/>
    <w:rsid w:val="00F933F3"/>
    <w:rsid w:val="00F93455"/>
    <w:rsid w:val="00F9398E"/>
    <w:rsid w:val="00F93C2F"/>
    <w:rsid w:val="00F93D20"/>
    <w:rsid w:val="00F93F30"/>
    <w:rsid w:val="00F93FBB"/>
    <w:rsid w:val="00F94098"/>
    <w:rsid w:val="00F94176"/>
    <w:rsid w:val="00F94188"/>
    <w:rsid w:val="00F943F7"/>
    <w:rsid w:val="00F9443C"/>
    <w:rsid w:val="00F9461D"/>
    <w:rsid w:val="00F94652"/>
    <w:rsid w:val="00F94661"/>
    <w:rsid w:val="00F94678"/>
    <w:rsid w:val="00F94687"/>
    <w:rsid w:val="00F9479E"/>
    <w:rsid w:val="00F948FC"/>
    <w:rsid w:val="00F9493B"/>
    <w:rsid w:val="00F9494F"/>
    <w:rsid w:val="00F94B2A"/>
    <w:rsid w:val="00F94D48"/>
    <w:rsid w:val="00F94EFF"/>
    <w:rsid w:val="00F94FBF"/>
    <w:rsid w:val="00F94FD8"/>
    <w:rsid w:val="00F94FFD"/>
    <w:rsid w:val="00F95057"/>
    <w:rsid w:val="00F95091"/>
    <w:rsid w:val="00F950C7"/>
    <w:rsid w:val="00F952B7"/>
    <w:rsid w:val="00F95372"/>
    <w:rsid w:val="00F95637"/>
    <w:rsid w:val="00F956EC"/>
    <w:rsid w:val="00F95729"/>
    <w:rsid w:val="00F957E1"/>
    <w:rsid w:val="00F957F9"/>
    <w:rsid w:val="00F95813"/>
    <w:rsid w:val="00F95863"/>
    <w:rsid w:val="00F958D3"/>
    <w:rsid w:val="00F9592E"/>
    <w:rsid w:val="00F95A78"/>
    <w:rsid w:val="00F95A80"/>
    <w:rsid w:val="00F95AB1"/>
    <w:rsid w:val="00F95B6B"/>
    <w:rsid w:val="00F95C04"/>
    <w:rsid w:val="00F95C76"/>
    <w:rsid w:val="00F95E2C"/>
    <w:rsid w:val="00F95E85"/>
    <w:rsid w:val="00F95F24"/>
    <w:rsid w:val="00F962CF"/>
    <w:rsid w:val="00F96314"/>
    <w:rsid w:val="00F963AD"/>
    <w:rsid w:val="00F964D7"/>
    <w:rsid w:val="00F9651A"/>
    <w:rsid w:val="00F96530"/>
    <w:rsid w:val="00F965D5"/>
    <w:rsid w:val="00F96627"/>
    <w:rsid w:val="00F966D1"/>
    <w:rsid w:val="00F967F6"/>
    <w:rsid w:val="00F9681A"/>
    <w:rsid w:val="00F9684C"/>
    <w:rsid w:val="00F96AB9"/>
    <w:rsid w:val="00F96B1A"/>
    <w:rsid w:val="00F96B7D"/>
    <w:rsid w:val="00F96BEB"/>
    <w:rsid w:val="00F96C67"/>
    <w:rsid w:val="00F96D52"/>
    <w:rsid w:val="00F96E33"/>
    <w:rsid w:val="00F96EC0"/>
    <w:rsid w:val="00F96F36"/>
    <w:rsid w:val="00F9712C"/>
    <w:rsid w:val="00F9718A"/>
    <w:rsid w:val="00F97208"/>
    <w:rsid w:val="00F97263"/>
    <w:rsid w:val="00F97463"/>
    <w:rsid w:val="00F975C1"/>
    <w:rsid w:val="00F976FF"/>
    <w:rsid w:val="00F97756"/>
    <w:rsid w:val="00F9775A"/>
    <w:rsid w:val="00F9783E"/>
    <w:rsid w:val="00F978EE"/>
    <w:rsid w:val="00F97AAC"/>
    <w:rsid w:val="00F97BA1"/>
    <w:rsid w:val="00F97BA9"/>
    <w:rsid w:val="00F97BB2"/>
    <w:rsid w:val="00F97BF2"/>
    <w:rsid w:val="00F97CD7"/>
    <w:rsid w:val="00F97D16"/>
    <w:rsid w:val="00F97D50"/>
    <w:rsid w:val="00F97E3F"/>
    <w:rsid w:val="00F97E80"/>
    <w:rsid w:val="00F97E81"/>
    <w:rsid w:val="00FA0017"/>
    <w:rsid w:val="00FA00C1"/>
    <w:rsid w:val="00FA0107"/>
    <w:rsid w:val="00FA014C"/>
    <w:rsid w:val="00FA01D2"/>
    <w:rsid w:val="00FA039B"/>
    <w:rsid w:val="00FA03E5"/>
    <w:rsid w:val="00FA04C5"/>
    <w:rsid w:val="00FA05BF"/>
    <w:rsid w:val="00FA05F3"/>
    <w:rsid w:val="00FA05F6"/>
    <w:rsid w:val="00FA077D"/>
    <w:rsid w:val="00FA07E6"/>
    <w:rsid w:val="00FA08E4"/>
    <w:rsid w:val="00FA0918"/>
    <w:rsid w:val="00FA091A"/>
    <w:rsid w:val="00FA09BF"/>
    <w:rsid w:val="00FA09CB"/>
    <w:rsid w:val="00FA0A41"/>
    <w:rsid w:val="00FA0AB8"/>
    <w:rsid w:val="00FA0B63"/>
    <w:rsid w:val="00FA0C90"/>
    <w:rsid w:val="00FA0CBD"/>
    <w:rsid w:val="00FA0F58"/>
    <w:rsid w:val="00FA0F7D"/>
    <w:rsid w:val="00FA10BC"/>
    <w:rsid w:val="00FA10CA"/>
    <w:rsid w:val="00FA11EF"/>
    <w:rsid w:val="00FA1284"/>
    <w:rsid w:val="00FA1374"/>
    <w:rsid w:val="00FA13AC"/>
    <w:rsid w:val="00FA13AD"/>
    <w:rsid w:val="00FA13CD"/>
    <w:rsid w:val="00FA13DF"/>
    <w:rsid w:val="00FA1478"/>
    <w:rsid w:val="00FA15A4"/>
    <w:rsid w:val="00FA1710"/>
    <w:rsid w:val="00FA171D"/>
    <w:rsid w:val="00FA17B9"/>
    <w:rsid w:val="00FA1A68"/>
    <w:rsid w:val="00FA1AC5"/>
    <w:rsid w:val="00FA1AE3"/>
    <w:rsid w:val="00FA1BB5"/>
    <w:rsid w:val="00FA1D0A"/>
    <w:rsid w:val="00FA1D27"/>
    <w:rsid w:val="00FA1E92"/>
    <w:rsid w:val="00FA1F57"/>
    <w:rsid w:val="00FA1FF2"/>
    <w:rsid w:val="00FA2064"/>
    <w:rsid w:val="00FA2082"/>
    <w:rsid w:val="00FA20ED"/>
    <w:rsid w:val="00FA21A4"/>
    <w:rsid w:val="00FA2211"/>
    <w:rsid w:val="00FA2443"/>
    <w:rsid w:val="00FA2604"/>
    <w:rsid w:val="00FA26BA"/>
    <w:rsid w:val="00FA26F4"/>
    <w:rsid w:val="00FA2703"/>
    <w:rsid w:val="00FA2709"/>
    <w:rsid w:val="00FA27F9"/>
    <w:rsid w:val="00FA280C"/>
    <w:rsid w:val="00FA285B"/>
    <w:rsid w:val="00FA28C1"/>
    <w:rsid w:val="00FA2967"/>
    <w:rsid w:val="00FA29AD"/>
    <w:rsid w:val="00FA2A63"/>
    <w:rsid w:val="00FA2AC2"/>
    <w:rsid w:val="00FA2B7D"/>
    <w:rsid w:val="00FA2CF3"/>
    <w:rsid w:val="00FA2D05"/>
    <w:rsid w:val="00FA2D53"/>
    <w:rsid w:val="00FA2E70"/>
    <w:rsid w:val="00FA2FA1"/>
    <w:rsid w:val="00FA3022"/>
    <w:rsid w:val="00FA303C"/>
    <w:rsid w:val="00FA3307"/>
    <w:rsid w:val="00FA334C"/>
    <w:rsid w:val="00FA334F"/>
    <w:rsid w:val="00FA336D"/>
    <w:rsid w:val="00FA3463"/>
    <w:rsid w:val="00FA3484"/>
    <w:rsid w:val="00FA348B"/>
    <w:rsid w:val="00FA34C4"/>
    <w:rsid w:val="00FA34D3"/>
    <w:rsid w:val="00FA366C"/>
    <w:rsid w:val="00FA37E0"/>
    <w:rsid w:val="00FA397F"/>
    <w:rsid w:val="00FA3982"/>
    <w:rsid w:val="00FA39EA"/>
    <w:rsid w:val="00FA3A02"/>
    <w:rsid w:val="00FA3A84"/>
    <w:rsid w:val="00FA3AA9"/>
    <w:rsid w:val="00FA3CC2"/>
    <w:rsid w:val="00FA3CF6"/>
    <w:rsid w:val="00FA3DB0"/>
    <w:rsid w:val="00FA3DCC"/>
    <w:rsid w:val="00FA3E01"/>
    <w:rsid w:val="00FA3E16"/>
    <w:rsid w:val="00FA3FFF"/>
    <w:rsid w:val="00FA4017"/>
    <w:rsid w:val="00FA40DC"/>
    <w:rsid w:val="00FA40DD"/>
    <w:rsid w:val="00FA4106"/>
    <w:rsid w:val="00FA4134"/>
    <w:rsid w:val="00FA4184"/>
    <w:rsid w:val="00FA41EF"/>
    <w:rsid w:val="00FA42F6"/>
    <w:rsid w:val="00FA43B0"/>
    <w:rsid w:val="00FA4679"/>
    <w:rsid w:val="00FA4757"/>
    <w:rsid w:val="00FA4924"/>
    <w:rsid w:val="00FA495F"/>
    <w:rsid w:val="00FA4993"/>
    <w:rsid w:val="00FA49F1"/>
    <w:rsid w:val="00FA4B20"/>
    <w:rsid w:val="00FA4DBC"/>
    <w:rsid w:val="00FA4E21"/>
    <w:rsid w:val="00FA4F64"/>
    <w:rsid w:val="00FA4FDB"/>
    <w:rsid w:val="00FA5099"/>
    <w:rsid w:val="00FA510A"/>
    <w:rsid w:val="00FA517C"/>
    <w:rsid w:val="00FA5292"/>
    <w:rsid w:val="00FA52E8"/>
    <w:rsid w:val="00FA52FA"/>
    <w:rsid w:val="00FA55E7"/>
    <w:rsid w:val="00FA563C"/>
    <w:rsid w:val="00FA565F"/>
    <w:rsid w:val="00FA5678"/>
    <w:rsid w:val="00FA58DF"/>
    <w:rsid w:val="00FA59CA"/>
    <w:rsid w:val="00FA5A33"/>
    <w:rsid w:val="00FA5A74"/>
    <w:rsid w:val="00FA5B86"/>
    <w:rsid w:val="00FA5D11"/>
    <w:rsid w:val="00FA5EC3"/>
    <w:rsid w:val="00FA6026"/>
    <w:rsid w:val="00FA609E"/>
    <w:rsid w:val="00FA60BD"/>
    <w:rsid w:val="00FA6145"/>
    <w:rsid w:val="00FA620F"/>
    <w:rsid w:val="00FA6217"/>
    <w:rsid w:val="00FA622D"/>
    <w:rsid w:val="00FA626D"/>
    <w:rsid w:val="00FA63D2"/>
    <w:rsid w:val="00FA63D6"/>
    <w:rsid w:val="00FA64DA"/>
    <w:rsid w:val="00FA6549"/>
    <w:rsid w:val="00FA654A"/>
    <w:rsid w:val="00FA66AD"/>
    <w:rsid w:val="00FA66B4"/>
    <w:rsid w:val="00FA6964"/>
    <w:rsid w:val="00FA6A51"/>
    <w:rsid w:val="00FA6AC7"/>
    <w:rsid w:val="00FA6AC9"/>
    <w:rsid w:val="00FA6AF2"/>
    <w:rsid w:val="00FA6CC5"/>
    <w:rsid w:val="00FA6E93"/>
    <w:rsid w:val="00FA6F6D"/>
    <w:rsid w:val="00FA6F97"/>
    <w:rsid w:val="00FA701F"/>
    <w:rsid w:val="00FA705A"/>
    <w:rsid w:val="00FA7075"/>
    <w:rsid w:val="00FA70CD"/>
    <w:rsid w:val="00FA746C"/>
    <w:rsid w:val="00FA7683"/>
    <w:rsid w:val="00FA7722"/>
    <w:rsid w:val="00FA7761"/>
    <w:rsid w:val="00FA78E8"/>
    <w:rsid w:val="00FA7A25"/>
    <w:rsid w:val="00FA7A67"/>
    <w:rsid w:val="00FA7B91"/>
    <w:rsid w:val="00FA7BF2"/>
    <w:rsid w:val="00FA7BF6"/>
    <w:rsid w:val="00FA7D0E"/>
    <w:rsid w:val="00FA7E18"/>
    <w:rsid w:val="00FB027C"/>
    <w:rsid w:val="00FB029C"/>
    <w:rsid w:val="00FB03CB"/>
    <w:rsid w:val="00FB047D"/>
    <w:rsid w:val="00FB057B"/>
    <w:rsid w:val="00FB0641"/>
    <w:rsid w:val="00FB092E"/>
    <w:rsid w:val="00FB0A2C"/>
    <w:rsid w:val="00FB0AA2"/>
    <w:rsid w:val="00FB0AC5"/>
    <w:rsid w:val="00FB0C38"/>
    <w:rsid w:val="00FB0C93"/>
    <w:rsid w:val="00FB1005"/>
    <w:rsid w:val="00FB102B"/>
    <w:rsid w:val="00FB1090"/>
    <w:rsid w:val="00FB115B"/>
    <w:rsid w:val="00FB11F8"/>
    <w:rsid w:val="00FB133C"/>
    <w:rsid w:val="00FB134A"/>
    <w:rsid w:val="00FB137B"/>
    <w:rsid w:val="00FB146D"/>
    <w:rsid w:val="00FB1620"/>
    <w:rsid w:val="00FB164C"/>
    <w:rsid w:val="00FB1760"/>
    <w:rsid w:val="00FB17DA"/>
    <w:rsid w:val="00FB1818"/>
    <w:rsid w:val="00FB1821"/>
    <w:rsid w:val="00FB18CA"/>
    <w:rsid w:val="00FB19BF"/>
    <w:rsid w:val="00FB1B03"/>
    <w:rsid w:val="00FB1B0A"/>
    <w:rsid w:val="00FB1C5B"/>
    <w:rsid w:val="00FB1C5F"/>
    <w:rsid w:val="00FB1CB5"/>
    <w:rsid w:val="00FB1FAA"/>
    <w:rsid w:val="00FB1FF0"/>
    <w:rsid w:val="00FB20C3"/>
    <w:rsid w:val="00FB20E1"/>
    <w:rsid w:val="00FB2145"/>
    <w:rsid w:val="00FB214C"/>
    <w:rsid w:val="00FB2357"/>
    <w:rsid w:val="00FB24C3"/>
    <w:rsid w:val="00FB2567"/>
    <w:rsid w:val="00FB26CE"/>
    <w:rsid w:val="00FB270B"/>
    <w:rsid w:val="00FB2724"/>
    <w:rsid w:val="00FB27ED"/>
    <w:rsid w:val="00FB280B"/>
    <w:rsid w:val="00FB286B"/>
    <w:rsid w:val="00FB2A3D"/>
    <w:rsid w:val="00FB2B29"/>
    <w:rsid w:val="00FB2B82"/>
    <w:rsid w:val="00FB2D3B"/>
    <w:rsid w:val="00FB2D75"/>
    <w:rsid w:val="00FB2DBD"/>
    <w:rsid w:val="00FB2DD5"/>
    <w:rsid w:val="00FB2DE9"/>
    <w:rsid w:val="00FB2E79"/>
    <w:rsid w:val="00FB2EC8"/>
    <w:rsid w:val="00FB309C"/>
    <w:rsid w:val="00FB3176"/>
    <w:rsid w:val="00FB3180"/>
    <w:rsid w:val="00FB3198"/>
    <w:rsid w:val="00FB3325"/>
    <w:rsid w:val="00FB340B"/>
    <w:rsid w:val="00FB3492"/>
    <w:rsid w:val="00FB357B"/>
    <w:rsid w:val="00FB36A6"/>
    <w:rsid w:val="00FB3730"/>
    <w:rsid w:val="00FB38CC"/>
    <w:rsid w:val="00FB3A8C"/>
    <w:rsid w:val="00FB3B04"/>
    <w:rsid w:val="00FB3C6C"/>
    <w:rsid w:val="00FB3C79"/>
    <w:rsid w:val="00FB3E21"/>
    <w:rsid w:val="00FB3F5E"/>
    <w:rsid w:val="00FB40EF"/>
    <w:rsid w:val="00FB44AF"/>
    <w:rsid w:val="00FB44BA"/>
    <w:rsid w:val="00FB4543"/>
    <w:rsid w:val="00FB466B"/>
    <w:rsid w:val="00FB4812"/>
    <w:rsid w:val="00FB488E"/>
    <w:rsid w:val="00FB48D0"/>
    <w:rsid w:val="00FB48FB"/>
    <w:rsid w:val="00FB4946"/>
    <w:rsid w:val="00FB4954"/>
    <w:rsid w:val="00FB4B17"/>
    <w:rsid w:val="00FB4B34"/>
    <w:rsid w:val="00FB4B76"/>
    <w:rsid w:val="00FB4D7A"/>
    <w:rsid w:val="00FB4DF0"/>
    <w:rsid w:val="00FB4E7D"/>
    <w:rsid w:val="00FB4EF0"/>
    <w:rsid w:val="00FB4EF2"/>
    <w:rsid w:val="00FB4F1D"/>
    <w:rsid w:val="00FB4F67"/>
    <w:rsid w:val="00FB4FC0"/>
    <w:rsid w:val="00FB5144"/>
    <w:rsid w:val="00FB518F"/>
    <w:rsid w:val="00FB5285"/>
    <w:rsid w:val="00FB52A5"/>
    <w:rsid w:val="00FB534C"/>
    <w:rsid w:val="00FB5429"/>
    <w:rsid w:val="00FB5491"/>
    <w:rsid w:val="00FB54C6"/>
    <w:rsid w:val="00FB5502"/>
    <w:rsid w:val="00FB5514"/>
    <w:rsid w:val="00FB575C"/>
    <w:rsid w:val="00FB5852"/>
    <w:rsid w:val="00FB587F"/>
    <w:rsid w:val="00FB5A5F"/>
    <w:rsid w:val="00FB5B0E"/>
    <w:rsid w:val="00FB5B24"/>
    <w:rsid w:val="00FB5CC9"/>
    <w:rsid w:val="00FB5D08"/>
    <w:rsid w:val="00FB5F23"/>
    <w:rsid w:val="00FB5F50"/>
    <w:rsid w:val="00FB6054"/>
    <w:rsid w:val="00FB608E"/>
    <w:rsid w:val="00FB60AE"/>
    <w:rsid w:val="00FB61AF"/>
    <w:rsid w:val="00FB61B6"/>
    <w:rsid w:val="00FB66F1"/>
    <w:rsid w:val="00FB672D"/>
    <w:rsid w:val="00FB6A39"/>
    <w:rsid w:val="00FB6A5C"/>
    <w:rsid w:val="00FB6AD8"/>
    <w:rsid w:val="00FB6CC3"/>
    <w:rsid w:val="00FB6D73"/>
    <w:rsid w:val="00FB6DF2"/>
    <w:rsid w:val="00FB6E49"/>
    <w:rsid w:val="00FB6E59"/>
    <w:rsid w:val="00FB73C0"/>
    <w:rsid w:val="00FB745C"/>
    <w:rsid w:val="00FB74EF"/>
    <w:rsid w:val="00FB75BF"/>
    <w:rsid w:val="00FB7674"/>
    <w:rsid w:val="00FB769D"/>
    <w:rsid w:val="00FB7733"/>
    <w:rsid w:val="00FB784D"/>
    <w:rsid w:val="00FB78DD"/>
    <w:rsid w:val="00FB7A83"/>
    <w:rsid w:val="00FB7AA9"/>
    <w:rsid w:val="00FB7AC9"/>
    <w:rsid w:val="00FB7AE2"/>
    <w:rsid w:val="00FB7AF8"/>
    <w:rsid w:val="00FB7C61"/>
    <w:rsid w:val="00FB7E26"/>
    <w:rsid w:val="00FC0126"/>
    <w:rsid w:val="00FC02A6"/>
    <w:rsid w:val="00FC0474"/>
    <w:rsid w:val="00FC0786"/>
    <w:rsid w:val="00FC08E1"/>
    <w:rsid w:val="00FC091A"/>
    <w:rsid w:val="00FC0A6C"/>
    <w:rsid w:val="00FC0C81"/>
    <w:rsid w:val="00FC0CDC"/>
    <w:rsid w:val="00FC0DE3"/>
    <w:rsid w:val="00FC10DC"/>
    <w:rsid w:val="00FC1164"/>
    <w:rsid w:val="00FC11AD"/>
    <w:rsid w:val="00FC11F3"/>
    <w:rsid w:val="00FC1247"/>
    <w:rsid w:val="00FC1253"/>
    <w:rsid w:val="00FC132C"/>
    <w:rsid w:val="00FC1598"/>
    <w:rsid w:val="00FC159E"/>
    <w:rsid w:val="00FC15C7"/>
    <w:rsid w:val="00FC15D5"/>
    <w:rsid w:val="00FC188E"/>
    <w:rsid w:val="00FC18AC"/>
    <w:rsid w:val="00FC1B1E"/>
    <w:rsid w:val="00FC1D75"/>
    <w:rsid w:val="00FC1D99"/>
    <w:rsid w:val="00FC1EE1"/>
    <w:rsid w:val="00FC1F5C"/>
    <w:rsid w:val="00FC20D3"/>
    <w:rsid w:val="00FC24E4"/>
    <w:rsid w:val="00FC26DF"/>
    <w:rsid w:val="00FC2848"/>
    <w:rsid w:val="00FC298A"/>
    <w:rsid w:val="00FC29B5"/>
    <w:rsid w:val="00FC29E8"/>
    <w:rsid w:val="00FC2A40"/>
    <w:rsid w:val="00FC2BFF"/>
    <w:rsid w:val="00FC2C23"/>
    <w:rsid w:val="00FC2C7D"/>
    <w:rsid w:val="00FC2E70"/>
    <w:rsid w:val="00FC2F5C"/>
    <w:rsid w:val="00FC2FBF"/>
    <w:rsid w:val="00FC3345"/>
    <w:rsid w:val="00FC3387"/>
    <w:rsid w:val="00FC341C"/>
    <w:rsid w:val="00FC3644"/>
    <w:rsid w:val="00FC37FD"/>
    <w:rsid w:val="00FC38A8"/>
    <w:rsid w:val="00FC392A"/>
    <w:rsid w:val="00FC392D"/>
    <w:rsid w:val="00FC396C"/>
    <w:rsid w:val="00FC39C4"/>
    <w:rsid w:val="00FC3A03"/>
    <w:rsid w:val="00FC3A43"/>
    <w:rsid w:val="00FC3A8F"/>
    <w:rsid w:val="00FC3AF3"/>
    <w:rsid w:val="00FC3B9A"/>
    <w:rsid w:val="00FC3BB2"/>
    <w:rsid w:val="00FC3BF6"/>
    <w:rsid w:val="00FC3DEC"/>
    <w:rsid w:val="00FC3F85"/>
    <w:rsid w:val="00FC3F94"/>
    <w:rsid w:val="00FC4002"/>
    <w:rsid w:val="00FC4289"/>
    <w:rsid w:val="00FC42AD"/>
    <w:rsid w:val="00FC42BC"/>
    <w:rsid w:val="00FC4325"/>
    <w:rsid w:val="00FC43E1"/>
    <w:rsid w:val="00FC455D"/>
    <w:rsid w:val="00FC45BE"/>
    <w:rsid w:val="00FC46A3"/>
    <w:rsid w:val="00FC46FC"/>
    <w:rsid w:val="00FC48B4"/>
    <w:rsid w:val="00FC48D0"/>
    <w:rsid w:val="00FC49B2"/>
    <w:rsid w:val="00FC49C3"/>
    <w:rsid w:val="00FC4A4D"/>
    <w:rsid w:val="00FC4A72"/>
    <w:rsid w:val="00FC4AA7"/>
    <w:rsid w:val="00FC4B0E"/>
    <w:rsid w:val="00FC4B40"/>
    <w:rsid w:val="00FC4BE4"/>
    <w:rsid w:val="00FC4D65"/>
    <w:rsid w:val="00FC4D67"/>
    <w:rsid w:val="00FC4D70"/>
    <w:rsid w:val="00FC4E5A"/>
    <w:rsid w:val="00FC507C"/>
    <w:rsid w:val="00FC50EC"/>
    <w:rsid w:val="00FC51B1"/>
    <w:rsid w:val="00FC51B4"/>
    <w:rsid w:val="00FC51E0"/>
    <w:rsid w:val="00FC52D8"/>
    <w:rsid w:val="00FC52DB"/>
    <w:rsid w:val="00FC53B4"/>
    <w:rsid w:val="00FC53B5"/>
    <w:rsid w:val="00FC5414"/>
    <w:rsid w:val="00FC5439"/>
    <w:rsid w:val="00FC5511"/>
    <w:rsid w:val="00FC560F"/>
    <w:rsid w:val="00FC5674"/>
    <w:rsid w:val="00FC5677"/>
    <w:rsid w:val="00FC5731"/>
    <w:rsid w:val="00FC5836"/>
    <w:rsid w:val="00FC5919"/>
    <w:rsid w:val="00FC593B"/>
    <w:rsid w:val="00FC59B2"/>
    <w:rsid w:val="00FC5B37"/>
    <w:rsid w:val="00FC5BDB"/>
    <w:rsid w:val="00FC5BED"/>
    <w:rsid w:val="00FC5C26"/>
    <w:rsid w:val="00FC5DF4"/>
    <w:rsid w:val="00FC5E81"/>
    <w:rsid w:val="00FC5EBD"/>
    <w:rsid w:val="00FC5EDE"/>
    <w:rsid w:val="00FC61DB"/>
    <w:rsid w:val="00FC6219"/>
    <w:rsid w:val="00FC6433"/>
    <w:rsid w:val="00FC64E5"/>
    <w:rsid w:val="00FC66C3"/>
    <w:rsid w:val="00FC6924"/>
    <w:rsid w:val="00FC697A"/>
    <w:rsid w:val="00FC69B0"/>
    <w:rsid w:val="00FC6A17"/>
    <w:rsid w:val="00FC6ABD"/>
    <w:rsid w:val="00FC6BB3"/>
    <w:rsid w:val="00FC6BFF"/>
    <w:rsid w:val="00FC6C2F"/>
    <w:rsid w:val="00FC6CE8"/>
    <w:rsid w:val="00FC6ECB"/>
    <w:rsid w:val="00FC700E"/>
    <w:rsid w:val="00FC71DE"/>
    <w:rsid w:val="00FC71F2"/>
    <w:rsid w:val="00FC722A"/>
    <w:rsid w:val="00FC723E"/>
    <w:rsid w:val="00FC72AF"/>
    <w:rsid w:val="00FC7306"/>
    <w:rsid w:val="00FC731D"/>
    <w:rsid w:val="00FC74BF"/>
    <w:rsid w:val="00FC759B"/>
    <w:rsid w:val="00FC75DB"/>
    <w:rsid w:val="00FC7623"/>
    <w:rsid w:val="00FC7759"/>
    <w:rsid w:val="00FC777C"/>
    <w:rsid w:val="00FC7820"/>
    <w:rsid w:val="00FC792B"/>
    <w:rsid w:val="00FC798A"/>
    <w:rsid w:val="00FC7B86"/>
    <w:rsid w:val="00FC7C3B"/>
    <w:rsid w:val="00FC7D99"/>
    <w:rsid w:val="00FC7EA7"/>
    <w:rsid w:val="00FC7EAB"/>
    <w:rsid w:val="00FC7F80"/>
    <w:rsid w:val="00FC7FC9"/>
    <w:rsid w:val="00FD00FD"/>
    <w:rsid w:val="00FD0246"/>
    <w:rsid w:val="00FD0291"/>
    <w:rsid w:val="00FD02EF"/>
    <w:rsid w:val="00FD0356"/>
    <w:rsid w:val="00FD03D3"/>
    <w:rsid w:val="00FD047B"/>
    <w:rsid w:val="00FD0488"/>
    <w:rsid w:val="00FD0578"/>
    <w:rsid w:val="00FD0841"/>
    <w:rsid w:val="00FD0872"/>
    <w:rsid w:val="00FD08A3"/>
    <w:rsid w:val="00FD094E"/>
    <w:rsid w:val="00FD0994"/>
    <w:rsid w:val="00FD0A27"/>
    <w:rsid w:val="00FD0AC4"/>
    <w:rsid w:val="00FD0B0E"/>
    <w:rsid w:val="00FD0B1B"/>
    <w:rsid w:val="00FD0BB0"/>
    <w:rsid w:val="00FD0BE5"/>
    <w:rsid w:val="00FD0C3E"/>
    <w:rsid w:val="00FD0CCC"/>
    <w:rsid w:val="00FD0CD3"/>
    <w:rsid w:val="00FD1005"/>
    <w:rsid w:val="00FD1016"/>
    <w:rsid w:val="00FD108F"/>
    <w:rsid w:val="00FD118D"/>
    <w:rsid w:val="00FD122E"/>
    <w:rsid w:val="00FD12D8"/>
    <w:rsid w:val="00FD1317"/>
    <w:rsid w:val="00FD15C3"/>
    <w:rsid w:val="00FD1680"/>
    <w:rsid w:val="00FD16EB"/>
    <w:rsid w:val="00FD1728"/>
    <w:rsid w:val="00FD1785"/>
    <w:rsid w:val="00FD1809"/>
    <w:rsid w:val="00FD198E"/>
    <w:rsid w:val="00FD19C8"/>
    <w:rsid w:val="00FD1BDC"/>
    <w:rsid w:val="00FD1C08"/>
    <w:rsid w:val="00FD1D5A"/>
    <w:rsid w:val="00FD1E2F"/>
    <w:rsid w:val="00FD1E75"/>
    <w:rsid w:val="00FD1F29"/>
    <w:rsid w:val="00FD2016"/>
    <w:rsid w:val="00FD2256"/>
    <w:rsid w:val="00FD2580"/>
    <w:rsid w:val="00FD263D"/>
    <w:rsid w:val="00FD2667"/>
    <w:rsid w:val="00FD26AE"/>
    <w:rsid w:val="00FD27A4"/>
    <w:rsid w:val="00FD27AE"/>
    <w:rsid w:val="00FD27DD"/>
    <w:rsid w:val="00FD2B49"/>
    <w:rsid w:val="00FD2B90"/>
    <w:rsid w:val="00FD2C29"/>
    <w:rsid w:val="00FD2F87"/>
    <w:rsid w:val="00FD3296"/>
    <w:rsid w:val="00FD32DA"/>
    <w:rsid w:val="00FD32FD"/>
    <w:rsid w:val="00FD3375"/>
    <w:rsid w:val="00FD33D5"/>
    <w:rsid w:val="00FD3443"/>
    <w:rsid w:val="00FD3481"/>
    <w:rsid w:val="00FD349B"/>
    <w:rsid w:val="00FD3674"/>
    <w:rsid w:val="00FD3708"/>
    <w:rsid w:val="00FD373E"/>
    <w:rsid w:val="00FD3765"/>
    <w:rsid w:val="00FD383A"/>
    <w:rsid w:val="00FD3859"/>
    <w:rsid w:val="00FD3A01"/>
    <w:rsid w:val="00FD3AD6"/>
    <w:rsid w:val="00FD3BBF"/>
    <w:rsid w:val="00FD3C10"/>
    <w:rsid w:val="00FD3C72"/>
    <w:rsid w:val="00FD3CD1"/>
    <w:rsid w:val="00FD3D16"/>
    <w:rsid w:val="00FD3D27"/>
    <w:rsid w:val="00FD3D6F"/>
    <w:rsid w:val="00FD3DFB"/>
    <w:rsid w:val="00FD3E67"/>
    <w:rsid w:val="00FD3E72"/>
    <w:rsid w:val="00FD3FC7"/>
    <w:rsid w:val="00FD4037"/>
    <w:rsid w:val="00FD40ED"/>
    <w:rsid w:val="00FD40F9"/>
    <w:rsid w:val="00FD40FC"/>
    <w:rsid w:val="00FD4133"/>
    <w:rsid w:val="00FD41BB"/>
    <w:rsid w:val="00FD4228"/>
    <w:rsid w:val="00FD430E"/>
    <w:rsid w:val="00FD4331"/>
    <w:rsid w:val="00FD4368"/>
    <w:rsid w:val="00FD44B9"/>
    <w:rsid w:val="00FD45D1"/>
    <w:rsid w:val="00FD45E4"/>
    <w:rsid w:val="00FD4610"/>
    <w:rsid w:val="00FD46C1"/>
    <w:rsid w:val="00FD4702"/>
    <w:rsid w:val="00FD4705"/>
    <w:rsid w:val="00FD4CEA"/>
    <w:rsid w:val="00FD4D32"/>
    <w:rsid w:val="00FD4D73"/>
    <w:rsid w:val="00FD4DCA"/>
    <w:rsid w:val="00FD4E03"/>
    <w:rsid w:val="00FD4E23"/>
    <w:rsid w:val="00FD4F21"/>
    <w:rsid w:val="00FD4FCD"/>
    <w:rsid w:val="00FD5008"/>
    <w:rsid w:val="00FD5076"/>
    <w:rsid w:val="00FD5115"/>
    <w:rsid w:val="00FD5140"/>
    <w:rsid w:val="00FD51B7"/>
    <w:rsid w:val="00FD5225"/>
    <w:rsid w:val="00FD5297"/>
    <w:rsid w:val="00FD549F"/>
    <w:rsid w:val="00FD54C5"/>
    <w:rsid w:val="00FD5503"/>
    <w:rsid w:val="00FD5556"/>
    <w:rsid w:val="00FD5734"/>
    <w:rsid w:val="00FD5761"/>
    <w:rsid w:val="00FD5766"/>
    <w:rsid w:val="00FD597A"/>
    <w:rsid w:val="00FD59A6"/>
    <w:rsid w:val="00FD5A63"/>
    <w:rsid w:val="00FD5A91"/>
    <w:rsid w:val="00FD5B41"/>
    <w:rsid w:val="00FD5BB7"/>
    <w:rsid w:val="00FD5C6B"/>
    <w:rsid w:val="00FD5CA9"/>
    <w:rsid w:val="00FD5CC2"/>
    <w:rsid w:val="00FD5CCD"/>
    <w:rsid w:val="00FD5CCF"/>
    <w:rsid w:val="00FD5D3E"/>
    <w:rsid w:val="00FD5EFC"/>
    <w:rsid w:val="00FD5F7D"/>
    <w:rsid w:val="00FD5FA6"/>
    <w:rsid w:val="00FD6089"/>
    <w:rsid w:val="00FD60AC"/>
    <w:rsid w:val="00FD6401"/>
    <w:rsid w:val="00FD65DE"/>
    <w:rsid w:val="00FD6634"/>
    <w:rsid w:val="00FD66D2"/>
    <w:rsid w:val="00FD6763"/>
    <w:rsid w:val="00FD6773"/>
    <w:rsid w:val="00FD685E"/>
    <w:rsid w:val="00FD69CA"/>
    <w:rsid w:val="00FD6BB7"/>
    <w:rsid w:val="00FD6D16"/>
    <w:rsid w:val="00FD6E77"/>
    <w:rsid w:val="00FD6EE9"/>
    <w:rsid w:val="00FD6F9A"/>
    <w:rsid w:val="00FD7080"/>
    <w:rsid w:val="00FD70EC"/>
    <w:rsid w:val="00FD70F0"/>
    <w:rsid w:val="00FD7173"/>
    <w:rsid w:val="00FD7180"/>
    <w:rsid w:val="00FD722C"/>
    <w:rsid w:val="00FD72A9"/>
    <w:rsid w:val="00FD72E8"/>
    <w:rsid w:val="00FD7308"/>
    <w:rsid w:val="00FD7ACA"/>
    <w:rsid w:val="00FD7CD7"/>
    <w:rsid w:val="00FD7DA4"/>
    <w:rsid w:val="00FD7E2A"/>
    <w:rsid w:val="00FD7E78"/>
    <w:rsid w:val="00FE0139"/>
    <w:rsid w:val="00FE015E"/>
    <w:rsid w:val="00FE01C1"/>
    <w:rsid w:val="00FE0393"/>
    <w:rsid w:val="00FE0556"/>
    <w:rsid w:val="00FE0599"/>
    <w:rsid w:val="00FE05C4"/>
    <w:rsid w:val="00FE0769"/>
    <w:rsid w:val="00FE08C9"/>
    <w:rsid w:val="00FE0983"/>
    <w:rsid w:val="00FE09B9"/>
    <w:rsid w:val="00FE0A13"/>
    <w:rsid w:val="00FE0A4A"/>
    <w:rsid w:val="00FE0B1D"/>
    <w:rsid w:val="00FE0B75"/>
    <w:rsid w:val="00FE0BB8"/>
    <w:rsid w:val="00FE0D45"/>
    <w:rsid w:val="00FE0F74"/>
    <w:rsid w:val="00FE0FAD"/>
    <w:rsid w:val="00FE1220"/>
    <w:rsid w:val="00FE1260"/>
    <w:rsid w:val="00FE1389"/>
    <w:rsid w:val="00FE14EC"/>
    <w:rsid w:val="00FE168F"/>
    <w:rsid w:val="00FE16EC"/>
    <w:rsid w:val="00FE1711"/>
    <w:rsid w:val="00FE17B0"/>
    <w:rsid w:val="00FE17B4"/>
    <w:rsid w:val="00FE1972"/>
    <w:rsid w:val="00FE19B5"/>
    <w:rsid w:val="00FE1A45"/>
    <w:rsid w:val="00FE1B2B"/>
    <w:rsid w:val="00FE1B9D"/>
    <w:rsid w:val="00FE1BD1"/>
    <w:rsid w:val="00FE1C28"/>
    <w:rsid w:val="00FE1D2E"/>
    <w:rsid w:val="00FE22B1"/>
    <w:rsid w:val="00FE22DE"/>
    <w:rsid w:val="00FE2456"/>
    <w:rsid w:val="00FE245E"/>
    <w:rsid w:val="00FE24AD"/>
    <w:rsid w:val="00FE2531"/>
    <w:rsid w:val="00FE2543"/>
    <w:rsid w:val="00FE2554"/>
    <w:rsid w:val="00FE264C"/>
    <w:rsid w:val="00FE273D"/>
    <w:rsid w:val="00FE2751"/>
    <w:rsid w:val="00FE284A"/>
    <w:rsid w:val="00FE287C"/>
    <w:rsid w:val="00FE28C7"/>
    <w:rsid w:val="00FE297E"/>
    <w:rsid w:val="00FE29A1"/>
    <w:rsid w:val="00FE2C7A"/>
    <w:rsid w:val="00FE2DE9"/>
    <w:rsid w:val="00FE2E29"/>
    <w:rsid w:val="00FE3076"/>
    <w:rsid w:val="00FE31AA"/>
    <w:rsid w:val="00FE33FE"/>
    <w:rsid w:val="00FE34A6"/>
    <w:rsid w:val="00FE34D3"/>
    <w:rsid w:val="00FE3582"/>
    <w:rsid w:val="00FE36A1"/>
    <w:rsid w:val="00FE36EA"/>
    <w:rsid w:val="00FE3787"/>
    <w:rsid w:val="00FE37A6"/>
    <w:rsid w:val="00FE37CF"/>
    <w:rsid w:val="00FE37D2"/>
    <w:rsid w:val="00FE37F1"/>
    <w:rsid w:val="00FE3801"/>
    <w:rsid w:val="00FE39C0"/>
    <w:rsid w:val="00FE39EA"/>
    <w:rsid w:val="00FE3A1E"/>
    <w:rsid w:val="00FE3A3B"/>
    <w:rsid w:val="00FE3A5F"/>
    <w:rsid w:val="00FE3B1A"/>
    <w:rsid w:val="00FE3BB7"/>
    <w:rsid w:val="00FE3D0C"/>
    <w:rsid w:val="00FE3E15"/>
    <w:rsid w:val="00FE3E56"/>
    <w:rsid w:val="00FE3F54"/>
    <w:rsid w:val="00FE3F6A"/>
    <w:rsid w:val="00FE40A6"/>
    <w:rsid w:val="00FE4177"/>
    <w:rsid w:val="00FE41BC"/>
    <w:rsid w:val="00FE41E9"/>
    <w:rsid w:val="00FE43C3"/>
    <w:rsid w:val="00FE4465"/>
    <w:rsid w:val="00FE44AB"/>
    <w:rsid w:val="00FE44EF"/>
    <w:rsid w:val="00FE45F7"/>
    <w:rsid w:val="00FE465C"/>
    <w:rsid w:val="00FE46D0"/>
    <w:rsid w:val="00FE4834"/>
    <w:rsid w:val="00FE48E8"/>
    <w:rsid w:val="00FE4951"/>
    <w:rsid w:val="00FE4A96"/>
    <w:rsid w:val="00FE4C3D"/>
    <w:rsid w:val="00FE4CD6"/>
    <w:rsid w:val="00FE4DCD"/>
    <w:rsid w:val="00FE4DE8"/>
    <w:rsid w:val="00FE5014"/>
    <w:rsid w:val="00FE505A"/>
    <w:rsid w:val="00FE50B0"/>
    <w:rsid w:val="00FE5151"/>
    <w:rsid w:val="00FE51A2"/>
    <w:rsid w:val="00FE51A5"/>
    <w:rsid w:val="00FE51DC"/>
    <w:rsid w:val="00FE51DE"/>
    <w:rsid w:val="00FE5200"/>
    <w:rsid w:val="00FE5235"/>
    <w:rsid w:val="00FE524D"/>
    <w:rsid w:val="00FE539B"/>
    <w:rsid w:val="00FE56B3"/>
    <w:rsid w:val="00FE56F6"/>
    <w:rsid w:val="00FE5748"/>
    <w:rsid w:val="00FE5880"/>
    <w:rsid w:val="00FE5905"/>
    <w:rsid w:val="00FE5977"/>
    <w:rsid w:val="00FE59F2"/>
    <w:rsid w:val="00FE5A72"/>
    <w:rsid w:val="00FE5BAB"/>
    <w:rsid w:val="00FE5D19"/>
    <w:rsid w:val="00FE5D1A"/>
    <w:rsid w:val="00FE5ECC"/>
    <w:rsid w:val="00FE5FC3"/>
    <w:rsid w:val="00FE606E"/>
    <w:rsid w:val="00FE6187"/>
    <w:rsid w:val="00FE61E6"/>
    <w:rsid w:val="00FE625C"/>
    <w:rsid w:val="00FE62D7"/>
    <w:rsid w:val="00FE636F"/>
    <w:rsid w:val="00FE6377"/>
    <w:rsid w:val="00FE63A9"/>
    <w:rsid w:val="00FE63D4"/>
    <w:rsid w:val="00FE63F1"/>
    <w:rsid w:val="00FE6438"/>
    <w:rsid w:val="00FE6633"/>
    <w:rsid w:val="00FE665B"/>
    <w:rsid w:val="00FE68EE"/>
    <w:rsid w:val="00FE6A30"/>
    <w:rsid w:val="00FE6AAD"/>
    <w:rsid w:val="00FE6AEB"/>
    <w:rsid w:val="00FE6BDA"/>
    <w:rsid w:val="00FE6D89"/>
    <w:rsid w:val="00FE6E24"/>
    <w:rsid w:val="00FE6EA6"/>
    <w:rsid w:val="00FE6F6F"/>
    <w:rsid w:val="00FE7034"/>
    <w:rsid w:val="00FE7200"/>
    <w:rsid w:val="00FE7278"/>
    <w:rsid w:val="00FE7348"/>
    <w:rsid w:val="00FE7577"/>
    <w:rsid w:val="00FE75B4"/>
    <w:rsid w:val="00FE75E5"/>
    <w:rsid w:val="00FE76F0"/>
    <w:rsid w:val="00FE794F"/>
    <w:rsid w:val="00FE7986"/>
    <w:rsid w:val="00FE79CB"/>
    <w:rsid w:val="00FE7AF8"/>
    <w:rsid w:val="00FE7C9B"/>
    <w:rsid w:val="00FE7E81"/>
    <w:rsid w:val="00FE7F2D"/>
    <w:rsid w:val="00FE7FAB"/>
    <w:rsid w:val="00FE7FBE"/>
    <w:rsid w:val="00FF0021"/>
    <w:rsid w:val="00FF0046"/>
    <w:rsid w:val="00FF0063"/>
    <w:rsid w:val="00FF00FB"/>
    <w:rsid w:val="00FF0209"/>
    <w:rsid w:val="00FF022C"/>
    <w:rsid w:val="00FF03B2"/>
    <w:rsid w:val="00FF0472"/>
    <w:rsid w:val="00FF052E"/>
    <w:rsid w:val="00FF06BA"/>
    <w:rsid w:val="00FF06CF"/>
    <w:rsid w:val="00FF0867"/>
    <w:rsid w:val="00FF089C"/>
    <w:rsid w:val="00FF08B2"/>
    <w:rsid w:val="00FF08E2"/>
    <w:rsid w:val="00FF098F"/>
    <w:rsid w:val="00FF09EC"/>
    <w:rsid w:val="00FF0B19"/>
    <w:rsid w:val="00FF0C20"/>
    <w:rsid w:val="00FF0C30"/>
    <w:rsid w:val="00FF0E02"/>
    <w:rsid w:val="00FF0FA9"/>
    <w:rsid w:val="00FF1047"/>
    <w:rsid w:val="00FF10D7"/>
    <w:rsid w:val="00FF110C"/>
    <w:rsid w:val="00FF1124"/>
    <w:rsid w:val="00FF1174"/>
    <w:rsid w:val="00FF122C"/>
    <w:rsid w:val="00FF1267"/>
    <w:rsid w:val="00FF13BD"/>
    <w:rsid w:val="00FF13C2"/>
    <w:rsid w:val="00FF140F"/>
    <w:rsid w:val="00FF15BF"/>
    <w:rsid w:val="00FF1722"/>
    <w:rsid w:val="00FF1852"/>
    <w:rsid w:val="00FF18A6"/>
    <w:rsid w:val="00FF18B6"/>
    <w:rsid w:val="00FF18C7"/>
    <w:rsid w:val="00FF19C7"/>
    <w:rsid w:val="00FF1B7C"/>
    <w:rsid w:val="00FF1B7F"/>
    <w:rsid w:val="00FF1C45"/>
    <w:rsid w:val="00FF1C5D"/>
    <w:rsid w:val="00FF1C8A"/>
    <w:rsid w:val="00FF1DF9"/>
    <w:rsid w:val="00FF1EE8"/>
    <w:rsid w:val="00FF2118"/>
    <w:rsid w:val="00FF214A"/>
    <w:rsid w:val="00FF214C"/>
    <w:rsid w:val="00FF21B6"/>
    <w:rsid w:val="00FF2264"/>
    <w:rsid w:val="00FF228E"/>
    <w:rsid w:val="00FF22C1"/>
    <w:rsid w:val="00FF230A"/>
    <w:rsid w:val="00FF236C"/>
    <w:rsid w:val="00FF245B"/>
    <w:rsid w:val="00FF256E"/>
    <w:rsid w:val="00FF2779"/>
    <w:rsid w:val="00FF27CE"/>
    <w:rsid w:val="00FF2836"/>
    <w:rsid w:val="00FF2A0B"/>
    <w:rsid w:val="00FF2A31"/>
    <w:rsid w:val="00FF2B5D"/>
    <w:rsid w:val="00FF2B74"/>
    <w:rsid w:val="00FF2BB9"/>
    <w:rsid w:val="00FF2C39"/>
    <w:rsid w:val="00FF2D2A"/>
    <w:rsid w:val="00FF2E3F"/>
    <w:rsid w:val="00FF2E7E"/>
    <w:rsid w:val="00FF2F13"/>
    <w:rsid w:val="00FF2F61"/>
    <w:rsid w:val="00FF2FC7"/>
    <w:rsid w:val="00FF3028"/>
    <w:rsid w:val="00FF306A"/>
    <w:rsid w:val="00FF3100"/>
    <w:rsid w:val="00FF313E"/>
    <w:rsid w:val="00FF314A"/>
    <w:rsid w:val="00FF3263"/>
    <w:rsid w:val="00FF32A1"/>
    <w:rsid w:val="00FF3395"/>
    <w:rsid w:val="00FF33AF"/>
    <w:rsid w:val="00FF3428"/>
    <w:rsid w:val="00FF343E"/>
    <w:rsid w:val="00FF3478"/>
    <w:rsid w:val="00FF372D"/>
    <w:rsid w:val="00FF393B"/>
    <w:rsid w:val="00FF3973"/>
    <w:rsid w:val="00FF3A0B"/>
    <w:rsid w:val="00FF3A82"/>
    <w:rsid w:val="00FF3A88"/>
    <w:rsid w:val="00FF3B43"/>
    <w:rsid w:val="00FF3BF4"/>
    <w:rsid w:val="00FF3C17"/>
    <w:rsid w:val="00FF3E14"/>
    <w:rsid w:val="00FF3E2E"/>
    <w:rsid w:val="00FF3FA6"/>
    <w:rsid w:val="00FF3FF5"/>
    <w:rsid w:val="00FF408D"/>
    <w:rsid w:val="00FF40BD"/>
    <w:rsid w:val="00FF4169"/>
    <w:rsid w:val="00FF4333"/>
    <w:rsid w:val="00FF4431"/>
    <w:rsid w:val="00FF44C5"/>
    <w:rsid w:val="00FF44CF"/>
    <w:rsid w:val="00FF4511"/>
    <w:rsid w:val="00FF454F"/>
    <w:rsid w:val="00FF456C"/>
    <w:rsid w:val="00FF46AA"/>
    <w:rsid w:val="00FF46BB"/>
    <w:rsid w:val="00FF49D5"/>
    <w:rsid w:val="00FF4A8A"/>
    <w:rsid w:val="00FF4BE2"/>
    <w:rsid w:val="00FF4DB4"/>
    <w:rsid w:val="00FF4E11"/>
    <w:rsid w:val="00FF4E26"/>
    <w:rsid w:val="00FF51F5"/>
    <w:rsid w:val="00FF5294"/>
    <w:rsid w:val="00FF5323"/>
    <w:rsid w:val="00FF5353"/>
    <w:rsid w:val="00FF53B9"/>
    <w:rsid w:val="00FF53CC"/>
    <w:rsid w:val="00FF5648"/>
    <w:rsid w:val="00FF5735"/>
    <w:rsid w:val="00FF586C"/>
    <w:rsid w:val="00FF59B6"/>
    <w:rsid w:val="00FF5A3D"/>
    <w:rsid w:val="00FF5AE7"/>
    <w:rsid w:val="00FF5C3C"/>
    <w:rsid w:val="00FF5DC0"/>
    <w:rsid w:val="00FF5DDB"/>
    <w:rsid w:val="00FF5E7D"/>
    <w:rsid w:val="00FF5F56"/>
    <w:rsid w:val="00FF5FF0"/>
    <w:rsid w:val="00FF61FF"/>
    <w:rsid w:val="00FF63D9"/>
    <w:rsid w:val="00FF6425"/>
    <w:rsid w:val="00FF64FE"/>
    <w:rsid w:val="00FF650B"/>
    <w:rsid w:val="00FF6630"/>
    <w:rsid w:val="00FF6734"/>
    <w:rsid w:val="00FF67CD"/>
    <w:rsid w:val="00FF6857"/>
    <w:rsid w:val="00FF69A6"/>
    <w:rsid w:val="00FF69C5"/>
    <w:rsid w:val="00FF6A90"/>
    <w:rsid w:val="00FF6B68"/>
    <w:rsid w:val="00FF6BFD"/>
    <w:rsid w:val="00FF6C2D"/>
    <w:rsid w:val="00FF6CA6"/>
    <w:rsid w:val="00FF6D6D"/>
    <w:rsid w:val="00FF6D84"/>
    <w:rsid w:val="00FF6E1D"/>
    <w:rsid w:val="00FF6E5B"/>
    <w:rsid w:val="00FF6E8F"/>
    <w:rsid w:val="00FF6E9F"/>
    <w:rsid w:val="00FF6FF0"/>
    <w:rsid w:val="00FF71C2"/>
    <w:rsid w:val="00FF7208"/>
    <w:rsid w:val="00FF7212"/>
    <w:rsid w:val="00FF72A2"/>
    <w:rsid w:val="00FF72C6"/>
    <w:rsid w:val="00FF7310"/>
    <w:rsid w:val="00FF7500"/>
    <w:rsid w:val="00FF764C"/>
    <w:rsid w:val="00FF76A4"/>
    <w:rsid w:val="00FF76B5"/>
    <w:rsid w:val="00FF76D6"/>
    <w:rsid w:val="00FF7711"/>
    <w:rsid w:val="00FF7745"/>
    <w:rsid w:val="00FF77AA"/>
    <w:rsid w:val="00FF7841"/>
    <w:rsid w:val="00FF7879"/>
    <w:rsid w:val="00FF788E"/>
    <w:rsid w:val="00FF78E1"/>
    <w:rsid w:val="00FF7934"/>
    <w:rsid w:val="00FF7A15"/>
    <w:rsid w:val="00FF7B33"/>
    <w:rsid w:val="00FF7C39"/>
    <w:rsid w:val="00FF7C5D"/>
    <w:rsid w:val="00FF7C7E"/>
    <w:rsid w:val="00FF7D3B"/>
    <w:rsid w:val="00FF7E06"/>
    <w:rsid w:val="00FF7E4B"/>
    <w:rsid w:val="017B2EEC"/>
    <w:rsid w:val="01B6413C"/>
    <w:rsid w:val="023E57D8"/>
    <w:rsid w:val="026B2035"/>
    <w:rsid w:val="02FE5F0D"/>
    <w:rsid w:val="032B3A3E"/>
    <w:rsid w:val="037A8877"/>
    <w:rsid w:val="03B5B9A7"/>
    <w:rsid w:val="03D96D0D"/>
    <w:rsid w:val="03DA1179"/>
    <w:rsid w:val="04367649"/>
    <w:rsid w:val="043ECF48"/>
    <w:rsid w:val="04ACD614"/>
    <w:rsid w:val="04E67BD5"/>
    <w:rsid w:val="04EBC3E7"/>
    <w:rsid w:val="04EF5ABC"/>
    <w:rsid w:val="04F98364"/>
    <w:rsid w:val="05248641"/>
    <w:rsid w:val="05769FC7"/>
    <w:rsid w:val="05A66EEB"/>
    <w:rsid w:val="05F7A525"/>
    <w:rsid w:val="0646FDCA"/>
    <w:rsid w:val="0668CE1C"/>
    <w:rsid w:val="066BF687"/>
    <w:rsid w:val="06AD9341"/>
    <w:rsid w:val="06C30DC4"/>
    <w:rsid w:val="06C543FB"/>
    <w:rsid w:val="073DF886"/>
    <w:rsid w:val="0796B0C4"/>
    <w:rsid w:val="07AF9301"/>
    <w:rsid w:val="07EA7195"/>
    <w:rsid w:val="08189AD3"/>
    <w:rsid w:val="08430AD8"/>
    <w:rsid w:val="0852E4E9"/>
    <w:rsid w:val="08879D20"/>
    <w:rsid w:val="090FB978"/>
    <w:rsid w:val="091A65FA"/>
    <w:rsid w:val="095D3447"/>
    <w:rsid w:val="09C93F82"/>
    <w:rsid w:val="0A42A234"/>
    <w:rsid w:val="0A60E1A1"/>
    <w:rsid w:val="0A8243E3"/>
    <w:rsid w:val="0AB0FBDE"/>
    <w:rsid w:val="0AD2EB17"/>
    <w:rsid w:val="0B1F21B5"/>
    <w:rsid w:val="0B50CCB0"/>
    <w:rsid w:val="0B5AED55"/>
    <w:rsid w:val="0B5BF8F6"/>
    <w:rsid w:val="0B7FCD7D"/>
    <w:rsid w:val="0C00C7A4"/>
    <w:rsid w:val="0C236CE6"/>
    <w:rsid w:val="0C476FC6"/>
    <w:rsid w:val="0C701634"/>
    <w:rsid w:val="0C8699A6"/>
    <w:rsid w:val="0C9595B4"/>
    <w:rsid w:val="0C9E619C"/>
    <w:rsid w:val="0CF20252"/>
    <w:rsid w:val="0D4C4897"/>
    <w:rsid w:val="0D568E18"/>
    <w:rsid w:val="0DE44FCA"/>
    <w:rsid w:val="0E01769E"/>
    <w:rsid w:val="0E1299BB"/>
    <w:rsid w:val="0E484064"/>
    <w:rsid w:val="0F1F15A4"/>
    <w:rsid w:val="0F894B02"/>
    <w:rsid w:val="0FB2178C"/>
    <w:rsid w:val="0FF99E31"/>
    <w:rsid w:val="10839F3D"/>
    <w:rsid w:val="10B4E1E3"/>
    <w:rsid w:val="1104124E"/>
    <w:rsid w:val="11886C20"/>
    <w:rsid w:val="11A58835"/>
    <w:rsid w:val="11B0839A"/>
    <w:rsid w:val="12164EA0"/>
    <w:rsid w:val="1226FE60"/>
    <w:rsid w:val="124932C4"/>
    <w:rsid w:val="1358F21C"/>
    <w:rsid w:val="1363A1B6"/>
    <w:rsid w:val="138CA232"/>
    <w:rsid w:val="13A448B5"/>
    <w:rsid w:val="140BD989"/>
    <w:rsid w:val="141EB5B6"/>
    <w:rsid w:val="1435BEA7"/>
    <w:rsid w:val="1453735C"/>
    <w:rsid w:val="146347FB"/>
    <w:rsid w:val="147E022B"/>
    <w:rsid w:val="14C1DD8D"/>
    <w:rsid w:val="14E65B12"/>
    <w:rsid w:val="152FF2BF"/>
    <w:rsid w:val="1566B7A0"/>
    <w:rsid w:val="158006CC"/>
    <w:rsid w:val="1610768E"/>
    <w:rsid w:val="161E3A78"/>
    <w:rsid w:val="16A1C139"/>
    <w:rsid w:val="16B177FD"/>
    <w:rsid w:val="16C39205"/>
    <w:rsid w:val="16D2C7CE"/>
    <w:rsid w:val="16DB090F"/>
    <w:rsid w:val="16F939B5"/>
    <w:rsid w:val="17612DAF"/>
    <w:rsid w:val="178CA78B"/>
    <w:rsid w:val="17A40114"/>
    <w:rsid w:val="180A2D70"/>
    <w:rsid w:val="182B8EEC"/>
    <w:rsid w:val="183880A8"/>
    <w:rsid w:val="189BF4FF"/>
    <w:rsid w:val="18E92E2C"/>
    <w:rsid w:val="18F0A2E3"/>
    <w:rsid w:val="194CC6BA"/>
    <w:rsid w:val="198C29E5"/>
    <w:rsid w:val="19A548F0"/>
    <w:rsid w:val="19EC0EB9"/>
    <w:rsid w:val="19F9DCA6"/>
    <w:rsid w:val="1A25EDD2"/>
    <w:rsid w:val="1A68125A"/>
    <w:rsid w:val="1A8AF831"/>
    <w:rsid w:val="1AC59868"/>
    <w:rsid w:val="1AE04F88"/>
    <w:rsid w:val="1AF5691E"/>
    <w:rsid w:val="1B2BB13D"/>
    <w:rsid w:val="1B7373B3"/>
    <w:rsid w:val="1BB95628"/>
    <w:rsid w:val="1BC5A708"/>
    <w:rsid w:val="1BFDC311"/>
    <w:rsid w:val="1C096B14"/>
    <w:rsid w:val="1C16EB6E"/>
    <w:rsid w:val="1C1A8B6C"/>
    <w:rsid w:val="1C3DE312"/>
    <w:rsid w:val="1C84E290"/>
    <w:rsid w:val="1C95A6D8"/>
    <w:rsid w:val="1CEF832E"/>
    <w:rsid w:val="1D8FBA3C"/>
    <w:rsid w:val="1E2F3A59"/>
    <w:rsid w:val="1E3B56E1"/>
    <w:rsid w:val="1F185366"/>
    <w:rsid w:val="1F408F8B"/>
    <w:rsid w:val="1F494F81"/>
    <w:rsid w:val="1F98D86F"/>
    <w:rsid w:val="1FB4A327"/>
    <w:rsid w:val="1FCBA883"/>
    <w:rsid w:val="20051700"/>
    <w:rsid w:val="204C3A41"/>
    <w:rsid w:val="2058BFC3"/>
    <w:rsid w:val="207EC23B"/>
    <w:rsid w:val="207FF74B"/>
    <w:rsid w:val="209197C9"/>
    <w:rsid w:val="20F6E413"/>
    <w:rsid w:val="2111EFF4"/>
    <w:rsid w:val="2119F39B"/>
    <w:rsid w:val="211BBB65"/>
    <w:rsid w:val="21202415"/>
    <w:rsid w:val="214AE35A"/>
    <w:rsid w:val="214C4E87"/>
    <w:rsid w:val="2177D58E"/>
    <w:rsid w:val="225079B1"/>
    <w:rsid w:val="226D0495"/>
    <w:rsid w:val="227359FC"/>
    <w:rsid w:val="231731C4"/>
    <w:rsid w:val="2352A164"/>
    <w:rsid w:val="2354AF30"/>
    <w:rsid w:val="2389D42F"/>
    <w:rsid w:val="23B2D928"/>
    <w:rsid w:val="240D51D3"/>
    <w:rsid w:val="24154B83"/>
    <w:rsid w:val="242E593A"/>
    <w:rsid w:val="243171C2"/>
    <w:rsid w:val="245E732B"/>
    <w:rsid w:val="24751B19"/>
    <w:rsid w:val="248114ED"/>
    <w:rsid w:val="24AF7650"/>
    <w:rsid w:val="24E68B02"/>
    <w:rsid w:val="24FA67D2"/>
    <w:rsid w:val="251196E7"/>
    <w:rsid w:val="251C2487"/>
    <w:rsid w:val="257C0106"/>
    <w:rsid w:val="2583B99E"/>
    <w:rsid w:val="25F982C5"/>
    <w:rsid w:val="26100E5F"/>
    <w:rsid w:val="26148DB9"/>
    <w:rsid w:val="2631EE2A"/>
    <w:rsid w:val="26377A26"/>
    <w:rsid w:val="266D1163"/>
    <w:rsid w:val="26D0D2A0"/>
    <w:rsid w:val="26D30939"/>
    <w:rsid w:val="26D3777B"/>
    <w:rsid w:val="26E5589F"/>
    <w:rsid w:val="26FCB5C9"/>
    <w:rsid w:val="26FEFA51"/>
    <w:rsid w:val="26FFE910"/>
    <w:rsid w:val="271EFB06"/>
    <w:rsid w:val="27599E15"/>
    <w:rsid w:val="2774B31D"/>
    <w:rsid w:val="27814F38"/>
    <w:rsid w:val="278F22AD"/>
    <w:rsid w:val="2867DF23"/>
    <w:rsid w:val="287B8A23"/>
    <w:rsid w:val="28A3873B"/>
    <w:rsid w:val="28A94CEB"/>
    <w:rsid w:val="28D6E944"/>
    <w:rsid w:val="28FA7686"/>
    <w:rsid w:val="29098EE8"/>
    <w:rsid w:val="2950C742"/>
    <w:rsid w:val="297F869E"/>
    <w:rsid w:val="29C4AEB8"/>
    <w:rsid w:val="29C9989A"/>
    <w:rsid w:val="29DF03A4"/>
    <w:rsid w:val="2A57F9C7"/>
    <w:rsid w:val="2A95B966"/>
    <w:rsid w:val="2ABEE6FF"/>
    <w:rsid w:val="2AF55778"/>
    <w:rsid w:val="2B0697DF"/>
    <w:rsid w:val="2B8E3073"/>
    <w:rsid w:val="2BEB6B3C"/>
    <w:rsid w:val="2BF07604"/>
    <w:rsid w:val="2BFCA18C"/>
    <w:rsid w:val="2C424B07"/>
    <w:rsid w:val="2C4C0C15"/>
    <w:rsid w:val="2C8A3C9E"/>
    <w:rsid w:val="2C90CAEE"/>
    <w:rsid w:val="2CB0D9AF"/>
    <w:rsid w:val="2D2DE149"/>
    <w:rsid w:val="2D40A815"/>
    <w:rsid w:val="2D86EEA2"/>
    <w:rsid w:val="2DA7364C"/>
    <w:rsid w:val="2DB2C955"/>
    <w:rsid w:val="2E3153E8"/>
    <w:rsid w:val="2E3558E3"/>
    <w:rsid w:val="2E3D000F"/>
    <w:rsid w:val="2E713306"/>
    <w:rsid w:val="2E8189B3"/>
    <w:rsid w:val="2F05AA51"/>
    <w:rsid w:val="2F537523"/>
    <w:rsid w:val="2F62AEA8"/>
    <w:rsid w:val="2F8A6A72"/>
    <w:rsid w:val="2FBE3FA8"/>
    <w:rsid w:val="2FCBE35A"/>
    <w:rsid w:val="2FDE6A37"/>
    <w:rsid w:val="2FF055D5"/>
    <w:rsid w:val="30021C01"/>
    <w:rsid w:val="300E8E68"/>
    <w:rsid w:val="30615049"/>
    <w:rsid w:val="306988B2"/>
    <w:rsid w:val="306FC899"/>
    <w:rsid w:val="30834C45"/>
    <w:rsid w:val="3089668E"/>
    <w:rsid w:val="309BFCCD"/>
    <w:rsid w:val="30A05659"/>
    <w:rsid w:val="31189899"/>
    <w:rsid w:val="312AAA57"/>
    <w:rsid w:val="3130F8D2"/>
    <w:rsid w:val="317D598C"/>
    <w:rsid w:val="31AA5EC9"/>
    <w:rsid w:val="31F4EEAC"/>
    <w:rsid w:val="321DD1A7"/>
    <w:rsid w:val="32446B92"/>
    <w:rsid w:val="326B0826"/>
    <w:rsid w:val="32BE679D"/>
    <w:rsid w:val="32E1BA81"/>
    <w:rsid w:val="32F46686"/>
    <w:rsid w:val="32FDB757"/>
    <w:rsid w:val="3304C50B"/>
    <w:rsid w:val="33587588"/>
    <w:rsid w:val="33D97D47"/>
    <w:rsid w:val="3480DC7B"/>
    <w:rsid w:val="348CFD6A"/>
    <w:rsid w:val="34BFBF92"/>
    <w:rsid w:val="34E5A24B"/>
    <w:rsid w:val="34FAC543"/>
    <w:rsid w:val="350CDA94"/>
    <w:rsid w:val="350F18DE"/>
    <w:rsid w:val="35520E72"/>
    <w:rsid w:val="35BAC921"/>
    <w:rsid w:val="35D64FC8"/>
    <w:rsid w:val="35DFA842"/>
    <w:rsid w:val="35FDE478"/>
    <w:rsid w:val="36559EDB"/>
    <w:rsid w:val="36D0BC9F"/>
    <w:rsid w:val="3768C6D5"/>
    <w:rsid w:val="37BBEF39"/>
    <w:rsid w:val="3809D26C"/>
    <w:rsid w:val="3811D0F0"/>
    <w:rsid w:val="383042E3"/>
    <w:rsid w:val="3844FFA0"/>
    <w:rsid w:val="38BF72D2"/>
    <w:rsid w:val="38E7180B"/>
    <w:rsid w:val="393DEFAA"/>
    <w:rsid w:val="394384A9"/>
    <w:rsid w:val="3987A03C"/>
    <w:rsid w:val="39A47456"/>
    <w:rsid w:val="39B2C189"/>
    <w:rsid w:val="39B9DBEE"/>
    <w:rsid w:val="39CC9787"/>
    <w:rsid w:val="39E76EF4"/>
    <w:rsid w:val="3A5A4D4C"/>
    <w:rsid w:val="3AD01A90"/>
    <w:rsid w:val="3B09A1DD"/>
    <w:rsid w:val="3B462E0D"/>
    <w:rsid w:val="3B4E3890"/>
    <w:rsid w:val="3BE5F12D"/>
    <w:rsid w:val="3BF61DAD"/>
    <w:rsid w:val="3C03298B"/>
    <w:rsid w:val="3C035EA6"/>
    <w:rsid w:val="3C8514F6"/>
    <w:rsid w:val="3CB66C3B"/>
    <w:rsid w:val="3CBF40FE"/>
    <w:rsid w:val="3CD31492"/>
    <w:rsid w:val="3CE1C350"/>
    <w:rsid w:val="3CE2B510"/>
    <w:rsid w:val="3CE477B2"/>
    <w:rsid w:val="3CFB9351"/>
    <w:rsid w:val="3D0C1B02"/>
    <w:rsid w:val="3D169F91"/>
    <w:rsid w:val="3D4A1511"/>
    <w:rsid w:val="3D8548EF"/>
    <w:rsid w:val="3DCF9120"/>
    <w:rsid w:val="3DE49B25"/>
    <w:rsid w:val="3E5B115F"/>
    <w:rsid w:val="3E7AF4B0"/>
    <w:rsid w:val="3F4008CE"/>
    <w:rsid w:val="3F5D302D"/>
    <w:rsid w:val="3F71145B"/>
    <w:rsid w:val="3F8E93B9"/>
    <w:rsid w:val="3F938D2B"/>
    <w:rsid w:val="3FA705AB"/>
    <w:rsid w:val="3FF6E1C0"/>
    <w:rsid w:val="404A204B"/>
    <w:rsid w:val="40F2A8AC"/>
    <w:rsid w:val="4144997A"/>
    <w:rsid w:val="4163C334"/>
    <w:rsid w:val="41A93AD4"/>
    <w:rsid w:val="41DFAFB3"/>
    <w:rsid w:val="42075D28"/>
    <w:rsid w:val="420D2B68"/>
    <w:rsid w:val="420F66F8"/>
    <w:rsid w:val="4212D61E"/>
    <w:rsid w:val="42267ACC"/>
    <w:rsid w:val="427DC8D8"/>
    <w:rsid w:val="42C73259"/>
    <w:rsid w:val="42D4272E"/>
    <w:rsid w:val="439A8FC2"/>
    <w:rsid w:val="4421F720"/>
    <w:rsid w:val="444B3189"/>
    <w:rsid w:val="448E8579"/>
    <w:rsid w:val="44BE97F6"/>
    <w:rsid w:val="44F259F3"/>
    <w:rsid w:val="453AFD0F"/>
    <w:rsid w:val="455A1674"/>
    <w:rsid w:val="4599D9C4"/>
    <w:rsid w:val="45B55605"/>
    <w:rsid w:val="45D8DA71"/>
    <w:rsid w:val="45D94A1F"/>
    <w:rsid w:val="46045C94"/>
    <w:rsid w:val="468C9EA3"/>
    <w:rsid w:val="46939132"/>
    <w:rsid w:val="46C3EBBB"/>
    <w:rsid w:val="46CC9D64"/>
    <w:rsid w:val="48089B15"/>
    <w:rsid w:val="4857406A"/>
    <w:rsid w:val="48686DC5"/>
    <w:rsid w:val="490B1C39"/>
    <w:rsid w:val="492B903B"/>
    <w:rsid w:val="497ED786"/>
    <w:rsid w:val="49C10FB7"/>
    <w:rsid w:val="49D0C3F9"/>
    <w:rsid w:val="49DD9CBC"/>
    <w:rsid w:val="4A0CB7C9"/>
    <w:rsid w:val="4A121CA2"/>
    <w:rsid w:val="4A3D2FD8"/>
    <w:rsid w:val="4A491BA3"/>
    <w:rsid w:val="4A4928CC"/>
    <w:rsid w:val="4A6EFC2D"/>
    <w:rsid w:val="4ACD4DC5"/>
    <w:rsid w:val="4B1C4DB0"/>
    <w:rsid w:val="4B1DDE20"/>
    <w:rsid w:val="4B5C26E5"/>
    <w:rsid w:val="4BA0FA02"/>
    <w:rsid w:val="4BA3F01C"/>
    <w:rsid w:val="4BB1F8BC"/>
    <w:rsid w:val="4C43C148"/>
    <w:rsid w:val="4C51B040"/>
    <w:rsid w:val="4CB2055D"/>
    <w:rsid w:val="4D18702F"/>
    <w:rsid w:val="4D198BFB"/>
    <w:rsid w:val="4D27084B"/>
    <w:rsid w:val="4D4FA771"/>
    <w:rsid w:val="4D557EE0"/>
    <w:rsid w:val="4D81D40E"/>
    <w:rsid w:val="4DAC85EB"/>
    <w:rsid w:val="4DBE79CB"/>
    <w:rsid w:val="4DFD7FFD"/>
    <w:rsid w:val="4E1CB516"/>
    <w:rsid w:val="4E5AD719"/>
    <w:rsid w:val="4F017954"/>
    <w:rsid w:val="4F52A48C"/>
    <w:rsid w:val="4FB5DECC"/>
    <w:rsid w:val="4FE28193"/>
    <w:rsid w:val="50172D44"/>
    <w:rsid w:val="501F941A"/>
    <w:rsid w:val="504BF23B"/>
    <w:rsid w:val="507C157F"/>
    <w:rsid w:val="50A30DD8"/>
    <w:rsid w:val="50AFB207"/>
    <w:rsid w:val="50F406DA"/>
    <w:rsid w:val="512D0717"/>
    <w:rsid w:val="5159FB55"/>
    <w:rsid w:val="51B65631"/>
    <w:rsid w:val="51C7B53D"/>
    <w:rsid w:val="52509BAC"/>
    <w:rsid w:val="5254D558"/>
    <w:rsid w:val="527E41F7"/>
    <w:rsid w:val="52C7FC85"/>
    <w:rsid w:val="52FC0454"/>
    <w:rsid w:val="536C1EE4"/>
    <w:rsid w:val="5401685A"/>
    <w:rsid w:val="54282139"/>
    <w:rsid w:val="54306215"/>
    <w:rsid w:val="545BA7CB"/>
    <w:rsid w:val="5493C3FC"/>
    <w:rsid w:val="54C5C65D"/>
    <w:rsid w:val="54C95B9E"/>
    <w:rsid w:val="54D712D7"/>
    <w:rsid w:val="54EC5F6D"/>
    <w:rsid w:val="54F50992"/>
    <w:rsid w:val="54FF6383"/>
    <w:rsid w:val="55773C05"/>
    <w:rsid w:val="558E4F39"/>
    <w:rsid w:val="55BCB047"/>
    <w:rsid w:val="55CFC26E"/>
    <w:rsid w:val="55D932F0"/>
    <w:rsid w:val="55E4EC31"/>
    <w:rsid w:val="55FA8F68"/>
    <w:rsid w:val="56009769"/>
    <w:rsid w:val="5652E216"/>
    <w:rsid w:val="56DDDF3E"/>
    <w:rsid w:val="5711E80E"/>
    <w:rsid w:val="57181306"/>
    <w:rsid w:val="57821714"/>
    <w:rsid w:val="57C2CE66"/>
    <w:rsid w:val="57E8B3BA"/>
    <w:rsid w:val="581E3E24"/>
    <w:rsid w:val="58A60D16"/>
    <w:rsid w:val="58B15BD4"/>
    <w:rsid w:val="58BD8A96"/>
    <w:rsid w:val="58C5EFFB"/>
    <w:rsid w:val="58DCA548"/>
    <w:rsid w:val="58F382D3"/>
    <w:rsid w:val="596E007C"/>
    <w:rsid w:val="59729417"/>
    <w:rsid w:val="59D8907E"/>
    <w:rsid w:val="59F23776"/>
    <w:rsid w:val="5A630250"/>
    <w:rsid w:val="5A846B1D"/>
    <w:rsid w:val="5A8E8266"/>
    <w:rsid w:val="5A90601B"/>
    <w:rsid w:val="5B16B37E"/>
    <w:rsid w:val="5B3D4CFF"/>
    <w:rsid w:val="5B581618"/>
    <w:rsid w:val="5B776CB6"/>
    <w:rsid w:val="5B9643D9"/>
    <w:rsid w:val="5BB5168F"/>
    <w:rsid w:val="5BD14759"/>
    <w:rsid w:val="5C60085A"/>
    <w:rsid w:val="5C83A98B"/>
    <w:rsid w:val="5CB20569"/>
    <w:rsid w:val="5CB76171"/>
    <w:rsid w:val="5CCD3115"/>
    <w:rsid w:val="5D388121"/>
    <w:rsid w:val="5D395E44"/>
    <w:rsid w:val="5D59C45B"/>
    <w:rsid w:val="5DDDF385"/>
    <w:rsid w:val="5DEAD30A"/>
    <w:rsid w:val="5DEB72AA"/>
    <w:rsid w:val="5DF51D3B"/>
    <w:rsid w:val="5E08A167"/>
    <w:rsid w:val="5E89122D"/>
    <w:rsid w:val="5EAA9507"/>
    <w:rsid w:val="5EFE5CD7"/>
    <w:rsid w:val="5F32AA5F"/>
    <w:rsid w:val="5F9E4D6B"/>
    <w:rsid w:val="5FA6AB1E"/>
    <w:rsid w:val="5FAF454C"/>
    <w:rsid w:val="600CBD21"/>
    <w:rsid w:val="60392BA5"/>
    <w:rsid w:val="6073246D"/>
    <w:rsid w:val="60E8807B"/>
    <w:rsid w:val="60F5B032"/>
    <w:rsid w:val="611B6325"/>
    <w:rsid w:val="612900D8"/>
    <w:rsid w:val="6162EAEF"/>
    <w:rsid w:val="616E72E8"/>
    <w:rsid w:val="61B5626D"/>
    <w:rsid w:val="61F3CEE6"/>
    <w:rsid w:val="61FF7254"/>
    <w:rsid w:val="6219FA0B"/>
    <w:rsid w:val="624470B5"/>
    <w:rsid w:val="624F6EA7"/>
    <w:rsid w:val="6250BED5"/>
    <w:rsid w:val="6272402D"/>
    <w:rsid w:val="629CB31B"/>
    <w:rsid w:val="62B7F37E"/>
    <w:rsid w:val="63089D06"/>
    <w:rsid w:val="637D8E40"/>
    <w:rsid w:val="63BFC2A8"/>
    <w:rsid w:val="63D1C8ED"/>
    <w:rsid w:val="63EF7B78"/>
    <w:rsid w:val="63F1D84D"/>
    <w:rsid w:val="640B7AFC"/>
    <w:rsid w:val="646E1A25"/>
    <w:rsid w:val="64D9F795"/>
    <w:rsid w:val="6501130A"/>
    <w:rsid w:val="657EF6E2"/>
    <w:rsid w:val="659392C1"/>
    <w:rsid w:val="65F02068"/>
    <w:rsid w:val="6623E84B"/>
    <w:rsid w:val="6626594C"/>
    <w:rsid w:val="66549950"/>
    <w:rsid w:val="66574D85"/>
    <w:rsid w:val="66EBC17E"/>
    <w:rsid w:val="66F53EB2"/>
    <w:rsid w:val="67074E3C"/>
    <w:rsid w:val="6719B9EA"/>
    <w:rsid w:val="675FE80F"/>
    <w:rsid w:val="67832CCC"/>
    <w:rsid w:val="6783ED8B"/>
    <w:rsid w:val="67B36049"/>
    <w:rsid w:val="67BA5731"/>
    <w:rsid w:val="67BF1F48"/>
    <w:rsid w:val="67C04030"/>
    <w:rsid w:val="681360F3"/>
    <w:rsid w:val="68BD7531"/>
    <w:rsid w:val="68D0D198"/>
    <w:rsid w:val="6908BFDF"/>
    <w:rsid w:val="6934B7B8"/>
    <w:rsid w:val="6939E36B"/>
    <w:rsid w:val="6971C1B5"/>
    <w:rsid w:val="698AA3E8"/>
    <w:rsid w:val="699BC1B1"/>
    <w:rsid w:val="6A446EC5"/>
    <w:rsid w:val="6A68016E"/>
    <w:rsid w:val="6A7A2239"/>
    <w:rsid w:val="6A88656B"/>
    <w:rsid w:val="6AA3BC49"/>
    <w:rsid w:val="6AD8F616"/>
    <w:rsid w:val="6B13D8ED"/>
    <w:rsid w:val="6BE03F26"/>
    <w:rsid w:val="6C008C31"/>
    <w:rsid w:val="6C1D0201"/>
    <w:rsid w:val="6C574CCE"/>
    <w:rsid w:val="6C5BC436"/>
    <w:rsid w:val="6CCD08A4"/>
    <w:rsid w:val="6CDBDA9F"/>
    <w:rsid w:val="6D04D753"/>
    <w:rsid w:val="6D34E1B3"/>
    <w:rsid w:val="6D741CC1"/>
    <w:rsid w:val="6D9323D6"/>
    <w:rsid w:val="6D9429B5"/>
    <w:rsid w:val="6DA5A5A0"/>
    <w:rsid w:val="6DA86964"/>
    <w:rsid w:val="6DACDEA7"/>
    <w:rsid w:val="6E315BD6"/>
    <w:rsid w:val="6ED6E541"/>
    <w:rsid w:val="6EDB56EB"/>
    <w:rsid w:val="6F2B5B5D"/>
    <w:rsid w:val="6F8637B1"/>
    <w:rsid w:val="6F8F66D4"/>
    <w:rsid w:val="6F90F356"/>
    <w:rsid w:val="6FD294C9"/>
    <w:rsid w:val="703BF369"/>
    <w:rsid w:val="70717BD3"/>
    <w:rsid w:val="7071E0CB"/>
    <w:rsid w:val="7078AE07"/>
    <w:rsid w:val="709255A5"/>
    <w:rsid w:val="7134DCC9"/>
    <w:rsid w:val="7149EBD5"/>
    <w:rsid w:val="715636B2"/>
    <w:rsid w:val="71613977"/>
    <w:rsid w:val="71869FB2"/>
    <w:rsid w:val="71BA8B4B"/>
    <w:rsid w:val="7203887C"/>
    <w:rsid w:val="7206AA6F"/>
    <w:rsid w:val="721CFFA9"/>
    <w:rsid w:val="722B076E"/>
    <w:rsid w:val="7259EAF6"/>
    <w:rsid w:val="726E24C7"/>
    <w:rsid w:val="72729A6B"/>
    <w:rsid w:val="7276B362"/>
    <w:rsid w:val="72925642"/>
    <w:rsid w:val="72A08231"/>
    <w:rsid w:val="72AFB815"/>
    <w:rsid w:val="72BCD941"/>
    <w:rsid w:val="72D5C29A"/>
    <w:rsid w:val="72F47884"/>
    <w:rsid w:val="72F6BB4D"/>
    <w:rsid w:val="72FD09D8"/>
    <w:rsid w:val="733BECAD"/>
    <w:rsid w:val="73881471"/>
    <w:rsid w:val="73893136"/>
    <w:rsid w:val="73C1DA32"/>
    <w:rsid w:val="73DA65AD"/>
    <w:rsid w:val="73ED535D"/>
    <w:rsid w:val="73EE7186"/>
    <w:rsid w:val="73F8B570"/>
    <w:rsid w:val="74129C59"/>
    <w:rsid w:val="7413750B"/>
    <w:rsid w:val="74281BF2"/>
    <w:rsid w:val="7445A922"/>
    <w:rsid w:val="745A1D6C"/>
    <w:rsid w:val="7461EF04"/>
    <w:rsid w:val="74935826"/>
    <w:rsid w:val="74C7C33D"/>
    <w:rsid w:val="74CF60E8"/>
    <w:rsid w:val="7523B1DD"/>
    <w:rsid w:val="7573DBA6"/>
    <w:rsid w:val="7591246A"/>
    <w:rsid w:val="75C0B449"/>
    <w:rsid w:val="75E20DB4"/>
    <w:rsid w:val="75F882D8"/>
    <w:rsid w:val="76290F54"/>
    <w:rsid w:val="7634AA9A"/>
    <w:rsid w:val="76B5523C"/>
    <w:rsid w:val="76CA448C"/>
    <w:rsid w:val="76D34052"/>
    <w:rsid w:val="770F5DF7"/>
    <w:rsid w:val="771574BA"/>
    <w:rsid w:val="77517213"/>
    <w:rsid w:val="7777DDBC"/>
    <w:rsid w:val="7791BE2E"/>
    <w:rsid w:val="77CBD519"/>
    <w:rsid w:val="77EF17A5"/>
    <w:rsid w:val="78C8C52C"/>
    <w:rsid w:val="78DCC653"/>
    <w:rsid w:val="79070ECE"/>
    <w:rsid w:val="7910A24F"/>
    <w:rsid w:val="79432ACC"/>
    <w:rsid w:val="79688531"/>
    <w:rsid w:val="798AFA94"/>
    <w:rsid w:val="7A0EAA52"/>
    <w:rsid w:val="7A1F3991"/>
    <w:rsid w:val="7A55E08A"/>
    <w:rsid w:val="7A6D7C9D"/>
    <w:rsid w:val="7AA552BB"/>
    <w:rsid w:val="7AD49E94"/>
    <w:rsid w:val="7B1C1E70"/>
    <w:rsid w:val="7B2EE409"/>
    <w:rsid w:val="7B35E8C0"/>
    <w:rsid w:val="7B59F98E"/>
    <w:rsid w:val="7BC1F8C6"/>
    <w:rsid w:val="7BCFEAF8"/>
    <w:rsid w:val="7BF3FE0F"/>
    <w:rsid w:val="7BFF9B77"/>
    <w:rsid w:val="7C3339CB"/>
    <w:rsid w:val="7D01635C"/>
    <w:rsid w:val="7D9B784F"/>
    <w:rsid w:val="7E02F602"/>
    <w:rsid w:val="7E1A18FC"/>
    <w:rsid w:val="7E3CB84E"/>
    <w:rsid w:val="7E7046D1"/>
    <w:rsid w:val="7EFC94A7"/>
    <w:rsid w:val="7F25A6AA"/>
    <w:rsid w:val="7F4C7233"/>
    <w:rsid w:val="7F5D3AA8"/>
    <w:rsid w:val="7F8528DC"/>
    <w:rsid w:val="7F873889"/>
    <w:rsid w:val="7F915706"/>
    <w:rsid w:val="7FC94E65"/>
    <w:rsid w:val="7FD1CF3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70E43"/>
  <w15:docId w15:val="{C8EABD7F-75C1-4C39-9C34-221698D2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A8"/>
    <w:pPr>
      <w:spacing w:before="200" w:after="120" w:line="360" w:lineRule="auto"/>
    </w:pPr>
    <w:rPr>
      <w:rFonts w:ascii="Arial" w:eastAsiaTheme="minorEastAsia" w:hAnsi="Arial"/>
      <w:sz w:val="24"/>
      <w:szCs w:val="24"/>
      <w:lang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rPr>
  </w:style>
  <w:style w:type="paragraph" w:styleId="Heading2">
    <w:name w:val="heading 2"/>
    <w:basedOn w:val="Normal"/>
    <w:next w:val="Normal"/>
    <w:link w:val="Heading2Char"/>
    <w:uiPriority w:val="9"/>
    <w:unhideWhenUsed/>
    <w:qFormat/>
    <w:rsid w:val="00A01FA6"/>
    <w:pPr>
      <w:pageBreakBefore/>
      <w:numPr>
        <w:numId w:val="9"/>
      </w:numPr>
      <w:spacing w:after="24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B745B"/>
    <w:pPr>
      <w:keepNext/>
      <w:numPr>
        <w:ilvl w:val="1"/>
        <w:numId w:val="9"/>
      </w:numPr>
      <w:outlineLvl w:val="2"/>
    </w:pPr>
    <w:rPr>
      <w:b/>
      <w:color w:val="6B2976"/>
      <w:sz w:val="30"/>
      <w:szCs w:val="30"/>
    </w:rPr>
  </w:style>
  <w:style w:type="paragraph" w:styleId="Heading4">
    <w:name w:val="heading 4"/>
    <w:basedOn w:val="Normal"/>
    <w:next w:val="Normal"/>
    <w:link w:val="Heading4Char"/>
    <w:uiPriority w:val="9"/>
    <w:unhideWhenUsed/>
    <w:qFormat/>
    <w:rsid w:val="00952E11"/>
    <w:pPr>
      <w:keepNext/>
      <w:numPr>
        <w:ilvl w:val="2"/>
        <w:numId w:val="9"/>
      </w:numPr>
      <w:outlineLvl w:val="3"/>
    </w:pPr>
    <w:rPr>
      <w:b/>
    </w:rPr>
  </w:style>
  <w:style w:type="paragraph" w:styleId="Heading5">
    <w:name w:val="heading 5"/>
    <w:basedOn w:val="Normal"/>
    <w:next w:val="Normal"/>
    <w:link w:val="Heading5Char"/>
    <w:uiPriority w:val="9"/>
    <w:unhideWhenUsed/>
    <w:qFormat/>
    <w:rsid w:val="00954115"/>
    <w:pPr>
      <w:keepNext/>
      <w:numPr>
        <w:ilvl w:val="3"/>
        <w:numId w:val="9"/>
      </w:numPr>
      <w:outlineLvl w:val="4"/>
    </w:pPr>
    <w:rPr>
      <w:b/>
    </w:rPr>
  </w:style>
  <w:style w:type="paragraph" w:styleId="Heading6">
    <w:name w:val="heading 6"/>
    <w:basedOn w:val="Normal"/>
    <w:next w:val="Normal"/>
    <w:link w:val="Heading6Char"/>
    <w:uiPriority w:val="9"/>
    <w:unhideWhenUsed/>
    <w:qFormat/>
    <w:rsid w:val="00F71AD5"/>
    <w:pPr>
      <w:keepNext/>
      <w:numPr>
        <w:ilvl w:val="4"/>
        <w:numId w:val="9"/>
      </w:numPr>
      <w:spacing w:after="0" w:line="271" w:lineRule="auto"/>
      <w:outlineLvl w:val="5"/>
    </w:pPr>
    <w:rPr>
      <w:rFonts w:eastAsiaTheme="majorEastAsia" w:cstheme="majorBidi"/>
      <w:b/>
      <w:bCs/>
      <w:i/>
      <w:iCs/>
      <w:color w:val="595959" w:themeColor="text1" w:themeTint="A6"/>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A01FA6"/>
    <w:rPr>
      <w:rFonts w:ascii="Arial" w:eastAsiaTheme="majorEastAsia" w:hAnsi="Arial" w:cstheme="majorBidi"/>
      <w:b/>
      <w:bCs/>
      <w:color w:val="6B2976"/>
      <w:sz w:val="44"/>
      <w:szCs w:val="26"/>
      <w:lang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B745B"/>
    <w:rPr>
      <w:rFonts w:ascii="Arial" w:eastAsiaTheme="minorEastAsia" w:hAnsi="Arial"/>
      <w:b/>
      <w:color w:val="6B2976"/>
      <w:sz w:val="30"/>
      <w:szCs w:val="30"/>
      <w:lang w:eastAsia="ja-JP"/>
    </w:rPr>
  </w:style>
  <w:style w:type="character" w:customStyle="1" w:styleId="Heading4Char">
    <w:name w:val="Heading 4 Char"/>
    <w:basedOn w:val="DefaultParagraphFont"/>
    <w:link w:val="Heading4"/>
    <w:uiPriority w:val="9"/>
    <w:rsid w:val="00952E11"/>
    <w:rPr>
      <w:rFonts w:ascii="Arial" w:eastAsiaTheme="minorEastAsia" w:hAnsi="Arial"/>
      <w:b/>
      <w:sz w:val="24"/>
      <w:szCs w:val="24"/>
      <w:lang w:eastAsia="ja-JP"/>
    </w:rPr>
  </w:style>
  <w:style w:type="character" w:customStyle="1" w:styleId="Heading5Char">
    <w:name w:val="Heading 5 Char"/>
    <w:basedOn w:val="DefaultParagraphFont"/>
    <w:link w:val="Heading5"/>
    <w:uiPriority w:val="9"/>
    <w:rsid w:val="00954115"/>
    <w:rPr>
      <w:rFonts w:ascii="Arial" w:eastAsiaTheme="minorEastAsia" w:hAnsi="Arial"/>
      <w:b/>
      <w:sz w:val="24"/>
      <w:szCs w:val="24"/>
      <w:lang w:eastAsia="ja-JP"/>
    </w:rPr>
  </w:style>
  <w:style w:type="character" w:customStyle="1" w:styleId="Heading6Char">
    <w:name w:val="Heading 6 Char"/>
    <w:basedOn w:val="DefaultParagraphFont"/>
    <w:link w:val="Heading6"/>
    <w:uiPriority w:val="9"/>
    <w:rsid w:val="00F71AD5"/>
    <w:rPr>
      <w:rFonts w:ascii="Arial" w:eastAsiaTheme="majorEastAsia" w:hAnsi="Arial" w:cstheme="majorBidi"/>
      <w:b/>
      <w:bCs/>
      <w:i/>
      <w:iCs/>
      <w:color w:val="595959" w:themeColor="text1" w:themeTint="A6"/>
      <w:sz w:val="24"/>
      <w:szCs w:val="24"/>
      <w:lang w:eastAsia="ja-JP"/>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1,Recommendation,List Paragraph1,Bullet point,CV text,Dot pt,F5 List Paragraph,FooterText,L,List Paragraph111,List Paragraph2,Medium Grid 1 - Accent 21,NFP GP Bulleted List,Numbered Paragraph,Table text,numbered,列出段,列出段落,列"/>
    <w:basedOn w:val="Normal"/>
    <w:link w:val="ListParagraphChar"/>
    <w:uiPriority w:val="34"/>
    <w:qFormat/>
    <w:rsid w:val="00150098"/>
    <w:pPr>
      <w:numPr>
        <w:numId w:val="3"/>
      </w:numPr>
      <w:spacing w:before="40" w:after="40"/>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844D79"/>
    <w:pPr>
      <w:pBdr>
        <w:top w:val="single" w:sz="4" w:space="1" w:color="auto"/>
        <w:left w:val="single" w:sz="4" w:space="4" w:color="auto"/>
        <w:bottom w:val="single" w:sz="4" w:space="1" w:color="auto"/>
        <w:right w:val="single" w:sz="4" w:space="4" w:color="auto"/>
      </w:pBdr>
      <w:shd w:val="clear" w:color="auto" w:fill="F7EEF7"/>
      <w:spacing w:after="200"/>
      <w:ind w:left="142" w:right="237"/>
      <w:jc w:val="both"/>
    </w:pPr>
  </w:style>
  <w:style w:type="character" w:customStyle="1" w:styleId="QuoteChar">
    <w:name w:val="Quote Char"/>
    <w:basedOn w:val="DefaultParagraphFont"/>
    <w:link w:val="Quote"/>
    <w:uiPriority w:val="29"/>
    <w:rsid w:val="00844D79"/>
    <w:rPr>
      <w:rFonts w:ascii="Arial" w:eastAsiaTheme="minorEastAsia" w:hAnsi="Arial"/>
      <w:szCs w:val="24"/>
      <w:shd w:val="clear" w:color="auto" w:fill="F7EEF7"/>
      <w:lang w:eastAsia="ja-JP"/>
    </w:rPr>
  </w:style>
  <w:style w:type="paragraph" w:styleId="IntenseQuote">
    <w:name w:val="Intense Quote"/>
    <w:basedOn w:val="Normal"/>
    <w:next w:val="Normal"/>
    <w:link w:val="IntenseQuoteChar"/>
    <w:uiPriority w:val="30"/>
    <w:qFormat/>
    <w:rsid w:val="004B54CA"/>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aliases w:val="Caption for table or figure"/>
    <w:basedOn w:val="Normal"/>
    <w:next w:val="Normal"/>
    <w:autoRedefine/>
    <w:uiPriority w:val="35"/>
    <w:unhideWhenUsed/>
    <w:qFormat/>
    <w:rsid w:val="00A86241"/>
    <w:pPr>
      <w:keepNext/>
      <w:outlineLvl w:val="4"/>
    </w:pPr>
    <w:rPr>
      <w:b/>
      <w:bCs/>
      <w:szCs w:val="20"/>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line="240" w:lineRule="auto"/>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C5296D" w:themeColor="accent4"/>
        <w:bottom w:val="single" w:sz="8" w:space="0" w:color="C5296D"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C5296D" w:themeColor="accent4"/>
          <w:left w:val="nil"/>
          <w:bottom w:val="single" w:sz="8" w:space="0" w:color="C5296D"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F1466A"/>
    <w:pPr>
      <w:tabs>
        <w:tab w:val="right" w:pos="9016"/>
      </w:tabs>
      <w:spacing w:after="100"/>
    </w:pPr>
  </w:style>
  <w:style w:type="paragraph" w:styleId="TOC2">
    <w:name w:val="toc 2"/>
    <w:basedOn w:val="Normal"/>
    <w:next w:val="Normal"/>
    <w:autoRedefine/>
    <w:uiPriority w:val="39"/>
    <w:unhideWhenUsed/>
    <w:qFormat/>
    <w:rsid w:val="0031204C"/>
    <w:pPr>
      <w:tabs>
        <w:tab w:val="left" w:pos="660"/>
        <w:tab w:val="right" w:pos="9016"/>
        <w:tab w:val="right" w:pos="10206"/>
      </w:tabs>
      <w:spacing w:before="100" w:after="100"/>
      <w:ind w:left="221"/>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aliases w:val="HealthConsult"/>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paragraph" w:customStyle="1" w:styleId="Securitymarker">
    <w:name w:val="Security marker"/>
    <w:basedOn w:val="Normal"/>
    <w:link w:val="SecuritymarkerChar"/>
    <w:qFormat/>
    <w:rsid w:val="00AB4CC5"/>
    <w:pPr>
      <w:suppressAutoHyphens/>
    </w:pPr>
    <w:rPr>
      <w:rFonts w:asciiTheme="minorHAnsi" w:eastAsiaTheme="minorHAnsi" w:hAnsiTheme="minorHAnsi"/>
      <w:b/>
      <w:bCs/>
      <w:sz w:val="28"/>
      <w:szCs w:val="28"/>
      <w:lang w:eastAsia="en-US"/>
    </w:rPr>
  </w:style>
  <w:style w:type="character" w:customStyle="1" w:styleId="SecuritymarkerChar">
    <w:name w:val="Security marker Char"/>
    <w:basedOn w:val="DefaultParagraphFont"/>
    <w:link w:val="Securitymarker"/>
    <w:rsid w:val="00AB4CC5"/>
    <w:rPr>
      <w:b/>
      <w:bCs/>
      <w:sz w:val="28"/>
      <w:szCs w:val="28"/>
    </w:rPr>
  </w:style>
  <w:style w:type="paragraph" w:customStyle="1" w:styleId="Heading2nonumber">
    <w:name w:val="Heading 2 no number"/>
    <w:basedOn w:val="Heading2"/>
    <w:next w:val="BodyText1"/>
    <w:qFormat/>
    <w:rsid w:val="00C47E98"/>
    <w:pPr>
      <w:numPr>
        <w:numId w:val="0"/>
      </w:numPr>
    </w:pPr>
  </w:style>
  <w:style w:type="character" w:styleId="CommentReference">
    <w:name w:val="annotation reference"/>
    <w:basedOn w:val="DefaultParagraphFont"/>
    <w:uiPriority w:val="99"/>
    <w:semiHidden/>
    <w:unhideWhenUsed/>
    <w:rsid w:val="002A4151"/>
    <w:rPr>
      <w:sz w:val="16"/>
      <w:szCs w:val="16"/>
    </w:rPr>
  </w:style>
  <w:style w:type="paragraph" w:styleId="CommentText">
    <w:name w:val="annotation text"/>
    <w:basedOn w:val="Normal"/>
    <w:link w:val="CommentTextChar"/>
    <w:uiPriority w:val="99"/>
    <w:unhideWhenUsed/>
    <w:rsid w:val="002A4151"/>
    <w:pPr>
      <w:spacing w:line="240" w:lineRule="auto"/>
    </w:pPr>
    <w:rPr>
      <w:sz w:val="20"/>
      <w:szCs w:val="20"/>
    </w:rPr>
  </w:style>
  <w:style w:type="character" w:customStyle="1" w:styleId="CommentTextChar">
    <w:name w:val="Comment Text Char"/>
    <w:basedOn w:val="DefaultParagraphFont"/>
    <w:link w:val="CommentText"/>
    <w:uiPriority w:val="99"/>
    <w:rsid w:val="002A4151"/>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2A4151"/>
    <w:rPr>
      <w:b/>
      <w:bCs/>
    </w:rPr>
  </w:style>
  <w:style w:type="character" w:customStyle="1" w:styleId="CommentSubjectChar">
    <w:name w:val="Comment Subject Char"/>
    <w:basedOn w:val="CommentTextChar"/>
    <w:link w:val="CommentSubject"/>
    <w:uiPriority w:val="99"/>
    <w:semiHidden/>
    <w:rsid w:val="002A4151"/>
    <w:rPr>
      <w:rFonts w:ascii="Arial" w:eastAsiaTheme="minorEastAsia" w:hAnsi="Arial"/>
      <w:b/>
      <w:bCs/>
      <w:sz w:val="20"/>
      <w:szCs w:val="20"/>
      <w:lang w:val="en-US" w:eastAsia="ja-JP"/>
    </w:rPr>
  </w:style>
  <w:style w:type="paragraph" w:customStyle="1" w:styleId="Heading3nonumber">
    <w:name w:val="Heading 3 no number"/>
    <w:basedOn w:val="Heading3"/>
    <w:link w:val="Heading3nonumberChar"/>
    <w:qFormat/>
    <w:rsid w:val="000F2591"/>
    <w:pPr>
      <w:numPr>
        <w:ilvl w:val="0"/>
        <w:numId w:val="0"/>
      </w:numPr>
    </w:pPr>
  </w:style>
  <w:style w:type="paragraph" w:customStyle="1" w:styleId="Appendix1">
    <w:name w:val="Appendix 1"/>
    <w:basedOn w:val="Heading2nonumber"/>
    <w:next w:val="Normal"/>
    <w:qFormat/>
    <w:rsid w:val="00113147"/>
    <w:pPr>
      <w:numPr>
        <w:numId w:val="2"/>
      </w:numPr>
    </w:pPr>
  </w:style>
  <w:style w:type="paragraph" w:customStyle="1" w:styleId="Appendix2">
    <w:name w:val="Appendix 2"/>
    <w:basedOn w:val="Heading3"/>
    <w:next w:val="Normal"/>
    <w:qFormat/>
    <w:rsid w:val="00C87434"/>
    <w:pPr>
      <w:numPr>
        <w:numId w:val="2"/>
      </w:numPr>
    </w:pPr>
  </w:style>
  <w:style w:type="paragraph" w:customStyle="1" w:styleId="Appendix3">
    <w:name w:val="Appendix 3"/>
    <w:basedOn w:val="Heading4"/>
    <w:next w:val="Normal"/>
    <w:rsid w:val="00C87434"/>
    <w:pPr>
      <w:numPr>
        <w:numId w:val="2"/>
      </w:numPr>
    </w:pPr>
  </w:style>
  <w:style w:type="character" w:customStyle="1" w:styleId="ListParagraphChar">
    <w:name w:val="List Paragraph Char"/>
    <w:aliases w:val="List Paragraph11 Char,Recommendation Char,List Paragraph1 Char,Bullet point Char,CV text Char,Dot pt Char,F5 List Paragraph Char,FooterText Char,L Char,List Paragraph111 Char,List Paragraph2 Char,Medium Grid 1 - Accent 21 Char,列 Char"/>
    <w:link w:val="ListParagraph"/>
    <w:uiPriority w:val="34"/>
    <w:qFormat/>
    <w:rsid w:val="00A779A2"/>
    <w:rPr>
      <w:rFonts w:ascii="Arial" w:eastAsiaTheme="minorEastAsia" w:hAnsi="Arial"/>
      <w:sz w:val="24"/>
      <w:szCs w:val="24"/>
      <w:lang w:eastAsia="ja-JP"/>
    </w:rPr>
  </w:style>
  <w:style w:type="paragraph" w:customStyle="1" w:styleId="BodyText1">
    <w:name w:val="Body Text1"/>
    <w:basedOn w:val="Normal"/>
    <w:link w:val="BodyText1Char"/>
    <w:qFormat/>
    <w:rsid w:val="00D76154"/>
    <w:pPr>
      <w:spacing w:after="200"/>
    </w:pPr>
    <w:rPr>
      <w:rFonts w:eastAsia="MS Mincho" w:cs="FSMe-Bold"/>
      <w:spacing w:val="-2"/>
      <w:szCs w:val="20"/>
      <w:lang w:eastAsia="en-US"/>
    </w:rPr>
  </w:style>
  <w:style w:type="character" w:customStyle="1" w:styleId="BodyText1Char">
    <w:name w:val="Body Text1 Char"/>
    <w:basedOn w:val="DefaultParagraphFont"/>
    <w:link w:val="BodyText1"/>
    <w:rsid w:val="00D76154"/>
    <w:rPr>
      <w:rFonts w:ascii="Arial" w:eastAsia="MS Mincho" w:hAnsi="Arial" w:cs="FSMe-Bold"/>
      <w:spacing w:val="-2"/>
      <w:szCs w:val="20"/>
    </w:rPr>
  </w:style>
  <w:style w:type="paragraph" w:styleId="FootnoteText">
    <w:name w:val="footnote text"/>
    <w:basedOn w:val="Normal"/>
    <w:link w:val="FootnoteTextChar"/>
    <w:uiPriority w:val="99"/>
    <w:unhideWhenUsed/>
    <w:rsid w:val="002E77B3"/>
    <w:pPr>
      <w:spacing w:before="80" w:after="80" w:line="240" w:lineRule="auto"/>
    </w:pPr>
    <w:rPr>
      <w:sz w:val="20"/>
      <w:szCs w:val="20"/>
    </w:rPr>
  </w:style>
  <w:style w:type="character" w:customStyle="1" w:styleId="FootnoteTextChar">
    <w:name w:val="Footnote Text Char"/>
    <w:basedOn w:val="DefaultParagraphFont"/>
    <w:link w:val="FootnoteText"/>
    <w:uiPriority w:val="99"/>
    <w:rsid w:val="002E77B3"/>
    <w:rPr>
      <w:rFonts w:ascii="Arial" w:eastAsiaTheme="minorEastAsia" w:hAnsi="Arial"/>
      <w:sz w:val="20"/>
      <w:szCs w:val="20"/>
      <w:lang w:eastAsia="ja-JP"/>
    </w:rPr>
  </w:style>
  <w:style w:type="character" w:styleId="FootnoteReference">
    <w:name w:val="footnote reference"/>
    <w:basedOn w:val="DefaultParagraphFont"/>
    <w:uiPriority w:val="99"/>
    <w:semiHidden/>
    <w:unhideWhenUsed/>
    <w:rsid w:val="00B93801"/>
    <w:rPr>
      <w:vertAlign w:val="superscript"/>
    </w:rPr>
  </w:style>
  <w:style w:type="table" w:styleId="GridTable1Light">
    <w:name w:val="Grid Table 1 Light"/>
    <w:basedOn w:val="TableNormal"/>
    <w:uiPriority w:val="46"/>
    <w:rsid w:val="00D73C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4B49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90E"/>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4B490E"/>
    <w:rPr>
      <w:vertAlign w:val="superscript"/>
    </w:rPr>
  </w:style>
  <w:style w:type="paragraph" w:customStyle="1" w:styleId="Tablenotes">
    <w:name w:val="Table notes"/>
    <w:basedOn w:val="Normal"/>
    <w:link w:val="TablenotesChar"/>
    <w:qFormat/>
    <w:rsid w:val="0081332C"/>
    <w:pPr>
      <w:spacing w:before="40" w:after="40"/>
    </w:pPr>
    <w:rPr>
      <w:sz w:val="18"/>
      <w:szCs w:val="18"/>
    </w:rPr>
  </w:style>
  <w:style w:type="character" w:customStyle="1" w:styleId="TablenotesChar">
    <w:name w:val="Table notes Char"/>
    <w:basedOn w:val="DefaultParagraphFont"/>
    <w:link w:val="Tablenotes"/>
    <w:rsid w:val="0081332C"/>
    <w:rPr>
      <w:rFonts w:ascii="Arial" w:eastAsiaTheme="minorEastAsia" w:hAnsi="Arial"/>
      <w:sz w:val="18"/>
      <w:szCs w:val="18"/>
      <w:lang w:eastAsia="ja-JP"/>
    </w:rPr>
  </w:style>
  <w:style w:type="paragraph" w:customStyle="1" w:styleId="Bulletlist">
    <w:name w:val="Bullet list"/>
    <w:basedOn w:val="Normal"/>
    <w:next w:val="Normal"/>
    <w:qFormat/>
    <w:rsid w:val="00FB3492"/>
    <w:pPr>
      <w:numPr>
        <w:numId w:val="5"/>
      </w:numPr>
      <w:spacing w:before="40" w:after="40"/>
    </w:pPr>
  </w:style>
  <w:style w:type="paragraph" w:styleId="Revision">
    <w:name w:val="Revision"/>
    <w:hidden/>
    <w:uiPriority w:val="99"/>
    <w:semiHidden/>
    <w:rsid w:val="004A103C"/>
    <w:pPr>
      <w:spacing w:after="0" w:line="240" w:lineRule="auto"/>
    </w:pPr>
    <w:rPr>
      <w:rFonts w:ascii="Arial" w:eastAsiaTheme="minorEastAsia" w:hAnsi="Arial"/>
      <w:szCs w:val="24"/>
      <w:lang w:eastAsia="ja-JP"/>
    </w:rPr>
  </w:style>
  <w:style w:type="paragraph" w:customStyle="1" w:styleId="Footertext">
    <w:name w:val="Footer text"/>
    <w:basedOn w:val="FootnoteText"/>
    <w:qFormat/>
    <w:rsid w:val="003B0FD9"/>
    <w:pPr>
      <w:spacing w:before="60" w:after="60"/>
    </w:pPr>
  </w:style>
  <w:style w:type="paragraph" w:customStyle="1" w:styleId="Source">
    <w:name w:val="Source"/>
    <w:basedOn w:val="Normal"/>
    <w:link w:val="SourceChar"/>
    <w:qFormat/>
    <w:rsid w:val="008D73CD"/>
    <w:pPr>
      <w:spacing w:before="60" w:line="240" w:lineRule="auto"/>
      <w:contextualSpacing/>
    </w:pPr>
    <w:rPr>
      <w:sz w:val="18"/>
    </w:rPr>
  </w:style>
  <w:style w:type="character" w:customStyle="1" w:styleId="SourceChar">
    <w:name w:val="Source Char"/>
    <w:basedOn w:val="DefaultParagraphFont"/>
    <w:link w:val="Source"/>
    <w:rsid w:val="008D73CD"/>
    <w:rPr>
      <w:rFonts w:ascii="Arial" w:eastAsiaTheme="minorEastAsia" w:hAnsi="Arial"/>
      <w:sz w:val="18"/>
      <w:szCs w:val="24"/>
      <w:lang w:eastAsia="ja-JP"/>
    </w:rPr>
  </w:style>
  <w:style w:type="table" w:customStyle="1" w:styleId="NodesTable">
    <w:name w:val="Nodes Table"/>
    <w:rsid w:val="002D3B2B"/>
    <w:pPr>
      <w:spacing w:after="160" w:line="259" w:lineRule="auto"/>
    </w:pPr>
    <w:rPr>
      <w:rFonts w:eastAsiaTheme="minorEastAsia" w:hAnsi="Times New Roman" w:cs="Times New Roman"/>
      <w:sz w:val="20"/>
      <w:szCs w:val="20"/>
      <w:lang w:val="en-US" w:eastAsia="ja-JP" w:bidi="th-TH"/>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08" w:type="dxa"/>
        <w:left w:w="108" w:type="dxa"/>
        <w:bottom w:w="0" w:type="dxa"/>
        <w:right w:w="108" w:type="dxa"/>
      </w:tblCellMar>
    </w:tblPr>
    <w:tblStylePr w:type="firstRow">
      <w:tblPr/>
      <w:tcPr>
        <w:tcBorders>
          <w:top w:val="nil"/>
          <w:left w:val="nil"/>
          <w:bottom w:val="nil"/>
          <w:right w:val="single" w:sz="4" w:space="0" w:color="FFFFFF"/>
          <w:insideH w:val="nil"/>
          <w:insideV w:val="nil"/>
        </w:tcBorders>
        <w:shd w:val="clear" w:color="auto" w:fill="4472C4"/>
      </w:tcPr>
    </w:tblStylePr>
    <w:tblStylePr w:type="band1Horz">
      <w:tblPr/>
      <w:tcPr>
        <w:shd w:val="clear" w:color="auto" w:fill="B4C6E7"/>
      </w:tcPr>
    </w:tblStylePr>
    <w:tblStylePr w:type="band2Horz">
      <w:tblPr/>
      <w:tcPr>
        <w:shd w:val="clear" w:color="auto" w:fill="D9E2F3"/>
      </w:tcPr>
    </w:tblStylePr>
  </w:style>
  <w:style w:type="paragraph" w:customStyle="1" w:styleId="ESheading3">
    <w:name w:val="ES heading 3"/>
    <w:basedOn w:val="Heading3"/>
    <w:next w:val="BodyText1"/>
    <w:qFormat/>
    <w:rsid w:val="002165F8"/>
    <w:pPr>
      <w:numPr>
        <w:ilvl w:val="2"/>
        <w:numId w:val="6"/>
      </w:numPr>
    </w:pPr>
  </w:style>
  <w:style w:type="paragraph" w:customStyle="1" w:styleId="ESheading4">
    <w:name w:val="ES heading 4"/>
    <w:basedOn w:val="Heading4"/>
    <w:next w:val="BodyText1"/>
    <w:qFormat/>
    <w:rsid w:val="001D2429"/>
    <w:pPr>
      <w:numPr>
        <w:ilvl w:val="3"/>
        <w:numId w:val="6"/>
      </w:numPr>
    </w:pPr>
    <w:rPr>
      <w:color w:val="6B2976" w:themeColor="background2"/>
    </w:rPr>
  </w:style>
  <w:style w:type="character" w:styleId="UnresolvedMention">
    <w:name w:val="Unresolved Mention"/>
    <w:basedOn w:val="DefaultParagraphFont"/>
    <w:uiPriority w:val="99"/>
    <w:semiHidden/>
    <w:unhideWhenUsed/>
    <w:rsid w:val="0006370B"/>
    <w:rPr>
      <w:color w:val="605E5C"/>
      <w:shd w:val="clear" w:color="auto" w:fill="E1DFDD"/>
    </w:rPr>
  </w:style>
  <w:style w:type="paragraph" w:styleId="TOC6">
    <w:name w:val="toc 6"/>
    <w:basedOn w:val="Normal"/>
    <w:next w:val="Normal"/>
    <w:autoRedefine/>
    <w:uiPriority w:val="39"/>
    <w:unhideWhenUsed/>
    <w:rsid w:val="000A4A70"/>
    <w:pPr>
      <w:spacing w:after="100"/>
      <w:ind w:left="1100"/>
    </w:pPr>
  </w:style>
  <w:style w:type="paragraph" w:customStyle="1" w:styleId="Heading2NotinTOC">
    <w:name w:val="Heading 2 Not in TOC"/>
    <w:basedOn w:val="Heading2nonumber"/>
    <w:next w:val="Normal"/>
    <w:qFormat/>
    <w:rsid w:val="006F2ECB"/>
  </w:style>
  <w:style w:type="character" w:styleId="Mention">
    <w:name w:val="Mention"/>
    <w:basedOn w:val="DefaultParagraphFont"/>
    <w:uiPriority w:val="99"/>
    <w:unhideWhenUsed/>
    <w:rsid w:val="00D57B86"/>
    <w:rPr>
      <w:color w:val="2B579A"/>
      <w:shd w:val="clear" w:color="auto" w:fill="E6E6E6"/>
    </w:rPr>
  </w:style>
  <w:style w:type="numbering" w:customStyle="1" w:styleId="Headings">
    <w:name w:val="Headings"/>
    <w:uiPriority w:val="99"/>
    <w:rsid w:val="009C50D2"/>
    <w:pPr>
      <w:numPr>
        <w:numId w:val="11"/>
      </w:numPr>
    </w:pPr>
  </w:style>
  <w:style w:type="paragraph" w:customStyle="1" w:styleId="paragraph">
    <w:name w:val="paragraph"/>
    <w:basedOn w:val="Normal"/>
    <w:rsid w:val="009C50D2"/>
    <w:pPr>
      <w:spacing w:before="100" w:beforeAutospacing="1" w:after="100" w:afterAutospacing="1" w:line="240" w:lineRule="auto"/>
    </w:pPr>
    <w:rPr>
      <w:rFonts w:ascii="Times New Roman" w:eastAsia="Times New Roman" w:hAnsi="Times New Roman" w:cs="Times New Roman"/>
      <w:lang w:eastAsia="zh-CN" w:bidi="th-TH"/>
    </w:rPr>
  </w:style>
  <w:style w:type="character" w:customStyle="1" w:styleId="normaltextrun">
    <w:name w:val="normaltextrun"/>
    <w:basedOn w:val="DefaultParagraphFont"/>
    <w:rsid w:val="009C50D2"/>
  </w:style>
  <w:style w:type="character" w:customStyle="1" w:styleId="eop">
    <w:name w:val="eop"/>
    <w:basedOn w:val="DefaultParagraphFont"/>
    <w:rsid w:val="009C50D2"/>
  </w:style>
  <w:style w:type="paragraph" w:customStyle="1" w:styleId="Bulletpointlist2">
    <w:name w:val="Bullet point list 2"/>
    <w:basedOn w:val="ListParagraph"/>
    <w:qFormat/>
    <w:rsid w:val="006B30EC"/>
    <w:pPr>
      <w:numPr>
        <w:numId w:val="0"/>
      </w:numPr>
      <w:spacing w:before="120" w:after="120"/>
    </w:pPr>
    <w:rPr>
      <w:rFonts w:eastAsia="Times" w:cs="Times New Roman"/>
      <w:szCs w:val="20"/>
      <w:lang w:eastAsia="en-US"/>
    </w:rPr>
  </w:style>
  <w:style w:type="paragraph" w:customStyle="1" w:styleId="Softquote">
    <w:name w:val="Soft quote"/>
    <w:basedOn w:val="Normal"/>
    <w:link w:val="SoftquoteChar"/>
    <w:qFormat/>
    <w:rsid w:val="00D02436"/>
    <w:pPr>
      <w:ind w:left="284" w:right="521"/>
      <w:jc w:val="both"/>
    </w:pPr>
    <w:rPr>
      <w:i/>
      <w:iCs/>
      <w:color w:val="6B2976"/>
    </w:rPr>
  </w:style>
  <w:style w:type="character" w:customStyle="1" w:styleId="SoftquoteChar">
    <w:name w:val="Soft quote Char"/>
    <w:basedOn w:val="DefaultParagraphFont"/>
    <w:link w:val="Softquote"/>
    <w:rsid w:val="00D02436"/>
    <w:rPr>
      <w:rFonts w:ascii="Arial" w:eastAsiaTheme="minorEastAsia" w:hAnsi="Arial"/>
      <w:i/>
      <w:iCs/>
      <w:color w:val="6B2976"/>
      <w:szCs w:val="24"/>
      <w:lang w:eastAsia="ja-JP"/>
    </w:rPr>
  </w:style>
  <w:style w:type="table" w:customStyle="1" w:styleId="TableGrid1">
    <w:name w:val="Table Grid1"/>
    <w:basedOn w:val="TableNormal"/>
    <w:next w:val="TableGrid"/>
    <w:uiPriority w:val="39"/>
    <w:rsid w:val="00A16A81"/>
    <w:pPr>
      <w:spacing w:before="240"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16A81"/>
    <w:pPr>
      <w:spacing w:before="240"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16A81"/>
    <w:pPr>
      <w:spacing w:before="240"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1552D"/>
    <w:rPr>
      <w:color w:val="929292" w:themeColor="followedHyperlink"/>
      <w:u w:val="single"/>
    </w:rPr>
  </w:style>
  <w:style w:type="character" w:customStyle="1" w:styleId="Heading3nonumberChar">
    <w:name w:val="Heading 3 no number Char"/>
    <w:basedOn w:val="Heading3Char"/>
    <w:link w:val="Heading3nonumber"/>
    <w:rsid w:val="00BC312C"/>
    <w:rPr>
      <w:rFonts w:ascii="Arial" w:eastAsiaTheme="minorEastAsia" w:hAnsi="Arial"/>
      <w:b/>
      <w:color w:val="6B2976"/>
      <w:sz w:val="30"/>
      <w:szCs w:val="30"/>
      <w:lang w:eastAsia="ja-JP"/>
    </w:rPr>
  </w:style>
  <w:style w:type="paragraph" w:styleId="PlainText">
    <w:name w:val="Plain Text"/>
    <w:basedOn w:val="Normal"/>
    <w:link w:val="PlainTextChar"/>
    <w:uiPriority w:val="99"/>
    <w:unhideWhenUsed/>
    <w:rsid w:val="00987280"/>
    <w:pPr>
      <w:spacing w:before="0" w:after="0" w:line="240" w:lineRule="auto"/>
    </w:pPr>
    <w:rPr>
      <w:rFonts w:ascii="Consolas" w:hAnsi="Consolas" w:cs="Angsana New"/>
      <w:sz w:val="21"/>
      <w:szCs w:val="26"/>
      <w:lang w:eastAsia="zh-CN" w:bidi="th-TH"/>
    </w:rPr>
  </w:style>
  <w:style w:type="character" w:customStyle="1" w:styleId="PlainTextChar">
    <w:name w:val="Plain Text Char"/>
    <w:basedOn w:val="DefaultParagraphFont"/>
    <w:link w:val="PlainText"/>
    <w:uiPriority w:val="99"/>
    <w:rsid w:val="00987280"/>
    <w:rPr>
      <w:rFonts w:ascii="Consolas" w:eastAsiaTheme="minorEastAsia" w:hAnsi="Consolas" w:cs="Angsana New"/>
      <w:sz w:val="21"/>
      <w:szCs w:val="26"/>
      <w:lang w:eastAsia="zh-CN" w:bidi="th-TH"/>
    </w:rPr>
  </w:style>
  <w:style w:type="character" w:styleId="PlaceholderText">
    <w:name w:val="Placeholder Text"/>
    <w:basedOn w:val="DefaultParagraphFont"/>
    <w:uiPriority w:val="99"/>
    <w:semiHidden/>
    <w:rsid w:val="000B1DCD"/>
    <w:rPr>
      <w:color w:val="808080"/>
    </w:rPr>
  </w:style>
  <w:style w:type="paragraph" w:customStyle="1" w:styleId="Appendixheading4">
    <w:name w:val="Appendix heading 4"/>
    <w:basedOn w:val="Heading4"/>
    <w:link w:val="Appendixheading4Char"/>
    <w:rsid w:val="00E87954"/>
    <w:pPr>
      <w:numPr>
        <w:ilvl w:val="0"/>
        <w:numId w:val="55"/>
      </w:numPr>
    </w:pPr>
  </w:style>
  <w:style w:type="character" w:customStyle="1" w:styleId="Appendixheading4Char">
    <w:name w:val="Appendix heading 4 Char"/>
    <w:basedOn w:val="Heading4Char"/>
    <w:link w:val="Appendixheading4"/>
    <w:rsid w:val="00E87954"/>
    <w:rPr>
      <w:rFonts w:ascii="Arial" w:eastAsiaTheme="minorEastAsia" w:hAnsi="Arial"/>
      <w:b/>
      <w:sz w:val="24"/>
      <w:szCs w:val="24"/>
      <w:lang w:eastAsia="ja-JP"/>
    </w:rPr>
  </w:style>
  <w:style w:type="character" w:customStyle="1" w:styleId="ui-provider">
    <w:name w:val="ui-provider"/>
    <w:basedOn w:val="DefaultParagraphFont"/>
    <w:rsid w:val="00474A18"/>
  </w:style>
  <w:style w:type="paragraph" w:styleId="NormalWeb">
    <w:name w:val="Normal (Web)"/>
    <w:basedOn w:val="Normal"/>
    <w:uiPriority w:val="99"/>
    <w:semiHidden/>
    <w:unhideWhenUsed/>
    <w:rsid w:val="00D84438"/>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cf01">
    <w:name w:val="cf01"/>
    <w:basedOn w:val="DefaultParagraphFont"/>
    <w:rsid w:val="00646993"/>
    <w:rPr>
      <w:rFonts w:ascii="Segoe UI" w:hAnsi="Segoe UI" w:cs="Segoe UI" w:hint="default"/>
      <w:sz w:val="18"/>
      <w:szCs w:val="18"/>
    </w:rPr>
  </w:style>
  <w:style w:type="paragraph" w:customStyle="1" w:styleId="CEOBrief-Heading1">
    <w:name w:val="CEO Brief - Heading 1"/>
    <w:basedOn w:val="ListParagraph"/>
    <w:qFormat/>
    <w:rsid w:val="00EF3F83"/>
    <w:pPr>
      <w:numPr>
        <w:numId w:val="58"/>
      </w:numPr>
      <w:spacing w:before="120" w:after="120" w:line="240" w:lineRule="auto"/>
    </w:pPr>
    <w:rPr>
      <w:rFonts w:eastAsia="Times New Roman" w:cs="Arial"/>
      <w:b/>
      <w:color w:val="6B2F76"/>
      <w:szCs w:val="22"/>
      <w:lang w:eastAsia="en-US"/>
    </w:rPr>
  </w:style>
  <w:style w:type="paragraph" w:customStyle="1" w:styleId="CEOBrief-Paragraph1">
    <w:name w:val="CEO Brief - Paragraph 1"/>
    <w:basedOn w:val="ListParagraph"/>
    <w:link w:val="CEOBrief-Paragraph1Char"/>
    <w:qFormat/>
    <w:rsid w:val="000A670F"/>
    <w:pPr>
      <w:numPr>
        <w:ilvl w:val="1"/>
        <w:numId w:val="58"/>
      </w:numPr>
      <w:spacing w:before="120" w:after="120" w:line="240" w:lineRule="auto"/>
    </w:pPr>
    <w:rPr>
      <w:rFonts w:eastAsia="Times New Roman" w:cs="Arial"/>
    </w:rPr>
  </w:style>
  <w:style w:type="paragraph" w:customStyle="1" w:styleId="CEOBrief-Paragraph2">
    <w:name w:val="CEO Brief - Paragraph 2"/>
    <w:basedOn w:val="CEOBrief-Paragraph1"/>
    <w:qFormat/>
    <w:rsid w:val="000A670F"/>
    <w:pPr>
      <w:numPr>
        <w:ilvl w:val="2"/>
      </w:numPr>
    </w:pPr>
  </w:style>
  <w:style w:type="character" w:customStyle="1" w:styleId="CEOBrief-Paragraph1Char">
    <w:name w:val="CEO Brief - Paragraph 1 Char"/>
    <w:basedOn w:val="ListParagraphChar"/>
    <w:link w:val="CEOBrief-Paragraph1"/>
    <w:rsid w:val="000A670F"/>
    <w:rPr>
      <w:rFonts w:ascii="Arial" w:eastAsia="Times New Roman" w:hAnsi="Arial" w:cs="Arial"/>
      <w:sz w:val="24"/>
      <w:szCs w:val="24"/>
      <w:lang w:eastAsia="ja-JP"/>
    </w:rPr>
  </w:style>
  <w:style w:type="paragraph" w:customStyle="1" w:styleId="Heading2basedon3">
    <w:name w:val="Heading 2 (based on 3)"/>
    <w:basedOn w:val="Heading3nonumber"/>
    <w:qFormat/>
    <w:rsid w:val="007E4ED2"/>
    <w:pPr>
      <w:outlineLvl w:val="1"/>
    </w:pPr>
  </w:style>
  <w:style w:type="paragraph" w:customStyle="1" w:styleId="Caption-H4">
    <w:name w:val="Caption - H4"/>
    <w:basedOn w:val="Caption"/>
    <w:qFormat/>
    <w:rsid w:val="00A86241"/>
    <w:pPr>
      <w:outlineLvl w:val="3"/>
    </w:pPr>
  </w:style>
  <w:style w:type="paragraph" w:customStyle="1" w:styleId="KeyfindingsH3">
    <w:name w:val="Key findings H3"/>
    <w:basedOn w:val="Normal"/>
    <w:qFormat/>
    <w:rsid w:val="00FB61B6"/>
    <w:pPr>
      <w:outlineLvl w:val="2"/>
    </w:pPr>
    <w:rPr>
      <w:b/>
      <w:color w:val="6B2976" w:themeColor="background2"/>
    </w:rPr>
  </w:style>
  <w:style w:type="paragraph" w:customStyle="1" w:styleId="H3Appendix">
    <w:name w:val="H3 Appendix"/>
    <w:basedOn w:val="Normal"/>
    <w:qFormat/>
    <w:rsid w:val="008329AE"/>
    <w:pPr>
      <w:outlineLvl w:val="2"/>
    </w:pPr>
    <w:rPr>
      <w:b/>
    </w:rPr>
  </w:style>
  <w:style w:type="paragraph" w:customStyle="1" w:styleId="AppendixH4">
    <w:name w:val="Appendix H4"/>
    <w:basedOn w:val="Normal"/>
    <w:qFormat/>
    <w:rsid w:val="00157F82"/>
    <w:pPr>
      <w:spacing w:before="120"/>
      <w:outlineLvl w:val="3"/>
    </w:pPr>
    <w:rPr>
      <w:rFonts w:eastAsia="Calibri" w:cs="Cordia New"/>
      <w:b/>
      <w:bCs/>
      <w:szCs w:val="22"/>
      <w:lang w:eastAsia="en-US"/>
    </w:rPr>
  </w:style>
  <w:style w:type="paragraph" w:customStyle="1" w:styleId="H4Numbers">
    <w:name w:val="H4 Numbers"/>
    <w:basedOn w:val="Normal"/>
    <w:qFormat/>
    <w:rsid w:val="00EB4400"/>
    <w:pPr>
      <w:keepNext/>
      <w:numPr>
        <w:numId w:val="26"/>
      </w:numPr>
      <w:spacing w:before="60" w:after="60" w:line="264" w:lineRule="auto"/>
      <w:outlineLvl w:val="3"/>
    </w:pPr>
    <w:rPr>
      <w:rFonts w:eastAsia="Calibri" w:cs="Arial"/>
      <w:b/>
      <w:bCs/>
      <w:szCs w:val="22"/>
      <w:lang w:eastAsia="en-US"/>
    </w:rPr>
  </w:style>
  <w:style w:type="paragraph" w:customStyle="1" w:styleId="Q1Appendix">
    <w:name w:val="Q1. Appendix"/>
    <w:basedOn w:val="Normal"/>
    <w:qFormat/>
    <w:rsid w:val="00AD6A91"/>
    <w:pPr>
      <w:keepNext/>
      <w:numPr>
        <w:numId w:val="59"/>
      </w:numPr>
      <w:spacing w:before="60" w:after="60" w:line="264" w:lineRule="auto"/>
      <w:outlineLvl w:val="3"/>
    </w:pPr>
    <w:rPr>
      <w:rFonts w:eastAsia="Calibri" w:cs="Arial"/>
      <w:b/>
      <w:bCs/>
      <w:szCs w:val="22"/>
      <w:lang w:eastAsia="en-US"/>
    </w:rPr>
  </w:style>
  <w:style w:type="paragraph" w:customStyle="1" w:styleId="SurveyH4">
    <w:name w:val="Survey H4"/>
    <w:basedOn w:val="Normal"/>
    <w:qFormat/>
    <w:rsid w:val="00AD6A91"/>
    <w:pPr>
      <w:spacing w:before="240"/>
      <w:outlineLvl w:val="3"/>
    </w:pPr>
    <w:rPr>
      <w:rFonts w:eastAsia="Calibri" w:cs="Cordia New"/>
      <w:b/>
      <w:bCs/>
      <w:color w:val="6B2976"/>
      <w:szCs w:val="22"/>
      <w:lang w:eastAsia="en-US"/>
    </w:rPr>
  </w:style>
  <w:style w:type="paragraph" w:customStyle="1" w:styleId="HeadingH6New">
    <w:name w:val="Heading H6 New"/>
    <w:basedOn w:val="Heading5"/>
    <w:qFormat/>
    <w:rsid w:val="000705FE"/>
    <w:pPr>
      <w:numPr>
        <w:ilvl w:val="0"/>
        <w:numId w:val="41"/>
      </w:numPr>
      <w:outlineLvl w:val="5"/>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9465">
      <w:bodyDiv w:val="1"/>
      <w:marLeft w:val="0"/>
      <w:marRight w:val="0"/>
      <w:marTop w:val="0"/>
      <w:marBottom w:val="0"/>
      <w:divBdr>
        <w:top w:val="none" w:sz="0" w:space="0" w:color="auto"/>
        <w:left w:val="none" w:sz="0" w:space="0" w:color="auto"/>
        <w:bottom w:val="none" w:sz="0" w:space="0" w:color="auto"/>
        <w:right w:val="none" w:sz="0" w:space="0" w:color="auto"/>
      </w:divBdr>
    </w:div>
    <w:div w:id="179928695">
      <w:bodyDiv w:val="1"/>
      <w:marLeft w:val="0"/>
      <w:marRight w:val="0"/>
      <w:marTop w:val="0"/>
      <w:marBottom w:val="0"/>
      <w:divBdr>
        <w:top w:val="none" w:sz="0" w:space="0" w:color="auto"/>
        <w:left w:val="none" w:sz="0" w:space="0" w:color="auto"/>
        <w:bottom w:val="none" w:sz="0" w:space="0" w:color="auto"/>
        <w:right w:val="none" w:sz="0" w:space="0" w:color="auto"/>
      </w:divBdr>
    </w:div>
    <w:div w:id="215551013">
      <w:bodyDiv w:val="1"/>
      <w:marLeft w:val="0"/>
      <w:marRight w:val="0"/>
      <w:marTop w:val="0"/>
      <w:marBottom w:val="0"/>
      <w:divBdr>
        <w:top w:val="none" w:sz="0" w:space="0" w:color="auto"/>
        <w:left w:val="none" w:sz="0" w:space="0" w:color="auto"/>
        <w:bottom w:val="none" w:sz="0" w:space="0" w:color="auto"/>
        <w:right w:val="none" w:sz="0" w:space="0" w:color="auto"/>
      </w:divBdr>
    </w:div>
    <w:div w:id="293297411">
      <w:bodyDiv w:val="1"/>
      <w:marLeft w:val="0"/>
      <w:marRight w:val="0"/>
      <w:marTop w:val="0"/>
      <w:marBottom w:val="0"/>
      <w:divBdr>
        <w:top w:val="none" w:sz="0" w:space="0" w:color="auto"/>
        <w:left w:val="none" w:sz="0" w:space="0" w:color="auto"/>
        <w:bottom w:val="none" w:sz="0" w:space="0" w:color="auto"/>
        <w:right w:val="none" w:sz="0" w:space="0" w:color="auto"/>
      </w:divBdr>
    </w:div>
    <w:div w:id="303242792">
      <w:bodyDiv w:val="1"/>
      <w:marLeft w:val="0"/>
      <w:marRight w:val="0"/>
      <w:marTop w:val="0"/>
      <w:marBottom w:val="0"/>
      <w:divBdr>
        <w:top w:val="none" w:sz="0" w:space="0" w:color="auto"/>
        <w:left w:val="none" w:sz="0" w:space="0" w:color="auto"/>
        <w:bottom w:val="none" w:sz="0" w:space="0" w:color="auto"/>
        <w:right w:val="none" w:sz="0" w:space="0" w:color="auto"/>
      </w:divBdr>
    </w:div>
    <w:div w:id="406463903">
      <w:bodyDiv w:val="1"/>
      <w:marLeft w:val="0"/>
      <w:marRight w:val="0"/>
      <w:marTop w:val="0"/>
      <w:marBottom w:val="0"/>
      <w:divBdr>
        <w:top w:val="none" w:sz="0" w:space="0" w:color="auto"/>
        <w:left w:val="none" w:sz="0" w:space="0" w:color="auto"/>
        <w:bottom w:val="none" w:sz="0" w:space="0" w:color="auto"/>
        <w:right w:val="none" w:sz="0" w:space="0" w:color="auto"/>
      </w:divBdr>
    </w:div>
    <w:div w:id="448161172">
      <w:bodyDiv w:val="1"/>
      <w:marLeft w:val="0"/>
      <w:marRight w:val="0"/>
      <w:marTop w:val="0"/>
      <w:marBottom w:val="0"/>
      <w:divBdr>
        <w:top w:val="none" w:sz="0" w:space="0" w:color="auto"/>
        <w:left w:val="none" w:sz="0" w:space="0" w:color="auto"/>
        <w:bottom w:val="none" w:sz="0" w:space="0" w:color="auto"/>
        <w:right w:val="none" w:sz="0" w:space="0" w:color="auto"/>
      </w:divBdr>
    </w:div>
    <w:div w:id="452943862">
      <w:bodyDiv w:val="1"/>
      <w:marLeft w:val="0"/>
      <w:marRight w:val="0"/>
      <w:marTop w:val="0"/>
      <w:marBottom w:val="0"/>
      <w:divBdr>
        <w:top w:val="none" w:sz="0" w:space="0" w:color="auto"/>
        <w:left w:val="none" w:sz="0" w:space="0" w:color="auto"/>
        <w:bottom w:val="none" w:sz="0" w:space="0" w:color="auto"/>
        <w:right w:val="none" w:sz="0" w:space="0" w:color="auto"/>
      </w:divBdr>
    </w:div>
    <w:div w:id="467673388">
      <w:bodyDiv w:val="1"/>
      <w:marLeft w:val="0"/>
      <w:marRight w:val="0"/>
      <w:marTop w:val="0"/>
      <w:marBottom w:val="0"/>
      <w:divBdr>
        <w:top w:val="none" w:sz="0" w:space="0" w:color="auto"/>
        <w:left w:val="none" w:sz="0" w:space="0" w:color="auto"/>
        <w:bottom w:val="none" w:sz="0" w:space="0" w:color="auto"/>
        <w:right w:val="none" w:sz="0" w:space="0" w:color="auto"/>
      </w:divBdr>
      <w:divsChild>
        <w:div w:id="155538233">
          <w:marLeft w:val="0"/>
          <w:marRight w:val="0"/>
          <w:marTop w:val="0"/>
          <w:marBottom w:val="0"/>
          <w:divBdr>
            <w:top w:val="none" w:sz="0" w:space="0" w:color="auto"/>
            <w:left w:val="none" w:sz="0" w:space="0" w:color="auto"/>
            <w:bottom w:val="none" w:sz="0" w:space="0" w:color="auto"/>
            <w:right w:val="none" w:sz="0" w:space="0" w:color="auto"/>
          </w:divBdr>
        </w:div>
        <w:div w:id="1508713341">
          <w:marLeft w:val="0"/>
          <w:marRight w:val="0"/>
          <w:marTop w:val="0"/>
          <w:marBottom w:val="0"/>
          <w:divBdr>
            <w:top w:val="none" w:sz="0" w:space="0" w:color="auto"/>
            <w:left w:val="none" w:sz="0" w:space="0" w:color="auto"/>
            <w:bottom w:val="none" w:sz="0" w:space="0" w:color="auto"/>
            <w:right w:val="none" w:sz="0" w:space="0" w:color="auto"/>
          </w:divBdr>
        </w:div>
        <w:div w:id="1969895862">
          <w:marLeft w:val="0"/>
          <w:marRight w:val="0"/>
          <w:marTop w:val="0"/>
          <w:marBottom w:val="0"/>
          <w:divBdr>
            <w:top w:val="none" w:sz="0" w:space="0" w:color="auto"/>
            <w:left w:val="none" w:sz="0" w:space="0" w:color="auto"/>
            <w:bottom w:val="none" w:sz="0" w:space="0" w:color="auto"/>
            <w:right w:val="none" w:sz="0" w:space="0" w:color="auto"/>
          </w:divBdr>
        </w:div>
        <w:div w:id="2069378825">
          <w:marLeft w:val="0"/>
          <w:marRight w:val="0"/>
          <w:marTop w:val="0"/>
          <w:marBottom w:val="0"/>
          <w:divBdr>
            <w:top w:val="none" w:sz="0" w:space="0" w:color="auto"/>
            <w:left w:val="none" w:sz="0" w:space="0" w:color="auto"/>
            <w:bottom w:val="none" w:sz="0" w:space="0" w:color="auto"/>
            <w:right w:val="none" w:sz="0" w:space="0" w:color="auto"/>
          </w:divBdr>
        </w:div>
      </w:divsChild>
    </w:div>
    <w:div w:id="474570651">
      <w:bodyDiv w:val="1"/>
      <w:marLeft w:val="0"/>
      <w:marRight w:val="0"/>
      <w:marTop w:val="0"/>
      <w:marBottom w:val="0"/>
      <w:divBdr>
        <w:top w:val="none" w:sz="0" w:space="0" w:color="auto"/>
        <w:left w:val="none" w:sz="0" w:space="0" w:color="auto"/>
        <w:bottom w:val="none" w:sz="0" w:space="0" w:color="auto"/>
        <w:right w:val="none" w:sz="0" w:space="0" w:color="auto"/>
      </w:divBdr>
    </w:div>
    <w:div w:id="532380779">
      <w:bodyDiv w:val="1"/>
      <w:marLeft w:val="0"/>
      <w:marRight w:val="0"/>
      <w:marTop w:val="0"/>
      <w:marBottom w:val="0"/>
      <w:divBdr>
        <w:top w:val="none" w:sz="0" w:space="0" w:color="auto"/>
        <w:left w:val="none" w:sz="0" w:space="0" w:color="auto"/>
        <w:bottom w:val="none" w:sz="0" w:space="0" w:color="auto"/>
        <w:right w:val="none" w:sz="0" w:space="0" w:color="auto"/>
      </w:divBdr>
    </w:div>
    <w:div w:id="545723664">
      <w:bodyDiv w:val="1"/>
      <w:marLeft w:val="0"/>
      <w:marRight w:val="0"/>
      <w:marTop w:val="0"/>
      <w:marBottom w:val="0"/>
      <w:divBdr>
        <w:top w:val="none" w:sz="0" w:space="0" w:color="auto"/>
        <w:left w:val="none" w:sz="0" w:space="0" w:color="auto"/>
        <w:bottom w:val="none" w:sz="0" w:space="0" w:color="auto"/>
        <w:right w:val="none" w:sz="0" w:space="0" w:color="auto"/>
      </w:divBdr>
    </w:div>
    <w:div w:id="620770316">
      <w:bodyDiv w:val="1"/>
      <w:marLeft w:val="0"/>
      <w:marRight w:val="0"/>
      <w:marTop w:val="0"/>
      <w:marBottom w:val="0"/>
      <w:divBdr>
        <w:top w:val="none" w:sz="0" w:space="0" w:color="auto"/>
        <w:left w:val="none" w:sz="0" w:space="0" w:color="auto"/>
        <w:bottom w:val="none" w:sz="0" w:space="0" w:color="auto"/>
        <w:right w:val="none" w:sz="0" w:space="0" w:color="auto"/>
      </w:divBdr>
    </w:div>
    <w:div w:id="684524851">
      <w:bodyDiv w:val="1"/>
      <w:marLeft w:val="0"/>
      <w:marRight w:val="0"/>
      <w:marTop w:val="0"/>
      <w:marBottom w:val="0"/>
      <w:divBdr>
        <w:top w:val="none" w:sz="0" w:space="0" w:color="auto"/>
        <w:left w:val="none" w:sz="0" w:space="0" w:color="auto"/>
        <w:bottom w:val="none" w:sz="0" w:space="0" w:color="auto"/>
        <w:right w:val="none" w:sz="0" w:space="0" w:color="auto"/>
      </w:divBdr>
    </w:div>
    <w:div w:id="732580447">
      <w:bodyDiv w:val="1"/>
      <w:marLeft w:val="0"/>
      <w:marRight w:val="0"/>
      <w:marTop w:val="0"/>
      <w:marBottom w:val="0"/>
      <w:divBdr>
        <w:top w:val="none" w:sz="0" w:space="0" w:color="auto"/>
        <w:left w:val="none" w:sz="0" w:space="0" w:color="auto"/>
        <w:bottom w:val="none" w:sz="0" w:space="0" w:color="auto"/>
        <w:right w:val="none" w:sz="0" w:space="0" w:color="auto"/>
      </w:divBdr>
    </w:div>
    <w:div w:id="898521490">
      <w:bodyDiv w:val="1"/>
      <w:marLeft w:val="0"/>
      <w:marRight w:val="0"/>
      <w:marTop w:val="0"/>
      <w:marBottom w:val="0"/>
      <w:divBdr>
        <w:top w:val="none" w:sz="0" w:space="0" w:color="auto"/>
        <w:left w:val="none" w:sz="0" w:space="0" w:color="auto"/>
        <w:bottom w:val="none" w:sz="0" w:space="0" w:color="auto"/>
        <w:right w:val="none" w:sz="0" w:space="0" w:color="auto"/>
      </w:divBdr>
      <w:divsChild>
        <w:div w:id="257715405">
          <w:marLeft w:val="274"/>
          <w:marRight w:val="0"/>
          <w:marTop w:val="0"/>
          <w:marBottom w:val="0"/>
          <w:divBdr>
            <w:top w:val="none" w:sz="0" w:space="0" w:color="auto"/>
            <w:left w:val="none" w:sz="0" w:space="0" w:color="auto"/>
            <w:bottom w:val="none" w:sz="0" w:space="0" w:color="auto"/>
            <w:right w:val="none" w:sz="0" w:space="0" w:color="auto"/>
          </w:divBdr>
        </w:div>
        <w:div w:id="497186189">
          <w:marLeft w:val="994"/>
          <w:marRight w:val="0"/>
          <w:marTop w:val="0"/>
          <w:marBottom w:val="0"/>
          <w:divBdr>
            <w:top w:val="none" w:sz="0" w:space="0" w:color="auto"/>
            <w:left w:val="none" w:sz="0" w:space="0" w:color="auto"/>
            <w:bottom w:val="none" w:sz="0" w:space="0" w:color="auto"/>
            <w:right w:val="none" w:sz="0" w:space="0" w:color="auto"/>
          </w:divBdr>
        </w:div>
        <w:div w:id="507183124">
          <w:marLeft w:val="274"/>
          <w:marRight w:val="0"/>
          <w:marTop w:val="0"/>
          <w:marBottom w:val="0"/>
          <w:divBdr>
            <w:top w:val="none" w:sz="0" w:space="0" w:color="auto"/>
            <w:left w:val="none" w:sz="0" w:space="0" w:color="auto"/>
            <w:bottom w:val="none" w:sz="0" w:space="0" w:color="auto"/>
            <w:right w:val="none" w:sz="0" w:space="0" w:color="auto"/>
          </w:divBdr>
        </w:div>
        <w:div w:id="532034531">
          <w:marLeft w:val="994"/>
          <w:marRight w:val="0"/>
          <w:marTop w:val="0"/>
          <w:marBottom w:val="0"/>
          <w:divBdr>
            <w:top w:val="none" w:sz="0" w:space="0" w:color="auto"/>
            <w:left w:val="none" w:sz="0" w:space="0" w:color="auto"/>
            <w:bottom w:val="none" w:sz="0" w:space="0" w:color="auto"/>
            <w:right w:val="none" w:sz="0" w:space="0" w:color="auto"/>
          </w:divBdr>
        </w:div>
        <w:div w:id="805010024">
          <w:marLeft w:val="274"/>
          <w:marRight w:val="0"/>
          <w:marTop w:val="0"/>
          <w:marBottom w:val="0"/>
          <w:divBdr>
            <w:top w:val="none" w:sz="0" w:space="0" w:color="auto"/>
            <w:left w:val="none" w:sz="0" w:space="0" w:color="auto"/>
            <w:bottom w:val="none" w:sz="0" w:space="0" w:color="auto"/>
            <w:right w:val="none" w:sz="0" w:space="0" w:color="auto"/>
          </w:divBdr>
        </w:div>
        <w:div w:id="1121336189">
          <w:marLeft w:val="274"/>
          <w:marRight w:val="0"/>
          <w:marTop w:val="0"/>
          <w:marBottom w:val="0"/>
          <w:divBdr>
            <w:top w:val="none" w:sz="0" w:space="0" w:color="auto"/>
            <w:left w:val="none" w:sz="0" w:space="0" w:color="auto"/>
            <w:bottom w:val="none" w:sz="0" w:space="0" w:color="auto"/>
            <w:right w:val="none" w:sz="0" w:space="0" w:color="auto"/>
          </w:divBdr>
        </w:div>
        <w:div w:id="1462840801">
          <w:marLeft w:val="994"/>
          <w:marRight w:val="0"/>
          <w:marTop w:val="0"/>
          <w:marBottom w:val="0"/>
          <w:divBdr>
            <w:top w:val="none" w:sz="0" w:space="0" w:color="auto"/>
            <w:left w:val="none" w:sz="0" w:space="0" w:color="auto"/>
            <w:bottom w:val="none" w:sz="0" w:space="0" w:color="auto"/>
            <w:right w:val="none" w:sz="0" w:space="0" w:color="auto"/>
          </w:divBdr>
        </w:div>
        <w:div w:id="1877505496">
          <w:marLeft w:val="994"/>
          <w:marRight w:val="0"/>
          <w:marTop w:val="0"/>
          <w:marBottom w:val="0"/>
          <w:divBdr>
            <w:top w:val="none" w:sz="0" w:space="0" w:color="auto"/>
            <w:left w:val="none" w:sz="0" w:space="0" w:color="auto"/>
            <w:bottom w:val="none" w:sz="0" w:space="0" w:color="auto"/>
            <w:right w:val="none" w:sz="0" w:space="0" w:color="auto"/>
          </w:divBdr>
        </w:div>
      </w:divsChild>
    </w:div>
    <w:div w:id="917250239">
      <w:bodyDiv w:val="1"/>
      <w:marLeft w:val="0"/>
      <w:marRight w:val="0"/>
      <w:marTop w:val="0"/>
      <w:marBottom w:val="0"/>
      <w:divBdr>
        <w:top w:val="none" w:sz="0" w:space="0" w:color="auto"/>
        <w:left w:val="none" w:sz="0" w:space="0" w:color="auto"/>
        <w:bottom w:val="none" w:sz="0" w:space="0" w:color="auto"/>
        <w:right w:val="none" w:sz="0" w:space="0" w:color="auto"/>
      </w:divBdr>
    </w:div>
    <w:div w:id="1075398704">
      <w:bodyDiv w:val="1"/>
      <w:marLeft w:val="0"/>
      <w:marRight w:val="0"/>
      <w:marTop w:val="0"/>
      <w:marBottom w:val="0"/>
      <w:divBdr>
        <w:top w:val="none" w:sz="0" w:space="0" w:color="auto"/>
        <w:left w:val="none" w:sz="0" w:space="0" w:color="auto"/>
        <w:bottom w:val="none" w:sz="0" w:space="0" w:color="auto"/>
        <w:right w:val="none" w:sz="0" w:space="0" w:color="auto"/>
      </w:divBdr>
    </w:div>
    <w:div w:id="1130513225">
      <w:bodyDiv w:val="1"/>
      <w:marLeft w:val="0"/>
      <w:marRight w:val="0"/>
      <w:marTop w:val="0"/>
      <w:marBottom w:val="0"/>
      <w:divBdr>
        <w:top w:val="none" w:sz="0" w:space="0" w:color="auto"/>
        <w:left w:val="none" w:sz="0" w:space="0" w:color="auto"/>
        <w:bottom w:val="none" w:sz="0" w:space="0" w:color="auto"/>
        <w:right w:val="none" w:sz="0" w:space="0" w:color="auto"/>
      </w:divBdr>
    </w:div>
    <w:div w:id="1183009400">
      <w:bodyDiv w:val="1"/>
      <w:marLeft w:val="0"/>
      <w:marRight w:val="0"/>
      <w:marTop w:val="0"/>
      <w:marBottom w:val="0"/>
      <w:divBdr>
        <w:top w:val="none" w:sz="0" w:space="0" w:color="auto"/>
        <w:left w:val="none" w:sz="0" w:space="0" w:color="auto"/>
        <w:bottom w:val="none" w:sz="0" w:space="0" w:color="auto"/>
        <w:right w:val="none" w:sz="0" w:space="0" w:color="auto"/>
      </w:divBdr>
    </w:div>
    <w:div w:id="1253276069">
      <w:bodyDiv w:val="1"/>
      <w:marLeft w:val="0"/>
      <w:marRight w:val="0"/>
      <w:marTop w:val="0"/>
      <w:marBottom w:val="0"/>
      <w:divBdr>
        <w:top w:val="none" w:sz="0" w:space="0" w:color="auto"/>
        <w:left w:val="none" w:sz="0" w:space="0" w:color="auto"/>
        <w:bottom w:val="none" w:sz="0" w:space="0" w:color="auto"/>
        <w:right w:val="none" w:sz="0" w:space="0" w:color="auto"/>
      </w:divBdr>
      <w:divsChild>
        <w:div w:id="1149635177">
          <w:marLeft w:val="0"/>
          <w:marRight w:val="0"/>
          <w:marTop w:val="0"/>
          <w:marBottom w:val="0"/>
          <w:divBdr>
            <w:top w:val="none" w:sz="0" w:space="0" w:color="auto"/>
            <w:left w:val="none" w:sz="0" w:space="0" w:color="auto"/>
            <w:bottom w:val="none" w:sz="0" w:space="0" w:color="auto"/>
            <w:right w:val="none" w:sz="0" w:space="0" w:color="auto"/>
          </w:divBdr>
        </w:div>
        <w:div w:id="1159614338">
          <w:marLeft w:val="0"/>
          <w:marRight w:val="0"/>
          <w:marTop w:val="0"/>
          <w:marBottom w:val="0"/>
          <w:divBdr>
            <w:top w:val="none" w:sz="0" w:space="0" w:color="auto"/>
            <w:left w:val="none" w:sz="0" w:space="0" w:color="auto"/>
            <w:bottom w:val="none" w:sz="0" w:space="0" w:color="auto"/>
            <w:right w:val="none" w:sz="0" w:space="0" w:color="auto"/>
          </w:divBdr>
        </w:div>
        <w:div w:id="1785535672">
          <w:marLeft w:val="0"/>
          <w:marRight w:val="0"/>
          <w:marTop w:val="0"/>
          <w:marBottom w:val="0"/>
          <w:divBdr>
            <w:top w:val="none" w:sz="0" w:space="0" w:color="auto"/>
            <w:left w:val="none" w:sz="0" w:space="0" w:color="auto"/>
            <w:bottom w:val="none" w:sz="0" w:space="0" w:color="auto"/>
            <w:right w:val="none" w:sz="0" w:space="0" w:color="auto"/>
          </w:divBdr>
        </w:div>
        <w:div w:id="1976832902">
          <w:marLeft w:val="0"/>
          <w:marRight w:val="0"/>
          <w:marTop w:val="0"/>
          <w:marBottom w:val="0"/>
          <w:divBdr>
            <w:top w:val="none" w:sz="0" w:space="0" w:color="auto"/>
            <w:left w:val="none" w:sz="0" w:space="0" w:color="auto"/>
            <w:bottom w:val="none" w:sz="0" w:space="0" w:color="auto"/>
            <w:right w:val="none" w:sz="0" w:space="0" w:color="auto"/>
          </w:divBdr>
        </w:div>
      </w:divsChild>
    </w:div>
    <w:div w:id="1271742225">
      <w:bodyDiv w:val="1"/>
      <w:marLeft w:val="0"/>
      <w:marRight w:val="0"/>
      <w:marTop w:val="0"/>
      <w:marBottom w:val="0"/>
      <w:divBdr>
        <w:top w:val="none" w:sz="0" w:space="0" w:color="auto"/>
        <w:left w:val="none" w:sz="0" w:space="0" w:color="auto"/>
        <w:bottom w:val="none" w:sz="0" w:space="0" w:color="auto"/>
        <w:right w:val="none" w:sz="0" w:space="0" w:color="auto"/>
      </w:divBdr>
    </w:div>
    <w:div w:id="1292396675">
      <w:bodyDiv w:val="1"/>
      <w:marLeft w:val="0"/>
      <w:marRight w:val="0"/>
      <w:marTop w:val="0"/>
      <w:marBottom w:val="0"/>
      <w:divBdr>
        <w:top w:val="none" w:sz="0" w:space="0" w:color="auto"/>
        <w:left w:val="none" w:sz="0" w:space="0" w:color="auto"/>
        <w:bottom w:val="none" w:sz="0" w:space="0" w:color="auto"/>
        <w:right w:val="none" w:sz="0" w:space="0" w:color="auto"/>
      </w:divBdr>
    </w:div>
    <w:div w:id="1415203575">
      <w:bodyDiv w:val="1"/>
      <w:marLeft w:val="0"/>
      <w:marRight w:val="0"/>
      <w:marTop w:val="0"/>
      <w:marBottom w:val="0"/>
      <w:divBdr>
        <w:top w:val="none" w:sz="0" w:space="0" w:color="auto"/>
        <w:left w:val="none" w:sz="0" w:space="0" w:color="auto"/>
        <w:bottom w:val="none" w:sz="0" w:space="0" w:color="auto"/>
        <w:right w:val="none" w:sz="0" w:space="0" w:color="auto"/>
      </w:divBdr>
    </w:div>
    <w:div w:id="1418818950">
      <w:bodyDiv w:val="1"/>
      <w:marLeft w:val="0"/>
      <w:marRight w:val="0"/>
      <w:marTop w:val="0"/>
      <w:marBottom w:val="0"/>
      <w:divBdr>
        <w:top w:val="none" w:sz="0" w:space="0" w:color="auto"/>
        <w:left w:val="none" w:sz="0" w:space="0" w:color="auto"/>
        <w:bottom w:val="none" w:sz="0" w:space="0" w:color="auto"/>
        <w:right w:val="none" w:sz="0" w:space="0" w:color="auto"/>
      </w:divBdr>
    </w:div>
    <w:div w:id="1433084358">
      <w:bodyDiv w:val="1"/>
      <w:marLeft w:val="0"/>
      <w:marRight w:val="0"/>
      <w:marTop w:val="0"/>
      <w:marBottom w:val="0"/>
      <w:divBdr>
        <w:top w:val="none" w:sz="0" w:space="0" w:color="auto"/>
        <w:left w:val="none" w:sz="0" w:space="0" w:color="auto"/>
        <w:bottom w:val="none" w:sz="0" w:space="0" w:color="auto"/>
        <w:right w:val="none" w:sz="0" w:space="0" w:color="auto"/>
      </w:divBdr>
    </w:div>
    <w:div w:id="1466507283">
      <w:bodyDiv w:val="1"/>
      <w:marLeft w:val="0"/>
      <w:marRight w:val="0"/>
      <w:marTop w:val="0"/>
      <w:marBottom w:val="0"/>
      <w:divBdr>
        <w:top w:val="none" w:sz="0" w:space="0" w:color="auto"/>
        <w:left w:val="none" w:sz="0" w:space="0" w:color="auto"/>
        <w:bottom w:val="none" w:sz="0" w:space="0" w:color="auto"/>
        <w:right w:val="none" w:sz="0" w:space="0" w:color="auto"/>
      </w:divBdr>
    </w:div>
    <w:div w:id="1505632403">
      <w:bodyDiv w:val="1"/>
      <w:marLeft w:val="0"/>
      <w:marRight w:val="0"/>
      <w:marTop w:val="0"/>
      <w:marBottom w:val="0"/>
      <w:divBdr>
        <w:top w:val="none" w:sz="0" w:space="0" w:color="auto"/>
        <w:left w:val="none" w:sz="0" w:space="0" w:color="auto"/>
        <w:bottom w:val="none" w:sz="0" w:space="0" w:color="auto"/>
        <w:right w:val="none" w:sz="0" w:space="0" w:color="auto"/>
      </w:divBdr>
    </w:div>
    <w:div w:id="1543786142">
      <w:bodyDiv w:val="1"/>
      <w:marLeft w:val="0"/>
      <w:marRight w:val="0"/>
      <w:marTop w:val="0"/>
      <w:marBottom w:val="0"/>
      <w:divBdr>
        <w:top w:val="none" w:sz="0" w:space="0" w:color="auto"/>
        <w:left w:val="none" w:sz="0" w:space="0" w:color="auto"/>
        <w:bottom w:val="none" w:sz="0" w:space="0" w:color="auto"/>
        <w:right w:val="none" w:sz="0" w:space="0" w:color="auto"/>
      </w:divBdr>
    </w:div>
    <w:div w:id="1589272255">
      <w:bodyDiv w:val="1"/>
      <w:marLeft w:val="0"/>
      <w:marRight w:val="0"/>
      <w:marTop w:val="0"/>
      <w:marBottom w:val="0"/>
      <w:divBdr>
        <w:top w:val="none" w:sz="0" w:space="0" w:color="auto"/>
        <w:left w:val="none" w:sz="0" w:space="0" w:color="auto"/>
        <w:bottom w:val="none" w:sz="0" w:space="0" w:color="auto"/>
        <w:right w:val="none" w:sz="0" w:space="0" w:color="auto"/>
      </w:divBdr>
      <w:divsChild>
        <w:div w:id="1074426036">
          <w:marLeft w:val="0"/>
          <w:marRight w:val="0"/>
          <w:marTop w:val="0"/>
          <w:marBottom w:val="0"/>
          <w:divBdr>
            <w:top w:val="none" w:sz="0" w:space="0" w:color="auto"/>
            <w:left w:val="none" w:sz="0" w:space="0" w:color="auto"/>
            <w:bottom w:val="none" w:sz="0" w:space="0" w:color="auto"/>
            <w:right w:val="none" w:sz="0" w:space="0" w:color="auto"/>
          </w:divBdr>
        </w:div>
        <w:div w:id="1769806825">
          <w:marLeft w:val="0"/>
          <w:marRight w:val="0"/>
          <w:marTop w:val="0"/>
          <w:marBottom w:val="0"/>
          <w:divBdr>
            <w:top w:val="none" w:sz="0" w:space="0" w:color="auto"/>
            <w:left w:val="none" w:sz="0" w:space="0" w:color="auto"/>
            <w:bottom w:val="none" w:sz="0" w:space="0" w:color="auto"/>
            <w:right w:val="none" w:sz="0" w:space="0" w:color="auto"/>
          </w:divBdr>
        </w:div>
      </w:divsChild>
    </w:div>
    <w:div w:id="1601570857">
      <w:bodyDiv w:val="1"/>
      <w:marLeft w:val="0"/>
      <w:marRight w:val="0"/>
      <w:marTop w:val="0"/>
      <w:marBottom w:val="0"/>
      <w:divBdr>
        <w:top w:val="none" w:sz="0" w:space="0" w:color="auto"/>
        <w:left w:val="none" w:sz="0" w:space="0" w:color="auto"/>
        <w:bottom w:val="none" w:sz="0" w:space="0" w:color="auto"/>
        <w:right w:val="none" w:sz="0" w:space="0" w:color="auto"/>
      </w:divBdr>
      <w:divsChild>
        <w:div w:id="1365011439">
          <w:marLeft w:val="274"/>
          <w:marRight w:val="0"/>
          <w:marTop w:val="0"/>
          <w:marBottom w:val="0"/>
          <w:divBdr>
            <w:top w:val="none" w:sz="0" w:space="0" w:color="auto"/>
            <w:left w:val="none" w:sz="0" w:space="0" w:color="auto"/>
            <w:bottom w:val="none" w:sz="0" w:space="0" w:color="auto"/>
            <w:right w:val="none" w:sz="0" w:space="0" w:color="auto"/>
          </w:divBdr>
        </w:div>
      </w:divsChild>
    </w:div>
    <w:div w:id="1607926020">
      <w:bodyDiv w:val="1"/>
      <w:marLeft w:val="0"/>
      <w:marRight w:val="0"/>
      <w:marTop w:val="0"/>
      <w:marBottom w:val="0"/>
      <w:divBdr>
        <w:top w:val="none" w:sz="0" w:space="0" w:color="auto"/>
        <w:left w:val="none" w:sz="0" w:space="0" w:color="auto"/>
        <w:bottom w:val="none" w:sz="0" w:space="0" w:color="auto"/>
        <w:right w:val="none" w:sz="0" w:space="0" w:color="auto"/>
      </w:divBdr>
    </w:div>
    <w:div w:id="1645238470">
      <w:bodyDiv w:val="1"/>
      <w:marLeft w:val="0"/>
      <w:marRight w:val="0"/>
      <w:marTop w:val="0"/>
      <w:marBottom w:val="0"/>
      <w:divBdr>
        <w:top w:val="none" w:sz="0" w:space="0" w:color="auto"/>
        <w:left w:val="none" w:sz="0" w:space="0" w:color="auto"/>
        <w:bottom w:val="none" w:sz="0" w:space="0" w:color="auto"/>
        <w:right w:val="none" w:sz="0" w:space="0" w:color="auto"/>
      </w:divBdr>
    </w:div>
    <w:div w:id="1663434893">
      <w:bodyDiv w:val="1"/>
      <w:marLeft w:val="0"/>
      <w:marRight w:val="0"/>
      <w:marTop w:val="0"/>
      <w:marBottom w:val="0"/>
      <w:divBdr>
        <w:top w:val="none" w:sz="0" w:space="0" w:color="auto"/>
        <w:left w:val="none" w:sz="0" w:space="0" w:color="auto"/>
        <w:bottom w:val="none" w:sz="0" w:space="0" w:color="auto"/>
        <w:right w:val="none" w:sz="0" w:space="0" w:color="auto"/>
      </w:divBdr>
    </w:div>
    <w:div w:id="1716201925">
      <w:bodyDiv w:val="1"/>
      <w:marLeft w:val="0"/>
      <w:marRight w:val="0"/>
      <w:marTop w:val="0"/>
      <w:marBottom w:val="0"/>
      <w:divBdr>
        <w:top w:val="none" w:sz="0" w:space="0" w:color="auto"/>
        <w:left w:val="none" w:sz="0" w:space="0" w:color="auto"/>
        <w:bottom w:val="none" w:sz="0" w:space="0" w:color="auto"/>
        <w:right w:val="none" w:sz="0" w:space="0" w:color="auto"/>
      </w:divBdr>
    </w:div>
    <w:div w:id="1804617387">
      <w:bodyDiv w:val="1"/>
      <w:marLeft w:val="0"/>
      <w:marRight w:val="0"/>
      <w:marTop w:val="0"/>
      <w:marBottom w:val="0"/>
      <w:divBdr>
        <w:top w:val="none" w:sz="0" w:space="0" w:color="auto"/>
        <w:left w:val="none" w:sz="0" w:space="0" w:color="auto"/>
        <w:bottom w:val="none" w:sz="0" w:space="0" w:color="auto"/>
        <w:right w:val="none" w:sz="0" w:space="0" w:color="auto"/>
      </w:divBdr>
    </w:div>
    <w:div w:id="1809005967">
      <w:bodyDiv w:val="1"/>
      <w:marLeft w:val="0"/>
      <w:marRight w:val="0"/>
      <w:marTop w:val="0"/>
      <w:marBottom w:val="0"/>
      <w:divBdr>
        <w:top w:val="none" w:sz="0" w:space="0" w:color="auto"/>
        <w:left w:val="none" w:sz="0" w:space="0" w:color="auto"/>
        <w:bottom w:val="none" w:sz="0" w:space="0" w:color="auto"/>
        <w:right w:val="none" w:sz="0" w:space="0" w:color="auto"/>
      </w:divBdr>
    </w:div>
    <w:div w:id="1826043737">
      <w:bodyDiv w:val="1"/>
      <w:marLeft w:val="0"/>
      <w:marRight w:val="0"/>
      <w:marTop w:val="0"/>
      <w:marBottom w:val="0"/>
      <w:divBdr>
        <w:top w:val="none" w:sz="0" w:space="0" w:color="auto"/>
        <w:left w:val="none" w:sz="0" w:space="0" w:color="auto"/>
        <w:bottom w:val="none" w:sz="0" w:space="0" w:color="auto"/>
        <w:right w:val="none" w:sz="0" w:space="0" w:color="auto"/>
      </w:divBdr>
      <w:divsChild>
        <w:div w:id="1121533765">
          <w:marLeft w:val="1267"/>
          <w:marRight w:val="0"/>
          <w:marTop w:val="120"/>
          <w:marBottom w:val="120"/>
          <w:divBdr>
            <w:top w:val="none" w:sz="0" w:space="0" w:color="auto"/>
            <w:left w:val="none" w:sz="0" w:space="0" w:color="auto"/>
            <w:bottom w:val="none" w:sz="0" w:space="0" w:color="auto"/>
            <w:right w:val="none" w:sz="0" w:space="0" w:color="auto"/>
          </w:divBdr>
        </w:div>
        <w:div w:id="1155149163">
          <w:marLeft w:val="1267"/>
          <w:marRight w:val="0"/>
          <w:marTop w:val="120"/>
          <w:marBottom w:val="120"/>
          <w:divBdr>
            <w:top w:val="none" w:sz="0" w:space="0" w:color="auto"/>
            <w:left w:val="none" w:sz="0" w:space="0" w:color="auto"/>
            <w:bottom w:val="none" w:sz="0" w:space="0" w:color="auto"/>
            <w:right w:val="none" w:sz="0" w:space="0" w:color="auto"/>
          </w:divBdr>
        </w:div>
        <w:div w:id="1168248165">
          <w:marLeft w:val="1267"/>
          <w:marRight w:val="0"/>
          <w:marTop w:val="120"/>
          <w:marBottom w:val="120"/>
          <w:divBdr>
            <w:top w:val="none" w:sz="0" w:space="0" w:color="auto"/>
            <w:left w:val="none" w:sz="0" w:space="0" w:color="auto"/>
            <w:bottom w:val="none" w:sz="0" w:space="0" w:color="auto"/>
            <w:right w:val="none" w:sz="0" w:space="0" w:color="auto"/>
          </w:divBdr>
        </w:div>
        <w:div w:id="1744378333">
          <w:marLeft w:val="1267"/>
          <w:marRight w:val="0"/>
          <w:marTop w:val="120"/>
          <w:marBottom w:val="120"/>
          <w:divBdr>
            <w:top w:val="none" w:sz="0" w:space="0" w:color="auto"/>
            <w:left w:val="none" w:sz="0" w:space="0" w:color="auto"/>
            <w:bottom w:val="none" w:sz="0" w:space="0" w:color="auto"/>
            <w:right w:val="none" w:sz="0" w:space="0" w:color="auto"/>
          </w:divBdr>
        </w:div>
        <w:div w:id="1938367463">
          <w:marLeft w:val="1267"/>
          <w:marRight w:val="0"/>
          <w:marTop w:val="120"/>
          <w:marBottom w:val="120"/>
          <w:divBdr>
            <w:top w:val="none" w:sz="0" w:space="0" w:color="auto"/>
            <w:left w:val="none" w:sz="0" w:space="0" w:color="auto"/>
            <w:bottom w:val="none" w:sz="0" w:space="0" w:color="auto"/>
            <w:right w:val="none" w:sz="0" w:space="0" w:color="auto"/>
          </w:divBdr>
        </w:div>
        <w:div w:id="1976837717">
          <w:marLeft w:val="547"/>
          <w:marRight w:val="0"/>
          <w:marTop w:val="120"/>
          <w:marBottom w:val="120"/>
          <w:divBdr>
            <w:top w:val="none" w:sz="0" w:space="0" w:color="auto"/>
            <w:left w:val="none" w:sz="0" w:space="0" w:color="auto"/>
            <w:bottom w:val="none" w:sz="0" w:space="0" w:color="auto"/>
            <w:right w:val="none" w:sz="0" w:space="0" w:color="auto"/>
          </w:divBdr>
        </w:div>
      </w:divsChild>
    </w:div>
    <w:div w:id="1865635463">
      <w:bodyDiv w:val="1"/>
      <w:marLeft w:val="0"/>
      <w:marRight w:val="0"/>
      <w:marTop w:val="0"/>
      <w:marBottom w:val="0"/>
      <w:divBdr>
        <w:top w:val="none" w:sz="0" w:space="0" w:color="auto"/>
        <w:left w:val="none" w:sz="0" w:space="0" w:color="auto"/>
        <w:bottom w:val="none" w:sz="0" w:space="0" w:color="auto"/>
        <w:right w:val="none" w:sz="0" w:space="0" w:color="auto"/>
      </w:divBdr>
      <w:divsChild>
        <w:div w:id="1193957255">
          <w:marLeft w:val="0"/>
          <w:marRight w:val="0"/>
          <w:marTop w:val="0"/>
          <w:marBottom w:val="0"/>
          <w:divBdr>
            <w:top w:val="none" w:sz="0" w:space="0" w:color="auto"/>
            <w:left w:val="none" w:sz="0" w:space="0" w:color="auto"/>
            <w:bottom w:val="none" w:sz="0" w:space="0" w:color="auto"/>
            <w:right w:val="none" w:sz="0" w:space="0" w:color="auto"/>
          </w:divBdr>
        </w:div>
        <w:div w:id="1847012858">
          <w:marLeft w:val="0"/>
          <w:marRight w:val="0"/>
          <w:marTop w:val="0"/>
          <w:marBottom w:val="0"/>
          <w:divBdr>
            <w:top w:val="none" w:sz="0" w:space="0" w:color="auto"/>
            <w:left w:val="none" w:sz="0" w:space="0" w:color="auto"/>
            <w:bottom w:val="none" w:sz="0" w:space="0" w:color="auto"/>
            <w:right w:val="none" w:sz="0" w:space="0" w:color="auto"/>
          </w:divBdr>
        </w:div>
      </w:divsChild>
    </w:div>
    <w:div w:id="1881429077">
      <w:bodyDiv w:val="1"/>
      <w:marLeft w:val="0"/>
      <w:marRight w:val="0"/>
      <w:marTop w:val="0"/>
      <w:marBottom w:val="0"/>
      <w:divBdr>
        <w:top w:val="none" w:sz="0" w:space="0" w:color="auto"/>
        <w:left w:val="none" w:sz="0" w:space="0" w:color="auto"/>
        <w:bottom w:val="none" w:sz="0" w:space="0" w:color="auto"/>
        <w:right w:val="none" w:sz="0" w:space="0" w:color="auto"/>
      </w:divBdr>
    </w:div>
    <w:div w:id="1886941062">
      <w:bodyDiv w:val="1"/>
      <w:marLeft w:val="0"/>
      <w:marRight w:val="0"/>
      <w:marTop w:val="0"/>
      <w:marBottom w:val="0"/>
      <w:divBdr>
        <w:top w:val="none" w:sz="0" w:space="0" w:color="auto"/>
        <w:left w:val="none" w:sz="0" w:space="0" w:color="auto"/>
        <w:bottom w:val="none" w:sz="0" w:space="0" w:color="auto"/>
        <w:right w:val="none" w:sz="0" w:space="0" w:color="auto"/>
      </w:divBdr>
    </w:div>
    <w:div w:id="1905604136">
      <w:bodyDiv w:val="1"/>
      <w:marLeft w:val="0"/>
      <w:marRight w:val="0"/>
      <w:marTop w:val="0"/>
      <w:marBottom w:val="0"/>
      <w:divBdr>
        <w:top w:val="none" w:sz="0" w:space="0" w:color="auto"/>
        <w:left w:val="none" w:sz="0" w:space="0" w:color="auto"/>
        <w:bottom w:val="none" w:sz="0" w:space="0" w:color="auto"/>
        <w:right w:val="none" w:sz="0" w:space="0" w:color="auto"/>
      </w:divBdr>
    </w:div>
    <w:div w:id="2051416930">
      <w:bodyDiv w:val="1"/>
      <w:marLeft w:val="0"/>
      <w:marRight w:val="0"/>
      <w:marTop w:val="0"/>
      <w:marBottom w:val="0"/>
      <w:divBdr>
        <w:top w:val="none" w:sz="0" w:space="0" w:color="auto"/>
        <w:left w:val="none" w:sz="0" w:space="0" w:color="auto"/>
        <w:bottom w:val="none" w:sz="0" w:space="0" w:color="auto"/>
        <w:right w:val="none" w:sz="0" w:space="0" w:color="auto"/>
      </w:divBdr>
      <w:divsChild>
        <w:div w:id="450052174">
          <w:marLeft w:val="1440"/>
          <w:marRight w:val="0"/>
          <w:marTop w:val="120"/>
          <w:marBottom w:val="120"/>
          <w:divBdr>
            <w:top w:val="none" w:sz="0" w:space="0" w:color="auto"/>
            <w:left w:val="none" w:sz="0" w:space="0" w:color="auto"/>
            <w:bottom w:val="none" w:sz="0" w:space="0" w:color="auto"/>
            <w:right w:val="none" w:sz="0" w:space="0" w:color="auto"/>
          </w:divBdr>
        </w:div>
        <w:div w:id="1547109777">
          <w:marLeft w:val="720"/>
          <w:marRight w:val="0"/>
          <w:marTop w:val="120"/>
          <w:marBottom w:val="120"/>
          <w:divBdr>
            <w:top w:val="none" w:sz="0" w:space="0" w:color="auto"/>
            <w:left w:val="none" w:sz="0" w:space="0" w:color="auto"/>
            <w:bottom w:val="none" w:sz="0" w:space="0" w:color="auto"/>
            <w:right w:val="none" w:sz="0" w:space="0" w:color="auto"/>
          </w:divBdr>
        </w:div>
        <w:div w:id="1980915146">
          <w:marLeft w:val="144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chart" Target="charts/chart6.xml"/><Relationship Id="rId39" Type="http://schemas.openxmlformats.org/officeDocument/2006/relationships/chart" Target="charts/chart12.xml"/><Relationship Id="rId21" Type="http://schemas.openxmlformats.org/officeDocument/2006/relationships/chart" Target="charts/chart4.xml"/><Relationship Id="rId34" Type="http://schemas.openxmlformats.org/officeDocument/2006/relationships/hyperlink" Target="https://www.ndis.gov.au/about-us/policies/privacy"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chart" Target="charts/chart3.xml"/><Relationship Id="rId29" Type="http://schemas.openxmlformats.org/officeDocument/2006/relationships/chart" Target="charts/chart9.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4/relationships/chartEx" Target="charts/chartEx1.xml"/><Relationship Id="rId32" Type="http://schemas.openxmlformats.org/officeDocument/2006/relationships/hyperlink" Target="https://www.ndis.gov.au/about-us/policies/privacy" TargetMode="External"/><Relationship Id="rId37" Type="http://schemas.openxmlformats.org/officeDocument/2006/relationships/hyperlink" Target="mailto:IndependentExpertReview@ndis.gov.au" TargetMode="External"/><Relationship Id="rId40" Type="http://schemas.openxmlformats.org/officeDocument/2006/relationships/chart" Target="charts/chart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chart" Target="charts/chart8.xml"/><Relationship Id="rId36" Type="http://schemas.openxmlformats.org/officeDocument/2006/relationships/hyperlink" Target="http://www.ndis.gov.au/privacy" TargetMode="Externa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1.xm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hart" Target="charts/chart5.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s://www.legislation.gov.au/Details/C2014C00683"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6.png"/><Relationship Id="rId33" Type="http://schemas.openxmlformats.org/officeDocument/2006/relationships/hyperlink" Target="https://www.ndis.gov.au/about-us/policies/privacy" TargetMode="External"/><Relationship Id="rId38" Type="http://schemas.openxmlformats.org/officeDocument/2006/relationships/hyperlink" Target="https://www.ndis.gov.au/contact/feedback-and-complain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us01.safelinks.protection.outlook.com/?url=https%3A%2F%2Fwww.austlii.edu.au%2Fcgi-bin%2Fviewdoc%2Fau%2Flegis%2Fcth%2Fconsol_act%2Faata1975323%2Fs18b.html&amp;data=05%7C01%7CArlena.Barton2%40ndis.gov.au%7C7a0205413d864c7b34a708db838bfa7f%7Ccd778b65752d454a87cfb9990fe58993%7C0%7C0%7C638248409455562178%7CUnknown%7CTWFpbGZsb3d8eyJWIjoiMC4wLjAwMDAiLCJQIjoiV2luMzIiLCJBTiI6Ik1haWwiLCJXVCI6Mn0%3D%7C3000%7C%7C%7C&amp;sdata=RI3IXAEvjXnT5iDrVI44S6a7Xd2V6fcMrShEHr0eaog%3D&amp;reserved=0" TargetMode="External"/><Relationship Id="rId3" Type="http://schemas.openxmlformats.org/officeDocument/2006/relationships/hyperlink" Target="https://www.nhmrc.gov.au/about-us/resources/ethical-considerations-quality-assurance-and-evaluation-activities" TargetMode="External"/><Relationship Id="rId7" Type="http://schemas.openxmlformats.org/officeDocument/2006/relationships/hyperlink" Target="https://aus01.safelinks.protection.outlook.com/?url=https%3A%2F%2Fwww.austlii.edu.au%2Fcgi-bin%2Fviewdoc%2Fau%2Flegis%2Fcth%2Fconsol_act%2Fndisa2013341%2Findex.html%23p5&amp;data=05%7C01%7CArlena.Barton2%40ndis.gov.au%7C7a0205413d864c7b34a708db838bfa7f%7Ccd778b65752d454a87cfb9990fe58993%7C0%7C0%7C638248409455562178%7CUnknown%7CTWFpbGZsb3d8eyJWIjoiMC4wLjAwMDAiLCJQIjoiV2luMzIiLCJBTiI6Ik1haWwiLCJXVCI6Mn0%3D%7C3000%7C%7C%7C&amp;sdata=4IZsVrtE2IHk%2F09m5VsVfl5RvYC%2FhLzzJwOYnP%2F6sbU%3D&amp;reserved=0" TargetMode="External"/><Relationship Id="rId2" Type="http://schemas.openxmlformats.org/officeDocument/2006/relationships/hyperlink" Target="https://www.dss.gov.au/disability-and-carers-programs-services-for-people-with-disability-ndis-appeals/interim-report-on-long-term-options-for-dispute-resolution-under-the-national-disability-insurance-scheme" TargetMode="External"/><Relationship Id="rId1" Type="http://schemas.openxmlformats.org/officeDocument/2006/relationships/hyperlink" Target="https://www.ndis.gov.au/news/8525-independent-expert-review-oversight-committee-communique-november-2022" TargetMode="External"/><Relationship Id="rId6" Type="http://schemas.openxmlformats.org/officeDocument/2006/relationships/hyperlink" Target="https://aus01.safelinks.protection.outlook.com/?url=https%3A%2F%2Fwww.austlii.edu.au%2Fcgi-bin%2Fviewdoc%2Fau%2Flegis%2Fcth%2Fconsol_act%2Faata1975323%2F&amp;data=05%7C01%7CArlena.Barton2%40ndis.gov.au%7C7a0205413d864c7b34a708db838bfa7f%7Ccd778b65752d454a87cfb9990fe58993%7C0%7C0%7C638248409455562178%7CUnknown%7CTWFpbGZsb3d8eyJWIjoiMC4wLjAwMDAiLCJQIjoiV2luMzIiLCJBTiI6Ik1haWwiLCJXVCI6Mn0%3D%7C3000%7C%7C%7C&amp;sdata=P1i%2FPH3AKk6Ebo0xhlPUVGAoIBQRY%2FdYviyn31vESXM%3D&amp;reserved=0" TargetMode="External"/><Relationship Id="rId5" Type="http://schemas.openxmlformats.org/officeDocument/2006/relationships/hyperlink" Target="https://aus01.safelinks.protection.outlook.com/?url=https%3A%2F%2Fwww.austlii.edu.au%2Fcgi-bin%2Fviewdoc%2Fau%2Flegis%2Fcth%2Fconsol_act%2Faata1975323%2F&amp;data=05%7C01%7CArlena.Barton2%40ndis.gov.au%7C7a0205413d864c7b34a708db838bfa7f%7Ccd778b65752d454a87cfb9990fe58993%7C0%7C0%7C638248409455562178%7CUnknown%7CTWFpbGZsb3d8eyJWIjoiMC4wLjAwMDAiLCJQIjoiV2luMzIiLCJBTiI6Ik1haWwiLCJXVCI6Mn0%3D%7C3000%7C%7C%7C&amp;sdata=P1i%2FPH3AKk6Ebo0xhlPUVGAoIBQRY%2FdYviyn31vESXM%3D&amp;reserved=0" TargetMode="External"/><Relationship Id="rId4" Type="http://schemas.openxmlformats.org/officeDocument/2006/relationships/hyperlink" Target="https://www.ndis.gov.au/media/5195/download?attachment" TargetMode="External"/><Relationship Id="rId9" Type="http://schemas.openxmlformats.org/officeDocument/2006/relationships/hyperlink" Target="https://aus01.safelinks.protection.outlook.com/?url=https%3A%2F%2Fwww.austlii.edu.au%2Fcgi-bin%2Fviewdoc%2Fau%2Flegis%2Fcth%2Fconsol_act%2Faata1975323%2F&amp;data=05%7C01%7CArlena.Barton2%40ndis.gov.au%7C7a0205413d864c7b34a708db838bfa7f%7Ccd778b65752d454a87cfb9990fe58993%7C0%7C0%7C638248409455562178%7CUnknown%7CTWFpbGZsb3d8eyJWIjoiMC4wLjAwMDAiLCJQIjoiV2luMzIiLCJBTiI6Ik1haWwiLCJXVCI6Mn0%3D%7C3000%7C%7C%7C&amp;sdata=P1i%2FPH3AKk6Ebo0xhlPUVGAoIBQRY%2FdYviyn31vESXM%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97233524753271"/>
          <c:y val="6.7171126345388729E-2"/>
          <c:w val="0.43308777541229082"/>
          <c:h val="0.56683183212520283"/>
        </c:manualLayout>
      </c:layout>
      <c:barChart>
        <c:barDir val="col"/>
        <c:grouping val="percentStacked"/>
        <c:varyColors val="0"/>
        <c:ser>
          <c:idx val="0"/>
          <c:order val="0"/>
          <c:tx>
            <c:strRef>
              <c:f>Sheet1!$A$2</c:f>
              <c:strCache>
                <c:ptCount val="1"/>
                <c:pt idx="0">
                  <c:v>Completely satisfied</c:v>
                </c:pt>
              </c:strCache>
            </c:strRef>
          </c:tx>
          <c:spPr>
            <a:solidFill>
              <a:schemeClr val="tx2"/>
            </a:solidFill>
            <a:ln>
              <a:solidFill>
                <a:schemeClr val="tx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Way expert handled matter overall</c:v>
                </c:pt>
                <c:pt idx="1">
                  <c:v>Overall satisfaction with how matter handled in IERP</c:v>
                </c:pt>
              </c:strCache>
            </c:strRef>
          </c:cat>
          <c:val>
            <c:numRef>
              <c:f>Sheet1!$B$2:$C$2</c:f>
              <c:numCache>
                <c:formatCode>General</c:formatCode>
                <c:ptCount val="2"/>
                <c:pt idx="0">
                  <c:v>13</c:v>
                </c:pt>
                <c:pt idx="1">
                  <c:v>8</c:v>
                </c:pt>
              </c:numCache>
            </c:numRef>
          </c:val>
          <c:extLst>
            <c:ext xmlns:c16="http://schemas.microsoft.com/office/drawing/2014/chart" uri="{C3380CC4-5D6E-409C-BE32-E72D297353CC}">
              <c16:uniqueId val="{00000000-EAB7-4F93-8F64-DC3B155FE742}"/>
            </c:ext>
          </c:extLst>
        </c:ser>
        <c:ser>
          <c:idx val="1"/>
          <c:order val="1"/>
          <c:tx>
            <c:strRef>
              <c:f>Sheet1!$A$3</c:f>
              <c:strCache>
                <c:ptCount val="1"/>
                <c:pt idx="0">
                  <c:v>Mostly satisfied</c:v>
                </c:pt>
              </c:strCache>
            </c:strRef>
          </c:tx>
          <c:spPr>
            <a:pattFill prst="wdDnDiag">
              <a:fgClr>
                <a:schemeClr val="tx2"/>
              </a:fgClr>
              <a:bgClr>
                <a:schemeClr val="tx2">
                  <a:lumMod val="20000"/>
                  <a:lumOff val="80000"/>
                </a:schemeClr>
              </a:bgClr>
            </a:pattFill>
            <a:ln>
              <a:solidFill>
                <a:schemeClr val="tx2"/>
              </a:solid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Way expert handled matter overall</c:v>
                </c:pt>
                <c:pt idx="1">
                  <c:v>Overall satisfaction with how matter handled in IERP</c:v>
                </c:pt>
              </c:strCache>
            </c:strRef>
          </c:cat>
          <c:val>
            <c:numRef>
              <c:f>Sheet1!$B$3:$C$3</c:f>
              <c:numCache>
                <c:formatCode>General</c:formatCode>
                <c:ptCount val="2"/>
                <c:pt idx="0">
                  <c:v>2</c:v>
                </c:pt>
                <c:pt idx="1">
                  <c:v>7</c:v>
                </c:pt>
              </c:numCache>
            </c:numRef>
          </c:val>
          <c:extLst>
            <c:ext xmlns:c16="http://schemas.microsoft.com/office/drawing/2014/chart" uri="{C3380CC4-5D6E-409C-BE32-E72D297353CC}">
              <c16:uniqueId val="{00000001-EAB7-4F93-8F64-DC3B155FE742}"/>
            </c:ext>
          </c:extLst>
        </c:ser>
        <c:ser>
          <c:idx val="2"/>
          <c:order val="2"/>
          <c:tx>
            <c:strRef>
              <c:f>Sheet1!$A$4</c:f>
              <c:strCache>
                <c:ptCount val="1"/>
                <c:pt idx="0">
                  <c:v>Somewhat satisfied</c:v>
                </c:pt>
              </c:strCache>
            </c:strRef>
          </c:tx>
          <c:spPr>
            <a:pattFill prst="pct5">
              <a:fgClr>
                <a:schemeClr val="tx2"/>
              </a:fgClr>
              <a:bgClr>
                <a:schemeClr val="tx2">
                  <a:lumMod val="20000"/>
                  <a:lumOff val="80000"/>
                </a:schemeClr>
              </a:bgClr>
            </a:pattFill>
            <a:ln>
              <a:solidFill>
                <a:schemeClr val="tx2"/>
              </a:solidFill>
            </a:ln>
            <a:effectLst/>
          </c:spPr>
          <c:invertIfNegative val="0"/>
          <c:cat>
            <c:strRef>
              <c:f>Sheet1!$B$1:$C$1</c:f>
              <c:strCache>
                <c:ptCount val="2"/>
                <c:pt idx="0">
                  <c:v>Way expert handled matter overall</c:v>
                </c:pt>
                <c:pt idx="1">
                  <c:v>Overall satisfaction with how matter handled in IERP</c:v>
                </c:pt>
              </c:strCache>
            </c:strRef>
          </c:cat>
          <c:val>
            <c:numRef>
              <c:f>Sheet1!$B$4:$C$4</c:f>
              <c:numCache>
                <c:formatCode>General</c:formatCode>
                <c:ptCount val="2"/>
                <c:pt idx="0">
                  <c:v>1</c:v>
                </c:pt>
                <c:pt idx="1">
                  <c:v>1</c:v>
                </c:pt>
              </c:numCache>
            </c:numRef>
          </c:val>
          <c:extLst>
            <c:ext xmlns:c16="http://schemas.microsoft.com/office/drawing/2014/chart" uri="{C3380CC4-5D6E-409C-BE32-E72D297353CC}">
              <c16:uniqueId val="{00000003-EAB7-4F93-8F64-DC3B155FE742}"/>
            </c:ext>
          </c:extLst>
        </c:ser>
        <c:ser>
          <c:idx val="3"/>
          <c:order val="3"/>
          <c:tx>
            <c:strRef>
              <c:f>Sheet1!$A$5</c:f>
              <c:strCache>
                <c:ptCount val="1"/>
                <c:pt idx="0">
                  <c:v>Only a little bit satisfied</c:v>
                </c:pt>
              </c:strCache>
            </c:strRef>
          </c:tx>
          <c:spPr>
            <a:pattFill prst="wdDnDiag">
              <a:fgClr>
                <a:schemeClr val="bg2"/>
              </a:fgClr>
              <a:bgClr>
                <a:schemeClr val="bg2">
                  <a:lumMod val="20000"/>
                  <a:lumOff val="80000"/>
                </a:schemeClr>
              </a:bgClr>
            </a:pattFill>
            <a:ln>
              <a:solidFill>
                <a:schemeClr val="bg2"/>
              </a:solidFill>
            </a:ln>
            <a:effectLst/>
          </c:spPr>
          <c:invertIfNegative val="0"/>
          <c:cat>
            <c:strRef>
              <c:f>Sheet1!$B$1:$C$1</c:f>
              <c:strCache>
                <c:ptCount val="2"/>
                <c:pt idx="0">
                  <c:v>Way expert handled matter overall</c:v>
                </c:pt>
                <c:pt idx="1">
                  <c:v>Overall satisfaction with how matter handled in IERP</c:v>
                </c:pt>
              </c:strCache>
            </c:strRef>
          </c:cat>
          <c:val>
            <c:numRef>
              <c:f>Sheet1!$B$5:$C$5</c:f>
              <c:numCache>
                <c:formatCode>General</c:formatCode>
                <c:ptCount val="2"/>
                <c:pt idx="0">
                  <c:v>1</c:v>
                </c:pt>
                <c:pt idx="1">
                  <c:v>0</c:v>
                </c:pt>
              </c:numCache>
            </c:numRef>
          </c:val>
          <c:extLst>
            <c:ext xmlns:c16="http://schemas.microsoft.com/office/drawing/2014/chart" uri="{C3380CC4-5D6E-409C-BE32-E72D297353CC}">
              <c16:uniqueId val="{00000004-EAB7-4F93-8F64-DC3B155FE742}"/>
            </c:ext>
          </c:extLst>
        </c:ser>
        <c:ser>
          <c:idx val="4"/>
          <c:order val="4"/>
          <c:tx>
            <c:strRef>
              <c:f>Sheet1!$A$6</c:f>
              <c:strCache>
                <c:ptCount val="1"/>
                <c:pt idx="0">
                  <c:v>Not at all satisfied</c:v>
                </c:pt>
              </c:strCache>
            </c:strRef>
          </c:tx>
          <c:spPr>
            <a:solidFill>
              <a:schemeClr val="bg2"/>
            </a:solidFill>
            <a:ln>
              <a:solidFill>
                <a:schemeClr val="bg2"/>
              </a:solidFill>
            </a:ln>
            <a:effectLst/>
          </c:spPr>
          <c:invertIfNegative val="0"/>
          <c:cat>
            <c:strRef>
              <c:f>Sheet1!$B$1:$C$1</c:f>
              <c:strCache>
                <c:ptCount val="2"/>
                <c:pt idx="0">
                  <c:v>Way expert handled matter overall</c:v>
                </c:pt>
                <c:pt idx="1">
                  <c:v>Overall satisfaction with how matter handled in IERP</c:v>
                </c:pt>
              </c:strCache>
            </c:strRef>
          </c:cat>
          <c:val>
            <c:numRef>
              <c:f>Sheet1!$B$6:$C$6</c:f>
              <c:numCache>
                <c:formatCode>General</c:formatCode>
                <c:ptCount val="2"/>
                <c:pt idx="0">
                  <c:v>2</c:v>
                </c:pt>
                <c:pt idx="1">
                  <c:v>3</c:v>
                </c:pt>
              </c:numCache>
            </c:numRef>
          </c:val>
          <c:extLst>
            <c:ext xmlns:c16="http://schemas.microsoft.com/office/drawing/2014/chart" uri="{C3380CC4-5D6E-409C-BE32-E72D297353CC}">
              <c16:uniqueId val="{00000005-EAB7-4F93-8F64-DC3B155FE742}"/>
            </c:ext>
          </c:extLst>
        </c:ser>
        <c:dLbls>
          <c:showLegendKey val="0"/>
          <c:showVal val="0"/>
          <c:showCatName val="0"/>
          <c:showSerName val="0"/>
          <c:showPercent val="0"/>
          <c:showBubbleSize val="0"/>
        </c:dLbls>
        <c:gapWidth val="150"/>
        <c:overlap val="100"/>
        <c:axId val="572329808"/>
        <c:axId val="212426128"/>
      </c:barChart>
      <c:catAx>
        <c:axId val="57232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2426128"/>
        <c:crosses val="autoZero"/>
        <c:auto val="1"/>
        <c:lblAlgn val="ctr"/>
        <c:lblOffset val="100"/>
        <c:noMultiLvlLbl val="0"/>
      </c:catAx>
      <c:valAx>
        <c:axId val="212426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572329808"/>
        <c:crosses val="autoZero"/>
        <c:crossBetween val="between"/>
        <c:majorUnit val="0.2"/>
      </c:valAx>
      <c:spPr>
        <a:noFill/>
        <a:ln>
          <a:noFill/>
        </a:ln>
        <a:effectLst/>
      </c:spPr>
    </c:plotArea>
    <c:legend>
      <c:legendPos val="b"/>
      <c:layout>
        <c:manualLayout>
          <c:xMode val="edge"/>
          <c:yMode val="edge"/>
          <c:x val="7.8632182620122035E-3"/>
          <c:y val="0.81340640020947497"/>
          <c:w val="0.69235782461215634"/>
          <c:h val="0.1670959657358744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855074059798472E-2"/>
          <c:y val="4.3912175648702596E-2"/>
          <c:w val="0.82461153020208133"/>
          <c:h val="0.68182972637402361"/>
        </c:manualLayout>
      </c:layout>
      <c:barChart>
        <c:barDir val="col"/>
        <c:grouping val="clustered"/>
        <c:varyColors val="0"/>
        <c:dLbls>
          <c:showLegendKey val="0"/>
          <c:showVal val="0"/>
          <c:showCatName val="0"/>
          <c:showSerName val="0"/>
          <c:showPercent val="0"/>
          <c:showBubbleSize val="0"/>
        </c:dLbls>
        <c:gapWidth val="50"/>
        <c:axId val="665362336"/>
        <c:axId val="348558863"/>
        <c:extLst>
          <c:ext xmlns:c15="http://schemas.microsoft.com/office/drawing/2012/chart" uri="{02D57815-91ED-43cb-92C2-25804820EDAC}">
            <c15:filteredBarSeries>
              <c15:ser>
                <c:idx val="2"/>
                <c:order val="2"/>
                <c:tx>
                  <c:strRef>
                    <c:extLst>
                      <c:ext uri="{02D57815-91ED-43cb-92C2-25804820EDAC}">
                        <c15:formulaRef>
                          <c15:sqref>Sheet1!$E$1</c15:sqref>
                        </c15:formulaRef>
                      </c:ext>
                    </c:extLst>
                    <c:strCache>
                      <c:ptCount val="1"/>
                    </c:strCache>
                  </c:strRef>
                </c:tx>
                <c:spPr>
                  <a:solidFill>
                    <a:schemeClr val="accent2">
                      <a:alpha val="30000"/>
                    </a:schemeClr>
                  </a:solidFill>
                  <a:ln>
                    <a:noFill/>
                  </a:ln>
                  <a:effectLst/>
                </c:spPr>
                <c:invertIfNegative val="0"/>
                <c:dPt>
                  <c:idx val="14"/>
                  <c:invertIfNegative val="0"/>
                  <c:bubble3D val="0"/>
                  <c:spPr>
                    <a:solidFill>
                      <a:schemeClr val="accent2">
                        <a:alpha val="30000"/>
                      </a:schemeClr>
                    </a:solidFill>
                    <a:ln>
                      <a:noFill/>
                    </a:ln>
                    <a:effectLst/>
                  </c:spPr>
                  <c:extLst>
                    <c:ext xmlns:c16="http://schemas.microsoft.com/office/drawing/2014/chart" uri="{C3380CC4-5D6E-409C-BE32-E72D297353CC}">
                      <c16:uniqueId val="{00000001-5F07-4191-B0E7-BE42B3D54399}"/>
                    </c:ext>
                  </c:extLst>
                </c:dPt>
                <c:cat>
                  <c:multiLvlStrRef>
                    <c:extLst>
                      <c:ext uri="{02D57815-91ED-43cb-92C2-25804820EDAC}">
                        <c15:formulaRef>
                          <c15:sqref>Sheet1!$A$2:$B$21</c15:sqref>
                        </c15:formulaRef>
                      </c:ext>
                    </c:extLst>
                    <c:multiLvlStrCache>
                      <c:ptCount val="20"/>
                      <c:lvl>
                        <c:pt idx="0">
                          <c:v>Aug</c:v>
                        </c:pt>
                        <c:pt idx="1">
                          <c:v>Sep</c:v>
                        </c:pt>
                        <c:pt idx="2">
                          <c:v>Oct</c:v>
                        </c:pt>
                        <c:pt idx="3">
                          <c:v>Nov</c:v>
                        </c:pt>
                        <c:pt idx="4">
                          <c:v>Dec</c:v>
                        </c:pt>
                        <c:pt idx="5">
                          <c:v>Jan</c:v>
                        </c:pt>
                        <c:pt idx="6">
                          <c:v>Feb</c:v>
                        </c:pt>
                        <c:pt idx="7">
                          <c:v>Mar</c:v>
                        </c:pt>
                        <c:pt idx="8">
                          <c:v>Apr</c:v>
                        </c:pt>
                        <c:pt idx="9">
                          <c:v>May</c:v>
                        </c:pt>
                        <c:pt idx="10">
                          <c:v>Jun</c:v>
                        </c:pt>
                        <c:pt idx="11">
                          <c:v>Jul</c:v>
                        </c:pt>
                        <c:pt idx="12">
                          <c:v>Aug</c:v>
                        </c:pt>
                        <c:pt idx="13">
                          <c:v>Sep</c:v>
                        </c:pt>
                        <c:pt idx="14">
                          <c:v>Oct</c:v>
                        </c:pt>
                        <c:pt idx="15">
                          <c:v>Nov</c:v>
                        </c:pt>
                        <c:pt idx="16">
                          <c:v>Dec</c:v>
                        </c:pt>
                        <c:pt idx="17">
                          <c:v>Jan</c:v>
                        </c:pt>
                        <c:pt idx="18">
                          <c:v>Feb</c:v>
                        </c:pt>
                        <c:pt idx="19">
                          <c:v>Mar</c:v>
                        </c:pt>
                      </c:lvl>
                      <c:lvl>
                        <c:pt idx="0">
                          <c:v>2021</c:v>
                        </c:pt>
                        <c:pt idx="5">
                          <c:v>2022</c:v>
                        </c:pt>
                        <c:pt idx="17">
                          <c:v>2023</c:v>
                        </c:pt>
                      </c:lvl>
                    </c:multiLvlStrCache>
                  </c:multiLvlStrRef>
                </c:cat>
                <c:val>
                  <c:numRef>
                    <c:extLst>
                      <c:ext uri="{02D57815-91ED-43cb-92C2-25804820EDAC}">
                        <c15:formulaRef>
                          <c15:sqref>Sheet1!$E$2:$E$21</c15:sqref>
                        </c15:formulaRef>
                      </c:ext>
                    </c:extLst>
                    <c:numCache>
                      <c:formatCode>General</c:formatCode>
                      <c:ptCount val="20"/>
                    </c:numCache>
                  </c:numRef>
                </c:val>
                <c:extLst>
                  <c:ext xmlns:c16="http://schemas.microsoft.com/office/drawing/2014/chart" uri="{C3380CC4-5D6E-409C-BE32-E72D297353CC}">
                    <c16:uniqueId val="{00000000-5F07-4191-B0E7-BE42B3D54399}"/>
                  </c:ext>
                </c:extLst>
              </c15:ser>
            </c15:filteredBarSeries>
          </c:ext>
        </c:extLst>
      </c:barChart>
      <c:barChart>
        <c:barDir val="col"/>
        <c:grouping val="clustered"/>
        <c:varyColors val="0"/>
        <c:ser>
          <c:idx val="1"/>
          <c:order val="1"/>
          <c:tx>
            <c:strRef>
              <c:f>Sheet1!$D$1</c:f>
              <c:strCache>
                <c:ptCount val="1"/>
                <c:pt idx="0">
                  <c:v>S100 reviews</c:v>
                </c:pt>
              </c:strCache>
            </c:strRef>
          </c:tx>
          <c:spPr>
            <a:solidFill>
              <a:schemeClr val="accent1">
                <a:alpha val="30000"/>
              </a:schemeClr>
            </a:solidFill>
            <a:ln>
              <a:noFill/>
            </a:ln>
            <a:effectLst/>
          </c:spPr>
          <c:invertIfNegative val="0"/>
          <c:cat>
            <c:multiLvlStrRef>
              <c:f>Sheet1!$A$2:$B$21</c:f>
              <c:multiLvlStrCache>
                <c:ptCount val="20"/>
                <c:lvl>
                  <c:pt idx="0">
                    <c:v>Aug</c:v>
                  </c:pt>
                  <c:pt idx="1">
                    <c:v>Sep</c:v>
                  </c:pt>
                  <c:pt idx="2">
                    <c:v>Oct</c:v>
                  </c:pt>
                  <c:pt idx="3">
                    <c:v>Nov</c:v>
                  </c:pt>
                  <c:pt idx="4">
                    <c:v>Dec</c:v>
                  </c:pt>
                  <c:pt idx="5">
                    <c:v>Jan</c:v>
                  </c:pt>
                  <c:pt idx="6">
                    <c:v>Feb</c:v>
                  </c:pt>
                  <c:pt idx="7">
                    <c:v>Mar</c:v>
                  </c:pt>
                  <c:pt idx="8">
                    <c:v>Apr</c:v>
                  </c:pt>
                  <c:pt idx="9">
                    <c:v>May</c:v>
                  </c:pt>
                  <c:pt idx="10">
                    <c:v>Jun</c:v>
                  </c:pt>
                  <c:pt idx="11">
                    <c:v>Jul</c:v>
                  </c:pt>
                  <c:pt idx="12">
                    <c:v>Aug</c:v>
                  </c:pt>
                  <c:pt idx="13">
                    <c:v>Sep</c:v>
                  </c:pt>
                  <c:pt idx="14">
                    <c:v>Oct</c:v>
                  </c:pt>
                  <c:pt idx="15">
                    <c:v>Nov</c:v>
                  </c:pt>
                  <c:pt idx="16">
                    <c:v>Dec</c:v>
                  </c:pt>
                  <c:pt idx="17">
                    <c:v>Jan</c:v>
                  </c:pt>
                  <c:pt idx="18">
                    <c:v>Feb</c:v>
                  </c:pt>
                  <c:pt idx="19">
                    <c:v>Mar</c:v>
                  </c:pt>
                </c:lvl>
                <c:lvl>
                  <c:pt idx="0">
                    <c:v>2021</c:v>
                  </c:pt>
                  <c:pt idx="5">
                    <c:v>2022</c:v>
                  </c:pt>
                  <c:pt idx="17">
                    <c:v>2023</c:v>
                  </c:pt>
                </c:lvl>
              </c:multiLvlStrCache>
            </c:multiLvlStrRef>
          </c:cat>
          <c:val>
            <c:numRef>
              <c:f>Sheet1!$D$2:$D$21</c:f>
              <c:numCache>
                <c:formatCode>#,##0</c:formatCode>
                <c:ptCount val="20"/>
                <c:pt idx="0">
                  <c:v>1577</c:v>
                </c:pt>
                <c:pt idx="1">
                  <c:v>3580</c:v>
                </c:pt>
                <c:pt idx="2">
                  <c:v>4254</c:v>
                </c:pt>
                <c:pt idx="3">
                  <c:v>4145</c:v>
                </c:pt>
                <c:pt idx="4">
                  <c:v>2855</c:v>
                </c:pt>
                <c:pt idx="5">
                  <c:v>2664</c:v>
                </c:pt>
                <c:pt idx="6">
                  <c:v>3051</c:v>
                </c:pt>
                <c:pt idx="7">
                  <c:v>3212</c:v>
                </c:pt>
                <c:pt idx="8">
                  <c:v>1928</c:v>
                </c:pt>
                <c:pt idx="9">
                  <c:v>2917</c:v>
                </c:pt>
                <c:pt idx="10">
                  <c:v>2630</c:v>
                </c:pt>
                <c:pt idx="11">
                  <c:v>2493</c:v>
                </c:pt>
                <c:pt idx="12">
                  <c:v>2761</c:v>
                </c:pt>
                <c:pt idx="13">
                  <c:v>2239</c:v>
                </c:pt>
                <c:pt idx="14">
                  <c:v>2280</c:v>
                </c:pt>
                <c:pt idx="15">
                  <c:v>1919</c:v>
                </c:pt>
                <c:pt idx="16">
                  <c:v>1592</c:v>
                </c:pt>
                <c:pt idx="17">
                  <c:v>1584</c:v>
                </c:pt>
                <c:pt idx="18">
                  <c:v>2035</c:v>
                </c:pt>
                <c:pt idx="19">
                  <c:v>2413</c:v>
                </c:pt>
              </c:numCache>
            </c:numRef>
          </c:val>
          <c:extLst>
            <c:ext xmlns:c16="http://schemas.microsoft.com/office/drawing/2014/chart" uri="{C3380CC4-5D6E-409C-BE32-E72D297353CC}">
              <c16:uniqueId val="{00000001-CDD0-492F-97F8-F42292FCE9B4}"/>
            </c:ext>
          </c:extLst>
        </c:ser>
        <c:dLbls>
          <c:showLegendKey val="0"/>
          <c:showVal val="0"/>
          <c:showCatName val="0"/>
          <c:showSerName val="0"/>
          <c:showPercent val="0"/>
          <c:showBubbleSize val="0"/>
        </c:dLbls>
        <c:gapWidth val="50"/>
        <c:axId val="1234259695"/>
        <c:axId val="1234261615"/>
      </c:barChart>
      <c:lineChart>
        <c:grouping val="standard"/>
        <c:varyColors val="0"/>
        <c:ser>
          <c:idx val="0"/>
          <c:order val="0"/>
          <c:tx>
            <c:strRef>
              <c:f>Sheet1!$C$1</c:f>
              <c:strCache>
                <c:ptCount val="1"/>
                <c:pt idx="0">
                  <c:v>% that transition to AAT</c:v>
                </c:pt>
              </c:strCache>
            </c:strRef>
          </c:tx>
          <c:spPr>
            <a:ln w="28575" cap="rnd">
              <a:solidFill>
                <a:srgbClr val="6B2976"/>
              </a:solidFill>
              <a:round/>
            </a:ln>
            <a:effectLst/>
          </c:spPr>
          <c:marker>
            <c:symbol val="circle"/>
            <c:size val="5"/>
            <c:spPr>
              <a:solidFill>
                <a:srgbClr val="6B2976"/>
              </a:solidFill>
              <a:ln w="9525">
                <a:solidFill>
                  <a:srgbClr val="6B2976"/>
                </a:solidFill>
              </a:ln>
              <a:effectLst/>
            </c:spPr>
          </c:marker>
          <c:cat>
            <c:multiLvlStrRef>
              <c:f>Sheet1!$A$2:$B$21</c:f>
              <c:multiLvlStrCache>
                <c:ptCount val="20"/>
                <c:lvl>
                  <c:pt idx="0">
                    <c:v>Aug</c:v>
                  </c:pt>
                  <c:pt idx="1">
                    <c:v>Sep</c:v>
                  </c:pt>
                  <c:pt idx="2">
                    <c:v>Oct</c:v>
                  </c:pt>
                  <c:pt idx="3">
                    <c:v>Nov</c:v>
                  </c:pt>
                  <c:pt idx="4">
                    <c:v>Dec</c:v>
                  </c:pt>
                  <c:pt idx="5">
                    <c:v>Jan</c:v>
                  </c:pt>
                  <c:pt idx="6">
                    <c:v>Feb</c:v>
                  </c:pt>
                  <c:pt idx="7">
                    <c:v>Mar</c:v>
                  </c:pt>
                  <c:pt idx="8">
                    <c:v>Apr</c:v>
                  </c:pt>
                  <c:pt idx="9">
                    <c:v>May</c:v>
                  </c:pt>
                  <c:pt idx="10">
                    <c:v>Jun</c:v>
                  </c:pt>
                  <c:pt idx="11">
                    <c:v>Jul</c:v>
                  </c:pt>
                  <c:pt idx="12">
                    <c:v>Aug</c:v>
                  </c:pt>
                  <c:pt idx="13">
                    <c:v>Sep</c:v>
                  </c:pt>
                  <c:pt idx="14">
                    <c:v>Oct</c:v>
                  </c:pt>
                  <c:pt idx="15">
                    <c:v>Nov</c:v>
                  </c:pt>
                  <c:pt idx="16">
                    <c:v>Dec</c:v>
                  </c:pt>
                  <c:pt idx="17">
                    <c:v>Jan</c:v>
                  </c:pt>
                  <c:pt idx="18">
                    <c:v>Feb</c:v>
                  </c:pt>
                  <c:pt idx="19">
                    <c:v>Mar</c:v>
                  </c:pt>
                </c:lvl>
                <c:lvl>
                  <c:pt idx="0">
                    <c:v>2021</c:v>
                  </c:pt>
                  <c:pt idx="5">
                    <c:v>2022</c:v>
                  </c:pt>
                  <c:pt idx="17">
                    <c:v>2023</c:v>
                  </c:pt>
                </c:lvl>
              </c:multiLvlStrCache>
            </c:multiLvlStrRef>
          </c:cat>
          <c:val>
            <c:numRef>
              <c:f>Sheet1!$C$2:$C$21</c:f>
              <c:numCache>
                <c:formatCode>0%</c:formatCode>
                <c:ptCount val="20"/>
                <c:pt idx="0">
                  <c:v>9.1947000000000001E-2</c:v>
                </c:pt>
                <c:pt idx="1">
                  <c:v>0.116201</c:v>
                </c:pt>
                <c:pt idx="2">
                  <c:v>0.14433499999999999</c:v>
                </c:pt>
                <c:pt idx="3">
                  <c:v>0.14499400000000001</c:v>
                </c:pt>
                <c:pt idx="4">
                  <c:v>0.15306500000000001</c:v>
                </c:pt>
                <c:pt idx="5">
                  <c:v>0.15165200000000001</c:v>
                </c:pt>
                <c:pt idx="6">
                  <c:v>0.129466</c:v>
                </c:pt>
                <c:pt idx="7">
                  <c:v>0.134184</c:v>
                </c:pt>
                <c:pt idx="8">
                  <c:v>0.108921</c:v>
                </c:pt>
                <c:pt idx="9">
                  <c:v>0.123072</c:v>
                </c:pt>
                <c:pt idx="10">
                  <c:v>0.115589</c:v>
                </c:pt>
                <c:pt idx="11">
                  <c:v>0.11792999999999999</c:v>
                </c:pt>
                <c:pt idx="12">
                  <c:v>0.14016700000000001</c:v>
                </c:pt>
                <c:pt idx="13">
                  <c:v>0.13264899999999999</c:v>
                </c:pt>
                <c:pt idx="14">
                  <c:v>0.122807</c:v>
                </c:pt>
                <c:pt idx="15">
                  <c:v>0.110995</c:v>
                </c:pt>
                <c:pt idx="16">
                  <c:v>0.130025</c:v>
                </c:pt>
                <c:pt idx="17">
                  <c:v>0.11805599999999999</c:v>
                </c:pt>
                <c:pt idx="18">
                  <c:v>0.100246</c:v>
                </c:pt>
                <c:pt idx="19">
                  <c:v>7.5839000000000004E-2</c:v>
                </c:pt>
              </c:numCache>
            </c:numRef>
          </c:val>
          <c:smooth val="0"/>
          <c:extLst>
            <c:ext xmlns:c16="http://schemas.microsoft.com/office/drawing/2014/chart" uri="{C3380CC4-5D6E-409C-BE32-E72D297353CC}">
              <c16:uniqueId val="{00000000-CDD0-492F-97F8-F42292FCE9B4}"/>
            </c:ext>
          </c:extLst>
        </c:ser>
        <c:dLbls>
          <c:showLegendKey val="0"/>
          <c:showVal val="0"/>
          <c:showCatName val="0"/>
          <c:showSerName val="0"/>
          <c:showPercent val="0"/>
          <c:showBubbleSize val="0"/>
        </c:dLbls>
        <c:marker val="1"/>
        <c:smooth val="0"/>
        <c:axId val="665362336"/>
        <c:axId val="348558863"/>
      </c:lineChart>
      <c:catAx>
        <c:axId val="66536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348558863"/>
        <c:crosses val="autoZero"/>
        <c:auto val="1"/>
        <c:lblAlgn val="ctr"/>
        <c:lblOffset val="100"/>
        <c:noMultiLvlLbl val="0"/>
      </c:catAx>
      <c:valAx>
        <c:axId val="348558863"/>
        <c:scaling>
          <c:orientation val="minMax"/>
          <c:min val="5.000000000000001E-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665362336"/>
        <c:crosses val="autoZero"/>
        <c:crossBetween val="between"/>
      </c:valAx>
      <c:valAx>
        <c:axId val="1234261615"/>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234259695"/>
        <c:crosses val="max"/>
        <c:crossBetween val="between"/>
      </c:valAx>
      <c:catAx>
        <c:axId val="1234259695"/>
        <c:scaling>
          <c:orientation val="minMax"/>
        </c:scaling>
        <c:delete val="1"/>
        <c:axPos val="b"/>
        <c:numFmt formatCode="General" sourceLinked="1"/>
        <c:majorTickMark val="out"/>
        <c:minorTickMark val="none"/>
        <c:tickLblPos val="nextTo"/>
        <c:crossAx val="1234261615"/>
        <c:crosses val="autoZero"/>
        <c:auto val="1"/>
        <c:lblAlgn val="ctr"/>
        <c:lblOffset val="100"/>
        <c:noMultiLvlLbl val="0"/>
      </c:catAx>
      <c:spPr>
        <a:noFill/>
        <a:ln>
          <a:noFill/>
        </a:ln>
        <a:effectLst/>
      </c:spPr>
    </c:plotArea>
    <c:legend>
      <c:legendPos val="b"/>
      <c:layout>
        <c:manualLayout>
          <c:xMode val="edge"/>
          <c:yMode val="edge"/>
          <c:x val="7.9055485197217487E-2"/>
          <c:y val="0.90836028729941709"/>
          <c:w val="0.82770442156268931"/>
          <c:h val="9.163971270058309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789398799897486"/>
          <c:y val="6.481934439046183E-3"/>
          <c:w val="0.59198264358369335"/>
          <c:h val="0.86092120399843641"/>
        </c:manualLayout>
      </c:layout>
      <c:barChart>
        <c:barDir val="bar"/>
        <c:grouping val="clustered"/>
        <c:varyColors val="0"/>
        <c:ser>
          <c:idx val="0"/>
          <c:order val="0"/>
          <c:tx>
            <c:strRef>
              <c:f>Sheet1!$C$1</c:f>
              <c:strCache>
                <c:ptCount val="1"/>
                <c:pt idx="0">
                  <c:v>COEFF</c:v>
                </c:pt>
              </c:strCache>
            </c:strRef>
          </c:tx>
          <c:spPr>
            <a:solidFill>
              <a:schemeClr val="bg2"/>
            </a:solidFill>
            <a:ln>
              <a:noFill/>
            </a:ln>
            <a:effectLst/>
          </c:spPr>
          <c:invertIfNegative val="0"/>
          <c:errBars>
            <c:errBarType val="both"/>
            <c:errValType val="cust"/>
            <c:noEndCap val="0"/>
            <c:plus>
              <c:numRef>
                <c:f>Sheet1!$D$2:$D$20</c:f>
                <c:numCache>
                  <c:formatCode>General</c:formatCode>
                  <c:ptCount val="19"/>
                  <c:pt idx="0">
                    <c:v>5.5E-2</c:v>
                  </c:pt>
                  <c:pt idx="1">
                    <c:v>0.187</c:v>
                  </c:pt>
                  <c:pt idx="2">
                    <c:v>0.14504</c:v>
                  </c:pt>
                  <c:pt idx="3">
                    <c:v>0.16268000000000002</c:v>
                  </c:pt>
                  <c:pt idx="4">
                    <c:v>0.22736000000000001</c:v>
                  </c:pt>
                  <c:pt idx="5">
                    <c:v>0.30968000000000001</c:v>
                  </c:pt>
                  <c:pt idx="6">
                    <c:v>0.34103999999999995</c:v>
                  </c:pt>
                  <c:pt idx="7">
                    <c:v>0.31359999999999999</c:v>
                  </c:pt>
                  <c:pt idx="8">
                    <c:v>0.28419999999999995</c:v>
                  </c:pt>
                  <c:pt idx="9">
                    <c:v>0.19600000000000001</c:v>
                  </c:pt>
                  <c:pt idx="10">
                    <c:v>7.2999999999999995E-2</c:v>
                  </c:pt>
                  <c:pt idx="11">
                    <c:v>7.5999999999999998E-2</c:v>
                  </c:pt>
                  <c:pt idx="12">
                    <c:v>7.9000000000000001E-2</c:v>
                  </c:pt>
                  <c:pt idx="13">
                    <c:v>0.08</c:v>
                  </c:pt>
                  <c:pt idx="14">
                    <c:v>8.2000000000000003E-2</c:v>
                  </c:pt>
                  <c:pt idx="15">
                    <c:v>8.1000000000000003E-2</c:v>
                  </c:pt>
                  <c:pt idx="16">
                    <c:v>8.3000000000000004E-2</c:v>
                  </c:pt>
                  <c:pt idx="17">
                    <c:v>7.8E-2</c:v>
                  </c:pt>
                  <c:pt idx="18">
                    <c:v>7.5999999999999998E-2</c:v>
                  </c:pt>
                </c:numCache>
              </c:numRef>
            </c:plus>
            <c:minus>
              <c:numRef>
                <c:f>Sheet1!$D$2:$D$20</c:f>
                <c:numCache>
                  <c:formatCode>General</c:formatCode>
                  <c:ptCount val="19"/>
                  <c:pt idx="0">
                    <c:v>5.5E-2</c:v>
                  </c:pt>
                  <c:pt idx="1">
                    <c:v>0.187</c:v>
                  </c:pt>
                  <c:pt idx="2">
                    <c:v>0.14504</c:v>
                  </c:pt>
                  <c:pt idx="3">
                    <c:v>0.16268000000000002</c:v>
                  </c:pt>
                  <c:pt idx="4">
                    <c:v>0.22736000000000001</c:v>
                  </c:pt>
                  <c:pt idx="5">
                    <c:v>0.30968000000000001</c:v>
                  </c:pt>
                  <c:pt idx="6">
                    <c:v>0.34103999999999995</c:v>
                  </c:pt>
                  <c:pt idx="7">
                    <c:v>0.31359999999999999</c:v>
                  </c:pt>
                  <c:pt idx="8">
                    <c:v>0.28419999999999995</c:v>
                  </c:pt>
                  <c:pt idx="9">
                    <c:v>0.19600000000000001</c:v>
                  </c:pt>
                  <c:pt idx="10">
                    <c:v>7.2999999999999995E-2</c:v>
                  </c:pt>
                  <c:pt idx="11">
                    <c:v>7.5999999999999998E-2</c:v>
                  </c:pt>
                  <c:pt idx="12">
                    <c:v>7.9000000000000001E-2</c:v>
                  </c:pt>
                  <c:pt idx="13">
                    <c:v>0.08</c:v>
                  </c:pt>
                  <c:pt idx="14">
                    <c:v>8.2000000000000003E-2</c:v>
                  </c:pt>
                  <c:pt idx="15">
                    <c:v>8.1000000000000003E-2</c:v>
                  </c:pt>
                  <c:pt idx="16">
                    <c:v>8.3000000000000004E-2</c:v>
                  </c:pt>
                  <c:pt idx="17">
                    <c:v>7.8E-2</c:v>
                  </c:pt>
                  <c:pt idx="18">
                    <c:v>7.5999999999999998E-2</c:v>
                  </c:pt>
                </c:numCache>
              </c:numRef>
            </c:minus>
            <c:spPr>
              <a:noFill/>
              <a:ln w="19050" cap="flat" cmpd="sng" algn="ctr">
                <a:solidFill>
                  <a:schemeClr val="tx2"/>
                </a:solidFill>
                <a:round/>
              </a:ln>
              <a:effectLst/>
            </c:spPr>
          </c:errBars>
          <c:cat>
            <c:multiLvlStrRef>
              <c:f>Sheet1!$A$2:$B$20</c:f>
              <c:multiLvlStrCache>
                <c:ptCount val="19"/>
                <c:lvl>
                  <c:pt idx="0">
                    <c:v>Captial (non SDA)</c:v>
                  </c:pt>
                  <c:pt idx="1">
                    <c:v>Capital (SDA)</c:v>
                  </c:pt>
                  <c:pt idx="2">
                    <c:v>SIL</c:v>
                  </c:pt>
                  <c:pt idx="3">
                    <c:v>First Nations</c:v>
                  </c:pt>
                  <c:pt idx="4">
                    <c:v>Main language English</c:v>
                  </c:pt>
                  <c:pt idx="5">
                    <c:v>Complex support needs</c:v>
                  </c:pt>
                  <c:pt idx="6">
                    <c:v>0 - 7</c:v>
                  </c:pt>
                  <c:pt idx="7">
                    <c:v>8 - 15</c:v>
                  </c:pt>
                  <c:pt idx="8">
                    <c:v>16 - 24</c:v>
                  </c:pt>
                  <c:pt idx="9">
                    <c:v>25 - 64</c:v>
                  </c:pt>
                  <c:pt idx="10">
                    <c:v>11-20%</c:v>
                  </c:pt>
                  <c:pt idx="11">
                    <c:v>21-30%</c:v>
                  </c:pt>
                  <c:pt idx="12">
                    <c:v>31-40%</c:v>
                  </c:pt>
                  <c:pt idx="13">
                    <c:v>41-50%</c:v>
                  </c:pt>
                  <c:pt idx="14">
                    <c:v>51-60%</c:v>
                  </c:pt>
                  <c:pt idx="15">
                    <c:v>61-70%</c:v>
                  </c:pt>
                  <c:pt idx="16">
                    <c:v>71-80%</c:v>
                  </c:pt>
                  <c:pt idx="17">
                    <c:v>81-90%</c:v>
                  </c:pt>
                  <c:pt idx="18">
                    <c:v>91-100%</c:v>
                  </c:pt>
                </c:lvl>
                <c:lvl>
                  <c:pt idx="0">
                    <c:v>Supports</c:v>
                  </c:pt>
                  <c:pt idx="3">
                    <c:v>Demographics</c:v>
                  </c:pt>
                  <c:pt idx="6">
                    <c:v>Age</c:v>
                  </c:pt>
                  <c:pt idx="10">
                    <c:v>% Decrease in plan budget</c:v>
                  </c:pt>
                </c:lvl>
              </c:multiLvlStrCache>
            </c:multiLvlStrRef>
          </c:cat>
          <c:val>
            <c:numRef>
              <c:f>Sheet1!$C$2:$C$20</c:f>
              <c:numCache>
                <c:formatCode>0%</c:formatCode>
                <c:ptCount val="19"/>
                <c:pt idx="0">
                  <c:v>0.93500000000000005</c:v>
                </c:pt>
                <c:pt idx="1">
                  <c:v>2.25285</c:v>
                </c:pt>
                <c:pt idx="2">
                  <c:v>0.17</c:v>
                </c:pt>
                <c:pt idx="3">
                  <c:v>-0.28999999999999998</c:v>
                </c:pt>
                <c:pt idx="4">
                  <c:v>0.33</c:v>
                </c:pt>
                <c:pt idx="5">
                  <c:v>0.36</c:v>
                </c:pt>
                <c:pt idx="6">
                  <c:v>0.49</c:v>
                </c:pt>
                <c:pt idx="7">
                  <c:v>0.57999999999999996</c:v>
                </c:pt>
                <c:pt idx="8">
                  <c:v>0.01</c:v>
                </c:pt>
                <c:pt idx="9">
                  <c:v>0.17</c:v>
                </c:pt>
                <c:pt idx="10">
                  <c:v>0.24371399999999999</c:v>
                </c:pt>
                <c:pt idx="11">
                  <c:v>0.54109399999999996</c:v>
                </c:pt>
                <c:pt idx="12">
                  <c:v>0.67266300000000001</c:v>
                </c:pt>
                <c:pt idx="13">
                  <c:v>0.68929200000000002</c:v>
                </c:pt>
                <c:pt idx="14">
                  <c:v>0.73394300000000001</c:v>
                </c:pt>
                <c:pt idx="15">
                  <c:v>0.71795699999999996</c:v>
                </c:pt>
                <c:pt idx="16">
                  <c:v>0.74858199999999997</c:v>
                </c:pt>
                <c:pt idx="17">
                  <c:v>0.61434200000000005</c:v>
                </c:pt>
                <c:pt idx="18">
                  <c:v>0.51275700000000002</c:v>
                </c:pt>
              </c:numCache>
            </c:numRef>
          </c:val>
          <c:extLst>
            <c:ext xmlns:c16="http://schemas.microsoft.com/office/drawing/2014/chart" uri="{C3380CC4-5D6E-409C-BE32-E72D297353CC}">
              <c16:uniqueId val="{00000000-B30A-411B-8AEA-F56E142F88BD}"/>
            </c:ext>
          </c:extLst>
        </c:ser>
        <c:dLbls>
          <c:showLegendKey val="0"/>
          <c:showVal val="0"/>
          <c:showCatName val="0"/>
          <c:showSerName val="0"/>
          <c:showPercent val="0"/>
          <c:showBubbleSize val="0"/>
        </c:dLbls>
        <c:gapWidth val="50"/>
        <c:axId val="1669166320"/>
        <c:axId val="1318782256"/>
      </c:barChart>
      <c:catAx>
        <c:axId val="166916632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18782256"/>
        <c:crosses val="autoZero"/>
        <c:auto val="1"/>
        <c:lblAlgn val="ctr"/>
        <c:lblOffset val="100"/>
        <c:noMultiLvlLbl val="0"/>
      </c:catAx>
      <c:valAx>
        <c:axId val="1318782256"/>
        <c:scaling>
          <c:orientation val="minMax"/>
          <c:max val="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ysClr val="windowText" lastClr="000000"/>
                    </a:solidFill>
                  </a:rPr>
                  <a:t>Change in propensity</a:t>
                </a:r>
                <a:r>
                  <a:rPr lang="en-AU" baseline="0">
                    <a:solidFill>
                      <a:sysClr val="windowText" lastClr="000000"/>
                    </a:solidFill>
                  </a:rPr>
                  <a:t> to transition to AAT</a:t>
                </a:r>
                <a:endParaRPr lang="en-AU">
                  <a:solidFill>
                    <a:sysClr val="windowText" lastClr="000000"/>
                  </a:solidFill>
                </a:endParaRPr>
              </a:p>
            </c:rich>
          </c:tx>
          <c:layout>
            <c:manualLayout>
              <c:xMode val="edge"/>
              <c:yMode val="edge"/>
              <c:x val="0.46087736507684013"/>
              <c:y val="0.944209303624281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669166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211820291284375"/>
          <c:y val="3.4097954122752634E-2"/>
          <c:w val="0.68759460918449034"/>
          <c:h val="0.75447330681602942"/>
        </c:manualLayout>
      </c:layout>
      <c:barChart>
        <c:barDir val="bar"/>
        <c:grouping val="clustered"/>
        <c:varyColors val="0"/>
        <c:ser>
          <c:idx val="0"/>
          <c:order val="0"/>
          <c:tx>
            <c:strRef>
              <c:f>Sheet1!$B$1</c:f>
              <c:strCache>
                <c:ptCount val="1"/>
                <c:pt idx="0">
                  <c:v>IERP (n=114)</c:v>
                </c:pt>
              </c:strCache>
            </c:strRef>
          </c:tx>
          <c:spPr>
            <a:solidFill>
              <a:schemeClr val="tx2"/>
            </a:solidFill>
            <a:ln>
              <a:solidFill>
                <a:schemeClr val="tx2"/>
              </a:solidFill>
            </a:ln>
            <a:effectLst/>
          </c:spPr>
          <c:invertIfNegative val="0"/>
          <c:cat>
            <c:strRef>
              <c:f>Sheet1!$A$2:$A$13</c:f>
              <c:strCache>
                <c:ptCount val="12"/>
                <c:pt idx="0">
                  <c:v>Daily Living Costs</c:v>
                </c:pt>
                <c:pt idx="1">
                  <c:v>SIL</c:v>
                </c:pt>
                <c:pt idx="2">
                  <c:v>General Supports</c:v>
                </c:pt>
                <c:pt idx="3">
                  <c:v>Home Mods</c:v>
                </c:pt>
                <c:pt idx="4">
                  <c:v>Transport</c:v>
                </c:pt>
                <c:pt idx="5">
                  <c:v>SDA</c:v>
                </c:pt>
                <c:pt idx="6">
                  <c:v>Other</c:v>
                </c:pt>
                <c:pt idx="7">
                  <c:v>Consumables</c:v>
                </c:pt>
                <c:pt idx="8">
                  <c:v>Assistive Technology</c:v>
                </c:pt>
                <c:pt idx="9">
                  <c:v>Plan Management</c:v>
                </c:pt>
                <c:pt idx="10">
                  <c:v>Core Supports</c:v>
                </c:pt>
                <c:pt idx="11">
                  <c:v>CB Supports</c:v>
                </c:pt>
              </c:strCache>
            </c:strRef>
          </c:cat>
          <c:val>
            <c:numRef>
              <c:f>Sheet1!$B$2:$B$13</c:f>
              <c:numCache>
                <c:formatCode>0%</c:formatCode>
                <c:ptCount val="12"/>
                <c:pt idx="0">
                  <c:v>2.4590163934426229E-2</c:v>
                </c:pt>
                <c:pt idx="1">
                  <c:v>4.0983606557377046E-2</c:v>
                </c:pt>
                <c:pt idx="2">
                  <c:v>0</c:v>
                </c:pt>
                <c:pt idx="3">
                  <c:v>1.6393442622950821E-2</c:v>
                </c:pt>
                <c:pt idx="4">
                  <c:v>4.9180327868852458E-2</c:v>
                </c:pt>
                <c:pt idx="5">
                  <c:v>3.2786885245901641E-2</c:v>
                </c:pt>
                <c:pt idx="6">
                  <c:v>4.9180327868852458E-2</c:v>
                </c:pt>
                <c:pt idx="7">
                  <c:v>2.4590163934426229E-2</c:v>
                </c:pt>
                <c:pt idx="8">
                  <c:v>4.0983606557377046E-2</c:v>
                </c:pt>
                <c:pt idx="9">
                  <c:v>1.6393442622950821E-2</c:v>
                </c:pt>
                <c:pt idx="10">
                  <c:v>0.35245901639344263</c:v>
                </c:pt>
                <c:pt idx="11">
                  <c:v>0.35245901639344263</c:v>
                </c:pt>
              </c:numCache>
            </c:numRef>
          </c:val>
          <c:extLst>
            <c:ext xmlns:c16="http://schemas.microsoft.com/office/drawing/2014/chart" uri="{C3380CC4-5D6E-409C-BE32-E72D297353CC}">
              <c16:uniqueId val="{00000000-6856-4B1A-8087-8ADCCEB14F71}"/>
            </c:ext>
          </c:extLst>
        </c:ser>
        <c:ser>
          <c:idx val="1"/>
          <c:order val="1"/>
          <c:tx>
            <c:strRef>
              <c:f>Sheet1!$C$1</c:f>
              <c:strCache>
                <c:ptCount val="1"/>
                <c:pt idx="0">
                  <c:v>AAT (n=285)</c:v>
                </c:pt>
              </c:strCache>
            </c:strRef>
          </c:tx>
          <c:spPr>
            <a:solidFill>
              <a:schemeClr val="bg2"/>
            </a:solidFill>
            <a:ln>
              <a:solidFill>
                <a:schemeClr val="bg2"/>
              </a:solidFill>
            </a:ln>
            <a:effectLst/>
          </c:spPr>
          <c:invertIfNegative val="0"/>
          <c:cat>
            <c:strRef>
              <c:f>Sheet1!$A$2:$A$13</c:f>
              <c:strCache>
                <c:ptCount val="12"/>
                <c:pt idx="0">
                  <c:v>Daily Living Costs</c:v>
                </c:pt>
                <c:pt idx="1">
                  <c:v>SIL</c:v>
                </c:pt>
                <c:pt idx="2">
                  <c:v>General Supports</c:v>
                </c:pt>
                <c:pt idx="3">
                  <c:v>Home Mods</c:v>
                </c:pt>
                <c:pt idx="4">
                  <c:v>Transport</c:v>
                </c:pt>
                <c:pt idx="5">
                  <c:v>SDA</c:v>
                </c:pt>
                <c:pt idx="6">
                  <c:v>Other</c:v>
                </c:pt>
                <c:pt idx="7">
                  <c:v>Consumables</c:v>
                </c:pt>
                <c:pt idx="8">
                  <c:v>Assistive Technology</c:v>
                </c:pt>
                <c:pt idx="9">
                  <c:v>Plan Management</c:v>
                </c:pt>
                <c:pt idx="10">
                  <c:v>Core Supports</c:v>
                </c:pt>
                <c:pt idx="11">
                  <c:v>CB Supports</c:v>
                </c:pt>
              </c:strCache>
            </c:strRef>
          </c:cat>
          <c:val>
            <c:numRef>
              <c:f>Sheet1!$C$2:$C$13</c:f>
              <c:numCache>
                <c:formatCode>0%</c:formatCode>
                <c:ptCount val="12"/>
                <c:pt idx="0">
                  <c:v>3.5087719298245615E-3</c:v>
                </c:pt>
                <c:pt idx="1">
                  <c:v>3.5087719298245615E-3</c:v>
                </c:pt>
                <c:pt idx="2">
                  <c:v>7.0175438596491229E-3</c:v>
                </c:pt>
                <c:pt idx="3">
                  <c:v>7.0175438596491229E-3</c:v>
                </c:pt>
                <c:pt idx="4">
                  <c:v>7.0175438596491229E-3</c:v>
                </c:pt>
                <c:pt idx="5">
                  <c:v>1.7543859649122806E-2</c:v>
                </c:pt>
                <c:pt idx="6">
                  <c:v>1.7543859649122806E-2</c:v>
                </c:pt>
                <c:pt idx="7">
                  <c:v>2.8070175438596492E-2</c:v>
                </c:pt>
                <c:pt idx="8">
                  <c:v>7.3684210526315783E-2</c:v>
                </c:pt>
                <c:pt idx="9">
                  <c:v>0.18596491228070175</c:v>
                </c:pt>
                <c:pt idx="10">
                  <c:v>0.28421052631578947</c:v>
                </c:pt>
                <c:pt idx="11">
                  <c:v>0.36491228070175441</c:v>
                </c:pt>
              </c:numCache>
            </c:numRef>
          </c:val>
          <c:extLst>
            <c:ext xmlns:c16="http://schemas.microsoft.com/office/drawing/2014/chart" uri="{C3380CC4-5D6E-409C-BE32-E72D297353CC}">
              <c16:uniqueId val="{00000001-6856-4B1A-8087-8ADCCEB14F71}"/>
            </c:ext>
          </c:extLst>
        </c:ser>
        <c:dLbls>
          <c:showLegendKey val="0"/>
          <c:showVal val="0"/>
          <c:showCatName val="0"/>
          <c:showSerName val="0"/>
          <c:showPercent val="0"/>
          <c:showBubbleSize val="0"/>
        </c:dLbls>
        <c:gapWidth val="50"/>
        <c:axId val="1963266831"/>
        <c:axId val="718026239"/>
      </c:barChart>
      <c:catAx>
        <c:axId val="19632668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18026239"/>
        <c:crosses val="autoZero"/>
        <c:auto val="1"/>
        <c:lblAlgn val="ctr"/>
        <c:lblOffset val="100"/>
        <c:noMultiLvlLbl val="0"/>
      </c:catAx>
      <c:valAx>
        <c:axId val="7180262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solidFill>
                      <a:sysClr val="windowText" lastClr="000000"/>
                    </a:solidFill>
                  </a:rPr>
                  <a:t>% of sample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963266831"/>
        <c:crosses val="autoZero"/>
        <c:crossBetween val="between"/>
      </c:valAx>
      <c:spPr>
        <a:noFill/>
        <a:ln>
          <a:noFill/>
        </a:ln>
        <a:effectLst/>
      </c:spPr>
    </c:plotArea>
    <c:legend>
      <c:legendPos val="b"/>
      <c:layout>
        <c:manualLayout>
          <c:xMode val="edge"/>
          <c:yMode val="edge"/>
          <c:x val="0.15366430260047281"/>
          <c:y val="0.91236815758854883"/>
          <c:w val="0.81560283687943258"/>
          <c:h val="5.6666666666666657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spcAft>
          <a:spcPts val="1200"/>
        </a:spcAft>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238699329250504E-2"/>
          <c:y val="4.3650793650793648E-2"/>
          <c:w val="0.88829833770778655"/>
          <c:h val="0.71697475315585557"/>
        </c:manualLayout>
      </c:layout>
      <c:barChart>
        <c:barDir val="col"/>
        <c:grouping val="percentStacked"/>
        <c:varyColors val="0"/>
        <c:ser>
          <c:idx val="0"/>
          <c:order val="0"/>
          <c:tx>
            <c:strRef>
              <c:f>Sheet1!$A$2</c:f>
              <c:strCache>
                <c:ptCount val="1"/>
                <c:pt idx="0">
                  <c:v>Completely satisfied</c:v>
                </c:pt>
              </c:strCache>
            </c:strRef>
          </c:tx>
          <c:spPr>
            <a:solidFill>
              <a:schemeClr val="tx2"/>
            </a:solidFill>
            <a:ln>
              <a:solidFill>
                <a:schemeClr val="tx2"/>
              </a:solid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0-9D95-41FF-91C0-A7C2807C8BF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Framework  to make a recommendation</c:v>
                </c:pt>
                <c:pt idx="1">
                  <c:v>NDIA follow-up at the conclusion of IER process</c:v>
                </c:pt>
                <c:pt idx="2">
                  <c:v>Types of matters referred</c:v>
                </c:pt>
                <c:pt idx="3">
                  <c:v>Process for receiving material via GovTeams</c:v>
                </c:pt>
                <c:pt idx="4">
                  <c:v>NDIA management of IERP</c:v>
                </c:pt>
                <c:pt idx="5">
                  <c:v>The material referred to you to make a recommendation</c:v>
                </c:pt>
              </c:strCache>
            </c:strRef>
          </c:cat>
          <c:val>
            <c:numRef>
              <c:f>Sheet1!$B$2:$G$2</c:f>
              <c:numCache>
                <c:formatCode>General</c:formatCode>
                <c:ptCount val="6"/>
                <c:pt idx="0">
                  <c:v>5</c:v>
                </c:pt>
                <c:pt idx="1">
                  <c:v>4</c:v>
                </c:pt>
                <c:pt idx="2">
                  <c:v>3</c:v>
                </c:pt>
                <c:pt idx="3">
                  <c:v>3</c:v>
                </c:pt>
                <c:pt idx="4">
                  <c:v>2</c:v>
                </c:pt>
                <c:pt idx="5">
                  <c:v>0</c:v>
                </c:pt>
              </c:numCache>
            </c:numRef>
          </c:val>
          <c:extLst>
            <c:ext xmlns:c16="http://schemas.microsoft.com/office/drawing/2014/chart" uri="{C3380CC4-5D6E-409C-BE32-E72D297353CC}">
              <c16:uniqueId val="{00000001-9D95-41FF-91C0-A7C2807C8BFA}"/>
            </c:ext>
          </c:extLst>
        </c:ser>
        <c:ser>
          <c:idx val="1"/>
          <c:order val="1"/>
          <c:tx>
            <c:strRef>
              <c:f>Sheet1!$A$3</c:f>
              <c:strCache>
                <c:ptCount val="1"/>
                <c:pt idx="0">
                  <c:v>Mostly satisfied</c:v>
                </c:pt>
              </c:strCache>
            </c:strRef>
          </c:tx>
          <c:spPr>
            <a:pattFill prst="wdDnDiag">
              <a:fgClr>
                <a:schemeClr val="tx2"/>
              </a:fgClr>
              <a:bgClr>
                <a:schemeClr val="tx2">
                  <a:lumMod val="20000"/>
                  <a:lumOff val="80000"/>
                </a:schemeClr>
              </a:bgClr>
            </a:pattFill>
            <a:ln>
              <a:solidFill>
                <a:schemeClr val="tx2"/>
              </a:solid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Framework  to make a recommendation</c:v>
                </c:pt>
                <c:pt idx="1">
                  <c:v>NDIA follow-up at the conclusion of IER process</c:v>
                </c:pt>
                <c:pt idx="2">
                  <c:v>Types of matters referred</c:v>
                </c:pt>
                <c:pt idx="3">
                  <c:v>Process for receiving material via GovTeams</c:v>
                </c:pt>
                <c:pt idx="4">
                  <c:v>NDIA management of IERP</c:v>
                </c:pt>
                <c:pt idx="5">
                  <c:v>The material referred to you to make a recommendation</c:v>
                </c:pt>
              </c:strCache>
            </c:strRef>
          </c:cat>
          <c:val>
            <c:numRef>
              <c:f>Sheet1!$B$3:$G$3</c:f>
              <c:numCache>
                <c:formatCode>General</c:formatCode>
                <c:ptCount val="6"/>
                <c:pt idx="0">
                  <c:v>4</c:v>
                </c:pt>
                <c:pt idx="1">
                  <c:v>6</c:v>
                </c:pt>
                <c:pt idx="2">
                  <c:v>7</c:v>
                </c:pt>
                <c:pt idx="3">
                  <c:v>6</c:v>
                </c:pt>
                <c:pt idx="4">
                  <c:v>7</c:v>
                </c:pt>
                <c:pt idx="5">
                  <c:v>6</c:v>
                </c:pt>
              </c:numCache>
            </c:numRef>
          </c:val>
          <c:extLst>
            <c:ext xmlns:c16="http://schemas.microsoft.com/office/drawing/2014/chart" uri="{C3380CC4-5D6E-409C-BE32-E72D297353CC}">
              <c16:uniqueId val="{00000002-9D95-41FF-91C0-A7C2807C8BFA}"/>
            </c:ext>
          </c:extLst>
        </c:ser>
        <c:ser>
          <c:idx val="2"/>
          <c:order val="2"/>
          <c:tx>
            <c:strRef>
              <c:f>Sheet1!$A$4</c:f>
              <c:strCache>
                <c:ptCount val="1"/>
                <c:pt idx="0">
                  <c:v>Somewhat satisfied</c:v>
                </c:pt>
              </c:strCache>
            </c:strRef>
          </c:tx>
          <c:spPr>
            <a:pattFill prst="pct5">
              <a:fgClr>
                <a:schemeClr val="tx2"/>
              </a:fgClr>
              <a:bgClr>
                <a:schemeClr val="tx2">
                  <a:lumMod val="20000"/>
                  <a:lumOff val="80000"/>
                </a:schemeClr>
              </a:bgClr>
            </a:pattFill>
            <a:ln>
              <a:solidFill>
                <a:schemeClr val="tx2"/>
              </a:solidFill>
            </a:ln>
            <a:effectLst/>
          </c:spPr>
          <c:invertIfNegative val="0"/>
          <c:cat>
            <c:strRef>
              <c:f>Sheet1!$B$1:$G$1</c:f>
              <c:strCache>
                <c:ptCount val="6"/>
                <c:pt idx="0">
                  <c:v>Framework  to make a recommendation</c:v>
                </c:pt>
                <c:pt idx="1">
                  <c:v>NDIA follow-up at the conclusion of IER process</c:v>
                </c:pt>
                <c:pt idx="2">
                  <c:v>Types of matters referred</c:v>
                </c:pt>
                <c:pt idx="3">
                  <c:v>Process for receiving material via GovTeams</c:v>
                </c:pt>
                <c:pt idx="4">
                  <c:v>NDIA management of IERP</c:v>
                </c:pt>
                <c:pt idx="5">
                  <c:v>The material referred to you to make a recommendation</c:v>
                </c:pt>
              </c:strCache>
            </c:strRef>
          </c:cat>
          <c:val>
            <c:numRef>
              <c:f>Sheet1!$B$4:$G$4</c:f>
              <c:numCache>
                <c:formatCode>General</c:formatCode>
                <c:ptCount val="6"/>
                <c:pt idx="0">
                  <c:v>2</c:v>
                </c:pt>
                <c:pt idx="1">
                  <c:v>1</c:v>
                </c:pt>
                <c:pt idx="2">
                  <c:v>2</c:v>
                </c:pt>
                <c:pt idx="3">
                  <c:v>4</c:v>
                </c:pt>
                <c:pt idx="4">
                  <c:v>1</c:v>
                </c:pt>
                <c:pt idx="5">
                  <c:v>2</c:v>
                </c:pt>
              </c:numCache>
            </c:numRef>
          </c:val>
          <c:extLst>
            <c:ext xmlns:c16="http://schemas.microsoft.com/office/drawing/2014/chart" uri="{C3380CC4-5D6E-409C-BE32-E72D297353CC}">
              <c16:uniqueId val="{00000003-9D95-41FF-91C0-A7C2807C8BFA}"/>
            </c:ext>
          </c:extLst>
        </c:ser>
        <c:ser>
          <c:idx val="3"/>
          <c:order val="3"/>
          <c:tx>
            <c:strRef>
              <c:f>Sheet1!$A$5</c:f>
              <c:strCache>
                <c:ptCount val="1"/>
                <c:pt idx="0">
                  <c:v>Only a little bit satisfied</c:v>
                </c:pt>
              </c:strCache>
            </c:strRef>
          </c:tx>
          <c:spPr>
            <a:pattFill prst="wdDnDiag">
              <a:fgClr>
                <a:schemeClr val="bg2"/>
              </a:fgClr>
              <a:bgClr>
                <a:schemeClr val="bg2">
                  <a:lumMod val="20000"/>
                  <a:lumOff val="80000"/>
                </a:schemeClr>
              </a:bgClr>
            </a:pattFill>
            <a:ln>
              <a:solidFill>
                <a:schemeClr val="bg2"/>
              </a:solidFill>
            </a:ln>
            <a:effectLst/>
          </c:spPr>
          <c:invertIfNegative val="0"/>
          <c:cat>
            <c:strRef>
              <c:f>Sheet1!$B$1:$G$1</c:f>
              <c:strCache>
                <c:ptCount val="6"/>
                <c:pt idx="0">
                  <c:v>Framework  to make a recommendation</c:v>
                </c:pt>
                <c:pt idx="1">
                  <c:v>NDIA follow-up at the conclusion of IER process</c:v>
                </c:pt>
                <c:pt idx="2">
                  <c:v>Types of matters referred</c:v>
                </c:pt>
                <c:pt idx="3">
                  <c:v>Process for receiving material via GovTeams</c:v>
                </c:pt>
                <c:pt idx="4">
                  <c:v>NDIA management of IERP</c:v>
                </c:pt>
                <c:pt idx="5">
                  <c:v>The material referred to you to make a recommendation</c:v>
                </c:pt>
              </c:strCache>
            </c:strRef>
          </c:cat>
          <c:val>
            <c:numRef>
              <c:f>Sheet1!$B$5:$G$5</c:f>
              <c:numCache>
                <c:formatCode>General</c:formatCode>
                <c:ptCount val="6"/>
                <c:pt idx="0">
                  <c:v>2</c:v>
                </c:pt>
                <c:pt idx="1">
                  <c:v>2</c:v>
                </c:pt>
                <c:pt idx="2">
                  <c:v>0</c:v>
                </c:pt>
                <c:pt idx="3">
                  <c:v>0</c:v>
                </c:pt>
                <c:pt idx="4">
                  <c:v>3</c:v>
                </c:pt>
                <c:pt idx="5">
                  <c:v>5</c:v>
                </c:pt>
              </c:numCache>
            </c:numRef>
          </c:val>
          <c:extLst>
            <c:ext xmlns:c16="http://schemas.microsoft.com/office/drawing/2014/chart" uri="{C3380CC4-5D6E-409C-BE32-E72D297353CC}">
              <c16:uniqueId val="{00000004-9D95-41FF-91C0-A7C2807C8BFA}"/>
            </c:ext>
          </c:extLst>
        </c:ser>
        <c:ser>
          <c:idx val="4"/>
          <c:order val="4"/>
          <c:tx>
            <c:strRef>
              <c:f>Sheet1!$A$6</c:f>
              <c:strCache>
                <c:ptCount val="1"/>
                <c:pt idx="0">
                  <c:v>Not at all satisfied</c:v>
                </c:pt>
              </c:strCache>
            </c:strRef>
          </c:tx>
          <c:spPr>
            <a:solidFill>
              <a:schemeClr val="bg2"/>
            </a:solidFill>
            <a:ln>
              <a:solidFill>
                <a:schemeClr val="bg2"/>
              </a:solidFill>
            </a:ln>
            <a:effectLst/>
          </c:spPr>
          <c:invertIfNegative val="0"/>
          <c:cat>
            <c:strRef>
              <c:f>Sheet1!$B$1:$G$1</c:f>
              <c:strCache>
                <c:ptCount val="6"/>
                <c:pt idx="0">
                  <c:v>Framework  to make a recommendation</c:v>
                </c:pt>
                <c:pt idx="1">
                  <c:v>NDIA follow-up at the conclusion of IER process</c:v>
                </c:pt>
                <c:pt idx="2">
                  <c:v>Types of matters referred</c:v>
                </c:pt>
                <c:pt idx="3">
                  <c:v>Process for receiving material via GovTeams</c:v>
                </c:pt>
                <c:pt idx="4">
                  <c:v>NDIA management of IERP</c:v>
                </c:pt>
                <c:pt idx="5">
                  <c:v>The material referred to you to make a recommendation</c:v>
                </c:pt>
              </c:strCache>
            </c:strRef>
          </c:cat>
          <c:val>
            <c:numRef>
              <c:f>Sheet1!$B$6:$G$6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5-9D95-41FF-91C0-A7C2807C8BFA}"/>
            </c:ext>
          </c:extLst>
        </c:ser>
        <c:dLbls>
          <c:showLegendKey val="0"/>
          <c:showVal val="0"/>
          <c:showCatName val="0"/>
          <c:showSerName val="0"/>
          <c:showPercent val="0"/>
          <c:showBubbleSize val="0"/>
        </c:dLbls>
        <c:gapWidth val="150"/>
        <c:overlap val="100"/>
        <c:axId val="1121232176"/>
        <c:axId val="882560688"/>
      </c:barChart>
      <c:catAx>
        <c:axId val="1121232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882560688"/>
        <c:crosses val="autoZero"/>
        <c:auto val="1"/>
        <c:lblAlgn val="ctr"/>
        <c:lblOffset val="100"/>
        <c:noMultiLvlLbl val="0"/>
      </c:catAx>
      <c:valAx>
        <c:axId val="882560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21232176"/>
        <c:crosses val="autoZero"/>
        <c:crossBetween val="between"/>
        <c:majorUnit val="0.2"/>
      </c:valAx>
      <c:spPr>
        <a:noFill/>
        <a:ln w="25400">
          <a:noFill/>
        </a:ln>
        <a:effectLst/>
      </c:spPr>
    </c:plotArea>
    <c:legend>
      <c:legendPos val="b"/>
      <c:legendEntry>
        <c:idx val="3"/>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Entry>
      <c:layout>
        <c:manualLayout>
          <c:xMode val="edge"/>
          <c:yMode val="edge"/>
          <c:x val="0"/>
          <c:y val="0.93032931350064973"/>
          <c:w val="0.99361329833770795"/>
          <c:h val="6.967068649935026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749757790343294E-2"/>
          <c:y val="2.9172035313767598E-2"/>
          <c:w val="0.90223308495833998"/>
          <c:h val="0.71939774420089375"/>
        </c:manualLayout>
      </c:layout>
      <c:barChart>
        <c:barDir val="col"/>
        <c:grouping val="percentStacked"/>
        <c:varyColors val="0"/>
        <c:ser>
          <c:idx val="0"/>
          <c:order val="0"/>
          <c:tx>
            <c:strRef>
              <c:f>Sheet1!$A$2</c:f>
              <c:strCache>
                <c:ptCount val="1"/>
                <c:pt idx="0">
                  <c:v>Completely satisfied</c:v>
                </c:pt>
              </c:strCache>
            </c:strRef>
          </c:tx>
          <c:spPr>
            <a:solidFill>
              <a:schemeClr val="tx2"/>
            </a:solidFill>
            <a:ln>
              <a:solidFill>
                <a:schemeClr val="tx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Sheet1!$B$1:$H$1</c:f>
              <c:strCache>
                <c:ptCount val="7"/>
                <c:pt idx="0">
                  <c:v>The way they explained the process to you</c:v>
                </c:pt>
                <c:pt idx="1">
                  <c:v>Their understanding of your case</c:v>
                </c:pt>
                <c:pt idx="2">
                  <c:v>The way they handled your matter overall</c:v>
                </c:pt>
                <c:pt idx="3">
                  <c:v>How prepared they were when they met you</c:v>
                </c:pt>
                <c:pt idx="4">
                  <c:v>Their communication with you during the process</c:v>
                </c:pt>
                <c:pt idx="5">
                  <c:v>Their understanding of your disability and how it affects your life</c:v>
                </c:pt>
                <c:pt idx="6">
                  <c:v>The way they explained their recommendation to you</c:v>
                </c:pt>
              </c:strCache>
            </c:strRef>
          </c:cat>
          <c:val>
            <c:numRef>
              <c:f>Sheet1!$B$2:$H$2</c:f>
              <c:numCache>
                <c:formatCode>General</c:formatCode>
                <c:ptCount val="7"/>
                <c:pt idx="0">
                  <c:v>9</c:v>
                </c:pt>
                <c:pt idx="1">
                  <c:v>9</c:v>
                </c:pt>
                <c:pt idx="2">
                  <c:v>9</c:v>
                </c:pt>
                <c:pt idx="3">
                  <c:v>8</c:v>
                </c:pt>
                <c:pt idx="4">
                  <c:v>8</c:v>
                </c:pt>
                <c:pt idx="5">
                  <c:v>8</c:v>
                </c:pt>
                <c:pt idx="6">
                  <c:v>8</c:v>
                </c:pt>
              </c:numCache>
            </c:numRef>
          </c:val>
          <c:extLst>
            <c:ext xmlns:c16="http://schemas.microsoft.com/office/drawing/2014/chart" uri="{C3380CC4-5D6E-409C-BE32-E72D297353CC}">
              <c16:uniqueId val="{00000000-A851-4F94-AF02-C5E81347BBD3}"/>
            </c:ext>
          </c:extLst>
        </c:ser>
        <c:ser>
          <c:idx val="1"/>
          <c:order val="1"/>
          <c:tx>
            <c:strRef>
              <c:f>Sheet1!$A$3</c:f>
              <c:strCache>
                <c:ptCount val="1"/>
                <c:pt idx="0">
                  <c:v>Mostly satisfied</c:v>
                </c:pt>
              </c:strCache>
            </c:strRef>
          </c:tx>
          <c:spPr>
            <a:pattFill prst="wdDnDiag">
              <a:fgClr>
                <a:schemeClr val="tx2"/>
              </a:fgClr>
              <a:bgClr>
                <a:schemeClr val="tx2">
                  <a:lumMod val="20000"/>
                  <a:lumOff val="80000"/>
                </a:schemeClr>
              </a:bgClr>
            </a:pattFill>
            <a:ln>
              <a:solidFill>
                <a:schemeClr val="tx2"/>
              </a:solidFill>
            </a:ln>
            <a:effectLst/>
          </c:spPr>
          <c:invertIfNegative val="0"/>
          <c:cat>
            <c:strRef>
              <c:f>Sheet1!$B$1:$H$1</c:f>
              <c:strCache>
                <c:ptCount val="7"/>
                <c:pt idx="0">
                  <c:v>The way they explained the process to you</c:v>
                </c:pt>
                <c:pt idx="1">
                  <c:v>Their understanding of your case</c:v>
                </c:pt>
                <c:pt idx="2">
                  <c:v>The way they handled your matter overall</c:v>
                </c:pt>
                <c:pt idx="3">
                  <c:v>How prepared they were when they met you</c:v>
                </c:pt>
                <c:pt idx="4">
                  <c:v>Their communication with you during the process</c:v>
                </c:pt>
                <c:pt idx="5">
                  <c:v>Their understanding of your disability and how it affects your life</c:v>
                </c:pt>
                <c:pt idx="6">
                  <c:v>The way they explained their recommendation to you</c:v>
                </c:pt>
              </c:strCache>
            </c:strRef>
          </c:cat>
          <c:val>
            <c:numRef>
              <c:f>Sheet1!$B$3:$H$3</c:f>
              <c:numCache>
                <c:formatCode>General</c:formatCode>
                <c:ptCount val="7"/>
                <c:pt idx="0">
                  <c:v>0</c:v>
                </c:pt>
                <c:pt idx="1">
                  <c:v>1</c:v>
                </c:pt>
                <c:pt idx="2">
                  <c:v>0</c:v>
                </c:pt>
                <c:pt idx="3">
                  <c:v>1</c:v>
                </c:pt>
                <c:pt idx="4">
                  <c:v>1</c:v>
                </c:pt>
                <c:pt idx="5">
                  <c:v>0</c:v>
                </c:pt>
                <c:pt idx="6">
                  <c:v>0</c:v>
                </c:pt>
              </c:numCache>
            </c:numRef>
          </c:val>
          <c:extLst>
            <c:ext xmlns:c16="http://schemas.microsoft.com/office/drawing/2014/chart" uri="{C3380CC4-5D6E-409C-BE32-E72D297353CC}">
              <c16:uniqueId val="{00000001-A851-4F94-AF02-C5E81347BBD3}"/>
            </c:ext>
          </c:extLst>
        </c:ser>
        <c:ser>
          <c:idx val="2"/>
          <c:order val="2"/>
          <c:tx>
            <c:strRef>
              <c:f>Sheet1!$A$4</c:f>
              <c:strCache>
                <c:ptCount val="1"/>
                <c:pt idx="0">
                  <c:v>Somewhat satisfied</c:v>
                </c:pt>
              </c:strCache>
            </c:strRef>
          </c:tx>
          <c:spPr>
            <a:pattFill prst="pct5">
              <a:fgClr>
                <a:schemeClr val="tx2"/>
              </a:fgClr>
              <a:bgClr>
                <a:schemeClr val="tx2">
                  <a:lumMod val="20000"/>
                  <a:lumOff val="80000"/>
                </a:schemeClr>
              </a:bgClr>
            </a:pattFill>
            <a:ln>
              <a:solidFill>
                <a:schemeClr val="tx2"/>
              </a:solidFill>
            </a:ln>
            <a:effectLst/>
          </c:spPr>
          <c:invertIfNegative val="0"/>
          <c:cat>
            <c:strRef>
              <c:f>Sheet1!$B$1:$H$1</c:f>
              <c:strCache>
                <c:ptCount val="7"/>
                <c:pt idx="0">
                  <c:v>The way they explained the process to you</c:v>
                </c:pt>
                <c:pt idx="1">
                  <c:v>Their understanding of your case</c:v>
                </c:pt>
                <c:pt idx="2">
                  <c:v>The way they handled your matter overall</c:v>
                </c:pt>
                <c:pt idx="3">
                  <c:v>How prepared they were when they met you</c:v>
                </c:pt>
                <c:pt idx="4">
                  <c:v>Their communication with you during the process</c:v>
                </c:pt>
                <c:pt idx="5">
                  <c:v>Their understanding of your disability and how it affects your life</c:v>
                </c:pt>
                <c:pt idx="6">
                  <c:v>The way they explained their recommendation to you</c:v>
                </c:pt>
              </c:strCache>
            </c:strRef>
          </c:cat>
          <c:val>
            <c:numRef>
              <c:f>Sheet1!$B$4:$H$4</c:f>
              <c:numCache>
                <c:formatCode>General</c:formatCode>
                <c:ptCount val="7"/>
                <c:pt idx="0">
                  <c:v>1</c:v>
                </c:pt>
                <c:pt idx="1">
                  <c:v>1</c:v>
                </c:pt>
                <c:pt idx="2">
                  <c:v>1</c:v>
                </c:pt>
                <c:pt idx="3">
                  <c:v>1</c:v>
                </c:pt>
                <c:pt idx="4">
                  <c:v>1</c:v>
                </c:pt>
                <c:pt idx="5">
                  <c:v>2</c:v>
                </c:pt>
                <c:pt idx="6">
                  <c:v>1</c:v>
                </c:pt>
              </c:numCache>
            </c:numRef>
          </c:val>
          <c:extLst>
            <c:ext xmlns:c16="http://schemas.microsoft.com/office/drawing/2014/chart" uri="{C3380CC4-5D6E-409C-BE32-E72D297353CC}">
              <c16:uniqueId val="{00000002-A851-4F94-AF02-C5E81347BBD3}"/>
            </c:ext>
          </c:extLst>
        </c:ser>
        <c:ser>
          <c:idx val="3"/>
          <c:order val="3"/>
          <c:tx>
            <c:strRef>
              <c:f>Sheet1!$A$5</c:f>
              <c:strCache>
                <c:ptCount val="1"/>
                <c:pt idx="0">
                  <c:v>Only a little bit satisfied</c:v>
                </c:pt>
              </c:strCache>
            </c:strRef>
          </c:tx>
          <c:spPr>
            <a:pattFill prst="wdDnDiag">
              <a:fgClr>
                <a:schemeClr val="bg2"/>
              </a:fgClr>
              <a:bgClr>
                <a:schemeClr val="bg2">
                  <a:lumMod val="20000"/>
                  <a:lumOff val="80000"/>
                </a:schemeClr>
              </a:bgClr>
            </a:pattFill>
            <a:ln>
              <a:solidFill>
                <a:schemeClr val="bg2"/>
              </a:solidFill>
            </a:ln>
            <a:effectLst/>
          </c:spPr>
          <c:invertIfNegative val="0"/>
          <c:cat>
            <c:strRef>
              <c:f>Sheet1!$B$1:$H$1</c:f>
              <c:strCache>
                <c:ptCount val="7"/>
                <c:pt idx="0">
                  <c:v>The way they explained the process to you</c:v>
                </c:pt>
                <c:pt idx="1">
                  <c:v>Their understanding of your case</c:v>
                </c:pt>
                <c:pt idx="2">
                  <c:v>The way they handled your matter overall</c:v>
                </c:pt>
                <c:pt idx="3">
                  <c:v>How prepared they were when they met you</c:v>
                </c:pt>
                <c:pt idx="4">
                  <c:v>Their communication with you during the process</c:v>
                </c:pt>
                <c:pt idx="5">
                  <c:v>Their understanding of your disability and how it affects your life</c:v>
                </c:pt>
                <c:pt idx="6">
                  <c:v>The way they explained their recommendation to you</c:v>
                </c:pt>
              </c:strCache>
            </c:strRef>
          </c:cat>
          <c:val>
            <c:numRef>
              <c:f>Sheet1!$B$5:$H$5</c:f>
              <c:numCache>
                <c:formatCode>General</c:formatCode>
                <c:ptCount val="7"/>
                <c:pt idx="0">
                  <c:v>0</c:v>
                </c:pt>
                <c:pt idx="1">
                  <c:v>0</c:v>
                </c:pt>
                <c:pt idx="2">
                  <c:v>1</c:v>
                </c:pt>
                <c:pt idx="3">
                  <c:v>0</c:v>
                </c:pt>
                <c:pt idx="4">
                  <c:v>0</c:v>
                </c:pt>
                <c:pt idx="5">
                  <c:v>1</c:v>
                </c:pt>
                <c:pt idx="6">
                  <c:v>0</c:v>
                </c:pt>
              </c:numCache>
            </c:numRef>
          </c:val>
          <c:extLst>
            <c:ext xmlns:c16="http://schemas.microsoft.com/office/drawing/2014/chart" uri="{C3380CC4-5D6E-409C-BE32-E72D297353CC}">
              <c16:uniqueId val="{00000003-A851-4F94-AF02-C5E81347BBD3}"/>
            </c:ext>
          </c:extLst>
        </c:ser>
        <c:ser>
          <c:idx val="4"/>
          <c:order val="4"/>
          <c:tx>
            <c:strRef>
              <c:f>Sheet1!$A$6</c:f>
              <c:strCache>
                <c:ptCount val="1"/>
                <c:pt idx="0">
                  <c:v>Not at all satisfied</c:v>
                </c:pt>
              </c:strCache>
            </c:strRef>
          </c:tx>
          <c:spPr>
            <a:solidFill>
              <a:schemeClr val="bg2"/>
            </a:solidFill>
            <a:ln>
              <a:solidFill>
                <a:schemeClr val="bg2"/>
              </a:solidFill>
            </a:ln>
            <a:effectLst/>
          </c:spPr>
          <c:invertIfNegative val="0"/>
          <c:cat>
            <c:strRef>
              <c:f>Sheet1!$B$1:$H$1</c:f>
              <c:strCache>
                <c:ptCount val="7"/>
                <c:pt idx="0">
                  <c:v>The way they explained the process to you</c:v>
                </c:pt>
                <c:pt idx="1">
                  <c:v>Their understanding of your case</c:v>
                </c:pt>
                <c:pt idx="2">
                  <c:v>The way they handled your matter overall</c:v>
                </c:pt>
                <c:pt idx="3">
                  <c:v>How prepared they were when they met you</c:v>
                </c:pt>
                <c:pt idx="4">
                  <c:v>Their communication with you during the process</c:v>
                </c:pt>
                <c:pt idx="5">
                  <c:v>Their understanding of your disability and how it affects your life</c:v>
                </c:pt>
                <c:pt idx="6">
                  <c:v>The way they explained their recommendation to you</c:v>
                </c:pt>
              </c:strCache>
            </c:strRef>
          </c:cat>
          <c:val>
            <c:numRef>
              <c:f>Sheet1!$B$6:$H$6</c:f>
              <c:numCache>
                <c:formatCode>General</c:formatCode>
                <c:ptCount val="7"/>
                <c:pt idx="0">
                  <c:v>1</c:v>
                </c:pt>
                <c:pt idx="1">
                  <c:v>2</c:v>
                </c:pt>
                <c:pt idx="2">
                  <c:v>2</c:v>
                </c:pt>
                <c:pt idx="3">
                  <c:v>2</c:v>
                </c:pt>
                <c:pt idx="4">
                  <c:v>2</c:v>
                </c:pt>
                <c:pt idx="5">
                  <c:v>2</c:v>
                </c:pt>
                <c:pt idx="6">
                  <c:v>3</c:v>
                </c:pt>
              </c:numCache>
            </c:numRef>
          </c:val>
          <c:extLst>
            <c:ext xmlns:c16="http://schemas.microsoft.com/office/drawing/2014/chart" uri="{C3380CC4-5D6E-409C-BE32-E72D297353CC}">
              <c16:uniqueId val="{00000004-A851-4F94-AF02-C5E81347BBD3}"/>
            </c:ext>
          </c:extLst>
        </c:ser>
        <c:dLbls>
          <c:showLegendKey val="0"/>
          <c:showVal val="0"/>
          <c:showCatName val="0"/>
          <c:showSerName val="0"/>
          <c:showPercent val="0"/>
          <c:showBubbleSize val="0"/>
        </c:dLbls>
        <c:gapWidth val="150"/>
        <c:overlap val="100"/>
        <c:axId val="882399776"/>
        <c:axId val="882387712"/>
      </c:barChart>
      <c:catAx>
        <c:axId val="88239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n-US"/>
          </a:p>
        </c:txPr>
        <c:crossAx val="882387712"/>
        <c:crosses val="autoZero"/>
        <c:auto val="1"/>
        <c:lblAlgn val="ctr"/>
        <c:lblOffset val="100"/>
        <c:noMultiLvlLbl val="0"/>
      </c:catAx>
      <c:valAx>
        <c:axId val="8823877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882399776"/>
        <c:crosses val="autoZero"/>
        <c:crossBetween val="between"/>
        <c:majorUnit val="0.2"/>
      </c:valAx>
      <c:spPr>
        <a:noFill/>
        <a:ln>
          <a:noFill/>
        </a:ln>
        <a:effectLst/>
      </c:spPr>
    </c:plotArea>
    <c:legend>
      <c:legendPos val="b"/>
      <c:layout>
        <c:manualLayout>
          <c:xMode val="edge"/>
          <c:yMode val="edge"/>
          <c:x val="2.0307867551612627E-3"/>
          <c:y val="0.91822351586686712"/>
          <c:w val="0.99796918863402939"/>
          <c:h val="5.741426088889026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812795144560777E-2"/>
          <c:y val="2.4351111344323825E-2"/>
          <c:w val="0.88307025466946432"/>
          <c:h val="0.66035181509798524"/>
        </c:manualLayout>
      </c:layout>
      <c:barChart>
        <c:barDir val="col"/>
        <c:grouping val="percentStacked"/>
        <c:varyColors val="0"/>
        <c:ser>
          <c:idx val="0"/>
          <c:order val="0"/>
          <c:tx>
            <c:strRef>
              <c:f>Sheet1!$A$2</c:f>
              <c:strCache>
                <c:ptCount val="1"/>
                <c:pt idx="0">
                  <c:v>Completely satisfied</c:v>
                </c:pt>
              </c:strCache>
            </c:strRef>
          </c:tx>
          <c:spPr>
            <a:solidFill>
              <a:schemeClr val="tx2"/>
            </a:solidFill>
            <a:ln>
              <a:solidFill>
                <a:schemeClr val="tx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NDIA dealt with expert recommendation</c:v>
                </c:pt>
                <c:pt idx="1">
                  <c:v>NDIA explanation of IERP process</c:v>
                </c:pt>
                <c:pt idx="2">
                  <c:v>Information from NDIA on IERP</c:v>
                </c:pt>
                <c:pt idx="3">
                  <c:v>Information NDIA gave to expert</c:v>
                </c:pt>
                <c:pt idx="4">
                  <c:v>Information about independent expert</c:v>
                </c:pt>
                <c:pt idx="5">
                  <c:v>NDIA communication during IERP</c:v>
                </c:pt>
              </c:strCache>
            </c:strRef>
          </c:cat>
          <c:val>
            <c:numRef>
              <c:f>Sheet1!$B$2:$G$2</c:f>
              <c:numCache>
                <c:formatCode>General</c:formatCode>
                <c:ptCount val="6"/>
                <c:pt idx="0">
                  <c:v>8</c:v>
                </c:pt>
                <c:pt idx="1">
                  <c:v>6</c:v>
                </c:pt>
                <c:pt idx="2">
                  <c:v>7</c:v>
                </c:pt>
                <c:pt idx="3">
                  <c:v>6</c:v>
                </c:pt>
                <c:pt idx="4">
                  <c:v>6</c:v>
                </c:pt>
                <c:pt idx="5">
                  <c:v>4</c:v>
                </c:pt>
              </c:numCache>
            </c:numRef>
          </c:val>
          <c:extLst>
            <c:ext xmlns:c16="http://schemas.microsoft.com/office/drawing/2014/chart" uri="{C3380CC4-5D6E-409C-BE32-E72D297353CC}">
              <c16:uniqueId val="{00000000-5165-4C6B-A659-3860EA156968}"/>
            </c:ext>
          </c:extLst>
        </c:ser>
        <c:ser>
          <c:idx val="1"/>
          <c:order val="1"/>
          <c:tx>
            <c:strRef>
              <c:f>Sheet1!$A$3</c:f>
              <c:strCache>
                <c:ptCount val="1"/>
                <c:pt idx="0">
                  <c:v>Mostly satisfied</c:v>
                </c:pt>
              </c:strCache>
            </c:strRef>
          </c:tx>
          <c:spPr>
            <a:pattFill prst="wdDnDiag">
              <a:fgClr>
                <a:schemeClr val="tx2"/>
              </a:fgClr>
              <a:bgClr>
                <a:schemeClr val="tx2">
                  <a:lumMod val="20000"/>
                  <a:lumOff val="80000"/>
                </a:schemeClr>
              </a:bgClr>
            </a:pattFill>
            <a:ln>
              <a:solidFill>
                <a:schemeClr val="tx2"/>
              </a:solidFill>
            </a:ln>
            <a:effectLst/>
          </c:spPr>
          <c:invertIfNegative val="0"/>
          <c:dLbls>
            <c:spPr>
              <a:solidFill>
                <a:schemeClr val="bg1"/>
              </a:solid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NDIA dealt with expert recommendation</c:v>
                </c:pt>
                <c:pt idx="1">
                  <c:v>NDIA explanation of IERP process</c:v>
                </c:pt>
                <c:pt idx="2">
                  <c:v>Information from NDIA on IERP</c:v>
                </c:pt>
                <c:pt idx="3">
                  <c:v>Information NDIA gave to expert</c:v>
                </c:pt>
                <c:pt idx="4">
                  <c:v>Information about independent expert</c:v>
                </c:pt>
                <c:pt idx="5">
                  <c:v>NDIA communication during IERP</c:v>
                </c:pt>
              </c:strCache>
            </c:strRef>
          </c:cat>
          <c:val>
            <c:numRef>
              <c:f>Sheet1!$B$3:$G$3</c:f>
              <c:numCache>
                <c:formatCode>General</c:formatCode>
                <c:ptCount val="6"/>
                <c:pt idx="0">
                  <c:v>3</c:v>
                </c:pt>
                <c:pt idx="1">
                  <c:v>1</c:v>
                </c:pt>
                <c:pt idx="2">
                  <c:v>1</c:v>
                </c:pt>
                <c:pt idx="3">
                  <c:v>3</c:v>
                </c:pt>
                <c:pt idx="4">
                  <c:v>1</c:v>
                </c:pt>
                <c:pt idx="5">
                  <c:v>3</c:v>
                </c:pt>
              </c:numCache>
            </c:numRef>
          </c:val>
          <c:extLst>
            <c:ext xmlns:c16="http://schemas.microsoft.com/office/drawing/2014/chart" uri="{C3380CC4-5D6E-409C-BE32-E72D297353CC}">
              <c16:uniqueId val="{00000001-5165-4C6B-A659-3860EA156968}"/>
            </c:ext>
          </c:extLst>
        </c:ser>
        <c:ser>
          <c:idx val="2"/>
          <c:order val="2"/>
          <c:tx>
            <c:strRef>
              <c:f>Sheet1!$A$4</c:f>
              <c:strCache>
                <c:ptCount val="1"/>
                <c:pt idx="0">
                  <c:v>Somewhat satisfied</c:v>
                </c:pt>
              </c:strCache>
            </c:strRef>
          </c:tx>
          <c:spPr>
            <a:pattFill prst="pct5">
              <a:fgClr>
                <a:schemeClr val="tx2"/>
              </a:fgClr>
              <a:bgClr>
                <a:schemeClr val="tx2">
                  <a:lumMod val="20000"/>
                  <a:lumOff val="80000"/>
                </a:schemeClr>
              </a:bgClr>
            </a:pattFill>
            <a:ln>
              <a:solidFill>
                <a:schemeClr val="tx2"/>
              </a:solidFill>
            </a:ln>
            <a:effectLst/>
          </c:spPr>
          <c:invertIfNegative val="0"/>
          <c:cat>
            <c:strRef>
              <c:f>Sheet1!$B$1:$G$1</c:f>
              <c:strCache>
                <c:ptCount val="6"/>
                <c:pt idx="0">
                  <c:v>NDIA dealt with expert recommendation</c:v>
                </c:pt>
                <c:pt idx="1">
                  <c:v>NDIA explanation of IERP process</c:v>
                </c:pt>
                <c:pt idx="2">
                  <c:v>Information from NDIA on IERP</c:v>
                </c:pt>
                <c:pt idx="3">
                  <c:v>Information NDIA gave to expert</c:v>
                </c:pt>
                <c:pt idx="4">
                  <c:v>Information about independent expert</c:v>
                </c:pt>
                <c:pt idx="5">
                  <c:v>NDIA communication during IERP</c:v>
                </c:pt>
              </c:strCache>
            </c:strRef>
          </c:cat>
          <c:val>
            <c:numRef>
              <c:f>Sheet1!$B$4:$G$4</c:f>
              <c:numCache>
                <c:formatCode>General</c:formatCode>
                <c:ptCount val="6"/>
                <c:pt idx="0">
                  <c:v>2</c:v>
                </c:pt>
                <c:pt idx="1">
                  <c:v>8</c:v>
                </c:pt>
                <c:pt idx="2">
                  <c:v>6</c:v>
                </c:pt>
                <c:pt idx="3">
                  <c:v>4</c:v>
                </c:pt>
                <c:pt idx="4">
                  <c:v>4</c:v>
                </c:pt>
                <c:pt idx="5">
                  <c:v>2</c:v>
                </c:pt>
              </c:numCache>
            </c:numRef>
          </c:val>
          <c:extLst>
            <c:ext xmlns:c16="http://schemas.microsoft.com/office/drawing/2014/chart" uri="{C3380CC4-5D6E-409C-BE32-E72D297353CC}">
              <c16:uniqueId val="{00000002-5165-4C6B-A659-3860EA156968}"/>
            </c:ext>
          </c:extLst>
        </c:ser>
        <c:ser>
          <c:idx val="3"/>
          <c:order val="3"/>
          <c:tx>
            <c:strRef>
              <c:f>Sheet1!$A$5</c:f>
              <c:strCache>
                <c:ptCount val="1"/>
                <c:pt idx="0">
                  <c:v>Only a little bit satisfied</c:v>
                </c:pt>
              </c:strCache>
            </c:strRef>
          </c:tx>
          <c:spPr>
            <a:pattFill prst="wdDnDiag">
              <a:fgClr>
                <a:schemeClr val="bg2"/>
              </a:fgClr>
              <a:bgClr>
                <a:schemeClr val="bg2">
                  <a:lumMod val="20000"/>
                  <a:lumOff val="80000"/>
                </a:schemeClr>
              </a:bgClr>
            </a:pattFill>
            <a:ln>
              <a:solidFill>
                <a:schemeClr val="bg2"/>
              </a:solidFill>
            </a:ln>
            <a:effectLst/>
          </c:spPr>
          <c:invertIfNegative val="0"/>
          <c:cat>
            <c:strRef>
              <c:f>Sheet1!$B$1:$G$1</c:f>
              <c:strCache>
                <c:ptCount val="6"/>
                <c:pt idx="0">
                  <c:v>NDIA dealt with expert recommendation</c:v>
                </c:pt>
                <c:pt idx="1">
                  <c:v>NDIA explanation of IERP process</c:v>
                </c:pt>
                <c:pt idx="2">
                  <c:v>Information from NDIA on IERP</c:v>
                </c:pt>
                <c:pt idx="3">
                  <c:v>Information NDIA gave to expert</c:v>
                </c:pt>
                <c:pt idx="4">
                  <c:v>Information about independent expert</c:v>
                </c:pt>
                <c:pt idx="5">
                  <c:v>NDIA communication during IERP</c:v>
                </c:pt>
              </c:strCache>
            </c:strRef>
          </c:cat>
          <c:val>
            <c:numRef>
              <c:f>Sheet1!$B$5:$G$5</c:f>
              <c:numCache>
                <c:formatCode>General</c:formatCode>
                <c:ptCount val="6"/>
                <c:pt idx="0">
                  <c:v>2</c:v>
                </c:pt>
                <c:pt idx="1">
                  <c:v>1</c:v>
                </c:pt>
                <c:pt idx="2">
                  <c:v>2</c:v>
                </c:pt>
                <c:pt idx="3">
                  <c:v>0</c:v>
                </c:pt>
                <c:pt idx="4">
                  <c:v>3</c:v>
                </c:pt>
                <c:pt idx="5">
                  <c:v>3</c:v>
                </c:pt>
              </c:numCache>
            </c:numRef>
          </c:val>
          <c:extLst>
            <c:ext xmlns:c16="http://schemas.microsoft.com/office/drawing/2014/chart" uri="{C3380CC4-5D6E-409C-BE32-E72D297353CC}">
              <c16:uniqueId val="{00000003-5165-4C6B-A659-3860EA156968}"/>
            </c:ext>
          </c:extLst>
        </c:ser>
        <c:ser>
          <c:idx val="4"/>
          <c:order val="4"/>
          <c:tx>
            <c:strRef>
              <c:f>Sheet1!$A$6</c:f>
              <c:strCache>
                <c:ptCount val="1"/>
                <c:pt idx="0">
                  <c:v>Not at all satisfied</c:v>
                </c:pt>
              </c:strCache>
            </c:strRef>
          </c:tx>
          <c:spPr>
            <a:solidFill>
              <a:schemeClr val="bg2"/>
            </a:solidFill>
            <a:ln>
              <a:solidFill>
                <a:schemeClr val="bg2"/>
              </a:solidFill>
            </a:ln>
            <a:effectLst/>
          </c:spPr>
          <c:invertIfNegative val="0"/>
          <c:cat>
            <c:strRef>
              <c:f>Sheet1!$B$1:$G$1</c:f>
              <c:strCache>
                <c:ptCount val="6"/>
                <c:pt idx="0">
                  <c:v>NDIA dealt with expert recommendation</c:v>
                </c:pt>
                <c:pt idx="1">
                  <c:v>NDIA explanation of IERP process</c:v>
                </c:pt>
                <c:pt idx="2">
                  <c:v>Information from NDIA on IERP</c:v>
                </c:pt>
                <c:pt idx="3">
                  <c:v>Information NDIA gave to expert</c:v>
                </c:pt>
                <c:pt idx="4">
                  <c:v>Information about independent expert</c:v>
                </c:pt>
                <c:pt idx="5">
                  <c:v>NDIA communication during IERP</c:v>
                </c:pt>
              </c:strCache>
            </c:strRef>
          </c:cat>
          <c:val>
            <c:numRef>
              <c:f>Sheet1!$B$6:$G$6</c:f>
              <c:numCache>
                <c:formatCode>General</c:formatCode>
                <c:ptCount val="6"/>
                <c:pt idx="0">
                  <c:v>3</c:v>
                </c:pt>
                <c:pt idx="1">
                  <c:v>3</c:v>
                </c:pt>
                <c:pt idx="2">
                  <c:v>3</c:v>
                </c:pt>
                <c:pt idx="3">
                  <c:v>6</c:v>
                </c:pt>
                <c:pt idx="4">
                  <c:v>5</c:v>
                </c:pt>
                <c:pt idx="5">
                  <c:v>7</c:v>
                </c:pt>
              </c:numCache>
            </c:numRef>
          </c:val>
          <c:extLst>
            <c:ext xmlns:c16="http://schemas.microsoft.com/office/drawing/2014/chart" uri="{C3380CC4-5D6E-409C-BE32-E72D297353CC}">
              <c16:uniqueId val="{00000004-5165-4C6B-A659-3860EA156968}"/>
            </c:ext>
          </c:extLst>
        </c:ser>
        <c:dLbls>
          <c:showLegendKey val="0"/>
          <c:showVal val="0"/>
          <c:showCatName val="0"/>
          <c:showSerName val="0"/>
          <c:showPercent val="0"/>
          <c:showBubbleSize val="0"/>
        </c:dLbls>
        <c:gapWidth val="150"/>
        <c:overlap val="100"/>
        <c:axId val="787931312"/>
        <c:axId val="1765624672"/>
      </c:barChart>
      <c:catAx>
        <c:axId val="78793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765624672"/>
        <c:crosses val="autoZero"/>
        <c:auto val="1"/>
        <c:lblAlgn val="ctr"/>
        <c:lblOffset val="100"/>
        <c:noMultiLvlLbl val="0"/>
      </c:catAx>
      <c:valAx>
        <c:axId val="1765624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787931312"/>
        <c:crosses val="autoZero"/>
        <c:crossBetween val="between"/>
        <c:majorUnit val="0.2"/>
      </c:valAx>
      <c:spPr>
        <a:noFill/>
        <a:ln>
          <a:noFill/>
        </a:ln>
        <a:effectLst/>
      </c:spPr>
    </c:plotArea>
    <c:legend>
      <c:legendPos val="b"/>
      <c:layout>
        <c:manualLayout>
          <c:xMode val="edge"/>
          <c:yMode val="edge"/>
          <c:x val="3.1933122897082797E-3"/>
          <c:y val="0.87555508264169679"/>
          <c:w val="0.99361329833770795"/>
          <c:h val="0.12368198907568986"/>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45667144500729"/>
          <c:y val="9.4272944842029735E-2"/>
          <c:w val="0.79937956386013154"/>
          <c:h val="0.65693775778027752"/>
        </c:manualLayout>
      </c:layout>
      <c:barChart>
        <c:barDir val="col"/>
        <c:grouping val="clustered"/>
        <c:varyColors val="0"/>
        <c:ser>
          <c:idx val="0"/>
          <c:order val="0"/>
          <c:tx>
            <c:strRef>
              <c:f>Sheet1!$B$1</c:f>
              <c:strCache>
                <c:ptCount val="1"/>
                <c:pt idx="0">
                  <c:v>AAT - hearing decision (n=41)</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Recommended</c:v>
                </c:pt>
                <c:pt idx="1">
                  <c:v>Partially recommended</c:v>
                </c:pt>
                <c:pt idx="2">
                  <c:v>Not recommended</c:v>
                </c:pt>
                <c:pt idx="3">
                  <c:v>No decision</c:v>
                </c:pt>
              </c:strCache>
            </c:strRef>
          </c:cat>
          <c:val>
            <c:numRef>
              <c:f>Sheet1!$B$2:$B$5</c:f>
              <c:numCache>
                <c:formatCode>0%</c:formatCode>
                <c:ptCount val="4"/>
                <c:pt idx="0">
                  <c:v>0.17</c:v>
                </c:pt>
                <c:pt idx="1">
                  <c:v>0.17</c:v>
                </c:pt>
                <c:pt idx="2">
                  <c:v>0.56000000000000005</c:v>
                </c:pt>
                <c:pt idx="3">
                  <c:v>0.1</c:v>
                </c:pt>
              </c:numCache>
            </c:numRef>
          </c:val>
          <c:extLst>
            <c:ext xmlns:c16="http://schemas.microsoft.com/office/drawing/2014/chart" uri="{C3380CC4-5D6E-409C-BE32-E72D297353CC}">
              <c16:uniqueId val="{00000000-023C-4390-8D8C-92F374FA3276}"/>
            </c:ext>
          </c:extLst>
        </c:ser>
        <c:ser>
          <c:idx val="1"/>
          <c:order val="1"/>
          <c:tx>
            <c:strRef>
              <c:f>Sheet1!$C$1</c:f>
              <c:strCache>
                <c:ptCount val="1"/>
                <c:pt idx="0">
                  <c:v>IER phase 1 (n=114)</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Recommended</c:v>
                </c:pt>
                <c:pt idx="1">
                  <c:v>Partially recommended</c:v>
                </c:pt>
                <c:pt idx="2">
                  <c:v>Not recommended</c:v>
                </c:pt>
                <c:pt idx="3">
                  <c:v>No decision</c:v>
                </c:pt>
              </c:strCache>
            </c:strRef>
          </c:cat>
          <c:val>
            <c:numRef>
              <c:f>Sheet1!$C$2:$C$5</c:f>
              <c:numCache>
                <c:formatCode>0%</c:formatCode>
                <c:ptCount val="4"/>
                <c:pt idx="0">
                  <c:v>0.36</c:v>
                </c:pt>
                <c:pt idx="1">
                  <c:v>0.35</c:v>
                </c:pt>
                <c:pt idx="2">
                  <c:v>0.18</c:v>
                </c:pt>
                <c:pt idx="3">
                  <c:v>0.11</c:v>
                </c:pt>
              </c:numCache>
            </c:numRef>
          </c:val>
          <c:extLst>
            <c:ext xmlns:c16="http://schemas.microsoft.com/office/drawing/2014/chart" uri="{C3380CC4-5D6E-409C-BE32-E72D297353CC}">
              <c16:uniqueId val="{00000001-023C-4390-8D8C-92F374FA3276}"/>
            </c:ext>
          </c:extLst>
        </c:ser>
        <c:dLbls>
          <c:showLegendKey val="0"/>
          <c:showVal val="0"/>
          <c:showCatName val="0"/>
          <c:showSerName val="0"/>
          <c:showPercent val="0"/>
          <c:showBubbleSize val="0"/>
        </c:dLbls>
        <c:gapWidth val="219"/>
        <c:overlap val="-27"/>
        <c:axId val="1547794207"/>
        <c:axId val="939842479"/>
      </c:barChart>
      <c:catAx>
        <c:axId val="154779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39842479"/>
        <c:crosses val="autoZero"/>
        <c:auto val="1"/>
        <c:lblAlgn val="ctr"/>
        <c:lblOffset val="100"/>
        <c:noMultiLvlLbl val="0"/>
      </c:catAx>
      <c:valAx>
        <c:axId val="939842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solidFill>
                      <a:sysClr val="windowText" lastClr="000000"/>
                    </a:solidFill>
                  </a:rPr>
                  <a:t>Percentage of sample</a:t>
                </a:r>
              </a:p>
            </c:rich>
          </c:tx>
          <c:layout>
            <c:manualLayout>
              <c:xMode val="edge"/>
              <c:yMode val="edge"/>
              <c:x val="9.7507423667716336E-3"/>
              <c:y val="0.19287037021658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47794207"/>
        <c:crosses val="autoZero"/>
        <c:crossBetween val="between"/>
        <c:majorUnit val="0.1"/>
      </c:valAx>
      <c:spPr>
        <a:noFill/>
        <a:ln>
          <a:noFill/>
        </a:ln>
        <a:effectLst/>
      </c:spPr>
    </c:plotArea>
    <c:legend>
      <c:legendPos val="b"/>
      <c:layout>
        <c:manualLayout>
          <c:xMode val="edge"/>
          <c:yMode val="edge"/>
          <c:x val="6.6240836825969221E-2"/>
          <c:y val="0.92235020622422192"/>
          <c:w val="0.89304893526555207"/>
          <c:h val="6.771122359705036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45667144500729"/>
          <c:y val="9.4272944842029735E-2"/>
          <c:w val="0.79937956386013154"/>
          <c:h val="0.65693775778027752"/>
        </c:manualLayout>
      </c:layout>
      <c:barChart>
        <c:barDir val="col"/>
        <c:grouping val="clustered"/>
        <c:varyColors val="0"/>
        <c:ser>
          <c:idx val="0"/>
          <c:order val="0"/>
          <c:tx>
            <c:strRef>
              <c:f>Sheet1!$B$1</c:f>
              <c:strCache>
                <c:ptCount val="1"/>
                <c:pt idx="0">
                  <c:v>Legal</c:v>
                </c:pt>
              </c:strCache>
            </c:strRef>
          </c:tx>
          <c:spPr>
            <a:solidFill>
              <a:schemeClr val="bg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Recommended</c:v>
                </c:pt>
                <c:pt idx="1">
                  <c:v>Partially recommended</c:v>
                </c:pt>
                <c:pt idx="2">
                  <c:v>Not recommended</c:v>
                </c:pt>
                <c:pt idx="3">
                  <c:v>No decision</c:v>
                </c:pt>
              </c:strCache>
            </c:strRef>
          </c:cat>
          <c:val>
            <c:numRef>
              <c:f>Sheet1!$B$2:$B$5</c:f>
              <c:numCache>
                <c:formatCode>0%</c:formatCode>
                <c:ptCount val="4"/>
                <c:pt idx="0">
                  <c:v>0.3</c:v>
                </c:pt>
                <c:pt idx="1">
                  <c:v>0.45714285714285713</c:v>
                </c:pt>
                <c:pt idx="2">
                  <c:v>0.12857142857142856</c:v>
                </c:pt>
                <c:pt idx="3">
                  <c:v>0.11428571428571428</c:v>
                </c:pt>
              </c:numCache>
            </c:numRef>
          </c:val>
          <c:extLst>
            <c:ext xmlns:c16="http://schemas.microsoft.com/office/drawing/2014/chart" uri="{C3380CC4-5D6E-409C-BE32-E72D297353CC}">
              <c16:uniqueId val="{00000000-75B4-440A-AE3A-7AA1174AC016}"/>
            </c:ext>
          </c:extLst>
        </c:ser>
        <c:ser>
          <c:idx val="1"/>
          <c:order val="1"/>
          <c:tx>
            <c:strRef>
              <c:f>Sheet1!$C$1</c:f>
              <c:strCache>
                <c:ptCount val="1"/>
                <c:pt idx="0">
                  <c:v>Non-legal</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Recommended</c:v>
                </c:pt>
                <c:pt idx="1">
                  <c:v>Partially recommended</c:v>
                </c:pt>
                <c:pt idx="2">
                  <c:v>Not recommended</c:v>
                </c:pt>
                <c:pt idx="3">
                  <c:v>No decision</c:v>
                </c:pt>
              </c:strCache>
            </c:strRef>
          </c:cat>
          <c:val>
            <c:numRef>
              <c:f>Sheet1!$C$2:$C$5</c:f>
              <c:numCache>
                <c:formatCode>0%</c:formatCode>
                <c:ptCount val="4"/>
                <c:pt idx="0">
                  <c:v>0.45454545454545453</c:v>
                </c:pt>
                <c:pt idx="1">
                  <c:v>0.18181818181818182</c:v>
                </c:pt>
                <c:pt idx="2">
                  <c:v>0.27272727272727271</c:v>
                </c:pt>
                <c:pt idx="3">
                  <c:v>9.0909090909090912E-2</c:v>
                </c:pt>
              </c:numCache>
            </c:numRef>
          </c:val>
          <c:extLst>
            <c:ext xmlns:c16="http://schemas.microsoft.com/office/drawing/2014/chart" uri="{C3380CC4-5D6E-409C-BE32-E72D297353CC}">
              <c16:uniqueId val="{00000001-75B4-440A-AE3A-7AA1174AC016}"/>
            </c:ext>
          </c:extLst>
        </c:ser>
        <c:dLbls>
          <c:showLegendKey val="0"/>
          <c:showVal val="0"/>
          <c:showCatName val="0"/>
          <c:showSerName val="0"/>
          <c:showPercent val="0"/>
          <c:showBubbleSize val="0"/>
        </c:dLbls>
        <c:gapWidth val="219"/>
        <c:overlap val="-27"/>
        <c:axId val="1547794207"/>
        <c:axId val="939842479"/>
      </c:barChart>
      <c:catAx>
        <c:axId val="154779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939842479"/>
        <c:crosses val="autoZero"/>
        <c:auto val="1"/>
        <c:lblAlgn val="ctr"/>
        <c:lblOffset val="100"/>
        <c:noMultiLvlLbl val="0"/>
      </c:catAx>
      <c:valAx>
        <c:axId val="939842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b="0">
                    <a:solidFill>
                      <a:sysClr val="windowText" lastClr="000000"/>
                    </a:solidFill>
                  </a:rPr>
                  <a:t>% of recommendations</a:t>
                </a:r>
              </a:p>
            </c:rich>
          </c:tx>
          <c:layout>
            <c:manualLayout>
              <c:xMode val="edge"/>
              <c:yMode val="edge"/>
              <c:x val="9.7507423667716336E-3"/>
              <c:y val="0.19287037021658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547794207"/>
        <c:crosses val="autoZero"/>
        <c:crossBetween val="between"/>
        <c:majorUnit val="0.1"/>
      </c:valAx>
      <c:spPr>
        <a:noFill/>
        <a:ln>
          <a:noFill/>
        </a:ln>
        <a:effectLst/>
      </c:spPr>
    </c:plotArea>
    <c:legend>
      <c:legendPos val="b"/>
      <c:layout>
        <c:manualLayout>
          <c:xMode val="edge"/>
          <c:yMode val="edge"/>
          <c:x val="0.32608655343173454"/>
          <c:y val="0.92235020622422192"/>
          <c:w val="0.43019885535141439"/>
          <c:h val="6.771122359705036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58941969709618"/>
          <c:y val="4.0361411658075115E-2"/>
          <c:w val="0.80139153983843892"/>
          <c:h val="0.73388054910402389"/>
        </c:manualLayout>
      </c:layout>
      <c:lineChart>
        <c:grouping val="standard"/>
        <c:varyColors val="0"/>
        <c:ser>
          <c:idx val="0"/>
          <c:order val="0"/>
          <c:tx>
            <c:strRef>
              <c:f>Sheet1!$B$1</c:f>
              <c:strCache>
                <c:ptCount val="1"/>
                <c:pt idx="0">
                  <c:v>IERP (n=39)</c:v>
                </c:pt>
              </c:strCache>
            </c:strRef>
          </c:tx>
          <c:spPr>
            <a:ln w="28575" cap="rnd">
              <a:solidFill>
                <a:schemeClr val="bg2"/>
              </a:solidFill>
              <a:round/>
            </a:ln>
            <a:effectLst/>
          </c:spPr>
          <c:marker>
            <c:symbol val="circle"/>
            <c:size val="5"/>
            <c:spPr>
              <a:solidFill>
                <a:schemeClr val="bg2"/>
              </a:solidFill>
              <a:ln w="9525">
                <a:solidFill>
                  <a:schemeClr val="bg2"/>
                </a:solidFill>
              </a:ln>
              <a:effectLst/>
            </c:spPr>
          </c:marker>
          <c:dLbls>
            <c:dLbl>
              <c:idx val="0"/>
              <c:layout>
                <c:manualLayout>
                  <c:x val="-0.14443819964200591"/>
                  <c:y val="6.1957363243263655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CE-4F84-AAC5-2290EBF32FF6}"/>
                </c:ext>
              </c:extLst>
            </c:dLbl>
            <c:dLbl>
              <c:idx val="1"/>
              <c:layout>
                <c:manualLayout>
                  <c:x val="9.5899761646401974E-3"/>
                  <c:y val="2.1960384448346834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CE-4F84-AAC5-2290EBF32FF6}"/>
                </c:ext>
              </c:extLst>
            </c:dLbl>
            <c:dLbl>
              <c:idx val="2"/>
              <c:layout>
                <c:manualLayout>
                  <c:x val="-2.0517385072491946E-2"/>
                  <c:y val="8.39931119721145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CE-4F84-AAC5-2290EBF32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Plan in dispute</c:v>
                </c:pt>
                <c:pt idx="1">
                  <c:v>After resolution</c:v>
                </c:pt>
              </c:strCache>
            </c:strRef>
          </c:cat>
          <c:val>
            <c:numRef>
              <c:f>Sheet1!$B$2:$B$3</c:f>
              <c:numCache>
                <c:formatCode>"$"#,##0_);[Red]\("$"#,##0\)</c:formatCode>
                <c:ptCount val="2"/>
                <c:pt idx="0">
                  <c:v>233788</c:v>
                </c:pt>
                <c:pt idx="1">
                  <c:v>276521</c:v>
                </c:pt>
              </c:numCache>
            </c:numRef>
          </c:val>
          <c:smooth val="0"/>
          <c:extLst>
            <c:ext xmlns:c16="http://schemas.microsoft.com/office/drawing/2014/chart" uri="{C3380CC4-5D6E-409C-BE32-E72D297353CC}">
              <c16:uniqueId val="{00000003-75CE-4F84-AAC5-2290EBF32FF6}"/>
            </c:ext>
          </c:extLst>
        </c:ser>
        <c:ser>
          <c:idx val="1"/>
          <c:order val="1"/>
          <c:tx>
            <c:strRef>
              <c:f>Sheet1!$C$1</c:f>
              <c:strCache>
                <c:ptCount val="1"/>
                <c:pt idx="0">
                  <c:v>AAT comparison (n=517)</c:v>
                </c:pt>
              </c:strCache>
            </c:strRef>
          </c:tx>
          <c:spPr>
            <a:ln w="28575" cap="rnd">
              <a:solidFill>
                <a:schemeClr val="tx2"/>
              </a:solidFill>
              <a:round/>
            </a:ln>
            <a:effectLst/>
          </c:spPr>
          <c:marker>
            <c:symbol val="circle"/>
            <c:size val="5"/>
            <c:spPr>
              <a:solidFill>
                <a:schemeClr val="tx2"/>
              </a:solidFill>
              <a:ln w="9525">
                <a:solidFill>
                  <a:schemeClr val="tx2"/>
                </a:solidFill>
              </a:ln>
              <a:effectLst/>
            </c:spPr>
          </c:marker>
          <c:dLbls>
            <c:dLbl>
              <c:idx val="0"/>
              <c:layout>
                <c:manualLayout>
                  <c:x val="-0.14183059273067899"/>
                  <c:y val="-6.21265507279216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CE-4F84-AAC5-2290EBF32FF6}"/>
                </c:ext>
              </c:extLst>
            </c:dLbl>
            <c:dLbl>
              <c:idx val="1"/>
              <c:layout>
                <c:manualLayout>
                  <c:x val="1.1794700574088844E-2"/>
                  <c:y val="9.0749447685945731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CE-4F84-AAC5-2290EBF32FF6}"/>
                </c:ext>
              </c:extLst>
            </c:dLbl>
            <c:dLbl>
              <c:idx val="2"/>
              <c:layout>
                <c:manualLayout>
                  <c:x val="-0.10241340194803482"/>
                  <c:y val="-7.3669624150007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CE-4F84-AAC5-2290EBF32F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Plan in dispute</c:v>
                </c:pt>
                <c:pt idx="1">
                  <c:v>After resolution</c:v>
                </c:pt>
              </c:strCache>
            </c:strRef>
          </c:cat>
          <c:val>
            <c:numRef>
              <c:f>Sheet1!$C$2:$C$3</c:f>
              <c:numCache>
                <c:formatCode>"$"#,##0</c:formatCode>
                <c:ptCount val="2"/>
                <c:pt idx="0">
                  <c:v>236279</c:v>
                </c:pt>
                <c:pt idx="1">
                  <c:v>291681</c:v>
                </c:pt>
              </c:numCache>
            </c:numRef>
          </c:val>
          <c:smooth val="0"/>
          <c:extLst>
            <c:ext xmlns:c16="http://schemas.microsoft.com/office/drawing/2014/chart" uri="{C3380CC4-5D6E-409C-BE32-E72D297353CC}">
              <c16:uniqueId val="{00000007-75CE-4F84-AAC5-2290EBF32FF6}"/>
            </c:ext>
          </c:extLst>
        </c:ser>
        <c:dLbls>
          <c:dLblPos val="t"/>
          <c:showLegendKey val="0"/>
          <c:showVal val="1"/>
          <c:showCatName val="0"/>
          <c:showSerName val="0"/>
          <c:showPercent val="0"/>
          <c:showBubbleSize val="0"/>
        </c:dLbls>
        <c:marker val="1"/>
        <c:smooth val="0"/>
        <c:axId val="75261183"/>
        <c:axId val="1691669647"/>
      </c:lineChart>
      <c:catAx>
        <c:axId val="75261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691669647"/>
        <c:crosses val="autoZero"/>
        <c:auto val="1"/>
        <c:lblAlgn val="ctr"/>
        <c:lblOffset val="100"/>
        <c:noMultiLvlLbl val="0"/>
      </c:catAx>
      <c:valAx>
        <c:axId val="1691669647"/>
        <c:scaling>
          <c:orientation val="minMax"/>
          <c:min val="19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AU" sz="900" b="0">
                    <a:solidFill>
                      <a:sysClr val="windowText" lastClr="000000"/>
                    </a:solidFill>
                  </a:rPr>
                  <a:t>NDIS plan</a:t>
                </a:r>
                <a:r>
                  <a:rPr lang="en-AU" sz="900" b="0" baseline="0">
                    <a:solidFill>
                      <a:sysClr val="windowText" lastClr="000000"/>
                    </a:solidFill>
                  </a:rPr>
                  <a:t> value</a:t>
                </a:r>
                <a:endParaRPr lang="en-AU" sz="900" b="0">
                  <a:solidFill>
                    <a:sysClr val="windowText" lastClr="000000"/>
                  </a:solidFill>
                </a:endParaRPr>
              </a:p>
            </c:rich>
          </c:tx>
          <c:layout>
            <c:manualLayout>
              <c:xMode val="edge"/>
              <c:yMode val="edge"/>
              <c:x val="2.0151544661157644E-3"/>
              <c:y val="0.2601344436262014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5261183"/>
        <c:crosses val="autoZero"/>
        <c:crossBetween val="between"/>
      </c:valAx>
      <c:spPr>
        <a:noFill/>
        <a:ln>
          <a:noFill/>
        </a:ln>
        <a:effectLst/>
      </c:spPr>
    </c:plotArea>
    <c:legend>
      <c:legendPos val="b"/>
      <c:layout>
        <c:manualLayout>
          <c:xMode val="edge"/>
          <c:yMode val="edge"/>
          <c:x val="0.1239588955974143"/>
          <c:y val="0.90311221888630833"/>
          <c:w val="0.77651744062027583"/>
          <c:h val="9.688778111369172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19969378827653E-2"/>
          <c:y val="6.2360801781737196E-2"/>
          <c:w val="0.81194061679790031"/>
          <c:h val="0.63480314960629913"/>
        </c:manualLayout>
      </c:layout>
      <c:barChart>
        <c:barDir val="col"/>
        <c:grouping val="clustered"/>
        <c:varyColors val="0"/>
        <c:ser>
          <c:idx val="3"/>
          <c:order val="2"/>
          <c:tx>
            <c:strRef>
              <c:f>Sheet1!$E$1</c:f>
              <c:strCache>
                <c:ptCount val="1"/>
                <c:pt idx="0">
                  <c:v>Activated NDIS plans (right axis)</c:v>
                </c:pt>
              </c:strCache>
            </c:strRef>
          </c:tx>
          <c:spPr>
            <a:solidFill>
              <a:schemeClr val="accent2">
                <a:alpha val="20000"/>
              </a:schemeClr>
            </a:solidFill>
            <a:ln>
              <a:noFill/>
            </a:ln>
            <a:effectLst/>
          </c:spPr>
          <c:invertIfNegative val="0"/>
          <c:cat>
            <c:multiLvlStrRef>
              <c:f>Sheet1!$A$2:$B$11</c:f>
              <c:multiLvlStrCache>
                <c:ptCount val="10"/>
                <c:lvl>
                  <c:pt idx="0">
                    <c:v>Jun</c:v>
                  </c:pt>
                  <c:pt idx="1">
                    <c:v>Jul</c:v>
                  </c:pt>
                  <c:pt idx="2">
                    <c:v>Aug</c:v>
                  </c:pt>
                  <c:pt idx="3">
                    <c:v>Sep</c:v>
                  </c:pt>
                  <c:pt idx="4">
                    <c:v>Oct</c:v>
                  </c:pt>
                  <c:pt idx="5">
                    <c:v>Nov</c:v>
                  </c:pt>
                  <c:pt idx="6">
                    <c:v>Dec</c:v>
                  </c:pt>
                  <c:pt idx="7">
                    <c:v>Jan</c:v>
                  </c:pt>
                  <c:pt idx="8">
                    <c:v>Feb</c:v>
                  </c:pt>
                  <c:pt idx="9">
                    <c:v>Mar</c:v>
                  </c:pt>
                </c:lvl>
                <c:lvl>
                  <c:pt idx="0">
                    <c:v>2022</c:v>
                  </c:pt>
                  <c:pt idx="7">
                    <c:v>2023</c:v>
                  </c:pt>
                </c:lvl>
              </c:multiLvlStrCache>
            </c:multiLvlStrRef>
          </c:cat>
          <c:val>
            <c:numRef>
              <c:f>Sheet1!$E$2:$E$11</c:f>
              <c:numCache>
                <c:formatCode>#,##0</c:formatCode>
                <c:ptCount val="10"/>
                <c:pt idx="0">
                  <c:v>40976</c:v>
                </c:pt>
                <c:pt idx="1">
                  <c:v>33243</c:v>
                </c:pt>
                <c:pt idx="2">
                  <c:v>37856</c:v>
                </c:pt>
                <c:pt idx="3">
                  <c:v>32158</c:v>
                </c:pt>
                <c:pt idx="4">
                  <c:v>31280</c:v>
                </c:pt>
                <c:pt idx="5">
                  <c:v>37633</c:v>
                </c:pt>
                <c:pt idx="6">
                  <c:v>28741</c:v>
                </c:pt>
                <c:pt idx="7">
                  <c:v>29147</c:v>
                </c:pt>
                <c:pt idx="8">
                  <c:v>30540</c:v>
                </c:pt>
                <c:pt idx="9">
                  <c:v>33607</c:v>
                </c:pt>
              </c:numCache>
            </c:numRef>
          </c:val>
          <c:extLst>
            <c:ext xmlns:c16="http://schemas.microsoft.com/office/drawing/2014/chart" uri="{C3380CC4-5D6E-409C-BE32-E72D297353CC}">
              <c16:uniqueId val="{00000000-BBF9-4416-900F-980D88C7EFB5}"/>
            </c:ext>
          </c:extLst>
        </c:ser>
        <c:dLbls>
          <c:showLegendKey val="0"/>
          <c:showVal val="0"/>
          <c:showCatName val="0"/>
          <c:showSerName val="0"/>
          <c:showPercent val="0"/>
          <c:showBubbleSize val="0"/>
        </c:dLbls>
        <c:gapWidth val="35"/>
        <c:axId val="1313832960"/>
        <c:axId val="1374680592"/>
      </c:barChart>
      <c:lineChart>
        <c:grouping val="standard"/>
        <c:varyColors val="0"/>
        <c:ser>
          <c:idx val="1"/>
          <c:order val="0"/>
          <c:tx>
            <c:strRef>
              <c:f>Sheet1!$C$1</c:f>
              <c:strCache>
                <c:ptCount val="1"/>
                <c:pt idx="0">
                  <c:v>% total s100 reviews (left axis)</c:v>
                </c:pt>
              </c:strCache>
            </c:strRef>
          </c:tx>
          <c:spPr>
            <a:ln w="28575" cap="rnd">
              <a:solidFill>
                <a:schemeClr val="bg2"/>
              </a:solidFill>
              <a:round/>
            </a:ln>
            <a:effectLst/>
          </c:spPr>
          <c:marker>
            <c:symbol val="circle"/>
            <c:size val="5"/>
            <c:spPr>
              <a:solidFill>
                <a:schemeClr val="bg2"/>
              </a:solidFill>
              <a:ln w="9525">
                <a:solidFill>
                  <a:schemeClr val="bg2"/>
                </a:solidFill>
              </a:ln>
              <a:effectLst/>
            </c:spPr>
          </c:marker>
          <c:cat>
            <c:multiLvlStrRef>
              <c:f>Sheet1!$A$2:$B$11</c:f>
              <c:multiLvlStrCache>
                <c:ptCount val="10"/>
                <c:lvl>
                  <c:pt idx="0">
                    <c:v>Jun</c:v>
                  </c:pt>
                  <c:pt idx="1">
                    <c:v>Jul</c:v>
                  </c:pt>
                  <c:pt idx="2">
                    <c:v>Aug</c:v>
                  </c:pt>
                  <c:pt idx="3">
                    <c:v>Sep</c:v>
                  </c:pt>
                  <c:pt idx="4">
                    <c:v>Oct</c:v>
                  </c:pt>
                  <c:pt idx="5">
                    <c:v>Nov</c:v>
                  </c:pt>
                  <c:pt idx="6">
                    <c:v>Dec</c:v>
                  </c:pt>
                  <c:pt idx="7">
                    <c:v>Jan</c:v>
                  </c:pt>
                  <c:pt idx="8">
                    <c:v>Feb</c:v>
                  </c:pt>
                  <c:pt idx="9">
                    <c:v>Mar</c:v>
                  </c:pt>
                </c:lvl>
                <c:lvl>
                  <c:pt idx="0">
                    <c:v>2022</c:v>
                  </c:pt>
                  <c:pt idx="7">
                    <c:v>2023</c:v>
                  </c:pt>
                </c:lvl>
              </c:multiLvlStrCache>
            </c:multiLvlStrRef>
          </c:cat>
          <c:val>
            <c:numRef>
              <c:f>Sheet1!$C$2:$C$11</c:f>
              <c:numCache>
                <c:formatCode>0%</c:formatCode>
                <c:ptCount val="10"/>
                <c:pt idx="0">
                  <c:v>0.05</c:v>
                </c:pt>
                <c:pt idx="1">
                  <c:v>7.0000000000000007E-2</c:v>
                </c:pt>
                <c:pt idx="2">
                  <c:v>0.06</c:v>
                </c:pt>
                <c:pt idx="3">
                  <c:v>0.06</c:v>
                </c:pt>
                <c:pt idx="4">
                  <c:v>0.06</c:v>
                </c:pt>
                <c:pt idx="5">
                  <c:v>0.04</c:v>
                </c:pt>
                <c:pt idx="6">
                  <c:v>0.05</c:v>
                </c:pt>
                <c:pt idx="7">
                  <c:v>0.05</c:v>
                </c:pt>
                <c:pt idx="8">
                  <c:v>0.06</c:v>
                </c:pt>
                <c:pt idx="9">
                  <c:v>0.06</c:v>
                </c:pt>
              </c:numCache>
            </c:numRef>
          </c:val>
          <c:smooth val="0"/>
          <c:extLst>
            <c:ext xmlns:c16="http://schemas.microsoft.com/office/drawing/2014/chart" uri="{C3380CC4-5D6E-409C-BE32-E72D297353CC}">
              <c16:uniqueId val="{00000001-BBF9-4416-900F-980D88C7EFB5}"/>
            </c:ext>
          </c:extLst>
        </c:ser>
        <c:ser>
          <c:idx val="2"/>
          <c:order val="1"/>
          <c:tx>
            <c:strRef>
              <c:f>Sheet1!$D$1</c:f>
              <c:strCache>
                <c:ptCount val="1"/>
                <c:pt idx="0">
                  <c:v>% closed AAT hearing matters (left axis)</c:v>
                </c:pt>
              </c:strCache>
            </c:strRef>
          </c:tx>
          <c:spPr>
            <a:ln w="28575" cap="rnd">
              <a:solidFill>
                <a:schemeClr val="tx2"/>
              </a:solidFill>
              <a:round/>
            </a:ln>
            <a:effectLst/>
          </c:spPr>
          <c:marker>
            <c:symbol val="circle"/>
            <c:size val="5"/>
            <c:spPr>
              <a:solidFill>
                <a:schemeClr val="tx2"/>
              </a:solidFill>
              <a:ln w="9525">
                <a:solidFill>
                  <a:schemeClr val="tx2"/>
                </a:solidFill>
              </a:ln>
              <a:effectLst/>
            </c:spPr>
          </c:marker>
          <c:cat>
            <c:numRef>
              <c:f>Sheet1!$A$2:$A$11</c:f>
              <c:numCache>
                <c:formatCode>General</c:formatCode>
                <c:ptCount val="10"/>
                <c:pt idx="0">
                  <c:v>2022</c:v>
                </c:pt>
                <c:pt idx="7">
                  <c:v>2023</c:v>
                </c:pt>
              </c:numCache>
            </c:numRef>
          </c:cat>
          <c:val>
            <c:numRef>
              <c:f>Sheet1!$D$2:$D$11</c:f>
              <c:numCache>
                <c:formatCode>0%</c:formatCode>
                <c:ptCount val="10"/>
                <c:pt idx="0">
                  <c:v>0.01</c:v>
                </c:pt>
                <c:pt idx="1">
                  <c:v>0.01</c:v>
                </c:pt>
                <c:pt idx="2">
                  <c:v>0.02</c:v>
                </c:pt>
                <c:pt idx="3">
                  <c:v>0.02</c:v>
                </c:pt>
                <c:pt idx="4">
                  <c:v>0.02</c:v>
                </c:pt>
                <c:pt idx="5">
                  <c:v>0.01</c:v>
                </c:pt>
                <c:pt idx="6">
                  <c:v>0.01</c:v>
                </c:pt>
                <c:pt idx="7">
                  <c:v>0.02</c:v>
                </c:pt>
                <c:pt idx="8">
                  <c:v>0.02</c:v>
                </c:pt>
                <c:pt idx="9">
                  <c:v>0.02</c:v>
                </c:pt>
              </c:numCache>
            </c:numRef>
          </c:val>
          <c:smooth val="0"/>
          <c:extLst>
            <c:ext xmlns:c16="http://schemas.microsoft.com/office/drawing/2014/chart" uri="{C3380CC4-5D6E-409C-BE32-E72D297353CC}">
              <c16:uniqueId val="{00000002-BBF9-4416-900F-980D88C7EFB5}"/>
            </c:ext>
          </c:extLst>
        </c:ser>
        <c:dLbls>
          <c:showLegendKey val="0"/>
          <c:showVal val="0"/>
          <c:showCatName val="0"/>
          <c:showSerName val="0"/>
          <c:showPercent val="0"/>
          <c:showBubbleSize val="0"/>
        </c:dLbls>
        <c:marker val="1"/>
        <c:smooth val="0"/>
        <c:axId val="1343781088"/>
        <c:axId val="1343781568"/>
      </c:lineChart>
      <c:catAx>
        <c:axId val="134378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43781568"/>
        <c:crosses val="autoZero"/>
        <c:auto val="1"/>
        <c:lblAlgn val="ctr"/>
        <c:lblOffset val="100"/>
        <c:noMultiLvlLbl val="0"/>
      </c:catAx>
      <c:valAx>
        <c:axId val="134378156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43781088"/>
        <c:crosses val="autoZero"/>
        <c:crossBetween val="between"/>
        <c:majorUnit val="2.0000000000000004E-2"/>
        <c:minorUnit val="1.0000000000000002E-2"/>
      </c:valAx>
      <c:valAx>
        <c:axId val="1374680592"/>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313832960"/>
        <c:crosses val="max"/>
        <c:crossBetween val="between"/>
        <c:majorUnit val="10000"/>
      </c:valAx>
      <c:catAx>
        <c:axId val="1313832960"/>
        <c:scaling>
          <c:orientation val="minMax"/>
        </c:scaling>
        <c:delete val="1"/>
        <c:axPos val="b"/>
        <c:numFmt formatCode="General" sourceLinked="1"/>
        <c:majorTickMark val="out"/>
        <c:minorTickMark val="none"/>
        <c:tickLblPos val="nextTo"/>
        <c:crossAx val="1374680592"/>
        <c:crosses val="autoZero"/>
        <c:auto val="1"/>
        <c:lblAlgn val="ctr"/>
        <c:lblOffset val="100"/>
        <c:noMultiLvlLbl val="0"/>
      </c:catAx>
      <c:spPr>
        <a:noFill/>
        <a:ln>
          <a:noFill/>
        </a:ln>
        <a:effectLst/>
      </c:spPr>
    </c:plotArea>
    <c:legend>
      <c:legendPos val="b"/>
      <c:layout>
        <c:manualLayout>
          <c:xMode val="edge"/>
          <c:yMode val="edge"/>
          <c:x val="7.8316326530612247E-3"/>
          <c:y val="0.8397242460874963"/>
          <c:w val="0.98688775510204096"/>
          <c:h val="0.1586805290115434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25627447065258"/>
          <c:y val="5.2320359402135953E-2"/>
          <c:w val="0.86935141376346703"/>
          <c:h val="0.66664742373105468"/>
        </c:manualLayout>
      </c:layout>
      <c:barChart>
        <c:barDir val="col"/>
        <c:grouping val="percentStacked"/>
        <c:varyColors val="0"/>
        <c:ser>
          <c:idx val="0"/>
          <c:order val="0"/>
          <c:tx>
            <c:strRef>
              <c:f>Sheet1!$A$2</c:f>
              <c:strCache>
                <c:ptCount val="1"/>
                <c:pt idx="0">
                  <c:v>Completely satisfied</c:v>
                </c:pt>
              </c:strCache>
            </c:strRef>
          </c:tx>
          <c:spPr>
            <a:solidFill>
              <a:schemeClr val="tx2"/>
            </a:solidFill>
            <a:ln>
              <a:solidFill>
                <a:schemeClr val="tx2"/>
              </a:solidFill>
            </a:ln>
            <a:effectLst/>
          </c:spPr>
          <c:invertIfNegative val="0"/>
          <c:cat>
            <c:strRef>
              <c:f>Sheet1!$B$1:$H$1</c:f>
              <c:strCache>
                <c:ptCount val="7"/>
                <c:pt idx="0">
                  <c:v>Planner listening</c:v>
                </c:pt>
                <c:pt idx="1">
                  <c:v>Information to help with preparation</c:v>
                </c:pt>
                <c:pt idx="2">
                  <c:v>Planner knowledge of disability</c:v>
                </c:pt>
                <c:pt idx="3">
                  <c:v>Planner’s anticipation future needs</c:v>
                </c:pt>
                <c:pt idx="4">
                  <c:v>Planner understanding impact of disability</c:v>
                </c:pt>
                <c:pt idx="5">
                  <c:v>Planner use of specialist reports </c:v>
                </c:pt>
                <c:pt idx="6">
                  <c:v>Planner explanation for decisions</c:v>
                </c:pt>
              </c:strCache>
            </c:strRef>
          </c:cat>
          <c:val>
            <c:numRef>
              <c:f>Sheet1!$B$2:$H$2</c:f>
              <c:numCache>
                <c:formatCode>General</c:formatCode>
                <c:ptCount val="7"/>
                <c:pt idx="0">
                  <c:v>1</c:v>
                </c:pt>
                <c:pt idx="1">
                  <c:v>0</c:v>
                </c:pt>
                <c:pt idx="2">
                  <c:v>0</c:v>
                </c:pt>
                <c:pt idx="3">
                  <c:v>0</c:v>
                </c:pt>
                <c:pt idx="4">
                  <c:v>0</c:v>
                </c:pt>
                <c:pt idx="5">
                  <c:v>0</c:v>
                </c:pt>
                <c:pt idx="6">
                  <c:v>0</c:v>
                </c:pt>
              </c:numCache>
            </c:numRef>
          </c:val>
          <c:extLst>
            <c:ext xmlns:c16="http://schemas.microsoft.com/office/drawing/2014/chart" uri="{C3380CC4-5D6E-409C-BE32-E72D297353CC}">
              <c16:uniqueId val="{00000000-D0BB-4616-BF8F-1239B1AA835C}"/>
            </c:ext>
          </c:extLst>
        </c:ser>
        <c:ser>
          <c:idx val="1"/>
          <c:order val="1"/>
          <c:tx>
            <c:strRef>
              <c:f>Sheet1!$A$3</c:f>
              <c:strCache>
                <c:ptCount val="1"/>
                <c:pt idx="0">
                  <c:v>Mostly satisfied</c:v>
                </c:pt>
              </c:strCache>
            </c:strRef>
          </c:tx>
          <c:spPr>
            <a:pattFill prst="wdDnDiag">
              <a:fgClr>
                <a:schemeClr val="tx2"/>
              </a:fgClr>
              <a:bgClr>
                <a:schemeClr val="tx2">
                  <a:lumMod val="20000"/>
                  <a:lumOff val="80000"/>
                </a:schemeClr>
              </a:bgClr>
            </a:pattFill>
            <a:ln>
              <a:solidFill>
                <a:srgbClr val="8AC640"/>
              </a:solidFill>
            </a:ln>
            <a:effectLst/>
          </c:spPr>
          <c:invertIfNegative val="0"/>
          <c:cat>
            <c:strRef>
              <c:f>Sheet1!$B$1:$H$1</c:f>
              <c:strCache>
                <c:ptCount val="7"/>
                <c:pt idx="0">
                  <c:v>Planner listening</c:v>
                </c:pt>
                <c:pt idx="1">
                  <c:v>Information to help with preparation</c:v>
                </c:pt>
                <c:pt idx="2">
                  <c:v>Planner knowledge of disability</c:v>
                </c:pt>
                <c:pt idx="3">
                  <c:v>Planner’s anticipation future needs</c:v>
                </c:pt>
                <c:pt idx="4">
                  <c:v>Planner understanding impact of disability</c:v>
                </c:pt>
                <c:pt idx="5">
                  <c:v>Planner use of specialist reports </c:v>
                </c:pt>
                <c:pt idx="6">
                  <c:v>Planner explanation for decisions</c:v>
                </c:pt>
              </c:strCache>
            </c:strRef>
          </c:cat>
          <c:val>
            <c:numRef>
              <c:f>Sheet1!$B$3:$H$3</c:f>
              <c:numCache>
                <c:formatCode>General</c:formatCode>
                <c:ptCount val="7"/>
                <c:pt idx="0">
                  <c:v>2</c:v>
                </c:pt>
                <c:pt idx="1">
                  <c:v>1</c:v>
                </c:pt>
                <c:pt idx="2">
                  <c:v>3</c:v>
                </c:pt>
                <c:pt idx="3">
                  <c:v>2</c:v>
                </c:pt>
                <c:pt idx="4">
                  <c:v>2</c:v>
                </c:pt>
                <c:pt idx="5">
                  <c:v>2</c:v>
                </c:pt>
                <c:pt idx="6">
                  <c:v>1</c:v>
                </c:pt>
              </c:numCache>
            </c:numRef>
          </c:val>
          <c:extLst>
            <c:ext xmlns:c16="http://schemas.microsoft.com/office/drawing/2014/chart" uri="{C3380CC4-5D6E-409C-BE32-E72D297353CC}">
              <c16:uniqueId val="{00000001-D0BB-4616-BF8F-1239B1AA835C}"/>
            </c:ext>
          </c:extLst>
        </c:ser>
        <c:ser>
          <c:idx val="2"/>
          <c:order val="2"/>
          <c:tx>
            <c:strRef>
              <c:f>Sheet1!$A$4</c:f>
              <c:strCache>
                <c:ptCount val="1"/>
                <c:pt idx="0">
                  <c:v>Somewhat satisfied</c:v>
                </c:pt>
              </c:strCache>
            </c:strRef>
          </c:tx>
          <c:spPr>
            <a:pattFill prst="pct5">
              <a:fgClr>
                <a:schemeClr val="tx2"/>
              </a:fgClr>
              <a:bgClr>
                <a:schemeClr val="tx2">
                  <a:lumMod val="20000"/>
                  <a:lumOff val="80000"/>
                </a:schemeClr>
              </a:bgClr>
            </a:pattFill>
            <a:ln>
              <a:solidFill>
                <a:schemeClr val="tx2"/>
              </a:solidFill>
            </a:ln>
            <a:effectLst/>
          </c:spPr>
          <c:invertIfNegative val="0"/>
          <c:cat>
            <c:strRef>
              <c:f>Sheet1!$B$1:$H$1</c:f>
              <c:strCache>
                <c:ptCount val="7"/>
                <c:pt idx="0">
                  <c:v>Planner listening</c:v>
                </c:pt>
                <c:pt idx="1">
                  <c:v>Information to help with preparation</c:v>
                </c:pt>
                <c:pt idx="2">
                  <c:v>Planner knowledge of disability</c:v>
                </c:pt>
                <c:pt idx="3">
                  <c:v>Planner’s anticipation future needs</c:v>
                </c:pt>
                <c:pt idx="4">
                  <c:v>Planner understanding impact of disability</c:v>
                </c:pt>
                <c:pt idx="5">
                  <c:v>Planner use of specialist reports </c:v>
                </c:pt>
                <c:pt idx="6">
                  <c:v>Planner explanation for decisions</c:v>
                </c:pt>
              </c:strCache>
            </c:strRef>
          </c:cat>
          <c:val>
            <c:numRef>
              <c:f>Sheet1!$B$4:$H$4</c:f>
              <c:numCache>
                <c:formatCode>General</c:formatCode>
                <c:ptCount val="7"/>
                <c:pt idx="0">
                  <c:v>0</c:v>
                </c:pt>
                <c:pt idx="1">
                  <c:v>3</c:v>
                </c:pt>
                <c:pt idx="2">
                  <c:v>0</c:v>
                </c:pt>
                <c:pt idx="3">
                  <c:v>1</c:v>
                </c:pt>
                <c:pt idx="4">
                  <c:v>1</c:v>
                </c:pt>
                <c:pt idx="5">
                  <c:v>0</c:v>
                </c:pt>
                <c:pt idx="6">
                  <c:v>0</c:v>
                </c:pt>
              </c:numCache>
            </c:numRef>
          </c:val>
          <c:extLst>
            <c:ext xmlns:c16="http://schemas.microsoft.com/office/drawing/2014/chart" uri="{C3380CC4-5D6E-409C-BE32-E72D297353CC}">
              <c16:uniqueId val="{00000002-D0BB-4616-BF8F-1239B1AA835C}"/>
            </c:ext>
          </c:extLst>
        </c:ser>
        <c:ser>
          <c:idx val="3"/>
          <c:order val="3"/>
          <c:tx>
            <c:strRef>
              <c:f>Sheet1!$A$5</c:f>
              <c:strCache>
                <c:ptCount val="1"/>
                <c:pt idx="0">
                  <c:v>Only a little bit satisfied</c:v>
                </c:pt>
              </c:strCache>
            </c:strRef>
          </c:tx>
          <c:spPr>
            <a:pattFill prst="wdDnDiag">
              <a:fgClr>
                <a:schemeClr val="bg2"/>
              </a:fgClr>
              <a:bgClr>
                <a:schemeClr val="bg2">
                  <a:lumMod val="20000"/>
                  <a:lumOff val="80000"/>
                </a:schemeClr>
              </a:bgClr>
            </a:pattFill>
            <a:ln>
              <a:solidFill>
                <a:schemeClr val="bg2"/>
              </a:solidFill>
            </a:ln>
            <a:effectLst/>
          </c:spPr>
          <c:invertIfNegative val="0"/>
          <c:cat>
            <c:strRef>
              <c:f>Sheet1!$B$1:$H$1</c:f>
              <c:strCache>
                <c:ptCount val="7"/>
                <c:pt idx="0">
                  <c:v>Planner listening</c:v>
                </c:pt>
                <c:pt idx="1">
                  <c:v>Information to help with preparation</c:v>
                </c:pt>
                <c:pt idx="2">
                  <c:v>Planner knowledge of disability</c:v>
                </c:pt>
                <c:pt idx="3">
                  <c:v>Planner’s anticipation future needs</c:v>
                </c:pt>
                <c:pt idx="4">
                  <c:v>Planner understanding impact of disability</c:v>
                </c:pt>
                <c:pt idx="5">
                  <c:v>Planner use of specialist reports </c:v>
                </c:pt>
                <c:pt idx="6">
                  <c:v>Planner explanation for decisions</c:v>
                </c:pt>
              </c:strCache>
            </c:strRef>
          </c:cat>
          <c:val>
            <c:numRef>
              <c:f>Sheet1!$B$5:$H$5</c:f>
              <c:numCache>
                <c:formatCode>General</c:formatCode>
                <c:ptCount val="7"/>
                <c:pt idx="0">
                  <c:v>0</c:v>
                </c:pt>
                <c:pt idx="1">
                  <c:v>0</c:v>
                </c:pt>
                <c:pt idx="2">
                  <c:v>0</c:v>
                </c:pt>
                <c:pt idx="3">
                  <c:v>0</c:v>
                </c:pt>
                <c:pt idx="4">
                  <c:v>0</c:v>
                </c:pt>
                <c:pt idx="5">
                  <c:v>0</c:v>
                </c:pt>
                <c:pt idx="6">
                  <c:v>0</c:v>
                </c:pt>
              </c:numCache>
            </c:numRef>
          </c:val>
          <c:extLst>
            <c:ext xmlns:c16="http://schemas.microsoft.com/office/drawing/2014/chart" uri="{C3380CC4-5D6E-409C-BE32-E72D297353CC}">
              <c16:uniqueId val="{00000003-D0BB-4616-BF8F-1239B1AA835C}"/>
            </c:ext>
          </c:extLst>
        </c:ser>
        <c:ser>
          <c:idx val="4"/>
          <c:order val="4"/>
          <c:tx>
            <c:strRef>
              <c:f>Sheet1!$A$6</c:f>
              <c:strCache>
                <c:ptCount val="1"/>
                <c:pt idx="0">
                  <c:v>Not at all satisfied</c:v>
                </c:pt>
              </c:strCache>
            </c:strRef>
          </c:tx>
          <c:spPr>
            <a:solidFill>
              <a:schemeClr val="bg2"/>
            </a:solidFill>
            <a:ln>
              <a:solidFill>
                <a:schemeClr val="bg2"/>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Sheet1!$B$1:$H$1</c:f>
              <c:strCache>
                <c:ptCount val="7"/>
                <c:pt idx="0">
                  <c:v>Planner listening</c:v>
                </c:pt>
                <c:pt idx="1">
                  <c:v>Information to help with preparation</c:v>
                </c:pt>
                <c:pt idx="2">
                  <c:v>Planner knowledge of disability</c:v>
                </c:pt>
                <c:pt idx="3">
                  <c:v>Planner’s anticipation future needs</c:v>
                </c:pt>
                <c:pt idx="4">
                  <c:v>Planner understanding impact of disability</c:v>
                </c:pt>
                <c:pt idx="5">
                  <c:v>Planner use of specialist reports </c:v>
                </c:pt>
                <c:pt idx="6">
                  <c:v>Planner explanation for decisions</c:v>
                </c:pt>
              </c:strCache>
            </c:strRef>
          </c:cat>
          <c:val>
            <c:numRef>
              <c:f>Sheet1!$B$6:$H$6</c:f>
              <c:numCache>
                <c:formatCode>General</c:formatCode>
                <c:ptCount val="7"/>
                <c:pt idx="0">
                  <c:v>9</c:v>
                </c:pt>
                <c:pt idx="1">
                  <c:v>8</c:v>
                </c:pt>
                <c:pt idx="2">
                  <c:v>9</c:v>
                </c:pt>
                <c:pt idx="3">
                  <c:v>9</c:v>
                </c:pt>
                <c:pt idx="4">
                  <c:v>9</c:v>
                </c:pt>
                <c:pt idx="5">
                  <c:v>10</c:v>
                </c:pt>
                <c:pt idx="6">
                  <c:v>11</c:v>
                </c:pt>
              </c:numCache>
            </c:numRef>
          </c:val>
          <c:extLst>
            <c:ext xmlns:c16="http://schemas.microsoft.com/office/drawing/2014/chart" uri="{C3380CC4-5D6E-409C-BE32-E72D297353CC}">
              <c16:uniqueId val="{00000008-18B2-417C-AAEA-83B51A8DF166}"/>
            </c:ext>
          </c:extLst>
        </c:ser>
        <c:dLbls>
          <c:showLegendKey val="0"/>
          <c:showVal val="0"/>
          <c:showCatName val="0"/>
          <c:showSerName val="0"/>
          <c:showPercent val="0"/>
          <c:showBubbleSize val="0"/>
        </c:dLbls>
        <c:gapWidth val="150"/>
        <c:overlap val="100"/>
        <c:axId val="73932591"/>
        <c:axId val="1301699615"/>
      </c:barChart>
      <c:catAx>
        <c:axId val="739325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crossAx val="1301699615"/>
        <c:crosses val="autoZero"/>
        <c:auto val="1"/>
        <c:lblAlgn val="ctr"/>
        <c:lblOffset val="100"/>
        <c:noMultiLvlLbl val="0"/>
      </c:catAx>
      <c:valAx>
        <c:axId val="130169961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3932591"/>
        <c:crosses val="autoZero"/>
        <c:crossBetween val="between"/>
        <c:majorUnit val="0.2"/>
        <c:minorUnit val="0.1"/>
      </c:valAx>
      <c:spPr>
        <a:noFill/>
        <a:ln>
          <a:noFill/>
        </a:ln>
        <a:effectLst/>
      </c:spPr>
    </c:plotArea>
    <c:legend>
      <c:legendPos val="b"/>
      <c:layout>
        <c:manualLayout>
          <c:xMode val="edge"/>
          <c:yMode val="edge"/>
          <c:x val="8.7855611212876228E-4"/>
          <c:y val="0.90863328358465001"/>
          <c:w val="0.99912139076963813"/>
          <c:h val="9.136678583134513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660568249913954E-2"/>
          <c:y val="4.3120344962759703E-2"/>
          <c:w val="0.89293295293934716"/>
          <c:h val="0.63989857925368032"/>
        </c:manualLayout>
      </c:layout>
      <c:barChart>
        <c:barDir val="col"/>
        <c:grouping val="percentStacked"/>
        <c:varyColors val="0"/>
        <c:ser>
          <c:idx val="0"/>
          <c:order val="0"/>
          <c:tx>
            <c:strRef>
              <c:f>Sheet1!$A$2</c:f>
              <c:strCache>
                <c:ptCount val="1"/>
                <c:pt idx="0">
                  <c:v>Completely satisfied</c:v>
                </c:pt>
              </c:strCache>
            </c:strRef>
          </c:tx>
          <c:spPr>
            <a:solidFill>
              <a:schemeClr val="tx2"/>
            </a:solidFill>
            <a:ln>
              <a:solidFill>
                <a:schemeClr val="tx2"/>
              </a:solidFill>
            </a:ln>
            <a:effectLst/>
          </c:spPr>
          <c:invertIfNegative val="0"/>
          <c:cat>
            <c:strRef>
              <c:f>Sheet1!$B$1:$G$1</c:f>
              <c:strCache>
                <c:ptCount val="6"/>
                <c:pt idx="0">
                  <c:v>Information about internal review process</c:v>
                </c:pt>
                <c:pt idx="1">
                  <c:v>Speaking to the right person </c:v>
                </c:pt>
                <c:pt idx="2">
                  <c:v>Opportunity to be heard </c:v>
                </c:pt>
                <c:pt idx="3">
                  <c:v>Clear explanation for the decision </c:v>
                </c:pt>
                <c:pt idx="4">
                  <c:v>Objectively considering the matter</c:v>
                </c:pt>
                <c:pt idx="5">
                  <c:v>Understanding the issues involved</c:v>
                </c:pt>
              </c:strCache>
            </c:strRef>
          </c:cat>
          <c:val>
            <c:numRef>
              <c:f>Sheet1!$B$2:$G$2</c:f>
              <c:numCache>
                <c:formatCode>General</c:formatCode>
                <c:ptCount val="6"/>
                <c:pt idx="0">
                  <c:v>1</c:v>
                </c:pt>
                <c:pt idx="1">
                  <c:v>1</c:v>
                </c:pt>
                <c:pt idx="2">
                  <c:v>1</c:v>
                </c:pt>
                <c:pt idx="3">
                  <c:v>0</c:v>
                </c:pt>
                <c:pt idx="4">
                  <c:v>0</c:v>
                </c:pt>
                <c:pt idx="5">
                  <c:v>0</c:v>
                </c:pt>
              </c:numCache>
            </c:numRef>
          </c:val>
          <c:extLst>
            <c:ext xmlns:c16="http://schemas.microsoft.com/office/drawing/2014/chart" uri="{C3380CC4-5D6E-409C-BE32-E72D297353CC}">
              <c16:uniqueId val="{00000000-FCB6-4609-8095-B21338DF80D8}"/>
            </c:ext>
          </c:extLst>
        </c:ser>
        <c:ser>
          <c:idx val="1"/>
          <c:order val="1"/>
          <c:tx>
            <c:strRef>
              <c:f>Sheet1!$A$3</c:f>
              <c:strCache>
                <c:ptCount val="1"/>
                <c:pt idx="0">
                  <c:v>Mostly satisfied</c:v>
                </c:pt>
              </c:strCache>
            </c:strRef>
          </c:tx>
          <c:spPr>
            <a:pattFill prst="wdDnDiag">
              <a:fgClr>
                <a:schemeClr val="tx2"/>
              </a:fgClr>
              <a:bgClr>
                <a:schemeClr val="tx2">
                  <a:lumMod val="20000"/>
                  <a:lumOff val="80000"/>
                </a:schemeClr>
              </a:bgClr>
            </a:pattFill>
            <a:ln>
              <a:solidFill>
                <a:schemeClr val="tx2"/>
              </a:solidFill>
            </a:ln>
            <a:effectLst/>
          </c:spPr>
          <c:invertIfNegative val="0"/>
          <c:dPt>
            <c:idx val="0"/>
            <c:invertIfNegative val="0"/>
            <c:bubble3D val="0"/>
            <c:spPr>
              <a:pattFill prst="wdDnDiag">
                <a:fgClr>
                  <a:schemeClr val="tx2"/>
                </a:fgClr>
                <a:bgClr>
                  <a:schemeClr val="tx2">
                    <a:lumMod val="20000"/>
                    <a:lumOff val="80000"/>
                  </a:schemeClr>
                </a:bgClr>
              </a:pattFill>
              <a:ln>
                <a:solidFill>
                  <a:schemeClr val="tx2"/>
                </a:solidFill>
              </a:ln>
              <a:effectLst/>
            </c:spPr>
            <c:extLst>
              <c:ext xmlns:c16="http://schemas.microsoft.com/office/drawing/2014/chart" uri="{C3380CC4-5D6E-409C-BE32-E72D297353CC}">
                <c16:uniqueId val="{00000000-E34F-4F6E-8DF5-0E6A6ACCC124}"/>
              </c:ext>
            </c:extLst>
          </c:dPt>
          <c:cat>
            <c:strRef>
              <c:f>Sheet1!$B$1:$G$1</c:f>
              <c:strCache>
                <c:ptCount val="6"/>
                <c:pt idx="0">
                  <c:v>Information about internal review process</c:v>
                </c:pt>
                <c:pt idx="1">
                  <c:v>Speaking to the right person </c:v>
                </c:pt>
                <c:pt idx="2">
                  <c:v>Opportunity to be heard </c:v>
                </c:pt>
                <c:pt idx="3">
                  <c:v>Clear explanation for the decision </c:v>
                </c:pt>
                <c:pt idx="4">
                  <c:v>Objectively considering the matter</c:v>
                </c:pt>
                <c:pt idx="5">
                  <c:v>Understanding the issues involved</c:v>
                </c:pt>
              </c:strCache>
            </c:strRef>
          </c:cat>
          <c:val>
            <c:numRef>
              <c:f>Sheet1!$B$3:$G$3</c:f>
              <c:numCache>
                <c:formatCode>General</c:formatCode>
                <c:ptCount val="6"/>
                <c:pt idx="0">
                  <c:v>1</c:v>
                </c:pt>
                <c:pt idx="1">
                  <c:v>0</c:v>
                </c:pt>
                <c:pt idx="2">
                  <c:v>0</c:v>
                </c:pt>
                <c:pt idx="3">
                  <c:v>0</c:v>
                </c:pt>
                <c:pt idx="4">
                  <c:v>0</c:v>
                </c:pt>
                <c:pt idx="5">
                  <c:v>0</c:v>
                </c:pt>
              </c:numCache>
            </c:numRef>
          </c:val>
          <c:extLst>
            <c:ext xmlns:c16="http://schemas.microsoft.com/office/drawing/2014/chart" uri="{C3380CC4-5D6E-409C-BE32-E72D297353CC}">
              <c16:uniqueId val="{00000001-FCB6-4609-8095-B21338DF80D8}"/>
            </c:ext>
          </c:extLst>
        </c:ser>
        <c:ser>
          <c:idx val="2"/>
          <c:order val="2"/>
          <c:tx>
            <c:strRef>
              <c:f>Sheet1!$A$4</c:f>
              <c:strCache>
                <c:ptCount val="1"/>
                <c:pt idx="0">
                  <c:v>Somewhat satisfied</c:v>
                </c:pt>
              </c:strCache>
            </c:strRef>
          </c:tx>
          <c:spPr>
            <a:pattFill prst="pct5">
              <a:fgClr>
                <a:schemeClr val="tx2"/>
              </a:fgClr>
              <a:bgClr>
                <a:schemeClr val="tx2">
                  <a:lumMod val="20000"/>
                  <a:lumOff val="80000"/>
                </a:schemeClr>
              </a:bgClr>
            </a:pattFill>
            <a:ln>
              <a:solidFill>
                <a:schemeClr val="tx2"/>
              </a:solidFill>
            </a:ln>
            <a:effectLst/>
          </c:spPr>
          <c:invertIfNegative val="0"/>
          <c:cat>
            <c:strRef>
              <c:f>Sheet1!$B$1:$G$1</c:f>
              <c:strCache>
                <c:ptCount val="6"/>
                <c:pt idx="0">
                  <c:v>Information about internal review process</c:v>
                </c:pt>
                <c:pt idx="1">
                  <c:v>Speaking to the right person </c:v>
                </c:pt>
                <c:pt idx="2">
                  <c:v>Opportunity to be heard </c:v>
                </c:pt>
                <c:pt idx="3">
                  <c:v>Clear explanation for the decision </c:v>
                </c:pt>
                <c:pt idx="4">
                  <c:v>Objectively considering the matter</c:v>
                </c:pt>
                <c:pt idx="5">
                  <c:v>Understanding the issues involved</c:v>
                </c:pt>
              </c:strCache>
            </c:strRef>
          </c:cat>
          <c:val>
            <c:numRef>
              <c:f>Sheet1!$B$4:$G$4</c:f>
              <c:numCache>
                <c:formatCode>General</c:formatCode>
                <c:ptCount val="6"/>
                <c:pt idx="0">
                  <c:v>0</c:v>
                </c:pt>
                <c:pt idx="1">
                  <c:v>0</c:v>
                </c:pt>
                <c:pt idx="2">
                  <c:v>1</c:v>
                </c:pt>
                <c:pt idx="3">
                  <c:v>1</c:v>
                </c:pt>
                <c:pt idx="4">
                  <c:v>0</c:v>
                </c:pt>
                <c:pt idx="5">
                  <c:v>0</c:v>
                </c:pt>
              </c:numCache>
            </c:numRef>
          </c:val>
          <c:extLst>
            <c:ext xmlns:c16="http://schemas.microsoft.com/office/drawing/2014/chart" uri="{C3380CC4-5D6E-409C-BE32-E72D297353CC}">
              <c16:uniqueId val="{00000002-FCB6-4609-8095-B21338DF80D8}"/>
            </c:ext>
          </c:extLst>
        </c:ser>
        <c:ser>
          <c:idx val="3"/>
          <c:order val="3"/>
          <c:tx>
            <c:strRef>
              <c:f>Sheet1!$A$5</c:f>
              <c:strCache>
                <c:ptCount val="1"/>
                <c:pt idx="0">
                  <c:v>Only a little bit satisfied</c:v>
                </c:pt>
              </c:strCache>
            </c:strRef>
          </c:tx>
          <c:spPr>
            <a:pattFill prst="wdDnDiag">
              <a:fgClr>
                <a:schemeClr val="bg2"/>
              </a:fgClr>
              <a:bgClr>
                <a:schemeClr val="bg2">
                  <a:lumMod val="20000"/>
                  <a:lumOff val="80000"/>
                </a:schemeClr>
              </a:bgClr>
            </a:pattFill>
            <a:ln>
              <a:solidFill>
                <a:schemeClr val="bg2"/>
              </a:solidFill>
            </a:ln>
            <a:effectLst/>
          </c:spPr>
          <c:invertIfNegative val="0"/>
          <c:cat>
            <c:strRef>
              <c:f>Sheet1!$B$1:$G$1</c:f>
              <c:strCache>
                <c:ptCount val="6"/>
                <c:pt idx="0">
                  <c:v>Information about internal review process</c:v>
                </c:pt>
                <c:pt idx="1">
                  <c:v>Speaking to the right person </c:v>
                </c:pt>
                <c:pt idx="2">
                  <c:v>Opportunity to be heard </c:v>
                </c:pt>
                <c:pt idx="3">
                  <c:v>Clear explanation for the decision </c:v>
                </c:pt>
                <c:pt idx="4">
                  <c:v>Objectively considering the matter</c:v>
                </c:pt>
                <c:pt idx="5">
                  <c:v>Understanding the issues involved</c:v>
                </c:pt>
              </c:strCache>
            </c:strRef>
          </c:cat>
          <c:val>
            <c:numRef>
              <c:f>Sheet1!$B$5:$G$5</c:f>
              <c:numCache>
                <c:formatCode>General</c:formatCode>
                <c:ptCount val="6"/>
                <c:pt idx="0">
                  <c:v>1</c:v>
                </c:pt>
                <c:pt idx="1">
                  <c:v>2</c:v>
                </c:pt>
                <c:pt idx="2">
                  <c:v>0</c:v>
                </c:pt>
                <c:pt idx="3">
                  <c:v>0</c:v>
                </c:pt>
                <c:pt idx="4">
                  <c:v>0</c:v>
                </c:pt>
                <c:pt idx="5">
                  <c:v>0</c:v>
                </c:pt>
              </c:numCache>
            </c:numRef>
          </c:val>
          <c:extLst>
            <c:ext xmlns:c16="http://schemas.microsoft.com/office/drawing/2014/chart" uri="{C3380CC4-5D6E-409C-BE32-E72D297353CC}">
              <c16:uniqueId val="{00000003-FCB6-4609-8095-B21338DF80D8}"/>
            </c:ext>
          </c:extLst>
        </c:ser>
        <c:ser>
          <c:idx val="4"/>
          <c:order val="4"/>
          <c:tx>
            <c:strRef>
              <c:f>Sheet1!$A$6</c:f>
              <c:strCache>
                <c:ptCount val="1"/>
                <c:pt idx="0">
                  <c:v>Not at all satisfied</c:v>
                </c:pt>
              </c:strCache>
            </c:strRef>
          </c:tx>
          <c:spPr>
            <a:solidFill>
              <a:schemeClr val="bg2"/>
            </a:solidFill>
            <a:ln>
              <a:solidFill>
                <a:schemeClr val="bg2"/>
              </a:solidFill>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3-66B6-494F-ABB2-4220F5C34343}"/>
                </c:ext>
              </c:extLst>
            </c:dLbl>
            <c:dLbl>
              <c:idx val="1"/>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4-66B6-494F-ABB2-4220F5C34343}"/>
                </c:ext>
              </c:extLst>
            </c:dLbl>
            <c:dLbl>
              <c:idx val="2"/>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5-66B6-494F-ABB2-4220F5C34343}"/>
                </c:ext>
              </c:extLst>
            </c:dLbl>
            <c:dLbl>
              <c:idx val="3"/>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6-66B6-494F-ABB2-4220F5C34343}"/>
                </c:ext>
              </c:extLst>
            </c:dLbl>
            <c:dLbl>
              <c:idx val="4"/>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7-66B6-494F-ABB2-4220F5C34343}"/>
                </c:ext>
              </c:extLst>
            </c:dLbl>
            <c:dLbl>
              <c:idx val="5"/>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02-66B6-494F-ABB2-4220F5C34343}"/>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Information about internal review process</c:v>
                </c:pt>
                <c:pt idx="1">
                  <c:v>Speaking to the right person </c:v>
                </c:pt>
                <c:pt idx="2">
                  <c:v>Opportunity to be heard </c:v>
                </c:pt>
                <c:pt idx="3">
                  <c:v>Clear explanation for the decision </c:v>
                </c:pt>
                <c:pt idx="4">
                  <c:v>Objectively considering the matter</c:v>
                </c:pt>
                <c:pt idx="5">
                  <c:v>Understanding the issues involved</c:v>
                </c:pt>
              </c:strCache>
            </c:strRef>
          </c:cat>
          <c:val>
            <c:numRef>
              <c:f>Sheet1!$B$6:$G$6</c:f>
              <c:numCache>
                <c:formatCode>General</c:formatCode>
                <c:ptCount val="6"/>
                <c:pt idx="0">
                  <c:v>10</c:v>
                </c:pt>
                <c:pt idx="1">
                  <c:v>10</c:v>
                </c:pt>
                <c:pt idx="2">
                  <c:v>11</c:v>
                </c:pt>
                <c:pt idx="3">
                  <c:v>12</c:v>
                </c:pt>
                <c:pt idx="4">
                  <c:v>13</c:v>
                </c:pt>
                <c:pt idx="5">
                  <c:v>13</c:v>
                </c:pt>
              </c:numCache>
            </c:numRef>
          </c:val>
          <c:extLst>
            <c:ext xmlns:c16="http://schemas.microsoft.com/office/drawing/2014/chart" uri="{C3380CC4-5D6E-409C-BE32-E72D297353CC}">
              <c16:uniqueId val="{00000004-FCB6-4609-8095-B21338DF80D8}"/>
            </c:ext>
          </c:extLst>
        </c:ser>
        <c:dLbls>
          <c:showLegendKey val="0"/>
          <c:showVal val="0"/>
          <c:showCatName val="0"/>
          <c:showSerName val="0"/>
          <c:showPercent val="0"/>
          <c:showBubbleSize val="0"/>
        </c:dLbls>
        <c:gapWidth val="150"/>
        <c:overlap val="100"/>
        <c:axId val="1425949760"/>
        <c:axId val="1431305648"/>
      </c:barChart>
      <c:catAx>
        <c:axId val="1425949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31305648"/>
        <c:crosses val="autoZero"/>
        <c:auto val="1"/>
        <c:lblAlgn val="ctr"/>
        <c:lblOffset val="100"/>
        <c:noMultiLvlLbl val="0"/>
      </c:catAx>
      <c:valAx>
        <c:axId val="143130564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25949760"/>
        <c:crosses val="autoZero"/>
        <c:crossBetween val="between"/>
        <c:majorUnit val="0.2"/>
        <c:minorUnit val="0.1"/>
      </c:valAx>
      <c:spPr>
        <a:noFill/>
        <a:ln>
          <a:noFill/>
        </a:ln>
        <a:effectLst/>
      </c:spPr>
    </c:plotArea>
    <c:legend>
      <c:legendPos val="b"/>
      <c:layout>
        <c:manualLayout>
          <c:xMode val="edge"/>
          <c:yMode val="edge"/>
          <c:x val="4.7711068421172525E-3"/>
          <c:y val="0.87538478546159992"/>
          <c:w val="0.99112958336813495"/>
          <c:h val="0.1168961317851797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Sheet1!$A$2:$A$2347</cx:f>
        <cx:lvl ptCount="2346" formatCode="General">
          <cx:pt idx="0">225</cx:pt>
          <cx:pt idx="1">202</cx:pt>
          <cx:pt idx="2">329</cx:pt>
          <cx:pt idx="3">143</cx:pt>
          <cx:pt idx="4">367</cx:pt>
          <cx:pt idx="5">277</cx:pt>
          <cx:pt idx="6">144</cx:pt>
          <cx:pt idx="7">255</cx:pt>
          <cx:pt idx="8">240</cx:pt>
          <cx:pt idx="9">196</cx:pt>
          <cx:pt idx="10">230</cx:pt>
          <cx:pt idx="11">244</cx:pt>
          <cx:pt idx="12">287</cx:pt>
          <cx:pt idx="13">237</cx:pt>
          <cx:pt idx="14">210</cx:pt>
          <cx:pt idx="15">327</cx:pt>
          <cx:pt idx="16">298</cx:pt>
          <cx:pt idx="17">203</cx:pt>
          <cx:pt idx="18">344</cx:pt>
          <cx:pt idx="19">210</cx:pt>
          <cx:pt idx="20">182</cx:pt>
          <cx:pt idx="21">233</cx:pt>
          <cx:pt idx="22">296</cx:pt>
          <cx:pt idx="23">1025</cx:pt>
          <cx:pt idx="24">201</cx:pt>
          <cx:pt idx="25">175</cx:pt>
          <cx:pt idx="26">227</cx:pt>
          <cx:pt idx="27">99</cx:pt>
          <cx:pt idx="28">344</cx:pt>
          <cx:pt idx="29">370</cx:pt>
          <cx:pt idx="30">432</cx:pt>
          <cx:pt idx="31">178</cx:pt>
          <cx:pt idx="32">954</cx:pt>
          <cx:pt idx="33">72</cx:pt>
          <cx:pt idx="34">248</cx:pt>
          <cx:pt idx="35">170</cx:pt>
          <cx:pt idx="36">242</cx:pt>
          <cx:pt idx="37">245</cx:pt>
          <cx:pt idx="38">159</cx:pt>
          <cx:pt idx="39">253</cx:pt>
          <cx:pt idx="40">315</cx:pt>
          <cx:pt idx="41">347</cx:pt>
          <cx:pt idx="42">186</cx:pt>
          <cx:pt idx="43">238</cx:pt>
          <cx:pt idx="44">367</cx:pt>
          <cx:pt idx="45">314</cx:pt>
          <cx:pt idx="46">308</cx:pt>
          <cx:pt idx="47">305</cx:pt>
          <cx:pt idx="48">211</cx:pt>
          <cx:pt idx="49">182</cx:pt>
          <cx:pt idx="50">190</cx:pt>
          <cx:pt idx="51">208</cx:pt>
          <cx:pt idx="52">202</cx:pt>
          <cx:pt idx="53">232</cx:pt>
          <cx:pt idx="54">177</cx:pt>
          <cx:pt idx="55">222</cx:pt>
          <cx:pt idx="56">244</cx:pt>
          <cx:pt idx="57">182</cx:pt>
          <cx:pt idx="58">161</cx:pt>
          <cx:pt idx="59">251</cx:pt>
          <cx:pt idx="60">246</cx:pt>
          <cx:pt idx="61">253</cx:pt>
          <cx:pt idx="62">70</cx:pt>
          <cx:pt idx="63">441</cx:pt>
          <cx:pt idx="64">426</cx:pt>
          <cx:pt idx="65">242</cx:pt>
          <cx:pt idx="66">378</cx:pt>
          <cx:pt idx="67">229</cx:pt>
          <cx:pt idx="68">262</cx:pt>
          <cx:pt idx="69">212</cx:pt>
          <cx:pt idx="70">286</cx:pt>
          <cx:pt idx="71">257</cx:pt>
          <cx:pt idx="72">129</cx:pt>
          <cx:pt idx="73">191</cx:pt>
          <cx:pt idx="74">302</cx:pt>
          <cx:pt idx="75">271</cx:pt>
          <cx:pt idx="76">142</cx:pt>
          <cx:pt idx="77">551</cx:pt>
          <cx:pt idx="78">227</cx:pt>
          <cx:pt idx="79">236</cx:pt>
          <cx:pt idx="80">457</cx:pt>
          <cx:pt idx="81">373</cx:pt>
          <cx:pt idx="82">294</cx:pt>
          <cx:pt idx="83">405</cx:pt>
          <cx:pt idx="84">483</cx:pt>
          <cx:pt idx="85">163</cx:pt>
          <cx:pt idx="86">253</cx:pt>
          <cx:pt idx="87">384</cx:pt>
          <cx:pt idx="88">211</cx:pt>
          <cx:pt idx="89">191</cx:pt>
          <cx:pt idx="90">232</cx:pt>
          <cx:pt idx="91">296</cx:pt>
          <cx:pt idx="92">104</cx:pt>
          <cx:pt idx="93">141</cx:pt>
          <cx:pt idx="94">238</cx:pt>
          <cx:pt idx="95">129</cx:pt>
          <cx:pt idx="96">334</cx:pt>
          <cx:pt idx="97">93</cx:pt>
          <cx:pt idx="98">91</cx:pt>
          <cx:pt idx="99">274</cx:pt>
          <cx:pt idx="100">226</cx:pt>
          <cx:pt idx="101">377</cx:pt>
          <cx:pt idx="102">275</cx:pt>
          <cx:pt idx="103">196</cx:pt>
          <cx:pt idx="104">297</cx:pt>
          <cx:pt idx="105">176</cx:pt>
          <cx:pt idx="106">207</cx:pt>
          <cx:pt idx="107">190</cx:pt>
          <cx:pt idx="108">224</cx:pt>
          <cx:pt idx="109">223</cx:pt>
          <cx:pt idx="110">240</cx:pt>
          <cx:pt idx="111">391</cx:pt>
          <cx:pt idx="112">408</cx:pt>
          <cx:pt idx="113">375</cx:pt>
          <cx:pt idx="114">191</cx:pt>
          <cx:pt idx="115">308</cx:pt>
          <cx:pt idx="116">372</cx:pt>
          <cx:pt idx="117">290</cx:pt>
          <cx:pt idx="118">193</cx:pt>
          <cx:pt idx="119">495</cx:pt>
          <cx:pt idx="120">268</cx:pt>
          <cx:pt idx="121">274</cx:pt>
          <cx:pt idx="122">54</cx:pt>
          <cx:pt idx="123">447</cx:pt>
          <cx:pt idx="124">226</cx:pt>
          <cx:pt idx="125">132</cx:pt>
          <cx:pt idx="126">304</cx:pt>
          <cx:pt idx="127">356</cx:pt>
          <cx:pt idx="128">295</cx:pt>
          <cx:pt idx="129">355</cx:pt>
          <cx:pt idx="130">279</cx:pt>
          <cx:pt idx="131">323</cx:pt>
          <cx:pt idx="132">161</cx:pt>
          <cx:pt idx="133">122</cx:pt>
          <cx:pt idx="134">253</cx:pt>
          <cx:pt idx="135">302</cx:pt>
          <cx:pt idx="136">133</cx:pt>
          <cx:pt idx="137">315</cx:pt>
          <cx:pt idx="138">166</cx:pt>
          <cx:pt idx="139">158</cx:pt>
          <cx:pt idx="140">203</cx:pt>
          <cx:pt idx="141">299</cx:pt>
          <cx:pt idx="142">190</cx:pt>
          <cx:pt idx="143">224</cx:pt>
          <cx:pt idx="144">180</cx:pt>
          <cx:pt idx="145">221</cx:pt>
          <cx:pt idx="146">669</cx:pt>
          <cx:pt idx="147">383</cx:pt>
          <cx:pt idx="148">317</cx:pt>
          <cx:pt idx="149">275</cx:pt>
          <cx:pt idx="150">336</cx:pt>
          <cx:pt idx="151">322</cx:pt>
          <cx:pt idx="152">371</cx:pt>
          <cx:pt idx="153">343</cx:pt>
          <cx:pt idx="154">378</cx:pt>
          <cx:pt idx="155">333</cx:pt>
          <cx:pt idx="156">315</cx:pt>
          <cx:pt idx="157">311</cx:pt>
          <cx:pt idx="158">243</cx:pt>
          <cx:pt idx="159">77</cx:pt>
          <cx:pt idx="160">303</cx:pt>
          <cx:pt idx="161">295</cx:pt>
          <cx:pt idx="162">290</cx:pt>
          <cx:pt idx="163">192</cx:pt>
          <cx:pt idx="164">291</cx:pt>
          <cx:pt idx="165">187</cx:pt>
          <cx:pt idx="166">249</cx:pt>
          <cx:pt idx="167">309</cx:pt>
          <cx:pt idx="168">240</cx:pt>
          <cx:pt idx="169">250</cx:pt>
          <cx:pt idx="170">254</cx:pt>
          <cx:pt idx="171">273</cx:pt>
          <cx:pt idx="172">287</cx:pt>
          <cx:pt idx="173">210</cx:pt>
          <cx:pt idx="174">274</cx:pt>
          <cx:pt idx="175">259</cx:pt>
          <cx:pt idx="176">232</cx:pt>
          <cx:pt idx="177">147</cx:pt>
          <cx:pt idx="178">210</cx:pt>
          <cx:pt idx="179">136</cx:pt>
          <cx:pt idx="180">259</cx:pt>
          <cx:pt idx="181">231</cx:pt>
          <cx:pt idx="182">203</cx:pt>
          <cx:pt idx="183">252</cx:pt>
          <cx:pt idx="184">201</cx:pt>
          <cx:pt idx="185">195</cx:pt>
          <cx:pt idx="186">224</cx:pt>
          <cx:pt idx="187">195</cx:pt>
          <cx:pt idx="188">174</cx:pt>
          <cx:pt idx="189">172</cx:pt>
          <cx:pt idx="190">110</cx:pt>
          <cx:pt idx="191">98</cx:pt>
          <cx:pt idx="192">141</cx:pt>
          <cx:pt idx="193">132</cx:pt>
          <cx:pt idx="194">201</cx:pt>
          <cx:pt idx="195">205</cx:pt>
          <cx:pt idx="196">204</cx:pt>
          <cx:pt idx="197">232</cx:pt>
          <cx:pt idx="198">209</cx:pt>
          <cx:pt idx="199">224</cx:pt>
          <cx:pt idx="200">193</cx:pt>
          <cx:pt idx="201">155</cx:pt>
          <cx:pt idx="202">170</cx:pt>
          <cx:pt idx="203">193</cx:pt>
          <cx:pt idx="204">189</cx:pt>
          <cx:pt idx="205">110</cx:pt>
          <cx:pt idx="206">157</cx:pt>
          <cx:pt idx="207">209</cx:pt>
          <cx:pt idx="208">164</cx:pt>
          <cx:pt idx="209">169</cx:pt>
          <cx:pt idx="210">155</cx:pt>
          <cx:pt idx="211">166</cx:pt>
          <cx:pt idx="212">104</cx:pt>
          <cx:pt idx="213">133</cx:pt>
          <cx:pt idx="214">188</cx:pt>
          <cx:pt idx="215">108</cx:pt>
          <cx:pt idx="216">74</cx:pt>
          <cx:pt idx="217">169</cx:pt>
          <cx:pt idx="218">164</cx:pt>
          <cx:pt idx="219">156</cx:pt>
          <cx:pt idx="220">111</cx:pt>
          <cx:pt idx="221">265</cx:pt>
          <cx:pt idx="222">281</cx:pt>
          <cx:pt idx="223">311</cx:pt>
          <cx:pt idx="224">240</cx:pt>
          <cx:pt idx="225">817</cx:pt>
          <cx:pt idx="226">178</cx:pt>
          <cx:pt idx="227">290</cx:pt>
          <cx:pt idx="228">353</cx:pt>
          <cx:pt idx="229">186</cx:pt>
          <cx:pt idx="230">154</cx:pt>
          <cx:pt idx="231">141</cx:pt>
          <cx:pt idx="232">142</cx:pt>
          <cx:pt idx="233">108</cx:pt>
          <cx:pt idx="234">175</cx:pt>
          <cx:pt idx="235">124</cx:pt>
          <cx:pt idx="236">98</cx:pt>
          <cx:pt idx="237">168</cx:pt>
          <cx:pt idx="238">148</cx:pt>
          <cx:pt idx="239">231</cx:pt>
          <cx:pt idx="240">192</cx:pt>
          <cx:pt idx="241">109</cx:pt>
          <cx:pt idx="242">141</cx:pt>
          <cx:pt idx="243">189</cx:pt>
          <cx:pt idx="244">91</cx:pt>
          <cx:pt idx="245">192</cx:pt>
          <cx:pt idx="246">109</cx:pt>
          <cx:pt idx="247">203</cx:pt>
          <cx:pt idx="248">211</cx:pt>
          <cx:pt idx="249">104</cx:pt>
          <cx:pt idx="250">181</cx:pt>
          <cx:pt idx="251">103</cx:pt>
          <cx:pt idx="252">180</cx:pt>
          <cx:pt idx="253">69</cx:pt>
          <cx:pt idx="254">91</cx:pt>
          <cx:pt idx="255">92</cx:pt>
          <cx:pt idx="256">98</cx:pt>
          <cx:pt idx="257">154</cx:pt>
          <cx:pt idx="258">49</cx:pt>
          <cx:pt idx="259">90</cx:pt>
          <cx:pt idx="260">155</cx:pt>
          <cx:pt idx="261">108</cx:pt>
          <cx:pt idx="262">86</cx:pt>
          <cx:pt idx="263">102</cx:pt>
          <cx:pt idx="264">243</cx:pt>
          <cx:pt idx="265">378</cx:pt>
          <cx:pt idx="266">214</cx:pt>
          <cx:pt idx="267">48</cx:pt>
          <cx:pt idx="268">112</cx:pt>
          <cx:pt idx="269">104</cx:pt>
          <cx:pt idx="270">203</cx:pt>
          <cx:pt idx="271">117</cx:pt>
          <cx:pt idx="272">346</cx:pt>
          <cx:pt idx="273">319</cx:pt>
          <cx:pt idx="274">377</cx:pt>
          <cx:pt idx="275">276</cx:pt>
          <cx:pt idx="276">315</cx:pt>
          <cx:pt idx="277">245</cx:pt>
          <cx:pt idx="278">503</cx:pt>
          <cx:pt idx="279">364</cx:pt>
          <cx:pt idx="280">235</cx:pt>
          <cx:pt idx="281">296</cx:pt>
          <cx:pt idx="282">280</cx:pt>
          <cx:pt idx="283">296</cx:pt>
          <cx:pt idx="284">302</cx:pt>
          <cx:pt idx="285">299</cx:pt>
          <cx:pt idx="286">251</cx:pt>
          <cx:pt idx="287">259</cx:pt>
          <cx:pt idx="288">242</cx:pt>
          <cx:pt idx="289">266</cx:pt>
          <cx:pt idx="290">252</cx:pt>
          <cx:pt idx="291">236</cx:pt>
          <cx:pt idx="292">211</cx:pt>
          <cx:pt idx="293">203</cx:pt>
          <cx:pt idx="294">177</cx:pt>
          <cx:pt idx="295">194</cx:pt>
          <cx:pt idx="296">145</cx:pt>
          <cx:pt idx="297">174</cx:pt>
          <cx:pt idx="298">155</cx:pt>
          <cx:pt idx="299">114</cx:pt>
          <cx:pt idx="300">101</cx:pt>
          <cx:pt idx="301">302</cx:pt>
          <cx:pt idx="302">371</cx:pt>
          <cx:pt idx="303">350</cx:pt>
          <cx:pt idx="304">321</cx:pt>
          <cx:pt idx="305">359</cx:pt>
          <cx:pt idx="306">257</cx:pt>
          <cx:pt idx="307">362</cx:pt>
          <cx:pt idx="308">334</cx:pt>
          <cx:pt idx="309">232</cx:pt>
          <cx:pt idx="310">223</cx:pt>
          <cx:pt idx="311">256</cx:pt>
          <cx:pt idx="312">237</cx:pt>
          <cx:pt idx="313">147</cx:pt>
          <cx:pt idx="314">189</cx:pt>
          <cx:pt idx="315">247</cx:pt>
          <cx:pt idx="316">793</cx:pt>
          <cx:pt idx="317">187</cx:pt>
          <cx:pt idx="318">95</cx:pt>
          <cx:pt idx="319">76</cx:pt>
          <cx:pt idx="320">92</cx:pt>
          <cx:pt idx="321">188</cx:pt>
          <cx:pt idx="322">148</cx:pt>
          <cx:pt idx="323">286</cx:pt>
          <cx:pt idx="324">209</cx:pt>
          <cx:pt idx="325">405</cx:pt>
          <cx:pt idx="326">295</cx:pt>
          <cx:pt idx="327">160</cx:pt>
          <cx:pt idx="328">301</cx:pt>
          <cx:pt idx="329">201</cx:pt>
          <cx:pt idx="330">131</cx:pt>
          <cx:pt idx="331">347</cx:pt>
          <cx:pt idx="332">151</cx:pt>
          <cx:pt idx="333">183</cx:pt>
          <cx:pt idx="334">204</cx:pt>
          <cx:pt idx="335">161</cx:pt>
          <cx:pt idx="336">147</cx:pt>
          <cx:pt idx="337">145</cx:pt>
          <cx:pt idx="338">97</cx:pt>
          <cx:pt idx="339">64</cx:pt>
          <cx:pt idx="340">285</cx:pt>
          <cx:pt idx="341">364</cx:pt>
          <cx:pt idx="342">377</cx:pt>
          <cx:pt idx="343">207</cx:pt>
          <cx:pt idx="344">142</cx:pt>
          <cx:pt idx="345">155</cx:pt>
          <cx:pt idx="346">146</cx:pt>
          <cx:pt idx="347">311</cx:pt>
          <cx:pt idx="348">273</cx:pt>
          <cx:pt idx="349">278</cx:pt>
          <cx:pt idx="350">313</cx:pt>
          <cx:pt idx="351">248</cx:pt>
          <cx:pt idx="352">286</cx:pt>
          <cx:pt idx="353">217</cx:pt>
          <cx:pt idx="354">197</cx:pt>
          <cx:pt idx="355">207</cx:pt>
          <cx:pt idx="356">174</cx:pt>
          <cx:pt idx="357">211</cx:pt>
          <cx:pt idx="358">208</cx:pt>
          <cx:pt idx="359">212</cx:pt>
          <cx:pt idx="360">162</cx:pt>
          <cx:pt idx="361">202</cx:pt>
          <cx:pt idx="362">218</cx:pt>
          <cx:pt idx="363">153</cx:pt>
          <cx:pt idx="364">160</cx:pt>
          <cx:pt idx="365">144</cx:pt>
          <cx:pt idx="366">126</cx:pt>
          <cx:pt idx="367">135</cx:pt>
          <cx:pt idx="368">146</cx:pt>
          <cx:pt idx="369">211</cx:pt>
          <cx:pt idx="370">336</cx:pt>
          <cx:pt idx="371">293</cx:pt>
          <cx:pt idx="372">287</cx:pt>
          <cx:pt idx="373">265</cx:pt>
          <cx:pt idx="374">272</cx:pt>
          <cx:pt idx="375">279</cx:pt>
          <cx:pt idx="376">242</cx:pt>
          <cx:pt idx="377">217</cx:pt>
          <cx:pt idx="378">234</cx:pt>
          <cx:pt idx="379">222</cx:pt>
          <cx:pt idx="380">203</cx:pt>
          <cx:pt idx="381">194</cx:pt>
          <cx:pt idx="382">175</cx:pt>
          <cx:pt idx="383">169</cx:pt>
          <cx:pt idx="384">168</cx:pt>
          <cx:pt idx="385">162</cx:pt>
          <cx:pt idx="386">160</cx:pt>
          <cx:pt idx="387">154</cx:pt>
          <cx:pt idx="388">170</cx:pt>
          <cx:pt idx="389">170</cx:pt>
          <cx:pt idx="390">137</cx:pt>
          <cx:pt idx="391">150</cx:pt>
          <cx:pt idx="392">128</cx:pt>
          <cx:pt idx="393">207</cx:pt>
          <cx:pt idx="394">204</cx:pt>
          <cx:pt idx="395">197</cx:pt>
          <cx:pt idx="396">275</cx:pt>
          <cx:pt idx="397">381</cx:pt>
          <cx:pt idx="398">330</cx:pt>
          <cx:pt idx="399">149</cx:pt>
          <cx:pt idx="400">686</cx:pt>
          <cx:pt idx="401">589</cx:pt>
          <cx:pt idx="402">133</cx:pt>
          <cx:pt idx="403">220</cx:pt>
          <cx:pt idx="404">352</cx:pt>
          <cx:pt idx="405">171</cx:pt>
          <cx:pt idx="406">164</cx:pt>
          <cx:pt idx="407">325</cx:pt>
          <cx:pt idx="408">174</cx:pt>
          <cx:pt idx="409">105</cx:pt>
          <cx:pt idx="410">36</cx:pt>
          <cx:pt idx="411">255</cx:pt>
          <cx:pt idx="412">269</cx:pt>
          <cx:pt idx="413">245</cx:pt>
          <cx:pt idx="414">232</cx:pt>
          <cx:pt idx="415">216</cx:pt>
          <cx:pt idx="416">166</cx:pt>
          <cx:pt idx="417">177</cx:pt>
          <cx:pt idx="418">140</cx:pt>
          <cx:pt idx="419">148</cx:pt>
          <cx:pt idx="420">164</cx:pt>
          <cx:pt idx="421">130</cx:pt>
          <cx:pt idx="422">109</cx:pt>
          <cx:pt idx="423">426</cx:pt>
          <cx:pt idx="424">239</cx:pt>
          <cx:pt idx="425">307</cx:pt>
          <cx:pt idx="426">285</cx:pt>
          <cx:pt idx="427">426</cx:pt>
          <cx:pt idx="428">214</cx:pt>
          <cx:pt idx="429">132</cx:pt>
          <cx:pt idx="430">399</cx:pt>
          <cx:pt idx="431">140</cx:pt>
          <cx:pt idx="432">180</cx:pt>
          <cx:pt idx="433">138</cx:pt>
          <cx:pt idx="434">111</cx:pt>
          <cx:pt idx="435">51</cx:pt>
          <cx:pt idx="436">69</cx:pt>
          <cx:pt idx="437">101</cx:pt>
          <cx:pt idx="438">100</cx:pt>
          <cx:pt idx="439">101</cx:pt>
          <cx:pt idx="440">66</cx:pt>
          <cx:pt idx="441">119</cx:pt>
          <cx:pt idx="442">104</cx:pt>
          <cx:pt idx="443">91</cx:pt>
          <cx:pt idx="444">60</cx:pt>
          <cx:pt idx="445">260</cx:pt>
          <cx:pt idx="446">104</cx:pt>
          <cx:pt idx="447">281</cx:pt>
          <cx:pt idx="448">301</cx:pt>
          <cx:pt idx="449">358</cx:pt>
          <cx:pt idx="450">326</cx:pt>
          <cx:pt idx="451">302</cx:pt>
          <cx:pt idx="452">298</cx:pt>
          <cx:pt idx="453">246</cx:pt>
          <cx:pt idx="454">242</cx:pt>
          <cx:pt idx="455">216</cx:pt>
          <cx:pt idx="456">208</cx:pt>
          <cx:pt idx="457">188</cx:pt>
          <cx:pt idx="458">201</cx:pt>
          <cx:pt idx="459">421</cx:pt>
          <cx:pt idx="460">992</cx:pt>
          <cx:pt idx="461">304</cx:pt>
          <cx:pt idx="462">206</cx:pt>
          <cx:pt idx="463">392</cx:pt>
          <cx:pt idx="464">126</cx:pt>
          <cx:pt idx="465">90</cx:pt>
          <cx:pt idx="466">337</cx:pt>
          <cx:pt idx="467">323</cx:pt>
          <cx:pt idx="468">247</cx:pt>
          <cx:pt idx="469">384</cx:pt>
          <cx:pt idx="470">259</cx:pt>
          <cx:pt idx="471">336</cx:pt>
          <cx:pt idx="472">242</cx:pt>
          <cx:pt idx="473">112</cx:pt>
          <cx:pt idx="474">261</cx:pt>
          <cx:pt idx="475">248</cx:pt>
          <cx:pt idx="476">223</cx:pt>
          <cx:pt idx="477">210</cx:pt>
          <cx:pt idx="478">195</cx:pt>
          <cx:pt idx="479">1085</cx:pt>
          <cx:pt idx="480">204</cx:pt>
          <cx:pt idx="481">321</cx:pt>
          <cx:pt idx="482">136</cx:pt>
          <cx:pt idx="483">195</cx:pt>
          <cx:pt idx="484">177</cx:pt>
          <cx:pt idx="485">174</cx:pt>
          <cx:pt idx="486">260</cx:pt>
          <cx:pt idx="487">356</cx:pt>
          <cx:pt idx="488">185</cx:pt>
          <cx:pt idx="489">363</cx:pt>
          <cx:pt idx="490">992</cx:pt>
          <cx:pt idx="491">280</cx:pt>
          <cx:pt idx="492">239</cx:pt>
          <cx:pt idx="493">49</cx:pt>
          <cx:pt idx="494">126</cx:pt>
          <cx:pt idx="495">367</cx:pt>
          <cx:pt idx="496">234</cx:pt>
          <cx:pt idx="497">128</cx:pt>
          <cx:pt idx="498">274</cx:pt>
          <cx:pt idx="499">336</cx:pt>
          <cx:pt idx="500">305</cx:pt>
          <cx:pt idx="501">12</cx:pt>
          <cx:pt idx="502">129</cx:pt>
          <cx:pt idx="503">84</cx:pt>
          <cx:pt idx="504">338</cx:pt>
          <cx:pt idx="505">43</cx:pt>
          <cx:pt idx="506">162</cx:pt>
          <cx:pt idx="507">721</cx:pt>
          <cx:pt idx="508">345</cx:pt>
          <cx:pt idx="509">206</cx:pt>
          <cx:pt idx="510">311</cx:pt>
          <cx:pt idx="511">342</cx:pt>
          <cx:pt idx="512">237</cx:pt>
          <cx:pt idx="513">151</cx:pt>
          <cx:pt idx="514">581</cx:pt>
          <cx:pt idx="515">533</cx:pt>
          <cx:pt idx="516">441</cx:pt>
          <cx:pt idx="517">385</cx:pt>
          <cx:pt idx="518">397</cx:pt>
          <cx:pt idx="519">229</cx:pt>
          <cx:pt idx="520">229</cx:pt>
          <cx:pt idx="521">279</cx:pt>
          <cx:pt idx="522">272</cx:pt>
          <cx:pt idx="523">232</cx:pt>
          <cx:pt idx="524">259</cx:pt>
          <cx:pt idx="525">273</cx:pt>
          <cx:pt idx="526">300</cx:pt>
          <cx:pt idx="527">235</cx:pt>
          <cx:pt idx="528">220</cx:pt>
          <cx:pt idx="529">232</cx:pt>
          <cx:pt idx="530">221</cx:pt>
          <cx:pt idx="531">238</cx:pt>
          <cx:pt idx="532">237</cx:pt>
          <cx:pt idx="533">173</cx:pt>
          <cx:pt idx="534">147</cx:pt>
          <cx:pt idx="535">128</cx:pt>
          <cx:pt idx="536">200</cx:pt>
          <cx:pt idx="537">126</cx:pt>
          <cx:pt idx="538">139</cx:pt>
          <cx:pt idx="539">132</cx:pt>
          <cx:pt idx="540">101</cx:pt>
          <cx:pt idx="541">128</cx:pt>
          <cx:pt idx="542">226</cx:pt>
          <cx:pt idx="543">328</cx:pt>
          <cx:pt idx="544">263</cx:pt>
          <cx:pt idx="545">363</cx:pt>
          <cx:pt idx="546">300</cx:pt>
          <cx:pt idx="547">237</cx:pt>
          <cx:pt idx="548">50</cx:pt>
          <cx:pt idx="549">354</cx:pt>
          <cx:pt idx="550">348</cx:pt>
          <cx:pt idx="551">352</cx:pt>
          <cx:pt idx="552">314</cx:pt>
          <cx:pt idx="553">362</cx:pt>
          <cx:pt idx="554">337</cx:pt>
          <cx:pt idx="555">269</cx:pt>
          <cx:pt idx="556">295</cx:pt>
          <cx:pt idx="557">255</cx:pt>
          <cx:pt idx="558">248</cx:pt>
          <cx:pt idx="559">245</cx:pt>
          <cx:pt idx="560">252</cx:pt>
          <cx:pt idx="561">221</cx:pt>
          <cx:pt idx="562">185</cx:pt>
          <cx:pt idx="563">223</cx:pt>
          <cx:pt idx="564">203</cx:pt>
          <cx:pt idx="565">142</cx:pt>
          <cx:pt idx="566">167</cx:pt>
          <cx:pt idx="567">252</cx:pt>
          <cx:pt idx="568">685</cx:pt>
          <cx:pt idx="569">280</cx:pt>
          <cx:pt idx="570">170</cx:pt>
          <cx:pt idx="571">132</cx:pt>
          <cx:pt idx="572">277</cx:pt>
          <cx:pt idx="573">214</cx:pt>
          <cx:pt idx="574">237</cx:pt>
          <cx:pt idx="575">214</cx:pt>
          <cx:pt idx="576">234</cx:pt>
          <cx:pt idx="577">234</cx:pt>
          <cx:pt idx="578">226</cx:pt>
          <cx:pt idx="579">112</cx:pt>
          <cx:pt idx="580">313</cx:pt>
          <cx:pt idx="581">154</cx:pt>
          <cx:pt idx="582">190</cx:pt>
          <cx:pt idx="583">272</cx:pt>
          <cx:pt idx="584">201</cx:pt>
          <cx:pt idx="585">186</cx:pt>
          <cx:pt idx="586">343</cx:pt>
          <cx:pt idx="587">339</cx:pt>
          <cx:pt idx="588">283</cx:pt>
          <cx:pt idx="589">238</cx:pt>
          <cx:pt idx="590">266</cx:pt>
          <cx:pt idx="591">194</cx:pt>
          <cx:pt idx="592">182</cx:pt>
          <cx:pt idx="593">304</cx:pt>
          <cx:pt idx="594">271</cx:pt>
          <cx:pt idx="595">420</cx:pt>
          <cx:pt idx="596">227</cx:pt>
          <cx:pt idx="597">251</cx:pt>
          <cx:pt idx="598">137</cx:pt>
          <cx:pt idx="599">117</cx:pt>
          <cx:pt idx="600">393</cx:pt>
          <cx:pt idx="601">234</cx:pt>
          <cx:pt idx="602">197</cx:pt>
          <cx:pt idx="603">375</cx:pt>
          <cx:pt idx="604">127</cx:pt>
          <cx:pt idx="605">326</cx:pt>
          <cx:pt idx="606">302</cx:pt>
          <cx:pt idx="607">273</cx:pt>
          <cx:pt idx="608">154</cx:pt>
          <cx:pt idx="609">212</cx:pt>
          <cx:pt idx="610">233</cx:pt>
          <cx:pt idx="611">342</cx:pt>
          <cx:pt idx="612">418</cx:pt>
          <cx:pt idx="613">1135</cx:pt>
          <cx:pt idx="614">327</cx:pt>
          <cx:pt idx="615">241</cx:pt>
          <cx:pt idx="616">278</cx:pt>
          <cx:pt idx="617">315</cx:pt>
          <cx:pt idx="618">270</cx:pt>
          <cx:pt idx="619">332</cx:pt>
          <cx:pt idx="620">335</cx:pt>
          <cx:pt idx="621">413</cx:pt>
          <cx:pt idx="622">410</cx:pt>
          <cx:pt idx="623">328</cx:pt>
          <cx:pt idx="624">82</cx:pt>
          <cx:pt idx="625">284</cx:pt>
          <cx:pt idx="626">426</cx:pt>
          <cx:pt idx="627">262</cx:pt>
          <cx:pt idx="628">354</cx:pt>
          <cx:pt idx="629">345</cx:pt>
          <cx:pt idx="630">237</cx:pt>
          <cx:pt idx="631">189</cx:pt>
          <cx:pt idx="632">351</cx:pt>
          <cx:pt idx="633">343</cx:pt>
          <cx:pt idx="634">266</cx:pt>
          <cx:pt idx="635">308</cx:pt>
          <cx:pt idx="636">293</cx:pt>
          <cx:pt idx="637">257</cx:pt>
          <cx:pt idx="638">189</cx:pt>
          <cx:pt idx="639">221</cx:pt>
          <cx:pt idx="640">161</cx:pt>
          <cx:pt idx="641">219</cx:pt>
          <cx:pt idx="642">300</cx:pt>
          <cx:pt idx="643">397</cx:pt>
          <cx:pt idx="644">275</cx:pt>
          <cx:pt idx="645">309</cx:pt>
          <cx:pt idx="646">365</cx:pt>
          <cx:pt idx="647">469</cx:pt>
          <cx:pt idx="648">133</cx:pt>
          <cx:pt idx="649">260</cx:pt>
          <cx:pt idx="650">229</cx:pt>
          <cx:pt idx="651">249</cx:pt>
          <cx:pt idx="652">360</cx:pt>
          <cx:pt idx="653">280</cx:pt>
          <cx:pt idx="654">251</cx:pt>
          <cx:pt idx="655">399</cx:pt>
          <cx:pt idx="656">182</cx:pt>
          <cx:pt idx="657">419</cx:pt>
          <cx:pt idx="658">505</cx:pt>
          <cx:pt idx="659">237</cx:pt>
          <cx:pt idx="660">295</cx:pt>
          <cx:pt idx="661">339</cx:pt>
          <cx:pt idx="662">282</cx:pt>
          <cx:pt idx="663">405</cx:pt>
          <cx:pt idx="664">209</cx:pt>
          <cx:pt idx="665">272</cx:pt>
          <cx:pt idx="666">167</cx:pt>
          <cx:pt idx="667">382</cx:pt>
          <cx:pt idx="668">170</cx:pt>
          <cx:pt idx="669">229</cx:pt>
          <cx:pt idx="670">363</cx:pt>
          <cx:pt idx="671">181</cx:pt>
          <cx:pt idx="672">248</cx:pt>
          <cx:pt idx="673">260</cx:pt>
          <cx:pt idx="674">420</cx:pt>
          <cx:pt idx="675">276</cx:pt>
          <cx:pt idx="676">239</cx:pt>
          <cx:pt idx="677">197</cx:pt>
          <cx:pt idx="678">266</cx:pt>
          <cx:pt idx="679">70</cx:pt>
          <cx:pt idx="680">269</cx:pt>
          <cx:pt idx="681">294</cx:pt>
          <cx:pt idx="682">245</cx:pt>
          <cx:pt idx="683">295</cx:pt>
          <cx:pt idx="684">330</cx:pt>
          <cx:pt idx="685">161</cx:pt>
          <cx:pt idx="686">148</cx:pt>
          <cx:pt idx="687">91</cx:pt>
          <cx:pt idx="688">338</cx:pt>
          <cx:pt idx="689">366</cx:pt>
          <cx:pt idx="690">323</cx:pt>
          <cx:pt idx="691">107</cx:pt>
          <cx:pt idx="692">168</cx:pt>
          <cx:pt idx="693">174</cx:pt>
          <cx:pt idx="694">70</cx:pt>
          <cx:pt idx="695">139</cx:pt>
          <cx:pt idx="696">99</cx:pt>
          <cx:pt idx="697">44</cx:pt>
          <cx:pt idx="698">83</cx:pt>
          <cx:pt idx="699">46</cx:pt>
          <cx:pt idx="700">89</cx:pt>
          <cx:pt idx="701">104</cx:pt>
          <cx:pt idx="702">119</cx:pt>
          <cx:pt idx="703">77</cx:pt>
          <cx:pt idx="704">115</cx:pt>
          <cx:pt idx="705">77</cx:pt>
          <cx:pt idx="706">195</cx:pt>
          <cx:pt idx="707">103</cx:pt>
          <cx:pt idx="708">142</cx:pt>
          <cx:pt idx="709">119</cx:pt>
          <cx:pt idx="710">140</cx:pt>
          <cx:pt idx="711">95</cx:pt>
          <cx:pt idx="712">159</cx:pt>
          <cx:pt idx="713">122</cx:pt>
          <cx:pt idx="714">184</cx:pt>
          <cx:pt idx="715">324</cx:pt>
          <cx:pt idx="716">254</cx:pt>
          <cx:pt idx="717">434</cx:pt>
          <cx:pt idx="718">439</cx:pt>
          <cx:pt idx="719">286</cx:pt>
          <cx:pt idx="720">239</cx:pt>
          <cx:pt idx="721">325</cx:pt>
          <cx:pt idx="722">279</cx:pt>
          <cx:pt idx="723">256</cx:pt>
          <cx:pt idx="724">185</cx:pt>
          <cx:pt idx="725">103</cx:pt>
          <cx:pt idx="726">154</cx:pt>
          <cx:pt idx="727">61</cx:pt>
          <cx:pt idx="728">116</cx:pt>
          <cx:pt idx="729">59</cx:pt>
          <cx:pt idx="730">128</cx:pt>
          <cx:pt idx="731">104</cx:pt>
          <cx:pt idx="732">154</cx:pt>
          <cx:pt idx="733">66</cx:pt>
          <cx:pt idx="734">240</cx:pt>
          <cx:pt idx="735">193</cx:pt>
          <cx:pt idx="736">368</cx:pt>
          <cx:pt idx="737">323</cx:pt>
          <cx:pt idx="738">202</cx:pt>
          <cx:pt idx="739">523</cx:pt>
          <cx:pt idx="740">958</cx:pt>
          <cx:pt idx="741">204</cx:pt>
          <cx:pt idx="742">387</cx:pt>
          <cx:pt idx="743">290</cx:pt>
          <cx:pt idx="744">300</cx:pt>
          <cx:pt idx="745">156</cx:pt>
          <cx:pt idx="746">1206</cx:pt>
          <cx:pt idx="747">279</cx:pt>
          <cx:pt idx="748">380</cx:pt>
          <cx:pt idx="749">421</cx:pt>
          <cx:pt idx="750">272</cx:pt>
          <cx:pt idx="751">376</cx:pt>
          <cx:pt idx="752">315</cx:pt>
          <cx:pt idx="753">300</cx:pt>
          <cx:pt idx="754">348</cx:pt>
          <cx:pt idx="755">219</cx:pt>
          <cx:pt idx="756">244</cx:pt>
          <cx:pt idx="757">75</cx:pt>
          <cx:pt idx="758">287</cx:pt>
          <cx:pt idx="759">328</cx:pt>
          <cx:pt idx="760">333</cx:pt>
          <cx:pt idx="761">295</cx:pt>
          <cx:pt idx="762">201</cx:pt>
          <cx:pt idx="763">224</cx:pt>
          <cx:pt idx="764">339</cx:pt>
          <cx:pt idx="765">371</cx:pt>
          <cx:pt idx="766">203</cx:pt>
          <cx:pt idx="767">309</cx:pt>
          <cx:pt idx="768">298</cx:pt>
          <cx:pt idx="769">248</cx:pt>
          <cx:pt idx="770">395</cx:pt>
          <cx:pt idx="771">231</cx:pt>
          <cx:pt idx="772">371</cx:pt>
          <cx:pt idx="773">177</cx:pt>
          <cx:pt idx="774">317</cx:pt>
          <cx:pt idx="775">203</cx:pt>
          <cx:pt idx="776">216</cx:pt>
          <cx:pt idx="777">281</cx:pt>
          <cx:pt idx="778">308</cx:pt>
          <cx:pt idx="779">364</cx:pt>
          <cx:pt idx="780">256</cx:pt>
          <cx:pt idx="781">196</cx:pt>
          <cx:pt idx="782">232</cx:pt>
          <cx:pt idx="783">123</cx:pt>
          <cx:pt idx="784">335</cx:pt>
          <cx:pt idx="785">347</cx:pt>
          <cx:pt idx="786">225</cx:pt>
          <cx:pt idx="787">337</cx:pt>
          <cx:pt idx="788">111</cx:pt>
          <cx:pt idx="789">109</cx:pt>
          <cx:pt idx="790">132</cx:pt>
          <cx:pt idx="791">72</cx:pt>
          <cx:pt idx="792">280</cx:pt>
          <cx:pt idx="793">240</cx:pt>
          <cx:pt idx="794">295</cx:pt>
          <cx:pt idx="795">434</cx:pt>
          <cx:pt idx="796">183</cx:pt>
          <cx:pt idx="797">60</cx:pt>
          <cx:pt idx="798">156</cx:pt>
          <cx:pt idx="799">105</cx:pt>
          <cx:pt idx="800">509</cx:pt>
          <cx:pt idx="801">280</cx:pt>
          <cx:pt idx="802">354</cx:pt>
          <cx:pt idx="803">327</cx:pt>
          <cx:pt idx="804">273</cx:pt>
          <cx:pt idx="805">399</cx:pt>
          <cx:pt idx="806">471</cx:pt>
          <cx:pt idx="807">245</cx:pt>
          <cx:pt idx="808">180</cx:pt>
          <cx:pt idx="809">238</cx:pt>
          <cx:pt idx="810">226</cx:pt>
          <cx:pt idx="811">490</cx:pt>
          <cx:pt idx="812">390</cx:pt>
          <cx:pt idx="813">237</cx:pt>
          <cx:pt idx="814">323</cx:pt>
          <cx:pt idx="815">224</cx:pt>
          <cx:pt idx="816">181</cx:pt>
          <cx:pt idx="817">133</cx:pt>
          <cx:pt idx="818">153</cx:pt>
          <cx:pt idx="819">110</cx:pt>
          <cx:pt idx="820">152</cx:pt>
          <cx:pt idx="821">316</cx:pt>
          <cx:pt idx="822">298</cx:pt>
          <cx:pt idx="823">303</cx:pt>
          <cx:pt idx="824">448</cx:pt>
          <cx:pt idx="825">287</cx:pt>
          <cx:pt idx="826">278</cx:pt>
          <cx:pt idx="827">223</cx:pt>
          <cx:pt idx="828">295</cx:pt>
          <cx:pt idx="829">116</cx:pt>
          <cx:pt idx="830">170</cx:pt>
          <cx:pt idx="831">76</cx:pt>
          <cx:pt idx="832">174</cx:pt>
          <cx:pt idx="833">96</cx:pt>
          <cx:pt idx="834">129</cx:pt>
          <cx:pt idx="835">486</cx:pt>
          <cx:pt idx="836">339</cx:pt>
          <cx:pt idx="837">252</cx:pt>
          <cx:pt idx="838">160</cx:pt>
          <cx:pt idx="839">208</cx:pt>
          <cx:pt idx="840">365</cx:pt>
          <cx:pt idx="841">287</cx:pt>
          <cx:pt idx="842">345</cx:pt>
          <cx:pt idx="843">282</cx:pt>
          <cx:pt idx="844">88</cx:pt>
          <cx:pt idx="845">153</cx:pt>
          <cx:pt idx="846">400</cx:pt>
          <cx:pt idx="847">283</cx:pt>
          <cx:pt idx="848">244</cx:pt>
          <cx:pt idx="849">244</cx:pt>
          <cx:pt idx="850">154</cx:pt>
          <cx:pt idx="851">217</cx:pt>
          <cx:pt idx="852">10</cx:pt>
          <cx:pt idx="853">220</cx:pt>
          <cx:pt idx="854">310</cx:pt>
          <cx:pt idx="855">285</cx:pt>
          <cx:pt idx="856">349</cx:pt>
          <cx:pt idx="857">264</cx:pt>
          <cx:pt idx="858">280</cx:pt>
          <cx:pt idx="859">433</cx:pt>
          <cx:pt idx="860">301</cx:pt>
          <cx:pt idx="861">310</cx:pt>
          <cx:pt idx="862">273</cx:pt>
          <cx:pt idx="863">260</cx:pt>
          <cx:pt idx="864">109</cx:pt>
          <cx:pt idx="865">113</cx:pt>
          <cx:pt idx="866">246</cx:pt>
          <cx:pt idx="867">162</cx:pt>
          <cx:pt idx="868">301</cx:pt>
          <cx:pt idx="869">155</cx:pt>
          <cx:pt idx="870">98</cx:pt>
          <cx:pt idx="871">61</cx:pt>
          <cx:pt idx="872">351</cx:pt>
          <cx:pt idx="873">141</cx:pt>
          <cx:pt idx="874">248</cx:pt>
          <cx:pt idx="875">317</cx:pt>
          <cx:pt idx="876">311</cx:pt>
          <cx:pt idx="877">350</cx:pt>
          <cx:pt idx="878">296</cx:pt>
          <cx:pt idx="879">287</cx:pt>
          <cx:pt idx="880">477</cx:pt>
          <cx:pt idx="881">237</cx:pt>
          <cx:pt idx="882">279</cx:pt>
          <cx:pt idx="883">222</cx:pt>
          <cx:pt idx="884">286</cx:pt>
          <cx:pt idx="885">258</cx:pt>
          <cx:pt idx="886">126</cx:pt>
          <cx:pt idx="887">301</cx:pt>
          <cx:pt idx="888">110</cx:pt>
          <cx:pt idx="889">311</cx:pt>
          <cx:pt idx="890">259</cx:pt>
          <cx:pt idx="891">202</cx:pt>
          <cx:pt idx="892">397</cx:pt>
          <cx:pt idx="893">420</cx:pt>
          <cx:pt idx="894">365</cx:pt>
          <cx:pt idx="895">355</cx:pt>
          <cx:pt idx="896">220</cx:pt>
          <cx:pt idx="897">248</cx:pt>
          <cx:pt idx="898">164</cx:pt>
          <cx:pt idx="899">324</cx:pt>
          <cx:pt idx="900">321</cx:pt>
          <cx:pt idx="901">208</cx:pt>
          <cx:pt idx="902">956</cx:pt>
          <cx:pt idx="903">309</cx:pt>
          <cx:pt idx="904">236</cx:pt>
          <cx:pt idx="905">224</cx:pt>
          <cx:pt idx="906">284</cx:pt>
          <cx:pt idx="907">627</cx:pt>
          <cx:pt idx="908">209</cx:pt>
          <cx:pt idx="909">588</cx:pt>
          <cx:pt idx="910">275</cx:pt>
          <cx:pt idx="911">309</cx:pt>
          <cx:pt idx="912">233</cx:pt>
          <cx:pt idx="913">226</cx:pt>
          <cx:pt idx="914">210</cx:pt>
          <cx:pt idx="915">251</cx:pt>
          <cx:pt idx="916">251</cx:pt>
          <cx:pt idx="917">251</cx:pt>
          <cx:pt idx="918">279</cx:pt>
          <cx:pt idx="919">137</cx:pt>
          <cx:pt idx="920">341</cx:pt>
          <cx:pt idx="921">231</cx:pt>
          <cx:pt idx="922">273</cx:pt>
          <cx:pt idx="923">340</cx:pt>
          <cx:pt idx="924">359</cx:pt>
          <cx:pt idx="925">320</cx:pt>
          <cx:pt idx="926">642</cx:pt>
          <cx:pt idx="927">379</cx:pt>
          <cx:pt idx="928">347</cx:pt>
          <cx:pt idx="929">400</cx:pt>
          <cx:pt idx="930">405</cx:pt>
          <cx:pt idx="931">381</cx:pt>
          <cx:pt idx="932">277</cx:pt>
          <cx:pt idx="933">247</cx:pt>
          <cx:pt idx="934">201</cx:pt>
          <cx:pt idx="935">408</cx:pt>
          <cx:pt idx="936">140</cx:pt>
          <cx:pt idx="937">270</cx:pt>
          <cx:pt idx="938">381</cx:pt>
          <cx:pt idx="939">69</cx:pt>
          <cx:pt idx="940">167</cx:pt>
          <cx:pt idx="941">424</cx:pt>
          <cx:pt idx="942">126</cx:pt>
          <cx:pt idx="943">568</cx:pt>
          <cx:pt idx="944">417</cx:pt>
          <cx:pt idx="945">358</cx:pt>
          <cx:pt idx="946">173</cx:pt>
          <cx:pt idx="947">347</cx:pt>
          <cx:pt idx="948">438</cx:pt>
          <cx:pt idx="949">305</cx:pt>
          <cx:pt idx="950">389</cx:pt>
          <cx:pt idx="951">193</cx:pt>
          <cx:pt idx="952">275</cx:pt>
          <cx:pt idx="953">180</cx:pt>
          <cx:pt idx="954">223</cx:pt>
          <cx:pt idx="955">428</cx:pt>
          <cx:pt idx="956">366</cx:pt>
          <cx:pt idx="957">377</cx:pt>
          <cx:pt idx="958">192</cx:pt>
          <cx:pt idx="959">246</cx:pt>
          <cx:pt idx="960">388</cx:pt>
          <cx:pt idx="961">455</cx:pt>
          <cx:pt idx="962">117</cx:pt>
          <cx:pt idx="963">266</cx:pt>
          <cx:pt idx="964">94</cx:pt>
          <cx:pt idx="965">146</cx:pt>
          <cx:pt idx="966">402</cx:pt>
          <cx:pt idx="967">654</cx:pt>
          <cx:pt idx="968">391</cx:pt>
          <cx:pt idx="969">402</cx:pt>
          <cx:pt idx="970">315</cx:pt>
          <cx:pt idx="971">107</cx:pt>
          <cx:pt idx="972">320</cx:pt>
          <cx:pt idx="973">337</cx:pt>
          <cx:pt idx="974">254</cx:pt>
          <cx:pt idx="975">365</cx:pt>
          <cx:pt idx="976">332</cx:pt>
          <cx:pt idx="977">315</cx:pt>
          <cx:pt idx="978">140</cx:pt>
          <cx:pt idx="979">298</cx:pt>
          <cx:pt idx="980">305</cx:pt>
          <cx:pt idx="981">137</cx:pt>
          <cx:pt idx="982">705</cx:pt>
          <cx:pt idx="983">466</cx:pt>
          <cx:pt idx="984">622</cx:pt>
          <cx:pt idx="985">399</cx:pt>
          <cx:pt idx="986">460</cx:pt>
          <cx:pt idx="987">386</cx:pt>
          <cx:pt idx="988">243</cx:pt>
          <cx:pt idx="989">114</cx:pt>
          <cx:pt idx="990">232</cx:pt>
          <cx:pt idx="991">430</cx:pt>
          <cx:pt idx="992">731</cx:pt>
          <cx:pt idx="993">363</cx:pt>
          <cx:pt idx="994">433</cx:pt>
          <cx:pt idx="995">265</cx:pt>
          <cx:pt idx="996">290</cx:pt>
          <cx:pt idx="997">295</cx:pt>
          <cx:pt idx="998">267</cx:pt>
          <cx:pt idx="999">341</cx:pt>
          <cx:pt idx="1000">425</cx:pt>
          <cx:pt idx="1001">114</cx:pt>
          <cx:pt idx="1002">416</cx:pt>
          <cx:pt idx="1003">296</cx:pt>
          <cx:pt idx="1004">240</cx:pt>
          <cx:pt idx="1005">471</cx:pt>
          <cx:pt idx="1006">323</cx:pt>
          <cx:pt idx="1007">645</cx:pt>
          <cx:pt idx="1008">337</cx:pt>
          <cx:pt idx="1009">253</cx:pt>
          <cx:pt idx="1010">347</cx:pt>
          <cx:pt idx="1011">476</cx:pt>
          <cx:pt idx="1012">278</cx:pt>
          <cx:pt idx="1013">266</cx:pt>
          <cx:pt idx="1014">378</cx:pt>
          <cx:pt idx="1015">176</cx:pt>
          <cx:pt idx="1016">274</cx:pt>
          <cx:pt idx="1017">548</cx:pt>
          <cx:pt idx="1018">345</cx:pt>
          <cx:pt idx="1019">368</cx:pt>
          <cx:pt idx="1020">198</cx:pt>
          <cx:pt idx="1021">323</cx:pt>
          <cx:pt idx="1022">329</cx:pt>
          <cx:pt idx="1023">533</cx:pt>
          <cx:pt idx="1024">393</cx:pt>
          <cx:pt idx="1025">343</cx:pt>
          <cx:pt idx="1026">455</cx:pt>
          <cx:pt idx="1027">233</cx:pt>
          <cx:pt idx="1028">173</cx:pt>
          <cx:pt idx="1029">364</cx:pt>
          <cx:pt idx="1030">603</cx:pt>
          <cx:pt idx="1031">524</cx:pt>
          <cx:pt idx="1032">503</cx:pt>
          <cx:pt idx="1033">447</cx:pt>
          <cx:pt idx="1034">501</cx:pt>
          <cx:pt idx="1035">300</cx:pt>
          <cx:pt idx="1036">232</cx:pt>
          <cx:pt idx="1037">226</cx:pt>
          <cx:pt idx="1038">301</cx:pt>
          <cx:pt idx="1039">188</cx:pt>
          <cx:pt idx="1040">245</cx:pt>
          <cx:pt idx="1041">286</cx:pt>
          <cx:pt idx="1042">221</cx:pt>
          <cx:pt idx="1043">373</cx:pt>
          <cx:pt idx="1044">487</cx:pt>
          <cx:pt idx="1045">245</cx:pt>
          <cx:pt idx="1046">328</cx:pt>
          <cx:pt idx="1047">259</cx:pt>
          <cx:pt idx="1048">298</cx:pt>
          <cx:pt idx="1049">441</cx:pt>
          <cx:pt idx="1050">296</cx:pt>
          <cx:pt idx="1051">232</cx:pt>
          <cx:pt idx="1052">259</cx:pt>
          <cx:pt idx="1053">256</cx:pt>
          <cx:pt idx="1054">355</cx:pt>
          <cx:pt idx="1055">343</cx:pt>
          <cx:pt idx="1056">329</cx:pt>
          <cx:pt idx="1057">261</cx:pt>
          <cx:pt idx="1058">77</cx:pt>
          <cx:pt idx="1059">144</cx:pt>
          <cx:pt idx="1060">77</cx:pt>
          <cx:pt idx="1061">161</cx:pt>
          <cx:pt idx="1062">161</cx:pt>
          <cx:pt idx="1063">159</cx:pt>
          <cx:pt idx="1064">126</cx:pt>
          <cx:pt idx="1065">154</cx:pt>
          <cx:pt idx="1066">107</cx:pt>
          <cx:pt idx="1067">101</cx:pt>
          <cx:pt idx="1068">182</cx:pt>
          <cx:pt idx="1069">113</cx:pt>
          <cx:pt idx="1070">85</cx:pt>
          <cx:pt idx="1071">90</cx:pt>
          <cx:pt idx="1072">103</cx:pt>
          <cx:pt idx="1073">75</cx:pt>
          <cx:pt idx="1074">83</cx:pt>
          <cx:pt idx="1075">80</cx:pt>
          <cx:pt idx="1076">84</cx:pt>
          <cx:pt idx="1077">98</cx:pt>
          <cx:pt idx="1078">296</cx:pt>
          <cx:pt idx="1079">484</cx:pt>
          <cx:pt idx="1080">273</cx:pt>
          <cx:pt idx="1081">314</cx:pt>
          <cx:pt idx="1082">333</cx:pt>
          <cx:pt idx="1083">489</cx:pt>
          <cx:pt idx="1084">295</cx:pt>
          <cx:pt idx="1085">385</cx:pt>
          <cx:pt idx="1086">241</cx:pt>
          <cx:pt idx="1087">252</cx:pt>
          <cx:pt idx="1088">279</cx:pt>
          <cx:pt idx="1089">468</cx:pt>
          <cx:pt idx="1090">160</cx:pt>
          <cx:pt idx="1091">237</cx:pt>
          <cx:pt idx="1092">470</cx:pt>
          <cx:pt idx="1093">394</cx:pt>
          <cx:pt idx="1094">148</cx:pt>
          <cx:pt idx="1095">265</cx:pt>
          <cx:pt idx="1096">167</cx:pt>
          <cx:pt idx="1097">440</cx:pt>
          <cx:pt idx="1098">284</cx:pt>
          <cx:pt idx="1099">324</cx:pt>
          <cx:pt idx="1100">319</cx:pt>
          <cx:pt idx="1101">327</cx:pt>
          <cx:pt idx="1102">137</cx:pt>
          <cx:pt idx="1103">273</cx:pt>
          <cx:pt idx="1104">315</cx:pt>
          <cx:pt idx="1105">297</cx:pt>
          <cx:pt idx="1106">268</cx:pt>
          <cx:pt idx="1107">331</cx:pt>
          <cx:pt idx="1108">278</cx:pt>
          <cx:pt idx="1109">273</cx:pt>
          <cx:pt idx="1110">428</cx:pt>
          <cx:pt idx="1111">204</cx:pt>
          <cx:pt idx="1112">131</cx:pt>
          <cx:pt idx="1113">241</cx:pt>
          <cx:pt idx="1114">260</cx:pt>
          <cx:pt idx="1115">315</cx:pt>
          <cx:pt idx="1116">241</cx:pt>
          <cx:pt idx="1117">360</cx:pt>
          <cx:pt idx="1118">385</cx:pt>
          <cx:pt idx="1119">1104</cx:pt>
          <cx:pt idx="1120">366</cx:pt>
          <cx:pt idx="1121">324</cx:pt>
          <cx:pt idx="1122">386</cx:pt>
          <cx:pt idx="1123">273</cx:pt>
          <cx:pt idx="1124">320</cx:pt>
          <cx:pt idx="1125">275</cx:pt>
          <cx:pt idx="1126">285</cx:pt>
          <cx:pt idx="1127">418</cx:pt>
          <cx:pt idx="1128">420</cx:pt>
          <cx:pt idx="1129">188</cx:pt>
          <cx:pt idx="1130">282</cx:pt>
          <cx:pt idx="1131">386</cx:pt>
          <cx:pt idx="1132">346</cx:pt>
          <cx:pt idx="1133">315</cx:pt>
          <cx:pt idx="1134">382</cx:pt>
          <cx:pt idx="1135">324</cx:pt>
          <cx:pt idx="1136">423</cx:pt>
          <cx:pt idx="1137">350</cx:pt>
          <cx:pt idx="1138">299</cx:pt>
          <cx:pt idx="1139">342</cx:pt>
          <cx:pt idx="1140">228</cx:pt>
          <cx:pt idx="1141">111</cx:pt>
          <cx:pt idx="1142">119</cx:pt>
          <cx:pt idx="1143">581</cx:pt>
          <cx:pt idx="1144">424</cx:pt>
          <cx:pt idx="1145">352</cx:pt>
          <cx:pt idx="1146">288</cx:pt>
          <cx:pt idx="1147">784</cx:pt>
          <cx:pt idx="1148">280</cx:pt>
          <cx:pt idx="1149">237</cx:pt>
          <cx:pt idx="1150">210</cx:pt>
          <cx:pt idx="1151">294</cx:pt>
          <cx:pt idx="1152">200</cx:pt>
          <cx:pt idx="1153">319</cx:pt>
          <cx:pt idx="1154">337</cx:pt>
          <cx:pt idx="1155">281</cx:pt>
          <cx:pt idx="1156">298</cx:pt>
          <cx:pt idx="1157">87</cx:pt>
          <cx:pt idx="1158">340</cx:pt>
          <cx:pt idx="1159">140</cx:pt>
          <cx:pt idx="1160">96</cx:pt>
          <cx:pt idx="1161">382</cx:pt>
          <cx:pt idx="1162">407</cx:pt>
          <cx:pt idx="1163">355</cx:pt>
          <cx:pt idx="1164">346</cx:pt>
          <cx:pt idx="1165">358</cx:pt>
          <cx:pt idx="1166">285</cx:pt>
          <cx:pt idx="1167">428</cx:pt>
          <cx:pt idx="1168">370</cx:pt>
          <cx:pt idx="1169">229</cx:pt>
          <cx:pt idx="1170">269</cx:pt>
          <cx:pt idx="1171">315</cx:pt>
          <cx:pt idx="1172">446</cx:pt>
          <cx:pt idx="1173">256</cx:pt>
          <cx:pt idx="1174">243</cx:pt>
          <cx:pt idx="1175">435</cx:pt>
          <cx:pt idx="1176">437</cx:pt>
          <cx:pt idx="1177">236</cx:pt>
          <cx:pt idx="1178">240</cx:pt>
          <cx:pt idx="1179">335</cx:pt>
          <cx:pt idx="1180">365</cx:pt>
          <cx:pt idx="1181">399</cx:pt>
          <cx:pt idx="1182">423</cx:pt>
          <cx:pt idx="1183">176</cx:pt>
          <cx:pt idx="1184">351</cx:pt>
          <cx:pt idx="1185">197</cx:pt>
          <cx:pt idx="1186">425</cx:pt>
          <cx:pt idx="1187">246</cx:pt>
          <cx:pt idx="1188">502</cx:pt>
          <cx:pt idx="1189">212</cx:pt>
          <cx:pt idx="1190">197</cx:pt>
          <cx:pt idx="1191">189</cx:pt>
          <cx:pt idx="1192">133</cx:pt>
          <cx:pt idx="1193">298</cx:pt>
          <cx:pt idx="1194">292</cx:pt>
          <cx:pt idx="1195">371</cx:pt>
          <cx:pt idx="1196">258</cx:pt>
          <cx:pt idx="1197">323</cx:pt>
          <cx:pt idx="1198">465</cx:pt>
          <cx:pt idx="1199">155</cx:pt>
          <cx:pt idx="1200">104</cx:pt>
          <cx:pt idx="1201">145</cx:pt>
          <cx:pt idx="1202">475</cx:pt>
          <cx:pt idx="1203">342</cx:pt>
          <cx:pt idx="1204">295</cx:pt>
          <cx:pt idx="1205">166</cx:pt>
          <cx:pt idx="1206">244</cx:pt>
          <cx:pt idx="1207">173</cx:pt>
          <cx:pt idx="1208">184</cx:pt>
          <cx:pt idx="1209">76</cx:pt>
          <cx:pt idx="1210">176</cx:pt>
          <cx:pt idx="1211">144</cx:pt>
          <cx:pt idx="1212">148</cx:pt>
          <cx:pt idx="1213">126</cx:pt>
          <cx:pt idx="1214">398</cx:pt>
          <cx:pt idx="1215">245</cx:pt>
          <cx:pt idx="1216">478</cx:pt>
          <cx:pt idx="1217">522</cx:pt>
          <cx:pt idx="1218">371</cx:pt>
          <cx:pt idx="1219">491</cx:pt>
          <cx:pt idx="1220">211</cx:pt>
          <cx:pt idx="1221">266</cx:pt>
          <cx:pt idx="1222">259</cx:pt>
          <cx:pt idx="1223">179</cx:pt>
          <cx:pt idx="1224">217</cx:pt>
          <cx:pt idx="1225">124</cx:pt>
          <cx:pt idx="1226">183</cx:pt>
          <cx:pt idx="1227">183</cx:pt>
          <cx:pt idx="1228">161</cx:pt>
          <cx:pt idx="1229">227</cx:pt>
          <cx:pt idx="1230">116</cx:pt>
          <cx:pt idx="1231">155</cx:pt>
          <cx:pt idx="1232">153</cx:pt>
          <cx:pt idx="1233">128</cx:pt>
          <cx:pt idx="1234">185</cx:pt>
          <cx:pt idx="1235">93</cx:pt>
          <cx:pt idx="1236">153</cx:pt>
          <cx:pt idx="1237">119</cx:pt>
          <cx:pt idx="1238">203</cx:pt>
          <cx:pt idx="1239">385</cx:pt>
          <cx:pt idx="1240">398</cx:pt>
          <cx:pt idx="1241">442</cx:pt>
          <cx:pt idx="1242">340</cx:pt>
          <cx:pt idx="1243">411</cx:pt>
          <cx:pt idx="1244">320</cx:pt>
          <cx:pt idx="1245">218</cx:pt>
          <cx:pt idx="1246">1030</cx:pt>
          <cx:pt idx="1247">300</cx:pt>
          <cx:pt idx="1248">222</cx:pt>
          <cx:pt idx="1249">290</cx:pt>
          <cx:pt idx="1250">335</cx:pt>
          <cx:pt idx="1251">123</cx:pt>
          <cx:pt idx="1252">470</cx:pt>
          <cx:pt idx="1253">339</cx:pt>
          <cx:pt idx="1254">430</cx:pt>
          <cx:pt idx="1255">589</cx:pt>
          <cx:pt idx="1256">425</cx:pt>
          <cx:pt idx="1257">225</cx:pt>
          <cx:pt idx="1258">279</cx:pt>
          <cx:pt idx="1259">441</cx:pt>
          <cx:pt idx="1260">674</cx:pt>
          <cx:pt idx="1261">254</cx:pt>
          <cx:pt idx="1262">259</cx:pt>
          <cx:pt idx="1263">391</cx:pt>
          <cx:pt idx="1264">434</cx:pt>
          <cx:pt idx="1265">373</cx:pt>
          <cx:pt idx="1266">235</cx:pt>
          <cx:pt idx="1267">645</cx:pt>
          <cx:pt idx="1268">140</cx:pt>
          <cx:pt idx="1269">142</cx:pt>
          <cx:pt idx="1270">280</cx:pt>
          <cx:pt idx="1271">333</cx:pt>
          <cx:pt idx="1272">304</cx:pt>
          <cx:pt idx="1273">349</cx:pt>
          <cx:pt idx="1274">330</cx:pt>
          <cx:pt idx="1275">275</cx:pt>
          <cx:pt idx="1276">341</cx:pt>
          <cx:pt idx="1277">588</cx:pt>
          <cx:pt idx="1278">316</cx:pt>
          <cx:pt idx="1279">448</cx:pt>
          <cx:pt idx="1280">370</cx:pt>
          <cx:pt idx="1281">217</cx:pt>
          <cx:pt idx="1282">386</cx:pt>
          <cx:pt idx="1283">262</cx:pt>
          <cx:pt idx="1284">294</cx:pt>
          <cx:pt idx="1285">255</cx:pt>
          <cx:pt idx="1286">535</cx:pt>
          <cx:pt idx="1287">313</cx:pt>
          <cx:pt idx="1288">402</cx:pt>
          <cx:pt idx="1289">349</cx:pt>
          <cx:pt idx="1290">229</cx:pt>
          <cx:pt idx="1291">394</cx:pt>
          <cx:pt idx="1292">473</cx:pt>
          <cx:pt idx="1293">243</cx:pt>
          <cx:pt idx="1294">274</cx:pt>
          <cx:pt idx="1295">389</cx:pt>
          <cx:pt idx="1296">247</cx:pt>
          <cx:pt idx="1297">112</cx:pt>
          <cx:pt idx="1298">489</cx:pt>
          <cx:pt idx="1299">501</cx:pt>
          <cx:pt idx="1300">408</cx:pt>
          <cx:pt idx="1301">266</cx:pt>
          <cx:pt idx="1302">238</cx:pt>
          <cx:pt idx="1303">141</cx:pt>
          <cx:pt idx="1304">453</cx:pt>
          <cx:pt idx="1305">427</cx:pt>
          <cx:pt idx="1306">250</cx:pt>
          <cx:pt idx="1307">387</cx:pt>
          <cx:pt idx="1308">442</cx:pt>
          <cx:pt idx="1309">434</cx:pt>
          <cx:pt idx="1310">264</cx:pt>
          <cx:pt idx="1311">277</cx:pt>
          <cx:pt idx="1312">392</cx:pt>
          <cx:pt idx="1313">160</cx:pt>
          <cx:pt idx="1314">139</cx:pt>
          <cx:pt idx="1315">159</cx:pt>
          <cx:pt idx="1316">152</cx:pt>
          <cx:pt idx="1317">163</cx:pt>
          <cx:pt idx="1318">118</cx:pt>
          <cx:pt idx="1319">153</cx:pt>
          <cx:pt idx="1320">325</cx:pt>
          <cx:pt idx="1321">275</cx:pt>
          <cx:pt idx="1322">356</cx:pt>
          <cx:pt idx="1323">220</cx:pt>
          <cx:pt idx="1324">182</cx:pt>
          <cx:pt idx="1325">306</cx:pt>
          <cx:pt idx="1326">313</cx:pt>
          <cx:pt idx="1327">366</cx:pt>
          <cx:pt idx="1328">251</cx:pt>
          <cx:pt idx="1329">223</cx:pt>
          <cx:pt idx="1330">295</cx:pt>
          <cx:pt idx="1331">281</cx:pt>
          <cx:pt idx="1332">489</cx:pt>
          <cx:pt idx="1333">275</cx:pt>
          <cx:pt idx="1334">472</cx:pt>
          <cx:pt idx="1335">227</cx:pt>
          <cx:pt idx="1336">465</cx:pt>
          <cx:pt idx="1337">423</cx:pt>
          <cx:pt idx="1338">387</cx:pt>
          <cx:pt idx="1339">410</cx:pt>
          <cx:pt idx="1340">362</cx:pt>
          <cx:pt idx="1341">304</cx:pt>
          <cx:pt idx="1342">303</cx:pt>
          <cx:pt idx="1343">399</cx:pt>
          <cx:pt idx="1344">371</cx:pt>
          <cx:pt idx="1345">459</cx:pt>
          <cx:pt idx="1346">234</cx:pt>
          <cx:pt idx="1347">316</cx:pt>
          <cx:pt idx="1348">339</cx:pt>
          <cx:pt idx="1349">148</cx:pt>
          <cx:pt idx="1350">363</cx:pt>
          <cx:pt idx="1351">288</cx:pt>
          <cx:pt idx="1352">550</cx:pt>
          <cx:pt idx="1353">289</cx:pt>
          <cx:pt idx="1354">476</cx:pt>
          <cx:pt idx="1355">44</cx:pt>
          <cx:pt idx="1356">257</cx:pt>
          <cx:pt idx="1357">310</cx:pt>
          <cx:pt idx="1358">546</cx:pt>
          <cx:pt idx="1359">508</cx:pt>
          <cx:pt idx="1360">120</cx:pt>
          <cx:pt idx="1361">294</cx:pt>
          <cx:pt idx="1362">264</cx:pt>
          <cx:pt idx="1363">473</cx:pt>
          <cx:pt idx="1364">331</cx:pt>
          <cx:pt idx="1365">310</cx:pt>
          <cx:pt idx="1366">225</cx:pt>
          <cx:pt idx="1367">146</cx:pt>
          <cx:pt idx="1368">173</cx:pt>
          <cx:pt idx="1369">105</cx:pt>
          <cx:pt idx="1370">280</cx:pt>
          <cx:pt idx="1371">252</cx:pt>
          <cx:pt idx="1372">285</cx:pt>
          <cx:pt idx="1373">274</cx:pt>
          <cx:pt idx="1374">165</cx:pt>
          <cx:pt idx="1375">374</cx:pt>
          <cx:pt idx="1376">460</cx:pt>
          <cx:pt idx="1377">319</cx:pt>
          <cx:pt idx="1378">231</cx:pt>
          <cx:pt idx="1379">362</cx:pt>
          <cx:pt idx="1380">281</cx:pt>
          <cx:pt idx="1381">213</cx:pt>
          <cx:pt idx="1382">322</cx:pt>
          <cx:pt idx="1383">335</cx:pt>
          <cx:pt idx="1384">314</cx:pt>
          <cx:pt idx="1385">233</cx:pt>
          <cx:pt idx="1386">616</cx:pt>
          <cx:pt idx="1387">277</cx:pt>
          <cx:pt idx="1388">352</cx:pt>
          <cx:pt idx="1389">364</cx:pt>
          <cx:pt idx="1390">94</cx:pt>
          <cx:pt idx="1391">324</cx:pt>
          <cx:pt idx="1392">337</cx:pt>
          <cx:pt idx="1393">390</cx:pt>
          <cx:pt idx="1394">441</cx:pt>
          <cx:pt idx="1395">255</cx:pt>
          <cx:pt idx="1396">296</cx:pt>
          <cx:pt idx="1397">259</cx:pt>
          <cx:pt idx="1398">435</cx:pt>
          <cx:pt idx="1399">163</cx:pt>
          <cx:pt idx="1400">426</cx:pt>
          <cx:pt idx="1401">138</cx:pt>
          <cx:pt idx="1402">188</cx:pt>
          <cx:pt idx="1403">505</cx:pt>
          <cx:pt idx="1404">297</cx:pt>
          <cx:pt idx="1405">516</cx:pt>
          <cx:pt idx="1406">287</cx:pt>
          <cx:pt idx="1407">237</cx:pt>
          <cx:pt idx="1408">168</cx:pt>
          <cx:pt idx="1409">234</cx:pt>
          <cx:pt idx="1410">587</cx:pt>
          <cx:pt idx="1411">444</cx:pt>
          <cx:pt idx="1412">477</cx:pt>
          <cx:pt idx="1413">430</cx:pt>
          <cx:pt idx="1414">515</cx:pt>
          <cx:pt idx="1415">504</cx:pt>
          <cx:pt idx="1416">364</cx:pt>
          <cx:pt idx="1417">254</cx:pt>
          <cx:pt idx="1418">434</cx:pt>
          <cx:pt idx="1419">343</cx:pt>
          <cx:pt idx="1420">430</cx:pt>
          <cx:pt idx="1421">222</cx:pt>
          <cx:pt idx="1422">302</cx:pt>
          <cx:pt idx="1423">223</cx:pt>
          <cx:pt idx="1424">253</cx:pt>
          <cx:pt idx="1425">268</cx:pt>
          <cx:pt idx="1426">388</cx:pt>
          <cx:pt idx="1427">280</cx:pt>
          <cx:pt idx="1428">506</cx:pt>
          <cx:pt idx="1429">430</cx:pt>
          <cx:pt idx="1430">199</cx:pt>
          <cx:pt idx="1431">238</cx:pt>
          <cx:pt idx="1432">230</cx:pt>
          <cx:pt idx="1433">313</cx:pt>
          <cx:pt idx="1434">321</cx:pt>
          <cx:pt idx="1435">735</cx:pt>
          <cx:pt idx="1436">751</cx:pt>
          <cx:pt idx="1437">331</cx:pt>
          <cx:pt idx="1438">270</cx:pt>
          <cx:pt idx="1439">302</cx:pt>
          <cx:pt idx="1440">246</cx:pt>
          <cx:pt idx="1441">580</cx:pt>
          <cx:pt idx="1442">249</cx:pt>
          <cx:pt idx="1443">387</cx:pt>
          <cx:pt idx="1444">334</cx:pt>
          <cx:pt idx="1445">379</cx:pt>
          <cx:pt idx="1446">333</cx:pt>
          <cx:pt idx="1447">195</cx:pt>
          <cx:pt idx="1448">208</cx:pt>
          <cx:pt idx="1449">25</cx:pt>
          <cx:pt idx="1450">130</cx:pt>
          <cx:pt idx="1451">156</cx:pt>
          <cx:pt idx="1452">133</cx:pt>
          <cx:pt idx="1453">294</cx:pt>
          <cx:pt idx="1454">369</cx:pt>
          <cx:pt idx="1455">356</cx:pt>
          <cx:pt idx="1456">238</cx:pt>
          <cx:pt idx="1457">132</cx:pt>
          <cx:pt idx="1458">126</cx:pt>
          <cx:pt idx="1459">315</cx:pt>
          <cx:pt idx="1460">199</cx:pt>
          <cx:pt idx="1461">194</cx:pt>
          <cx:pt idx="1462">357</cx:pt>
          <cx:pt idx="1463">285</cx:pt>
          <cx:pt idx="1464">296</cx:pt>
          <cx:pt idx="1465">336</cx:pt>
          <cx:pt idx="1466">322</cx:pt>
          <cx:pt idx="1467">168</cx:pt>
          <cx:pt idx="1468">265</cx:pt>
          <cx:pt idx="1469">315</cx:pt>
          <cx:pt idx="1470">258</cx:pt>
          <cx:pt idx="1471">289</cx:pt>
          <cx:pt idx="1472">261</cx:pt>
          <cx:pt idx="1473">261</cx:pt>
          <cx:pt idx="1474">176</cx:pt>
          <cx:pt idx="1475">467</cx:pt>
          <cx:pt idx="1476">390</cx:pt>
          <cx:pt idx="1477">265</cx:pt>
          <cx:pt idx="1478">237</cx:pt>
          <cx:pt idx="1479">293</cx:pt>
          <cx:pt idx="1480">238</cx:pt>
          <cx:pt idx="1481">328</cx:pt>
          <cx:pt idx="1482">283</cx:pt>
          <cx:pt idx="1483">512</cx:pt>
          <cx:pt idx="1484">300</cx:pt>
          <cx:pt idx="1485">209</cx:pt>
          <cx:pt idx="1486">410</cx:pt>
          <cx:pt idx="1487">257</cx:pt>
          <cx:pt idx="1488">334</cx:pt>
          <cx:pt idx="1489">377</cx:pt>
          <cx:pt idx="1490">392</cx:pt>
          <cx:pt idx="1491">364</cx:pt>
          <cx:pt idx="1492">272</cx:pt>
          <cx:pt idx="1493">321</cx:pt>
          <cx:pt idx="1494">223</cx:pt>
          <cx:pt idx="1495">266</cx:pt>
          <cx:pt idx="1496">336</cx:pt>
          <cx:pt idx="1497">263</cx:pt>
          <cx:pt idx="1498">218</cx:pt>
          <cx:pt idx="1499">270</cx:pt>
          <cx:pt idx="1500">359</cx:pt>
          <cx:pt idx="1501">508</cx:pt>
          <cx:pt idx="1502">197</cx:pt>
          <cx:pt idx="1503">175</cx:pt>
          <cx:pt idx="1504">210</cx:pt>
          <cx:pt idx="1505">183</cx:pt>
          <cx:pt idx="1506">264</cx:pt>
          <cx:pt idx="1507">336</cx:pt>
          <cx:pt idx="1508">319</cx:pt>
          <cx:pt idx="1509">252</cx:pt>
          <cx:pt idx="1510">320</cx:pt>
          <cx:pt idx="1511">230</cx:pt>
          <cx:pt idx="1512">203</cx:pt>
          <cx:pt idx="1513">199</cx:pt>
          <cx:pt idx="1514">235</cx:pt>
          <cx:pt idx="1515">206</cx:pt>
          <cx:pt idx="1516">91</cx:pt>
          <cx:pt idx="1517">281</cx:pt>
          <cx:pt idx="1518">262</cx:pt>
          <cx:pt idx="1519">356</cx:pt>
          <cx:pt idx="1520">420</cx:pt>
          <cx:pt idx="1521">289</cx:pt>
          <cx:pt idx="1522">338</cx:pt>
          <cx:pt idx="1523">226</cx:pt>
          <cx:pt idx="1524">420</cx:pt>
          <cx:pt idx="1525">267</cx:pt>
          <cx:pt idx="1526">370</cx:pt>
          <cx:pt idx="1527">338</cx:pt>
          <cx:pt idx="1528">296</cx:pt>
          <cx:pt idx="1529">586</cx:pt>
          <cx:pt idx="1530">343</cx:pt>
          <cx:pt idx="1531">364</cx:pt>
          <cx:pt idx="1532">436</cx:pt>
          <cx:pt idx="1533">432</cx:pt>
          <cx:pt idx="1534">242</cx:pt>
          <cx:pt idx="1535">355</cx:pt>
          <cx:pt idx="1536">490</cx:pt>
          <cx:pt idx="1537">335</cx:pt>
          <cx:pt idx="1538">104</cx:pt>
          <cx:pt idx="1539">375</cx:pt>
          <cx:pt idx="1540">320</cx:pt>
          <cx:pt idx="1541">196</cx:pt>
          <cx:pt idx="1542">312</cx:pt>
          <cx:pt idx="1543">379</cx:pt>
          <cx:pt idx="1544">407</cx:pt>
          <cx:pt idx="1545">315</cx:pt>
          <cx:pt idx="1546">383</cx:pt>
          <cx:pt idx="1547">251</cx:pt>
          <cx:pt idx="1548">311</cx:pt>
          <cx:pt idx="1549">402</cx:pt>
          <cx:pt idx="1550">370</cx:pt>
          <cx:pt idx="1551">364</cx:pt>
          <cx:pt idx="1552">377</cx:pt>
          <cx:pt idx="1553">262</cx:pt>
          <cx:pt idx="1554">574</cx:pt>
          <cx:pt idx="1555">218</cx:pt>
          <cx:pt idx="1556">324</cx:pt>
          <cx:pt idx="1557">429</cx:pt>
          <cx:pt idx="1558">293</cx:pt>
          <cx:pt idx="1559">314</cx:pt>
          <cx:pt idx="1560">378</cx:pt>
          <cx:pt idx="1561">416</cx:pt>
          <cx:pt idx="1562">370</cx:pt>
          <cx:pt idx="1563">270</cx:pt>
          <cx:pt idx="1564">350</cx:pt>
          <cx:pt idx="1565">354</cx:pt>
          <cx:pt idx="1566">418</cx:pt>
          <cx:pt idx="1567">272</cx:pt>
          <cx:pt idx="1568">307</cx:pt>
          <cx:pt idx="1569">499</cx:pt>
          <cx:pt idx="1570">298</cx:pt>
          <cx:pt idx="1571">354</cx:pt>
          <cx:pt idx="1572">252</cx:pt>
          <cx:pt idx="1573">198</cx:pt>
          <cx:pt idx="1574">164</cx:pt>
          <cx:pt idx="1575">166</cx:pt>
          <cx:pt idx="1576">468</cx:pt>
          <cx:pt idx="1577">217</cx:pt>
          <cx:pt idx="1578">419</cx:pt>
          <cx:pt idx="1579">339</cx:pt>
          <cx:pt idx="1580">489</cx:pt>
          <cx:pt idx="1581">364</cx:pt>
          <cx:pt idx="1582">347</cx:pt>
          <cx:pt idx="1583">275</cx:pt>
          <cx:pt idx="1584">284</cx:pt>
          <cx:pt idx="1585">286</cx:pt>
          <cx:pt idx="1586">386</cx:pt>
          <cx:pt idx="1587">398</cx:pt>
          <cx:pt idx="1588">250</cx:pt>
          <cx:pt idx="1589">326</cx:pt>
          <cx:pt idx="1590">341</cx:pt>
          <cx:pt idx="1591">247</cx:pt>
          <cx:pt idx="1592">399</cx:pt>
          <cx:pt idx="1593">404</cx:pt>
          <cx:pt idx="1594">294</cx:pt>
          <cx:pt idx="1595">225</cx:pt>
          <cx:pt idx="1596">139</cx:pt>
          <cx:pt idx="1597">231</cx:pt>
          <cx:pt idx="1598">125</cx:pt>
          <cx:pt idx="1599">265</cx:pt>
          <cx:pt idx="1600">251</cx:pt>
          <cx:pt idx="1601">210</cx:pt>
          <cx:pt idx="1602">387</cx:pt>
          <cx:pt idx="1603">346</cx:pt>
          <cx:pt idx="1604">351</cx:pt>
          <cx:pt idx="1605">368</cx:pt>
          <cx:pt idx="1606">294</cx:pt>
          <cx:pt idx="1607">201</cx:pt>
          <cx:pt idx="1608">489</cx:pt>
          <cx:pt idx="1609">432</cx:pt>
          <cx:pt idx="1610">157</cx:pt>
          <cx:pt idx="1611">357</cx:pt>
          <cx:pt idx="1612">177</cx:pt>
          <cx:pt idx="1613">401</cx:pt>
          <cx:pt idx="1614">294</cx:pt>
          <cx:pt idx="1615">416</cx:pt>
          <cx:pt idx="1616">183</cx:pt>
          <cx:pt idx="1617">379</cx:pt>
          <cx:pt idx="1618">239</cx:pt>
          <cx:pt idx="1619">268</cx:pt>
          <cx:pt idx="1620">510</cx:pt>
          <cx:pt idx="1621">213</cx:pt>
          <cx:pt idx="1622">399</cx:pt>
          <cx:pt idx="1623">171</cx:pt>
          <cx:pt idx="1624">266</cx:pt>
          <cx:pt idx="1625">481</cx:pt>
          <cx:pt idx="1626">299</cx:pt>
          <cx:pt idx="1627">472</cx:pt>
          <cx:pt idx="1628">152</cx:pt>
          <cx:pt idx="1629">254</cx:pt>
          <cx:pt idx="1630">349</cx:pt>
          <cx:pt idx="1631">101</cx:pt>
          <cx:pt idx="1632">248</cx:pt>
          <cx:pt idx="1633">538</cx:pt>
          <cx:pt idx="1634">341</cx:pt>
          <cx:pt idx="1635">270</cx:pt>
          <cx:pt idx="1636">207</cx:pt>
          <cx:pt idx="1637">210</cx:pt>
          <cx:pt idx="1638">372</cx:pt>
          <cx:pt idx="1639">189</cx:pt>
          <cx:pt idx="1640">196</cx:pt>
          <cx:pt idx="1641">336</cx:pt>
          <cx:pt idx="1642">227</cx:pt>
          <cx:pt idx="1643">282</cx:pt>
          <cx:pt idx="1644">313</cx:pt>
          <cx:pt idx="1645">238</cx:pt>
          <cx:pt idx="1646">399</cx:pt>
          <cx:pt idx="1647">177</cx:pt>
          <cx:pt idx="1648">336</cx:pt>
          <cx:pt idx="1649">500</cx:pt>
          <cx:pt idx="1650">267</cx:pt>
          <cx:pt idx="1651">239</cx:pt>
          <cx:pt idx="1652">258</cx:pt>
          <cx:pt idx="1653">460</cx:pt>
          <cx:pt idx="1654">266</cx:pt>
          <cx:pt idx="1655">308</cx:pt>
          <cx:pt idx="1656">370</cx:pt>
          <cx:pt idx="1657">308</cx:pt>
          <cx:pt idx="1658">270</cx:pt>
          <cx:pt idx="1659">175</cx:pt>
          <cx:pt idx="1660">330</cx:pt>
          <cx:pt idx="1661">482</cx:pt>
          <cx:pt idx="1662">250</cx:pt>
          <cx:pt idx="1663">227</cx:pt>
          <cx:pt idx="1664">302</cx:pt>
          <cx:pt idx="1665">345</cx:pt>
          <cx:pt idx="1666">391</cx:pt>
          <cx:pt idx="1667">270</cx:pt>
          <cx:pt idx="1668">199</cx:pt>
          <cx:pt idx="1669">281</cx:pt>
          <cx:pt idx="1670">327</cx:pt>
          <cx:pt idx="1671">377</cx:pt>
          <cx:pt idx="1672">469</cx:pt>
          <cx:pt idx="1673">259</cx:pt>
          <cx:pt idx="1674">351</cx:pt>
          <cx:pt idx="1675">534</cx:pt>
          <cx:pt idx="1676">258</cx:pt>
          <cx:pt idx="1677">211</cx:pt>
          <cx:pt idx="1678">281</cx:pt>
          <cx:pt idx="1679">336</cx:pt>
          <cx:pt idx="1680">151</cx:pt>
          <cx:pt idx="1681">386</cx:pt>
          <cx:pt idx="1682">442</cx:pt>
          <cx:pt idx="1683">316</cx:pt>
          <cx:pt idx="1684">345</cx:pt>
          <cx:pt idx="1685">358</cx:pt>
          <cx:pt idx="1686">353</cx:pt>
          <cx:pt idx="1687">318</cx:pt>
          <cx:pt idx="1688">139</cx:pt>
          <cx:pt idx="1689">210</cx:pt>
          <cx:pt idx="1690">320</cx:pt>
          <cx:pt idx="1691">309</cx:pt>
          <cx:pt idx="1692">408</cx:pt>
          <cx:pt idx="1693">455</cx:pt>
          <cx:pt idx="1694">169</cx:pt>
          <cx:pt idx="1695">418</cx:pt>
          <cx:pt idx="1696">277</cx:pt>
          <cx:pt idx="1697">228</cx:pt>
          <cx:pt idx="1698">241</cx:pt>
          <cx:pt idx="1699">275</cx:pt>
          <cx:pt idx="1700">340</cx:pt>
          <cx:pt idx="1701">218</cx:pt>
          <cx:pt idx="1702">355</cx:pt>
          <cx:pt idx="1703">254</cx:pt>
          <cx:pt idx="1704">236</cx:pt>
          <cx:pt idx="1705">252</cx:pt>
          <cx:pt idx="1706">405</cx:pt>
          <cx:pt idx="1707">360</cx:pt>
          <cx:pt idx="1708">344</cx:pt>
          <cx:pt idx="1709">332</cx:pt>
          <cx:pt idx="1710">241</cx:pt>
          <cx:pt idx="1711">540</cx:pt>
          <cx:pt idx="1712">197</cx:pt>
          <cx:pt idx="1713">407</cx:pt>
          <cx:pt idx="1714">729</cx:pt>
          <cx:pt idx="1715">221</cx:pt>
          <cx:pt idx="1716">336</cx:pt>
          <cx:pt idx="1717">286</cx:pt>
          <cx:pt idx="1718">317</cx:pt>
          <cx:pt idx="1719">244</cx:pt>
          <cx:pt idx="1720">295</cx:pt>
          <cx:pt idx="1721">272</cx:pt>
          <cx:pt idx="1722">309</cx:pt>
          <cx:pt idx="1723">281</cx:pt>
          <cx:pt idx="1724">386</cx:pt>
          <cx:pt idx="1725">376</cx:pt>
          <cx:pt idx="1726">300</cx:pt>
          <cx:pt idx="1727">314</cx:pt>
          <cx:pt idx="1728">453</cx:pt>
          <cx:pt idx="1729">494</cx:pt>
          <cx:pt idx="1730">404</cx:pt>
          <cx:pt idx="1731">202</cx:pt>
          <cx:pt idx="1732">316</cx:pt>
          <cx:pt idx="1733">183</cx:pt>
          <cx:pt idx="1734">648</cx:pt>
          <cx:pt idx="1735">363</cx:pt>
          <cx:pt idx="1736">255</cx:pt>
          <cx:pt idx="1737">415</cx:pt>
          <cx:pt idx="1738">203</cx:pt>
          <cx:pt idx="1739">262</cx:pt>
          <cx:pt idx="1740">190</cx:pt>
          <cx:pt idx="1741">336</cx:pt>
          <cx:pt idx="1742">440</cx:pt>
          <cx:pt idx="1743">138</cx:pt>
          <cx:pt idx="1744">314</cx:pt>
          <cx:pt idx="1745">459</cx:pt>
          <cx:pt idx="1746">323</cx:pt>
          <cx:pt idx="1747">333</cx:pt>
          <cx:pt idx="1748">238</cx:pt>
          <cx:pt idx="1749">354</cx:pt>
          <cx:pt idx="1750">321</cx:pt>
          <cx:pt idx="1751">216</cx:pt>
          <cx:pt idx="1752">321</cx:pt>
          <cx:pt idx="1753">202</cx:pt>
          <cx:pt idx="1754">199</cx:pt>
          <cx:pt idx="1755">213</cx:pt>
          <cx:pt idx="1756">246</cx:pt>
          <cx:pt idx="1757">197</cx:pt>
          <cx:pt idx="1758">208</cx:pt>
          <cx:pt idx="1759">35</cx:pt>
          <cx:pt idx="1760">274</cx:pt>
          <cx:pt idx="1761">176</cx:pt>
          <cx:pt idx="1762">225</cx:pt>
          <cx:pt idx="1763">205</cx:pt>
          <cx:pt idx="1764">222</cx:pt>
          <cx:pt idx="1765">158</cx:pt>
          <cx:pt idx="1766">144</cx:pt>
          <cx:pt idx="1767">197</cx:pt>
          <cx:pt idx="1768">171</cx:pt>
          <cx:pt idx="1769">169</cx:pt>
          <cx:pt idx="1770">142</cx:pt>
          <cx:pt idx="1771">162</cx:pt>
          <cx:pt idx="1772">210</cx:pt>
          <cx:pt idx="1773">280</cx:pt>
          <cx:pt idx="1774">252</cx:pt>
          <cx:pt idx="1775">426</cx:pt>
          <cx:pt idx="1776">651</cx:pt>
          <cx:pt idx="1777">399</cx:pt>
          <cx:pt idx="1778">353</cx:pt>
          <cx:pt idx="1779">384</cx:pt>
          <cx:pt idx="1780">232</cx:pt>
          <cx:pt idx="1781">291</cx:pt>
          <cx:pt idx="1782">341</cx:pt>
          <cx:pt idx="1783">432</cx:pt>
          <cx:pt idx="1784">202</cx:pt>
          <cx:pt idx="1785">594</cx:pt>
          <cx:pt idx="1786">477</cx:pt>
          <cx:pt idx="1787">199</cx:pt>
          <cx:pt idx="1788">263</cx:pt>
          <cx:pt idx="1789">184</cx:pt>
          <cx:pt idx="1790">380</cx:pt>
          <cx:pt idx="1791">391</cx:pt>
          <cx:pt idx="1792">418</cx:pt>
          <cx:pt idx="1793">179</cx:pt>
          <cx:pt idx="1794">120</cx:pt>
          <cx:pt idx="1795">147</cx:pt>
          <cx:pt idx="1796">117</cx:pt>
          <cx:pt idx="1797">110</cx:pt>
          <cx:pt idx="1798">104</cx:pt>
          <cx:pt idx="1799">101</cx:pt>
          <cx:pt idx="1800">216</cx:pt>
          <cx:pt idx="1801">128</cx:pt>
          <cx:pt idx="1802">168</cx:pt>
          <cx:pt idx="1803">194</cx:pt>
          <cx:pt idx="1804">161</cx:pt>
          <cx:pt idx="1805">103</cx:pt>
          <cx:pt idx="1806">308</cx:pt>
          <cx:pt idx="1807">221</cx:pt>
          <cx:pt idx="1808">474</cx:pt>
          <cx:pt idx="1809">333</cx:pt>
          <cx:pt idx="1810">439</cx:pt>
          <cx:pt idx="1811">82</cx:pt>
          <cx:pt idx="1812">328</cx:pt>
          <cx:pt idx="1813">604</cx:pt>
          <cx:pt idx="1814">394</cx:pt>
          <cx:pt idx="1815">602</cx:pt>
          <cx:pt idx="1816">384</cx:pt>
          <cx:pt idx="1817">300</cx:pt>
          <cx:pt idx="1818">254</cx:pt>
          <cx:pt idx="1819">231</cx:pt>
          <cx:pt idx="1820">172</cx:pt>
          <cx:pt idx="1821">392</cx:pt>
          <cx:pt idx="1822">531</cx:pt>
          <cx:pt idx="1823">257</cx:pt>
          <cx:pt idx="1824">321</cx:pt>
          <cx:pt idx="1825">350</cx:pt>
          <cx:pt idx="1826">387</cx:pt>
          <cx:pt idx="1827">354</cx:pt>
          <cx:pt idx="1828">358</cx:pt>
          <cx:pt idx="1829">299</cx:pt>
          <cx:pt idx="1830">194</cx:pt>
          <cx:pt idx="1831">382</cx:pt>
          <cx:pt idx="1832">419</cx:pt>
          <cx:pt idx="1833">354</cx:pt>
          <cx:pt idx="1834">476</cx:pt>
          <cx:pt idx="1835">216</cx:pt>
          <cx:pt idx="1836">237</cx:pt>
          <cx:pt idx="1837">167</cx:pt>
          <cx:pt idx="1838">184</cx:pt>
          <cx:pt idx="1839">200</cx:pt>
          <cx:pt idx="1840">130</cx:pt>
          <cx:pt idx="1841">134</cx:pt>
          <cx:pt idx="1842">101</cx:pt>
          <cx:pt idx="1843">194</cx:pt>
          <cx:pt idx="1844">312</cx:pt>
          <cx:pt idx="1845">244</cx:pt>
          <cx:pt idx="1846">354</cx:pt>
          <cx:pt idx="1847">71</cx:pt>
          <cx:pt idx="1848">270</cx:pt>
          <cx:pt idx="1849">405</cx:pt>
          <cx:pt idx="1850">326</cx:pt>
          <cx:pt idx="1851">209</cx:pt>
          <cx:pt idx="1852">229</cx:pt>
          <cx:pt idx="1853">263</cx:pt>
          <cx:pt idx="1854">471</cx:pt>
          <cx:pt idx="1855">628</cx:pt>
          <cx:pt idx="1856">413</cx:pt>
          <cx:pt idx="1857">378</cx:pt>
          <cx:pt idx="1858">378</cx:pt>
          <cx:pt idx="1859">404</cx:pt>
          <cx:pt idx="1860">328</cx:pt>
          <cx:pt idx="1861">353</cx:pt>
          <cx:pt idx="1862">301</cx:pt>
          <cx:pt idx="1863">291</cx:pt>
          <cx:pt idx="1864">184</cx:pt>
          <cx:pt idx="1865">470</cx:pt>
          <cx:pt idx="1866">402</cx:pt>
          <cx:pt idx="1867">322</cx:pt>
          <cx:pt idx="1868">175</cx:pt>
          <cx:pt idx="1869">281</cx:pt>
          <cx:pt idx="1870">597</cx:pt>
          <cx:pt idx="1871">427</cx:pt>
          <cx:pt idx="1872">247</cx:pt>
          <cx:pt idx="1873">357</cx:pt>
          <cx:pt idx="1874">266</cx:pt>
          <cx:pt idx="1875">156</cx:pt>
          <cx:pt idx="1876">351</cx:pt>
          <cx:pt idx="1877">317</cx:pt>
          <cx:pt idx="1878">251</cx:pt>
          <cx:pt idx="1879">135</cx:pt>
          <cx:pt idx="1880">256</cx:pt>
          <cx:pt idx="1881">438</cx:pt>
          <cx:pt idx="1882">401</cx:pt>
          <cx:pt idx="1883">267</cx:pt>
          <cx:pt idx="1884">100</cx:pt>
          <cx:pt idx="1885">428</cx:pt>
          <cx:pt idx="1886">296</cx:pt>
          <cx:pt idx="1887">354</cx:pt>
          <cx:pt idx="1888">426</cx:pt>
          <cx:pt idx="1889">317</cx:pt>
          <cx:pt idx="1890">320</cx:pt>
          <cx:pt idx="1891">153</cx:pt>
          <cx:pt idx="1892">216</cx:pt>
          <cx:pt idx="1893">576</cx:pt>
          <cx:pt idx="1894">280</cx:pt>
          <cx:pt idx="1895">240</cx:pt>
          <cx:pt idx="1896">422</cx:pt>
          <cx:pt idx="1897">259</cx:pt>
          <cx:pt idx="1898">487</cx:pt>
          <cx:pt idx="1899">435</cx:pt>
          <cx:pt idx="1900">146</cx:pt>
          <cx:pt idx="1901">344</cx:pt>
          <cx:pt idx="1902">277</cx:pt>
          <cx:pt idx="1903">105</cx:pt>
          <cx:pt idx="1904">196</cx:pt>
          <cx:pt idx="1905">628</cx:pt>
          <cx:pt idx="1906">266</cx:pt>
          <cx:pt idx="1907">395</cx:pt>
          <cx:pt idx="1908">252</cx:pt>
          <cx:pt idx="1909">434</cx:pt>
          <cx:pt idx="1910">258</cx:pt>
          <cx:pt idx="1911">76</cx:pt>
          <cx:pt idx="1912">280</cx:pt>
          <cx:pt idx="1913">447</cx:pt>
          <cx:pt idx="1914">330</cx:pt>
          <cx:pt idx="1915">317</cx:pt>
          <cx:pt idx="1916">376</cx:pt>
          <cx:pt idx="1917">410</cx:pt>
          <cx:pt idx="1918">214</cx:pt>
          <cx:pt idx="1919">308</cx:pt>
          <cx:pt idx="1920">298</cx:pt>
          <cx:pt idx="1921">226</cx:pt>
          <cx:pt idx="1922">263</cx:pt>
          <cx:pt idx="1923">144</cx:pt>
          <cx:pt idx="1924">100</cx:pt>
          <cx:pt idx="1925">248</cx:pt>
          <cx:pt idx="1926">297</cx:pt>
          <cx:pt idx="1927">80</cx:pt>
          <cx:pt idx="1928">260</cx:pt>
          <cx:pt idx="1929">139</cx:pt>
          <cx:pt idx="1930">270</cx:pt>
          <cx:pt idx="1931">475</cx:pt>
          <cx:pt idx="1932">392</cx:pt>
          <cx:pt idx="1933">298</cx:pt>
          <cx:pt idx="1934">265</cx:pt>
          <cx:pt idx="1935">352</cx:pt>
          <cx:pt idx="1936">164</cx:pt>
          <cx:pt idx="1937">403</cx:pt>
          <cx:pt idx="1938">310</cx:pt>
          <cx:pt idx="1939">257</cx:pt>
          <cx:pt idx="1940">430</cx:pt>
          <cx:pt idx="1941">345</cx:pt>
          <cx:pt idx="1942">234</cx:pt>
          <cx:pt idx="1943">328</cx:pt>
          <cx:pt idx="1944">494</cx:pt>
          <cx:pt idx="1945">252</cx:pt>
          <cx:pt idx="1946">190</cx:pt>
          <cx:pt idx="1947">122</cx:pt>
          <cx:pt idx="1948">132</cx:pt>
          <cx:pt idx="1949">141</cx:pt>
          <cx:pt idx="1950">305</cx:pt>
          <cx:pt idx="1951">376</cx:pt>
          <cx:pt idx="1952">233</cx:pt>
          <cx:pt idx="1953">351</cx:pt>
          <cx:pt idx="1954">315</cx:pt>
          <cx:pt idx="1955">319</cx:pt>
          <cx:pt idx="1956">183</cx:pt>
          <cx:pt idx="1957">371</cx:pt>
          <cx:pt idx="1958">704</cx:pt>
          <cx:pt idx="1959">267</cx:pt>
          <cx:pt idx="1960">145</cx:pt>
          <cx:pt idx="1961">356</cx:pt>
          <cx:pt idx="1962">398</cx:pt>
          <cx:pt idx="1963">488</cx:pt>
          <cx:pt idx="1964">398</cx:pt>
          <cx:pt idx="1965">696</cx:pt>
          <cx:pt idx="1966">14</cx:pt>
          <cx:pt idx="1967">130</cx:pt>
          <cx:pt idx="1968">363</cx:pt>
          <cx:pt idx="1969">468</cx:pt>
          <cx:pt idx="1970">333</cx:pt>
          <cx:pt idx="1971">231</cx:pt>
          <cx:pt idx="1972">253</cx:pt>
          <cx:pt idx="1973">253</cx:pt>
          <cx:pt idx="1974">321</cx:pt>
          <cx:pt idx="1975">308</cx:pt>
          <cx:pt idx="1976">308</cx:pt>
          <cx:pt idx="1977">385</cx:pt>
          <cx:pt idx="1978">252</cx:pt>
          <cx:pt idx="1979">324</cx:pt>
          <cx:pt idx="1980">294</cx:pt>
          <cx:pt idx="1981">288</cx:pt>
          <cx:pt idx="1982">173</cx:pt>
          <cx:pt idx="1983">378</cx:pt>
          <cx:pt idx="1984">198</cx:pt>
          <cx:pt idx="1985">431</cx:pt>
          <cx:pt idx="1986">108</cx:pt>
          <cx:pt idx="1987">273</cx:pt>
          <cx:pt idx="1988">269</cx:pt>
          <cx:pt idx="1989">656</cx:pt>
          <cx:pt idx="1990">377</cx:pt>
          <cx:pt idx="1991">179</cx:pt>
          <cx:pt idx="1992">346</cx:pt>
          <cx:pt idx="1993">324</cx:pt>
          <cx:pt idx="1994">303</cx:pt>
          <cx:pt idx="1995">297</cx:pt>
          <cx:pt idx="1996">287</cx:pt>
          <cx:pt idx="1997">255</cx:pt>
          <cx:pt idx="1998">312</cx:pt>
          <cx:pt idx="1999">276</cx:pt>
          <cx:pt idx="2000">267</cx:pt>
          <cx:pt idx="2001">171</cx:pt>
          <cx:pt idx="2002">272</cx:pt>
          <cx:pt idx="2003">316</cx:pt>
          <cx:pt idx="2004">250</cx:pt>
          <cx:pt idx="2005">372</cx:pt>
          <cx:pt idx="2006">266</cx:pt>
          <cx:pt idx="2007">185</cx:pt>
          <cx:pt idx="2008">174</cx:pt>
          <cx:pt idx="2009">265</cx:pt>
          <cx:pt idx="2010">274</cx:pt>
          <cx:pt idx="2011">378</cx:pt>
          <cx:pt idx="2012">690</cx:pt>
          <cx:pt idx="2013">243</cx:pt>
          <cx:pt idx="2014">287</cx:pt>
          <cx:pt idx="2015">358</cx:pt>
          <cx:pt idx="2016">326</cx:pt>
          <cx:pt idx="2017">180</cx:pt>
          <cx:pt idx="2018">251</cx:pt>
          <cx:pt idx="2019">320</cx:pt>
          <cx:pt idx="2020">231</cx:pt>
          <cx:pt idx="2021">203</cx:pt>
          <cx:pt idx="2022">306</cx:pt>
          <cx:pt idx="2023">317</cx:pt>
          <cx:pt idx="2024">385</cx:pt>
          <cx:pt idx="2025">269</cx:pt>
          <cx:pt idx="2026">190</cx:pt>
          <cx:pt idx="2027">154</cx:pt>
          <cx:pt idx="2028">205</cx:pt>
          <cx:pt idx="2029">449</cx:pt>
          <cx:pt idx="2030">256</cx:pt>
          <cx:pt idx="2031">423</cx:pt>
          <cx:pt idx="2032">166</cx:pt>
          <cx:pt idx="2033">267</cx:pt>
          <cx:pt idx="2034">435</cx:pt>
          <cx:pt idx="2035">826</cx:pt>
          <cx:pt idx="2036">322</cx:pt>
          <cx:pt idx="2037">528</cx:pt>
          <cx:pt idx="2038">209</cx:pt>
          <cx:pt idx="2039">370</cx:pt>
          <cx:pt idx="2040">367</cx:pt>
          <cx:pt idx="2041">185</cx:pt>
          <cx:pt idx="2042">281</cx:pt>
          <cx:pt idx="2043">225</cx:pt>
          <cx:pt idx="2044">312</cx:pt>
          <cx:pt idx="2045">304</cx:pt>
          <cx:pt idx="2046">368</cx:pt>
          <cx:pt idx="2047">233</cx:pt>
          <cx:pt idx="2048">282</cx:pt>
          <cx:pt idx="2049">246</cx:pt>
          <cx:pt idx="2050">405</cx:pt>
          <cx:pt idx="2051">682</cx:pt>
          <cx:pt idx="2052">528</cx:pt>
          <cx:pt idx="2053">315</cx:pt>
          <cx:pt idx="2054">361</cx:pt>
          <cx:pt idx="2055">241</cx:pt>
          <cx:pt idx="2056">313</cx:pt>
          <cx:pt idx="2057">425</cx:pt>
          <cx:pt idx="2058">224</cx:pt>
          <cx:pt idx="2059">331</cx:pt>
          <cx:pt idx="2060">444</cx:pt>
          <cx:pt idx="2061">324</cx:pt>
          <cx:pt idx="2062">262</cx:pt>
          <cx:pt idx="2063">682</cx:pt>
          <cx:pt idx="2064">293</cx:pt>
          <cx:pt idx="2065">259</cx:pt>
          <cx:pt idx="2066">357</cx:pt>
          <cx:pt idx="2067">285</cx:pt>
          <cx:pt idx="2068">322</cx:pt>
          <cx:pt idx="2069">341</cx:pt>
          <cx:pt idx="2070">360</cx:pt>
          <cx:pt idx="2071">353</cx:pt>
          <cx:pt idx="2072">456</cx:pt>
          <cx:pt idx="2073">399</cx:pt>
          <cx:pt idx="2074">671</cx:pt>
          <cx:pt idx="2075">231</cx:pt>
          <cx:pt idx="2076">249</cx:pt>
          <cx:pt idx="2077">320</cx:pt>
          <cx:pt idx="2078">345</cx:pt>
          <cx:pt idx="2079">166</cx:pt>
          <cx:pt idx="2080">222</cx:pt>
          <cx:pt idx="2081">361</cx:pt>
          <cx:pt idx="2082">232</cx:pt>
          <cx:pt idx="2083">147</cx:pt>
          <cx:pt idx="2084">1007</cx:pt>
          <cx:pt idx="2085">778</cx:pt>
          <cx:pt idx="2086">196</cx:pt>
          <cx:pt idx="2087">385</cx:pt>
          <cx:pt idx="2088">259</cx:pt>
          <cx:pt idx="2089">175</cx:pt>
          <cx:pt idx="2090">121</cx:pt>
          <cx:pt idx="2091">154</cx:pt>
          <cx:pt idx="2092">147</cx:pt>
          <cx:pt idx="2093">162</cx:pt>
          <cx:pt idx="2094">147</cx:pt>
          <cx:pt idx="2095">259</cx:pt>
          <cx:pt idx="2096">258</cx:pt>
          <cx:pt idx="2097">303</cx:pt>
          <cx:pt idx="2098">218</cx:pt>
          <cx:pt idx="2099">183</cx:pt>
          <cx:pt idx="2100">124</cx:pt>
          <cx:pt idx="2101">248</cx:pt>
          <cx:pt idx="2102">144</cx:pt>
          <cx:pt idx="2103">258</cx:pt>
          <cx:pt idx="2104">273</cx:pt>
          <cx:pt idx="2105">242</cx:pt>
          <cx:pt idx="2106">212</cx:pt>
          <cx:pt idx="2107">170</cx:pt>
          <cx:pt idx="2108">138</cx:pt>
          <cx:pt idx="2109">227</cx:pt>
          <cx:pt idx="2110">245</cx:pt>
          <cx:pt idx="2111">239</cx:pt>
          <cx:pt idx="2112">220</cx:pt>
          <cx:pt idx="2113">233</cx:pt>
          <cx:pt idx="2114">227</cx:pt>
          <cx:pt idx="2115">231</cx:pt>
          <cx:pt idx="2116">197</cx:pt>
          <cx:pt idx="2117">253</cx:pt>
          <cx:pt idx="2118">246</cx:pt>
          <cx:pt idx="2119">237</cx:pt>
          <cx:pt idx="2120">245</cx:pt>
          <cx:pt idx="2121">188</cx:pt>
          <cx:pt idx="2122">100</cx:pt>
          <cx:pt idx="2123">190</cx:pt>
          <cx:pt idx="2124">176</cx:pt>
          <cx:pt idx="2125">208</cx:pt>
          <cx:pt idx="2126">504</cx:pt>
          <cx:pt idx="2127">106</cx:pt>
          <cx:pt idx="2128">318</cx:pt>
          <cx:pt idx="2129">194</cx:pt>
          <cx:pt idx="2130">285</cx:pt>
          <cx:pt idx="2131">290</cx:pt>
          <cx:pt idx="2132">219</cx:pt>
          <cx:pt idx="2133">231</cx:pt>
          <cx:pt idx="2134">470</cx:pt>
          <cx:pt idx="2135">434</cx:pt>
          <cx:pt idx="2136">424</cx:pt>
          <cx:pt idx="2137">202</cx:pt>
          <cx:pt idx="2138">220</cx:pt>
          <cx:pt idx="2139">285</cx:pt>
          <cx:pt idx="2140">181</cx:pt>
          <cx:pt idx="2141">133</cx:pt>
          <cx:pt idx="2142">147</cx:pt>
          <cx:pt idx="2143">64</cx:pt>
          <cx:pt idx="2144">202</cx:pt>
          <cx:pt idx="2145">221</cx:pt>
          <cx:pt idx="2146">179</cx:pt>
          <cx:pt idx="2147">109</cx:pt>
          <cx:pt idx="2148">209</cx:pt>
          <cx:pt idx="2149">199</cx:pt>
          <cx:pt idx="2150">205</cx:pt>
          <cx:pt idx="2151">202</cx:pt>
          <cx:pt idx="2152">187</cx:pt>
          <cx:pt idx="2153">136</cx:pt>
          <cx:pt idx="2154">169</cx:pt>
          <cx:pt idx="2155">192</cx:pt>
          <cx:pt idx="2156">155</cx:pt>
          <cx:pt idx="2157">222</cx:pt>
          <cx:pt idx="2158">192</cx:pt>
          <cx:pt idx="2159">196</cx:pt>
          <cx:pt idx="2160">155</cx:pt>
          <cx:pt idx="2161">82</cx:pt>
          <cx:pt idx="2162">148</cx:pt>
          <cx:pt idx="2163">131</cx:pt>
          <cx:pt idx="2164">522</cx:pt>
          <cx:pt idx="2165">146</cx:pt>
          <cx:pt idx="2166">744</cx:pt>
          <cx:pt idx="2167">271</cx:pt>
          <cx:pt idx="2168">429</cx:pt>
          <cx:pt idx="2169">413</cx:pt>
          <cx:pt idx="2170">164</cx:pt>
          <cx:pt idx="2171">63</cx:pt>
          <cx:pt idx="2172">232</cx:pt>
          <cx:pt idx="2173">227</cx:pt>
          <cx:pt idx="2174">383</cx:pt>
          <cx:pt idx="2175">130</cx:pt>
          <cx:pt idx="2176">500</cx:pt>
          <cx:pt idx="2177">613</cx:pt>
          <cx:pt idx="2178">342</cx:pt>
          <cx:pt idx="2179">273</cx:pt>
          <cx:pt idx="2180">190</cx:pt>
          <cx:pt idx="2181">196</cx:pt>
          <cx:pt idx="2182">310</cx:pt>
          <cx:pt idx="2183">189</cx:pt>
          <cx:pt idx="2184">229</cx:pt>
          <cx:pt idx="2185">224</cx:pt>
          <cx:pt idx="2186">186</cx:pt>
          <cx:pt idx="2187">157</cx:pt>
          <cx:pt idx="2188">582</cx:pt>
          <cx:pt idx="2189">311</cx:pt>
          <cx:pt idx="2190">264</cx:pt>
          <cx:pt idx="2191">203</cx:pt>
          <cx:pt idx="2192">333</cx:pt>
          <cx:pt idx="2193">231</cx:pt>
          <cx:pt idx="2194">276</cx:pt>
          <cx:pt idx="2195">524</cx:pt>
          <cx:pt idx="2196">200</cx:pt>
          <cx:pt idx="2197">191</cx:pt>
          <cx:pt idx="2198">181</cx:pt>
          <cx:pt idx="2199">155</cx:pt>
          <cx:pt idx="2200">162</cx:pt>
          <cx:pt idx="2201">168</cx:pt>
          <cx:pt idx="2202">560</cx:pt>
          <cx:pt idx="2203">206</cx:pt>
          <cx:pt idx="2204">231</cx:pt>
          <cx:pt idx="2205">505</cx:pt>
          <cx:pt idx="2206">392</cx:pt>
          <cx:pt idx="2207">279</cx:pt>
          <cx:pt idx="2208">259</cx:pt>
          <cx:pt idx="2209">358</cx:pt>
          <cx:pt idx="2210">276</cx:pt>
          <cx:pt idx="2211">225</cx:pt>
          <cx:pt idx="2212">266</cx:pt>
          <cx:pt idx="2213">216</cx:pt>
          <cx:pt idx="2214">237</cx:pt>
          <cx:pt idx="2215">180</cx:pt>
          <cx:pt idx="2216">482</cx:pt>
          <cx:pt idx="2217">182</cx:pt>
          <cx:pt idx="2218">223</cx:pt>
          <cx:pt idx="2219">174</cx:pt>
          <cx:pt idx="2220">255</cx:pt>
          <cx:pt idx="2221">233</cx:pt>
          <cx:pt idx="2222">169</cx:pt>
          <cx:pt idx="2223">139</cx:pt>
          <cx:pt idx="2224">198</cx:pt>
          <cx:pt idx="2225">162</cx:pt>
          <cx:pt idx="2226">287</cx:pt>
          <cx:pt idx="2227">251</cx:pt>
          <cx:pt idx="2228">286</cx:pt>
          <cx:pt idx="2229">279</cx:pt>
          <cx:pt idx="2230">212</cx:pt>
          <cx:pt idx="2231">388</cx:pt>
          <cx:pt idx="2232">278</cx:pt>
          <cx:pt idx="2233">222</cx:pt>
          <cx:pt idx="2234">213</cx:pt>
          <cx:pt idx="2235">213</cx:pt>
          <cx:pt idx="2236">222</cx:pt>
          <cx:pt idx="2237">276</cx:pt>
          <cx:pt idx="2238">160</cx:pt>
          <cx:pt idx="2239">378</cx:pt>
          <cx:pt idx="2240">826</cx:pt>
          <cx:pt idx="2241">444</cx:pt>
          <cx:pt idx="2242">20</cx:pt>
          <cx:pt idx="2243">460</cx:pt>
          <cx:pt idx="2244">313</cx:pt>
          <cx:pt idx="2245">327</cx:pt>
          <cx:pt idx="2246">256</cx:pt>
          <cx:pt idx="2247">297</cx:pt>
          <cx:pt idx="2248">227</cx:pt>
          <cx:pt idx="2249">330</cx:pt>
          <cx:pt idx="2250">274</cx:pt>
          <cx:pt idx="2251">288</cx:pt>
          <cx:pt idx="2252">188</cx:pt>
          <cx:pt idx="2253">279</cx:pt>
          <cx:pt idx="2254">258</cx:pt>
          <cx:pt idx="2255">184</cx:pt>
          <cx:pt idx="2256">253</cx:pt>
          <cx:pt idx="2257">264</cx:pt>
          <cx:pt idx="2258">248</cx:pt>
          <cx:pt idx="2259">188</cx:pt>
          <cx:pt idx="2260">213</cx:pt>
          <cx:pt idx="2261">217</cx:pt>
          <cx:pt idx="2262">196</cx:pt>
          <cx:pt idx="2263">233</cx:pt>
          <cx:pt idx="2264">213</cx:pt>
          <cx:pt idx="2265">210</cx:pt>
          <cx:pt idx="2266">235</cx:pt>
          <cx:pt idx="2267">109</cx:pt>
          <cx:pt idx="2268">213</cx:pt>
          <cx:pt idx="2269">202</cx:pt>
          <cx:pt idx="2270">164</cx:pt>
          <cx:pt idx="2271">214</cx:pt>
          <cx:pt idx="2272">197</cx:pt>
          <cx:pt idx="2273">183</cx:pt>
          <cx:pt idx="2274">322</cx:pt>
          <cx:pt idx="2275">354</cx:pt>
          <cx:pt idx="2276">250</cx:pt>
          <cx:pt idx="2277">294</cx:pt>
          <cx:pt idx="2278">721</cx:pt>
          <cx:pt idx="2279">287</cx:pt>
          <cx:pt idx="2280">203</cx:pt>
          <cx:pt idx="2281">148</cx:pt>
          <cx:pt idx="2282">331</cx:pt>
          <cx:pt idx="2283">296</cx:pt>
          <cx:pt idx="2284">261</cx:pt>
          <cx:pt idx="2285">441</cx:pt>
          <cx:pt idx="2286">290</cx:pt>
          <cx:pt idx="2287">736</cx:pt>
          <cx:pt idx="2288">148</cx:pt>
          <cx:pt idx="2289">257</cx:pt>
          <cx:pt idx="2290">267</cx:pt>
          <cx:pt idx="2291">223</cx:pt>
          <cx:pt idx="2292">237</cx:pt>
          <cx:pt idx="2293">175</cx:pt>
          <cx:pt idx="2294">483</cx:pt>
          <cx:pt idx="2295">147</cx:pt>
          <cx:pt idx="2296">238</cx:pt>
          <cx:pt idx="2297">209</cx:pt>
          <cx:pt idx="2298">264</cx:pt>
          <cx:pt idx="2299">242</cx:pt>
          <cx:pt idx="2300">346</cx:pt>
          <cx:pt idx="2301">270</cx:pt>
          <cx:pt idx="2302">286</cx:pt>
          <cx:pt idx="2303">235</cx:pt>
          <cx:pt idx="2304">315</cx:pt>
          <cx:pt idx="2305">288</cx:pt>
          <cx:pt idx="2306">254</cx:pt>
          <cx:pt idx="2307">290</cx:pt>
          <cx:pt idx="2308">237</cx:pt>
          <cx:pt idx="2309">188</cx:pt>
          <cx:pt idx="2310">175</cx:pt>
          <cx:pt idx="2311">230</cx:pt>
          <cx:pt idx="2312">421</cx:pt>
          <cx:pt idx="2313">235</cx:pt>
          <cx:pt idx="2314">285</cx:pt>
          <cx:pt idx="2315">241</cx:pt>
          <cx:pt idx="2316">219</cx:pt>
          <cx:pt idx="2317">473</cx:pt>
          <cx:pt idx="2318">331</cx:pt>
          <cx:pt idx="2319">102</cx:pt>
          <cx:pt idx="2320">384</cx:pt>
          <cx:pt idx="2321">277</cx:pt>
          <cx:pt idx="2322">836</cx:pt>
          <cx:pt idx="2323">234</cx:pt>
          <cx:pt idx="2324">195</cx:pt>
          <cx:pt idx="2325">270</cx:pt>
          <cx:pt idx="2326">224</cx:pt>
          <cx:pt idx="2327">301</cx:pt>
          <cx:pt idx="2328">217</cx:pt>
          <cx:pt idx="2329">459</cx:pt>
          <cx:pt idx="2330">132</cx:pt>
          <cx:pt idx="2331">399</cx:pt>
          <cx:pt idx="2332">260</cx:pt>
          <cx:pt idx="2333">398</cx:pt>
          <cx:pt idx="2334">236</cx:pt>
          <cx:pt idx="2335">1028</cx:pt>
          <cx:pt idx="2336">682</cx:pt>
          <cx:pt idx="2337">233</cx:pt>
          <cx:pt idx="2338">326</cx:pt>
          <cx:pt idx="2339">323</cx:pt>
          <cx:pt idx="2340">311</cx:pt>
          <cx:pt idx="2341">266</cx:pt>
          <cx:pt idx="2342">329</cx:pt>
          <cx:pt idx="2343">147</cx:pt>
          <cx:pt idx="2344">230</cx:pt>
          <cx:pt idx="2345">131</cx:pt>
        </cx:lvl>
      </cx:numDim>
    </cx:data>
  </cx:chartData>
  <cx:chart>
    <cx:plotArea>
      <cx:plotAreaRegion>
        <cx:series layoutId="clusteredColumn" uniqueId="{623B712C-C465-4C9E-88CF-9E5020D42D9E}">
          <cx:tx>
            <cx:txData>
              <cx:f>Sheet1!$A$1</cx:f>
              <cx:v>Series1</cx:v>
            </cx:txData>
          </cx:tx>
          <cx:spPr>
            <a:solidFill>
              <a:schemeClr val="bg2"/>
            </a:solidFill>
            <a:ln w="6350">
              <a:solidFill>
                <a:schemeClr val="accent2"/>
              </a:solidFill>
            </a:ln>
          </cx:spPr>
          <cx:dataId val="0"/>
          <cx:layoutPr>
            <cx:binning intervalClosed="r">
              <cx:binSize val="50"/>
            </cx:binning>
          </cx:layoutPr>
        </cx:series>
      </cx:plotAreaRegion>
      <cx:axis id="0">
        <cx:catScaling gapWidth="0"/>
        <cx:title>
          <cx:tx>
            <cx:txData>
              <cx:v>Days between ' date received' and 'date closed'</cx:v>
            </cx:txData>
          </cx:tx>
          <cx:txPr>
            <a:bodyPr spcFirstLastPara="1" vertOverflow="ellipsis" horzOverflow="overflow" wrap="square" lIns="0" tIns="0" rIns="0" bIns="0" anchor="ctr" anchorCtr="1"/>
            <a:lstStyle/>
            <a:p>
              <a:pPr algn="ctr" rtl="0">
                <a:defRPr sz="1000">
                  <a:solidFill>
                    <a:sysClr val="windowText" lastClr="000000"/>
                  </a:solidFill>
                </a:defRPr>
              </a:pPr>
              <a:r>
                <a:rPr lang="en-US" sz="1000" b="0" i="0" u="none" strike="noStrike" baseline="0">
                  <a:solidFill>
                    <a:sysClr val="windowText" lastClr="000000"/>
                  </a:solidFill>
                  <a:latin typeface="Arial" panose="020B0604020202020204"/>
                </a:rPr>
                <a:t>Days between ' date received' and 'date closed'</a:t>
              </a:r>
            </a:p>
          </cx:txPr>
        </cx:title>
        <cx:tickLabels/>
        <cx:txPr>
          <a:bodyPr spcFirstLastPara="1" vertOverflow="ellipsis" horzOverflow="overflow" wrap="square" lIns="0" tIns="0" rIns="0" bIns="0" anchor="ctr" anchorCtr="1"/>
          <a:lstStyle/>
          <a:p>
            <a:pPr algn="ctr" rtl="0">
              <a:defRPr sz="1000">
                <a:solidFill>
                  <a:sysClr val="windowText" lastClr="000000"/>
                </a:solidFill>
              </a:defRPr>
            </a:pPr>
            <a:endParaRPr lang="en-US" sz="1000" b="0" i="0" u="none" strike="noStrike" baseline="0">
              <a:solidFill>
                <a:sysClr val="windowText" lastClr="000000"/>
              </a:solidFill>
              <a:latin typeface="Arial" panose="020B0604020202020204"/>
            </a:endParaRPr>
          </a:p>
        </cx:txPr>
      </cx:axis>
      <cx:axis id="1">
        <cx:valScaling/>
        <cx:majorGridlines/>
        <cx:tickLabels/>
        <cx:txPr>
          <a:bodyPr spcFirstLastPara="1" vertOverflow="ellipsis" horzOverflow="overflow" wrap="square" lIns="0" tIns="0" rIns="0" bIns="0" anchor="ctr" anchorCtr="1"/>
          <a:lstStyle/>
          <a:p>
            <a:pPr algn="ctr" rtl="0">
              <a:defRPr sz="1000">
                <a:solidFill>
                  <a:sysClr val="windowText" lastClr="000000"/>
                </a:solidFill>
              </a:defRPr>
            </a:pPr>
            <a:endParaRPr lang="en-US" sz="1000" b="0" i="0" u="none" strike="noStrike" baseline="0">
              <a:solidFill>
                <a:sysClr val="windowText" lastClr="000000"/>
              </a:solidFill>
              <a:latin typeface="Arial" panose="020B0604020202020204"/>
            </a:endParaRPr>
          </a:p>
        </cx:txPr>
      </cx:axis>
    </cx:plotArea>
  </cx:chart>
  <cx:spPr>
    <a:ln>
      <a:noFill/>
    </a:ln>
  </cx:spPr>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EFBC8E8B-7030-423B-AF9A-808FD57FA83A}">
    <t:Anchor>
      <t:Comment id="1029952017"/>
    </t:Anchor>
    <t:History>
      <t:Event id="{4BF79C47-EB25-4E1D-A88A-2DE39B2E9A2C}" time="2022-12-05T21:12:16.822Z">
        <t:Attribution userId="S::will.rogers2@ndis.gov.au::880bfb38-9154-49de-97cb-ac8e11f7e6f8" userProvider="AD" userName="Rogers, Will"/>
        <t:Anchor>
          <t:Comment id="469660975"/>
        </t:Anchor>
        <t:Create/>
      </t:Event>
      <t:Event id="{24F601B6-2756-4CE4-820A-A8245189C834}" time="2022-12-05T21:12:16.822Z">
        <t:Attribution userId="S::will.rogers2@ndis.gov.au::880bfb38-9154-49de-97cb-ac8e11f7e6f8" userProvider="AD" userName="Rogers, Will"/>
        <t:Anchor>
          <t:Comment id="469660975"/>
        </t:Anchor>
        <t:Assign userId="S::Kitsa.Papadopoulos@ndis.gov.au::96321d4f-04d0-4c13-88d1-d227a8f06832" userProvider="AD" userName="Papadopoulos, Kitsa"/>
      </t:Event>
      <t:Event id="{B7D25922-D69C-452D-8D30-5C93879A9F04}" time="2022-12-05T21:12:16.822Z">
        <t:Attribution userId="S::will.rogers2@ndis.gov.au::880bfb38-9154-49de-97cb-ac8e11f7e6f8" userProvider="AD" userName="Rogers, Will"/>
        <t:Anchor>
          <t:Comment id="469660975"/>
        </t:Anchor>
        <t:SetTitle title="@Papadopoulos, Kitsa will get the team to follow up."/>
      </t:Event>
      <t:Event id="{1C49B494-EE65-4AFE-9754-E45DD319FA8D}" time="2022-12-05T21:14:19.408Z">
        <t:Attribution userId="S::will.rogers2@ndis.gov.au::880bfb38-9154-49de-97cb-ac8e11f7e6f8" userProvider="AD" userName="Rogers, Will"/>
        <t:Anchor>
          <t:Comment id="519932659"/>
        </t:Anchor>
        <t:UnassignAll/>
      </t:Event>
      <t:Event id="{0FA1931D-2C87-4939-9DEC-C8D80F8999A5}" time="2022-12-05T21:14:19.408Z">
        <t:Attribution userId="S::will.rogers2@ndis.gov.au::880bfb38-9154-49de-97cb-ac8e11f7e6f8" userProvider="AD" userName="Rogers, Will"/>
        <t:Anchor>
          <t:Comment id="519932659"/>
        </t:Anchor>
        <t:Assign userId="S::Anne.Harden2@ndis.gov.au::3dc676fc-f502-4472-b9a3-dfd69b5a071d" userProvider="AD" userName="Harden, Anne"/>
      </t:Event>
    </t:History>
  </t:Task>
</t:Tasks>
</file>

<file path=word/drawings/drawing1.xml><?xml version="1.0" encoding="utf-8"?>
<c:userShapes xmlns:c="http://schemas.openxmlformats.org/drawingml/2006/chart">
  <cdr:relSizeAnchor xmlns:cdr="http://schemas.openxmlformats.org/drawingml/2006/chartDrawing">
    <cdr:from>
      <cdr:x>0.63861</cdr:x>
      <cdr:y>0.04391</cdr:y>
    </cdr:from>
    <cdr:to>
      <cdr:x>0.63861</cdr:x>
      <cdr:y>0.7269</cdr:y>
    </cdr:to>
    <cdr:cxnSp macro="">
      <cdr:nvCxnSpPr>
        <cdr:cNvPr id="3" name="Straight Connector 2"/>
        <cdr:cNvCxnSpPr/>
      </cdr:nvCxnSpPr>
      <cdr:spPr>
        <a:xfrm xmlns:a="http://schemas.openxmlformats.org/drawingml/2006/main" flipV="1">
          <a:off x="3479338" y="139682"/>
          <a:ext cx="0" cy="2172843"/>
        </a:xfrm>
        <a:prstGeom xmlns:a="http://schemas.openxmlformats.org/drawingml/2006/main" prst="line">
          <a:avLst/>
        </a:prstGeom>
        <a:ln xmlns:a="http://schemas.openxmlformats.org/drawingml/2006/main" w="19050">
          <a:solidFill>
            <a:schemeClr val="accent4"/>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0.59435</cdr:x>
      <cdr:y>0.0236</cdr:y>
    </cdr:from>
    <cdr:to>
      <cdr:x>0.9449</cdr:x>
      <cdr:y>0.20382</cdr:y>
    </cdr:to>
    <cdr:sp macro="" textlink="">
      <cdr:nvSpPr>
        <cdr:cNvPr id="5" name="Text Box 4"/>
        <cdr:cNvSpPr txBox="1"/>
      </cdr:nvSpPr>
      <cdr:spPr>
        <a:xfrm xmlns:a="http://schemas.openxmlformats.org/drawingml/2006/main">
          <a:off x="3238211" y="75079"/>
          <a:ext cx="1909913" cy="5733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1000">
              <a:solidFill>
                <a:sysClr val="windowText" lastClr="000000"/>
              </a:solidFill>
            </a:rPr>
            <a:t>Internal review initiatives</a:t>
          </a:r>
          <a:r>
            <a:rPr lang="en-AU" sz="1000" baseline="0">
              <a:solidFill>
                <a:sysClr val="windowText" lastClr="000000"/>
              </a:solidFill>
            </a:rPr>
            <a:t> implemented</a:t>
          </a:r>
          <a:endParaRPr lang="en-AU" sz="1000">
            <a:solidFill>
              <a:sysClr val="windowText" lastClr="000000"/>
            </a:solidFill>
          </a:endParaRPr>
        </a:p>
      </cdr:txBody>
    </cdr:sp>
  </cdr:relSizeAnchor>
</c:userShapes>
</file>

<file path=word/theme/theme1.xml><?xml version="1.0" encoding="utf-8"?>
<a:theme xmlns:a="http://schemas.openxmlformats.org/drawingml/2006/main" name="NDIS">
  <a:themeElements>
    <a:clrScheme name="NDIA colour palette">
      <a:dk1>
        <a:srgbClr val="000000"/>
      </a:dk1>
      <a:lt1>
        <a:srgbClr val="FEFFFF"/>
      </a:lt1>
      <a:dk2>
        <a:srgbClr val="8AC640"/>
      </a:dk2>
      <a:lt2>
        <a:srgbClr val="6B2976"/>
      </a:lt2>
      <a:accent1>
        <a:srgbClr val="57BCC7"/>
      </a:accent1>
      <a:accent2>
        <a:srgbClr val="009EAD"/>
      </a:accent2>
      <a:accent3>
        <a:srgbClr val="D6829A"/>
      </a:accent3>
      <a:accent4>
        <a:srgbClr val="C5296D"/>
      </a:accent4>
      <a:accent5>
        <a:srgbClr val="FAA41A"/>
      </a:accent5>
      <a:accent6>
        <a:srgbClr val="F26322"/>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57d489c-2233-4860-b453-ef63b0d9fdf7">
      <UserInfo>
        <DisplayName>SharingLinks.0bbe0e92-6fcf-4469-a614-319f265595cb.OrganizationEdit.4424cc2d-59f1-4a49-b784-4c368acd4fde</DisplayName>
        <AccountId>98</AccountId>
        <AccountType/>
      </UserInfo>
      <UserInfo>
        <DisplayName>SharingLinks.d18b6cb8-4d40-4e15-abec-47ed82b4acd1.OrganizationEdit.15d3e4c1-cfbd-4213-8d95-a317e050a9ba</DisplayName>
        <AccountId>83</AccountId>
        <AccountType/>
      </UserInfo>
      <UserInfo>
        <DisplayName>SharingLinks.bb88ad17-11bb-45b4-9175-6a1905ad6cec.OrganizationEdit.911e6aaf-552c-4775-a4a1-6a4922486e76</DisplayName>
        <AccountId>37</AccountId>
        <AccountType/>
      </UserInfo>
      <UserInfo>
        <DisplayName>SharingLinks.6fca7a3e-77c1-4bb2-b8fd-cf7c0150143d.OrganizationEdit.aa6d0863-197f-48d0-b6b3-2352d7b990d1</DisplayName>
        <AccountId>46</AccountId>
        <AccountType/>
      </UserInfo>
      <UserInfo>
        <DisplayName>Eckardt, Simone</DisplayName>
        <AccountId>20</AccountId>
        <AccountType/>
      </UserInfo>
      <UserInfo>
        <DisplayName>Howe, Vivienne</DisplayName>
        <AccountId>190</AccountId>
        <AccountType/>
      </UserInfo>
      <UserInfo>
        <DisplayName>Goodall, Andrew</DisplayName>
        <AccountId>145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5E0CC01897E4B87158A670E20ECF1" ma:contentTypeVersion="8" ma:contentTypeDescription="Create a new document." ma:contentTypeScope="" ma:versionID="0faff5d70b108d51173e8ea7cf0e32f0">
  <xsd:schema xmlns:xsd="http://www.w3.org/2001/XMLSchema" xmlns:xs="http://www.w3.org/2001/XMLSchema" xmlns:p="http://schemas.microsoft.com/office/2006/metadata/properties" xmlns:ns2="4296c6a6-19a3-41a7-ad14-b7c11e280336" xmlns:ns3="e57d489c-2233-4860-b453-ef63b0d9fdf7" targetNamespace="http://schemas.microsoft.com/office/2006/metadata/properties" ma:root="true" ma:fieldsID="f0423bcd1626e1a9188ceb3b3db463aa" ns2:_="" ns3:_="">
    <xsd:import namespace="4296c6a6-19a3-41a7-ad14-b7c11e280336"/>
    <xsd:import namespace="e57d489c-2233-4860-b453-ef63b0d9fd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6c6a6-19a3-41a7-ad14-b7c11e28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7d489c-2233-4860-b453-ef63b0d9fd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e57d489c-2233-4860-b453-ef63b0d9fdf7"/>
  </ds:schemaRefs>
</ds:datastoreItem>
</file>

<file path=customXml/itemProps3.xml><?xml version="1.0" encoding="utf-8"?>
<ds:datastoreItem xmlns:ds="http://schemas.openxmlformats.org/officeDocument/2006/customXml" ds:itemID="{0FF5FA73-763E-4E95-9DA6-19DEC9D3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6c6a6-19a3-41a7-ad14-b7c11e280336"/>
    <ds:schemaRef ds:uri="e57d489c-2233-4860-b453-ef63b0d9f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837C5-6B07-4EE0-90B2-0C010D69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144</Pages>
  <Words>28632</Words>
  <Characters>163207</Characters>
  <Application>Microsoft Office Word</Application>
  <DocSecurity>0</DocSecurity>
  <Lines>1360</Lines>
  <Paragraphs>382</Paragraphs>
  <ScaleCrop>false</ScaleCrop>
  <Company>FaHCSIA</Company>
  <LinksUpToDate>false</LinksUpToDate>
  <CharactersWithSpaces>191457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Tamar</dc:creator>
  <cp:keywords/>
  <dc:description/>
  <cp:lastModifiedBy>Aitchison, Suzie</cp:lastModifiedBy>
  <cp:revision>12</cp:revision>
  <cp:lastPrinted>2023-10-07T18:27:00Z</cp:lastPrinted>
  <dcterms:created xsi:type="dcterms:W3CDTF">2023-10-17T06:20:00Z</dcterms:created>
  <dcterms:modified xsi:type="dcterms:W3CDTF">2023-10-18T03:18:00Z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0x010100D6F5E0CC01897E4B87158A670E20ECF1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2022-07-28T04:20:45Z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883205a8-e910-4eee-9578-aaeb4feb98a0</vt:lpwstr>
  </property>
  <property fmtid="{D5CDD505-2E9C-101B-9397-08002B2CF9AE}" pid="14" name="MSIP_Label_2b83f8d7-e91f-4eee-a336-52a8061c0503_ContentBits">
    <vt:lpwstr>0</vt:lpwstr>
  </property>
  <property fmtid="{D5CDD505-2E9C-101B-9397-08002B2CF9AE}" pid="15" name="MediaServiceImageTags">
    <vt:lpwstr/>
  </property>
</Properties>
</file>