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054CABB0"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B26A59">
        <w:rPr>
          <w:rFonts w:cs="Arial"/>
          <w:color w:val="6B2976"/>
          <w:sz w:val="22"/>
          <w:szCs w:val="22"/>
        </w:rPr>
        <w:t>Other Physical</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3138E968" w14:textId="2FFEEF75" w:rsidR="00864CF9" w:rsidRPr="00864CF9" w:rsidRDefault="00864CF9" w:rsidP="00864CF9">
      <w:pPr>
        <w:spacing w:after="0" w:line="360" w:lineRule="auto"/>
        <w:rPr>
          <w:rFonts w:ascii="Arial" w:hAnsi="Arial" w:cs="Arial"/>
        </w:rPr>
      </w:pPr>
      <w:r w:rsidRPr="00864CF9">
        <w:rPr>
          <w:rFonts w:ascii="Arial" w:hAnsi="Arial" w:cs="Arial"/>
        </w:rPr>
        <w:t>Other physical disabilities comprise a broad range of conditions that are not included in other</w:t>
      </w:r>
      <w:r w:rsidR="00A95D18">
        <w:rPr>
          <w:rFonts w:ascii="Arial" w:hAnsi="Arial" w:cs="Arial"/>
        </w:rPr>
        <w:t xml:space="preserve"> </w:t>
      </w:r>
      <w:r w:rsidRPr="00864CF9">
        <w:rPr>
          <w:rFonts w:ascii="Arial" w:hAnsi="Arial" w:cs="Arial"/>
        </w:rPr>
        <w:t xml:space="preserve">NDIS primary disability groups. The most common disabilities recorded in this group </w:t>
      </w:r>
      <w:proofErr w:type="gramStart"/>
      <w:r w:rsidRPr="00864CF9">
        <w:rPr>
          <w:rFonts w:ascii="Arial" w:hAnsi="Arial" w:cs="Arial"/>
        </w:rPr>
        <w:t>include</w:t>
      </w:r>
      <w:proofErr w:type="gramEnd"/>
    </w:p>
    <w:p w14:paraId="2B939CAB" w14:textId="6F5EF55F" w:rsidR="00864CF9" w:rsidRDefault="00864CF9" w:rsidP="00864CF9">
      <w:pPr>
        <w:spacing w:after="0" w:line="360" w:lineRule="auto"/>
        <w:rPr>
          <w:rFonts w:ascii="Arial" w:hAnsi="Arial" w:cs="Arial"/>
        </w:rPr>
      </w:pPr>
      <w:r w:rsidRPr="00864CF9">
        <w:rPr>
          <w:rFonts w:ascii="Arial" w:hAnsi="Arial" w:cs="Arial"/>
        </w:rPr>
        <w:t>rheumatoid arthritis and multiple traumatic amputations.</w:t>
      </w:r>
    </w:p>
    <w:p w14:paraId="3EAF9407" w14:textId="77777777" w:rsidR="00864CF9" w:rsidRDefault="00864CF9" w:rsidP="00950370">
      <w:pPr>
        <w:spacing w:after="0" w:line="360" w:lineRule="auto"/>
        <w:rPr>
          <w:rFonts w:ascii="Arial" w:hAnsi="Arial" w:cs="Arial"/>
        </w:rPr>
      </w:pPr>
    </w:p>
    <w:p w14:paraId="6B0EB8C4" w14:textId="1033A37E"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B26A59">
        <w:rPr>
          <w:rFonts w:ascii="Arial" w:hAnsi="Arial" w:cs="Arial"/>
        </w:rPr>
        <w:t>other physical disabilities</w:t>
      </w:r>
      <w:r w:rsidRPr="007A0828">
        <w:rPr>
          <w:rFonts w:ascii="Arial" w:hAnsi="Arial" w:cs="Arial"/>
        </w:rPr>
        <w:t xml:space="preserve"> in the form of simple charts and commentaries using data as </w:t>
      </w:r>
      <w:proofErr w:type="gramStart"/>
      <w:r w:rsidRPr="007A0828">
        <w:rPr>
          <w:rFonts w:ascii="Arial" w:hAnsi="Arial" w:cs="Arial"/>
        </w:rPr>
        <w:t>at</w:t>
      </w:r>
      <w:proofErr w:type="gramEnd"/>
      <w:r w:rsidRPr="007A0828">
        <w:rPr>
          <w:rFonts w:ascii="Arial" w:hAnsi="Arial" w:cs="Arial"/>
        </w:rPr>
        <w:t xml:space="preserve"> 30 June 2023:</w:t>
      </w:r>
    </w:p>
    <w:p w14:paraId="2ED31697" w14:textId="2264E4E3"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A doughnut chart shows that of the 610,502 active participants in the NDIS, 3% (or </w:t>
      </w:r>
      <w:r w:rsidR="00B26A59">
        <w:rPr>
          <w:rFonts w:ascii="Arial" w:hAnsi="Arial" w:cs="Arial"/>
        </w:rPr>
        <w:t>19</w:t>
      </w:r>
      <w:r w:rsidRPr="007A0828">
        <w:rPr>
          <w:rFonts w:ascii="Arial" w:hAnsi="Arial" w:cs="Arial"/>
        </w:rPr>
        <w:t>,</w:t>
      </w:r>
      <w:r w:rsidR="00B26A59">
        <w:rPr>
          <w:rFonts w:ascii="Arial" w:hAnsi="Arial" w:cs="Arial"/>
        </w:rPr>
        <w:t>961</w:t>
      </w:r>
      <w:r w:rsidRPr="007A0828">
        <w:rPr>
          <w:rFonts w:ascii="Arial" w:hAnsi="Arial" w:cs="Arial"/>
        </w:rPr>
        <w:t xml:space="preserve">) of them </w:t>
      </w:r>
      <w:r w:rsidR="00F7714B" w:rsidRPr="007A0828">
        <w:rPr>
          <w:rFonts w:ascii="Arial" w:hAnsi="Arial" w:cs="Arial"/>
        </w:rPr>
        <w:t xml:space="preserve">have </w:t>
      </w:r>
      <w:r w:rsidR="00F7714B">
        <w:rPr>
          <w:rFonts w:ascii="Arial" w:hAnsi="Arial" w:cs="Arial"/>
        </w:rPr>
        <w:t xml:space="preserve">other physical disabilities as </w:t>
      </w:r>
      <w:r w:rsidR="00F7714B" w:rsidRPr="007A0828">
        <w:rPr>
          <w:rFonts w:ascii="Arial" w:hAnsi="Arial" w:cs="Arial"/>
        </w:rPr>
        <w:t>a primary disability</w:t>
      </w:r>
      <w:r w:rsidR="00B26A59">
        <w:rPr>
          <w:rFonts w:ascii="Arial" w:hAnsi="Arial" w:cs="Arial"/>
        </w:rPr>
        <w:t>.</w:t>
      </w:r>
    </w:p>
    <w:p w14:paraId="73165B2C" w14:textId="2DFEC584"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doughnut chart shows that </w:t>
      </w:r>
      <w:r w:rsidR="006E0055">
        <w:rPr>
          <w:rFonts w:ascii="Arial" w:hAnsi="Arial" w:cs="Arial"/>
        </w:rPr>
        <w:t>49</w:t>
      </w:r>
      <w:r w:rsidRPr="007A0828">
        <w:rPr>
          <w:rFonts w:ascii="Arial" w:hAnsi="Arial" w:cs="Arial"/>
        </w:rPr>
        <w:t xml:space="preserve">% (or </w:t>
      </w:r>
      <w:r w:rsidR="006E0055">
        <w:rPr>
          <w:rFonts w:ascii="Arial" w:hAnsi="Arial" w:cs="Arial"/>
        </w:rPr>
        <w:t>9</w:t>
      </w:r>
      <w:r w:rsidRPr="007A0828">
        <w:rPr>
          <w:rFonts w:ascii="Arial" w:hAnsi="Arial" w:cs="Arial"/>
        </w:rPr>
        <w:t>,</w:t>
      </w:r>
      <w:r w:rsidR="006E0055">
        <w:rPr>
          <w:rFonts w:ascii="Arial" w:hAnsi="Arial" w:cs="Arial"/>
        </w:rPr>
        <w:t>746</w:t>
      </w:r>
      <w:r w:rsidRPr="007A0828">
        <w:rPr>
          <w:rFonts w:ascii="Arial" w:hAnsi="Arial" w:cs="Arial"/>
        </w:rPr>
        <w:t xml:space="preserve">) of participants with </w:t>
      </w:r>
      <w:r w:rsidR="006E0055">
        <w:rPr>
          <w:rFonts w:ascii="Arial" w:hAnsi="Arial" w:cs="Arial"/>
        </w:rPr>
        <w:t>other physical disabilities</w:t>
      </w:r>
      <w:r w:rsidRPr="007A0828">
        <w:rPr>
          <w:rFonts w:ascii="Arial" w:hAnsi="Arial" w:cs="Arial"/>
        </w:rPr>
        <w:t xml:space="preserve"> are aged </w:t>
      </w:r>
      <w:r w:rsidR="006E0055">
        <w:rPr>
          <w:rFonts w:ascii="Arial" w:hAnsi="Arial" w:cs="Arial"/>
        </w:rPr>
        <w:t>55</w:t>
      </w:r>
      <w:r w:rsidRPr="007A0828">
        <w:rPr>
          <w:rFonts w:ascii="Arial" w:hAnsi="Arial" w:cs="Arial"/>
        </w:rPr>
        <w:t xml:space="preserve"> years and </w:t>
      </w:r>
      <w:r w:rsidR="006E0055">
        <w:rPr>
          <w:rFonts w:ascii="Arial" w:hAnsi="Arial" w:cs="Arial"/>
        </w:rPr>
        <w:t>over.</w:t>
      </w:r>
    </w:p>
    <w:p w14:paraId="1803C1B7" w14:textId="185A353A"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doughnut chart shows that </w:t>
      </w:r>
      <w:r w:rsidR="006E0055">
        <w:rPr>
          <w:rFonts w:ascii="Arial" w:hAnsi="Arial" w:cs="Arial"/>
        </w:rPr>
        <w:t>5</w:t>
      </w:r>
      <w:r w:rsidRPr="007A0828">
        <w:rPr>
          <w:rFonts w:ascii="Arial" w:hAnsi="Arial" w:cs="Arial"/>
        </w:rPr>
        <w:t>0% (or 1</w:t>
      </w:r>
      <w:r w:rsidR="006E0055">
        <w:rPr>
          <w:rFonts w:ascii="Arial" w:hAnsi="Arial" w:cs="Arial"/>
        </w:rPr>
        <w:t>0</w:t>
      </w:r>
      <w:r w:rsidRPr="007A0828">
        <w:rPr>
          <w:rFonts w:ascii="Arial" w:hAnsi="Arial" w:cs="Arial"/>
        </w:rPr>
        <w:t>,</w:t>
      </w:r>
      <w:r w:rsidR="006E0055">
        <w:rPr>
          <w:rFonts w:ascii="Arial" w:hAnsi="Arial" w:cs="Arial"/>
        </w:rPr>
        <w:t>049</w:t>
      </w:r>
      <w:r w:rsidRPr="007A0828">
        <w:rPr>
          <w:rFonts w:ascii="Arial" w:hAnsi="Arial" w:cs="Arial"/>
        </w:rPr>
        <w:t xml:space="preserve">) of participants with </w:t>
      </w:r>
      <w:r w:rsidR="006E0055">
        <w:rPr>
          <w:rFonts w:ascii="Arial" w:hAnsi="Arial" w:cs="Arial"/>
        </w:rPr>
        <w:t xml:space="preserve">other physical disabilities </w:t>
      </w:r>
      <w:r w:rsidRPr="007A0828">
        <w:rPr>
          <w:rFonts w:ascii="Arial" w:hAnsi="Arial" w:cs="Arial"/>
        </w:rPr>
        <w:t xml:space="preserve">are </w:t>
      </w:r>
      <w:r w:rsidR="006E0055">
        <w:rPr>
          <w:rFonts w:ascii="Arial" w:hAnsi="Arial" w:cs="Arial"/>
        </w:rPr>
        <w:t>fe</w:t>
      </w:r>
      <w:r w:rsidRPr="007A0828">
        <w:rPr>
          <w:rFonts w:ascii="Arial" w:hAnsi="Arial" w:cs="Arial"/>
        </w:rPr>
        <w:t>male.</w:t>
      </w:r>
    </w:p>
    <w:p w14:paraId="632B372F" w14:textId="48B50B51"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A bar chart shows that </w:t>
      </w:r>
      <w:r w:rsidR="006E0055">
        <w:rPr>
          <w:rFonts w:ascii="Arial" w:hAnsi="Arial" w:cs="Arial"/>
        </w:rPr>
        <w:t>42</w:t>
      </w:r>
      <w:r w:rsidRPr="007A0828">
        <w:rPr>
          <w:rFonts w:ascii="Arial" w:hAnsi="Arial" w:cs="Arial"/>
        </w:rPr>
        <w:t xml:space="preserve">% of access decisions for applicants with </w:t>
      </w:r>
      <w:r w:rsidR="006E0055">
        <w:rPr>
          <w:rFonts w:ascii="Arial" w:hAnsi="Arial" w:cs="Arial"/>
        </w:rPr>
        <w:t>other physical disabilities</w:t>
      </w:r>
      <w:r w:rsidRPr="007A0828">
        <w:rPr>
          <w:rFonts w:ascii="Arial" w:hAnsi="Arial" w:cs="Arial"/>
        </w:rPr>
        <w:t xml:space="preserve"> aged 18 </w:t>
      </w:r>
      <w:r w:rsidR="0035141A">
        <w:rPr>
          <w:rFonts w:ascii="Arial" w:hAnsi="Arial" w:cs="Arial"/>
        </w:rPr>
        <w:t xml:space="preserve">and under </w:t>
      </w:r>
      <w:r w:rsidRPr="007A0828">
        <w:rPr>
          <w:rFonts w:ascii="Arial" w:hAnsi="Arial" w:cs="Arial"/>
        </w:rPr>
        <w:t xml:space="preserve">resulted in the applicant joining the Scheme in the </w:t>
      </w:r>
      <w:r w:rsidR="00453194" w:rsidRPr="007A0828">
        <w:rPr>
          <w:rFonts w:ascii="Arial" w:hAnsi="Arial" w:cs="Arial"/>
        </w:rPr>
        <w:t xml:space="preserve">year ending </w:t>
      </w:r>
      <w:r w:rsidR="00D02E74">
        <w:rPr>
          <w:rFonts w:ascii="Arial" w:hAnsi="Arial" w:cs="Arial"/>
        </w:rPr>
        <w:t xml:space="preserve">30 </w:t>
      </w:r>
      <w:r w:rsidRPr="007A0828">
        <w:rPr>
          <w:rFonts w:ascii="Arial" w:hAnsi="Arial" w:cs="Arial"/>
        </w:rPr>
        <w:t xml:space="preserve">June 2023, compared to </w:t>
      </w:r>
      <w:r w:rsidR="006E0055">
        <w:rPr>
          <w:rFonts w:ascii="Arial" w:hAnsi="Arial" w:cs="Arial"/>
        </w:rPr>
        <w:t>2</w:t>
      </w:r>
      <w:r w:rsidRPr="007A0828">
        <w:rPr>
          <w:rFonts w:ascii="Arial" w:hAnsi="Arial" w:cs="Arial"/>
        </w:rPr>
        <w:t>0% of access decisions for those aged over 18 years.</w:t>
      </w:r>
    </w:p>
    <w:p w14:paraId="0BF0FEA3" w14:textId="7DEAA139"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The next bar chart shows that NDIS provided $</w:t>
      </w:r>
      <w:r w:rsidR="001E5A10">
        <w:rPr>
          <w:rFonts w:ascii="Arial" w:hAnsi="Arial" w:cs="Arial"/>
        </w:rPr>
        <w:t>1</w:t>
      </w:r>
      <w:r w:rsidRPr="007A0828">
        <w:rPr>
          <w:rFonts w:ascii="Arial" w:hAnsi="Arial" w:cs="Arial"/>
        </w:rPr>
        <w:t>.</w:t>
      </w:r>
      <w:r w:rsidR="001E5A10">
        <w:rPr>
          <w:rFonts w:ascii="Arial" w:hAnsi="Arial" w:cs="Arial"/>
        </w:rPr>
        <w:t>2</w:t>
      </w:r>
      <w:r w:rsidRPr="007A0828">
        <w:rPr>
          <w:rFonts w:ascii="Arial" w:hAnsi="Arial" w:cs="Arial"/>
        </w:rPr>
        <w:t xml:space="preserve">3 billion of paid supports to participants with </w:t>
      </w:r>
      <w:r w:rsidR="001E5A10">
        <w:rPr>
          <w:rFonts w:ascii="Arial" w:hAnsi="Arial" w:cs="Arial"/>
        </w:rPr>
        <w:t>other physical disabilities</w:t>
      </w:r>
      <w:r w:rsidRPr="007A0828">
        <w:rPr>
          <w:rFonts w:ascii="Arial" w:hAnsi="Arial" w:cs="Arial"/>
        </w:rPr>
        <w:t xml:space="preserve"> in the </w:t>
      </w:r>
      <w:r w:rsidR="00453194" w:rsidRPr="007A0828">
        <w:rPr>
          <w:rFonts w:ascii="Arial" w:hAnsi="Arial" w:cs="Arial"/>
        </w:rPr>
        <w:t xml:space="preserve">year ending </w:t>
      </w:r>
      <w:r w:rsidR="00D02E74">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compared to $</w:t>
      </w:r>
      <w:r w:rsidR="001E5A10">
        <w:rPr>
          <w:rFonts w:ascii="Arial" w:hAnsi="Arial" w:cs="Arial"/>
        </w:rPr>
        <w:t>1</w:t>
      </w:r>
      <w:r w:rsidRPr="007A0828">
        <w:rPr>
          <w:rFonts w:ascii="Arial" w:hAnsi="Arial" w:cs="Arial"/>
        </w:rPr>
        <w:t>.</w:t>
      </w:r>
      <w:r w:rsidR="001E5A10">
        <w:rPr>
          <w:rFonts w:ascii="Arial" w:hAnsi="Arial" w:cs="Arial"/>
        </w:rPr>
        <w:t>01</w:t>
      </w:r>
      <w:r w:rsidRPr="007A0828">
        <w:rPr>
          <w:rFonts w:ascii="Arial" w:hAnsi="Arial" w:cs="Arial"/>
        </w:rPr>
        <w:t xml:space="preserve"> billion in the </w:t>
      </w:r>
      <w:r w:rsidR="00453194" w:rsidRPr="007A0828">
        <w:rPr>
          <w:rFonts w:ascii="Arial" w:hAnsi="Arial" w:cs="Arial"/>
        </w:rPr>
        <w:t xml:space="preserve">year ending </w:t>
      </w:r>
      <w:r w:rsidR="00D02E74">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B54031">
        <w:rPr>
          <w:rFonts w:ascii="Arial" w:hAnsi="Arial" w:cs="Arial"/>
        </w:rPr>
        <w:t>2</w:t>
      </w:r>
      <w:r w:rsidRPr="007A0828">
        <w:rPr>
          <w:rFonts w:ascii="Arial" w:hAnsi="Arial" w:cs="Arial"/>
        </w:rPr>
        <w:t>, representing a year-on-year increase of 2</w:t>
      </w:r>
      <w:r w:rsidR="001E5A10">
        <w:rPr>
          <w:rFonts w:ascii="Arial" w:hAnsi="Arial" w:cs="Arial"/>
        </w:rPr>
        <w:t>2</w:t>
      </w:r>
      <w:r w:rsidRPr="007A0828">
        <w:rPr>
          <w:rFonts w:ascii="Arial" w:hAnsi="Arial" w:cs="Arial"/>
        </w:rPr>
        <w:t>%.</w:t>
      </w:r>
    </w:p>
    <w:p w14:paraId="68ED0791" w14:textId="74042A70" w:rsidR="00453194"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the average payment for the </w:t>
      </w:r>
      <w:r w:rsidR="004A52B6">
        <w:rPr>
          <w:rFonts w:ascii="Arial" w:hAnsi="Arial" w:cs="Arial"/>
        </w:rPr>
        <w:t xml:space="preserve">year ending </w:t>
      </w:r>
      <w:r w:rsidRPr="007A0828">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xml:space="preserve"> for a participant with </w:t>
      </w:r>
      <w:r w:rsidR="001E5A10">
        <w:rPr>
          <w:rFonts w:ascii="Arial" w:hAnsi="Arial" w:cs="Arial"/>
        </w:rPr>
        <w:t>other physical disabilities</w:t>
      </w:r>
      <w:r w:rsidRPr="007A0828">
        <w:rPr>
          <w:rFonts w:ascii="Arial" w:hAnsi="Arial" w:cs="Arial"/>
        </w:rPr>
        <w:t xml:space="preserve"> was $</w:t>
      </w:r>
      <w:r w:rsidR="001E5A10">
        <w:rPr>
          <w:rFonts w:ascii="Arial" w:hAnsi="Arial" w:cs="Arial"/>
        </w:rPr>
        <w:t>62</w:t>
      </w:r>
      <w:r w:rsidRPr="007A0828">
        <w:rPr>
          <w:rFonts w:ascii="Arial" w:hAnsi="Arial" w:cs="Arial"/>
        </w:rPr>
        <w:t>,</w:t>
      </w:r>
      <w:r w:rsidR="001E5A10">
        <w:rPr>
          <w:rFonts w:ascii="Arial" w:hAnsi="Arial" w:cs="Arial"/>
        </w:rPr>
        <w:t>7</w:t>
      </w:r>
      <w:r w:rsidRPr="007A0828">
        <w:rPr>
          <w:rFonts w:ascii="Arial" w:hAnsi="Arial" w:cs="Arial"/>
        </w:rPr>
        <w:t xml:space="preserve">00, </w:t>
      </w:r>
      <w:r w:rsidR="00AC1D64">
        <w:rPr>
          <w:rFonts w:ascii="Arial" w:hAnsi="Arial" w:cs="Arial"/>
        </w:rPr>
        <w:t>an</w:t>
      </w:r>
      <w:r w:rsidR="00453194" w:rsidRPr="007A0828">
        <w:rPr>
          <w:rFonts w:ascii="Arial" w:hAnsi="Arial" w:cs="Arial"/>
        </w:rPr>
        <w:t xml:space="preserve"> increase of </w:t>
      </w:r>
      <w:r w:rsidR="001E5A10">
        <w:rPr>
          <w:rFonts w:ascii="Arial" w:hAnsi="Arial" w:cs="Arial"/>
        </w:rPr>
        <w:t>19</w:t>
      </w:r>
      <w:r w:rsidR="00453194" w:rsidRPr="007A0828">
        <w:rPr>
          <w:rFonts w:ascii="Arial" w:hAnsi="Arial" w:cs="Arial"/>
        </w:rPr>
        <w:t>%</w:t>
      </w:r>
      <w:r w:rsidR="00AC1D64">
        <w:rPr>
          <w:rFonts w:ascii="Arial" w:hAnsi="Arial" w:cs="Arial"/>
        </w:rPr>
        <w:t xml:space="preserve"> when compared to the previous year at </w:t>
      </w:r>
      <w:r w:rsidR="00AC1D64" w:rsidRPr="00AC1D64">
        <w:rPr>
          <w:rFonts w:ascii="Arial" w:hAnsi="Arial" w:cs="Arial"/>
        </w:rPr>
        <w:t>$52,900</w:t>
      </w:r>
      <w:r w:rsidR="00453194" w:rsidRPr="007A0828">
        <w:rPr>
          <w:rFonts w:ascii="Arial" w:hAnsi="Arial" w:cs="Arial"/>
        </w:rPr>
        <w:t>.</w:t>
      </w:r>
    </w:p>
    <w:p w14:paraId="499FB4C6" w14:textId="2EB06D9D" w:rsidR="00C710E1" w:rsidRPr="00BD05CA"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next bar chart shows that </w:t>
      </w:r>
      <w:r w:rsidR="001E5A10">
        <w:rPr>
          <w:rFonts w:ascii="Arial" w:hAnsi="Arial" w:cs="Arial"/>
        </w:rPr>
        <w:t>48</w:t>
      </w:r>
      <w:r w:rsidRPr="007A0828">
        <w:rPr>
          <w:rFonts w:ascii="Arial" w:hAnsi="Arial" w:cs="Arial"/>
        </w:rPr>
        <w:t xml:space="preserve">% of family/carers of participants with </w:t>
      </w:r>
      <w:r w:rsidR="001E5A10">
        <w:rPr>
          <w:rFonts w:ascii="Arial" w:hAnsi="Arial" w:cs="Arial"/>
        </w:rPr>
        <w:t>other physical disabilities</w:t>
      </w:r>
      <w:r w:rsidRPr="007A0828">
        <w:rPr>
          <w:rFonts w:ascii="Arial" w:hAnsi="Arial" w:cs="Arial"/>
        </w:rPr>
        <w:t xml:space="preserve"> </w:t>
      </w:r>
      <w:r w:rsidR="001E5A10">
        <w:rPr>
          <w:rFonts w:ascii="Arial" w:hAnsi="Arial" w:cs="Arial"/>
        </w:rPr>
        <w:t>were</w:t>
      </w:r>
      <w:r w:rsidRPr="007A0828">
        <w:rPr>
          <w:rFonts w:ascii="Arial" w:hAnsi="Arial" w:cs="Arial"/>
        </w:rPr>
        <w:t xml:space="preserve"> employed, a </w:t>
      </w:r>
      <w:proofErr w:type="gramStart"/>
      <w:r w:rsidR="001E5A10">
        <w:rPr>
          <w:rFonts w:ascii="Arial" w:hAnsi="Arial" w:cs="Arial"/>
        </w:rPr>
        <w:t>4</w:t>
      </w:r>
      <w:r w:rsidRPr="007A0828">
        <w:rPr>
          <w:rFonts w:ascii="Arial" w:hAnsi="Arial" w:cs="Arial"/>
        </w:rPr>
        <w:t xml:space="preserve"> percentage</w:t>
      </w:r>
      <w:proofErr w:type="gramEnd"/>
      <w:r w:rsidRPr="007A0828">
        <w:rPr>
          <w:rFonts w:ascii="Arial" w:hAnsi="Arial" w:cs="Arial"/>
        </w:rPr>
        <w:t xml:space="preserve"> point increase compared to</w:t>
      </w:r>
      <w:r w:rsidR="001E5A10">
        <w:rPr>
          <w:rFonts w:ascii="Arial" w:hAnsi="Arial" w:cs="Arial"/>
        </w:rPr>
        <w:t xml:space="preserve"> baseline at</w:t>
      </w:r>
      <w:r w:rsidRPr="007A0828">
        <w:rPr>
          <w:rFonts w:ascii="Arial" w:hAnsi="Arial" w:cs="Arial"/>
        </w:rPr>
        <w:t xml:space="preserve"> 4</w:t>
      </w:r>
      <w:r w:rsidR="001E5A10">
        <w:rPr>
          <w:rFonts w:ascii="Arial" w:hAnsi="Arial" w:cs="Arial"/>
        </w:rPr>
        <w:t>4</w:t>
      </w:r>
      <w:r w:rsidRPr="007A0828">
        <w:rPr>
          <w:rFonts w:ascii="Arial" w:hAnsi="Arial" w:cs="Arial"/>
        </w:rPr>
        <w:t>%</w:t>
      </w:r>
      <w:r w:rsidRPr="00DD3E1C">
        <w:rPr>
          <w:rFonts w:ascii="Arial" w:hAnsi="Arial" w:cs="Arial"/>
          <w:i/>
          <w:iCs/>
          <w:color w:val="808080" w:themeColor="background1" w:themeShade="80"/>
        </w:rPr>
        <w:t xml:space="preserve">. </w:t>
      </w:r>
      <w:r w:rsidRPr="00CE5D7A">
        <w:rPr>
          <w:rFonts w:ascii="Arial" w:hAnsi="Arial" w:cs="Arial"/>
        </w:rPr>
        <w:t>(The Participant Outcome section compares baseline results when participants entered the Scheme</w:t>
      </w:r>
      <w:r w:rsidR="004A52B6" w:rsidRPr="004A52B6">
        <w:t xml:space="preserve"> </w:t>
      </w:r>
      <w:r w:rsidR="004A52B6" w:rsidRPr="004A52B6">
        <w:rPr>
          <w:rFonts w:ascii="Arial" w:hAnsi="Arial" w:cs="Arial"/>
        </w:rPr>
        <w:t>or at their first plan reassessment,</w:t>
      </w:r>
      <w:r w:rsidRPr="00CE5D7A">
        <w:rPr>
          <w:rFonts w:ascii="Arial" w:hAnsi="Arial" w:cs="Arial"/>
        </w:rPr>
        <w:t xml:space="preserve"> with results measured at the most recent participant plan reassessment for each respondent. Results are for participants who have been in the Scheme for at least two years and NDIS trial participants are excluded. All outcome results are rounded to the nearest </w:t>
      </w:r>
      <w:proofErr w:type="gramStart"/>
      <w:r w:rsidRPr="00CE5D7A">
        <w:rPr>
          <w:rFonts w:ascii="Arial" w:hAnsi="Arial" w:cs="Arial"/>
        </w:rPr>
        <w:t>percentage</w:t>
      </w:r>
      <w:proofErr w:type="gramEnd"/>
      <w:r w:rsidRPr="00CE5D7A">
        <w:rPr>
          <w:rFonts w:ascii="Arial" w:hAnsi="Arial" w:cs="Arial"/>
        </w:rPr>
        <w:t xml:space="preserve"> but the percentage point increases or decreases are calculated based on the unrounded results)</w:t>
      </w:r>
      <w:r w:rsidRPr="00BD05CA">
        <w:rPr>
          <w:rFonts w:ascii="Arial" w:hAnsi="Arial" w:cs="Arial"/>
        </w:rPr>
        <w:t>.</w:t>
      </w:r>
    </w:p>
    <w:p w14:paraId="0EE6DE4F" w14:textId="7E1D77FA" w:rsidR="00C710E1"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lastRenderedPageBreak/>
        <w:t xml:space="preserve">The next bar chart shows </w:t>
      </w:r>
      <w:r w:rsidR="001E5A10">
        <w:rPr>
          <w:rFonts w:ascii="Arial" w:hAnsi="Arial" w:cs="Arial"/>
        </w:rPr>
        <w:t>37</w:t>
      </w:r>
      <w:r w:rsidRPr="007A0828">
        <w:rPr>
          <w:rFonts w:ascii="Arial" w:hAnsi="Arial" w:cs="Arial"/>
        </w:rPr>
        <w:t>% o</w:t>
      </w:r>
      <w:r w:rsidR="001E5A10">
        <w:rPr>
          <w:rFonts w:ascii="Arial" w:hAnsi="Arial" w:cs="Arial"/>
        </w:rPr>
        <w:t>f participants aged 15 and over with other physical disabilities indicated they have engagement in social and community activities</w:t>
      </w:r>
      <w:r w:rsidRPr="007A0828">
        <w:rPr>
          <w:rFonts w:ascii="Arial" w:hAnsi="Arial" w:cs="Arial"/>
        </w:rPr>
        <w:t xml:space="preserve">, </w:t>
      </w:r>
      <w:r w:rsidR="001E5A10">
        <w:rPr>
          <w:rFonts w:ascii="Arial" w:hAnsi="Arial" w:cs="Arial"/>
        </w:rPr>
        <w:t>which is an increase of 4 percentage points compared to baseline at 33%.</w:t>
      </w:r>
    </w:p>
    <w:p w14:paraId="0D6567AB" w14:textId="15DB48C0" w:rsidR="00453194" w:rsidRPr="007A0828" w:rsidRDefault="00C710E1" w:rsidP="00DD3E1C">
      <w:pPr>
        <w:pStyle w:val="ListParagraph"/>
        <w:numPr>
          <w:ilvl w:val="0"/>
          <w:numId w:val="35"/>
        </w:numPr>
        <w:spacing w:after="0" w:line="360" w:lineRule="auto"/>
        <w:rPr>
          <w:rFonts w:ascii="Arial" w:hAnsi="Arial" w:cs="Arial"/>
        </w:rPr>
      </w:pPr>
      <w:r w:rsidRPr="007A0828">
        <w:rPr>
          <w:rFonts w:ascii="Arial" w:hAnsi="Arial" w:cs="Arial"/>
        </w:rPr>
        <w:t xml:space="preserve">The weighted average satisfaction rate for participants with </w:t>
      </w:r>
      <w:r w:rsidR="001E5A10">
        <w:rPr>
          <w:rFonts w:ascii="Arial" w:hAnsi="Arial" w:cs="Arial"/>
        </w:rPr>
        <w:t>other physical disabilities</w:t>
      </w:r>
      <w:r w:rsidRPr="007A0828">
        <w:rPr>
          <w:rFonts w:ascii="Arial" w:hAnsi="Arial" w:cs="Arial"/>
        </w:rPr>
        <w:t xml:space="preserve"> over the 4 stages of Scheme pathway was 7</w:t>
      </w:r>
      <w:r w:rsidR="001E5A10">
        <w:rPr>
          <w:rFonts w:ascii="Arial" w:hAnsi="Arial" w:cs="Arial"/>
        </w:rPr>
        <w:t>1</w:t>
      </w:r>
      <w:r w:rsidRPr="007A0828">
        <w:rPr>
          <w:rFonts w:ascii="Arial" w:hAnsi="Arial" w:cs="Arial"/>
        </w:rPr>
        <w:t xml:space="preserve">% in the </w:t>
      </w:r>
      <w:r w:rsidR="00453194" w:rsidRPr="007A0828">
        <w:rPr>
          <w:rFonts w:ascii="Arial" w:hAnsi="Arial" w:cs="Arial"/>
        </w:rPr>
        <w:t xml:space="preserve">year </w:t>
      </w:r>
      <w:r w:rsidR="00DE513E">
        <w:rPr>
          <w:rFonts w:ascii="Arial" w:hAnsi="Arial" w:cs="Arial"/>
        </w:rPr>
        <w:t>ending 30</w:t>
      </w:r>
      <w:r w:rsidR="00DE513E" w:rsidRPr="007A0828">
        <w:rPr>
          <w:rFonts w:ascii="Arial" w:hAnsi="Arial" w:cs="Arial"/>
        </w:rPr>
        <w:t xml:space="preserve">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06AEA484" w14:textId="77777777" w:rsidR="001E5A10" w:rsidRDefault="001E5A10" w:rsidP="00950370">
      <w:pPr>
        <w:spacing w:line="360" w:lineRule="auto"/>
        <w:rPr>
          <w:rFonts w:ascii="Arial" w:hAnsi="Arial" w:cs="Arial"/>
        </w:rPr>
      </w:pPr>
    </w:p>
    <w:p w14:paraId="517A50E7" w14:textId="076F82FB" w:rsidR="00453194" w:rsidRDefault="00447398" w:rsidP="00950370">
      <w:pPr>
        <w:spacing w:line="360" w:lineRule="auto"/>
        <w:rPr>
          <w:rFonts w:ascii="Arial" w:hAnsi="Arial" w:cs="Arial"/>
        </w:rPr>
      </w:pPr>
      <w:r>
        <w:rPr>
          <w:rFonts w:ascii="Arial" w:hAnsi="Arial" w:cs="Arial"/>
        </w:rPr>
        <w:t xml:space="preserve">A photo shows </w:t>
      </w:r>
      <w:proofErr w:type="gramStart"/>
      <w:r w:rsidR="001E5A10">
        <w:rPr>
          <w:rFonts w:ascii="Arial" w:hAnsi="Arial" w:cs="Arial"/>
        </w:rPr>
        <w:t>a</w:t>
      </w:r>
      <w:r w:rsidR="00D02E74">
        <w:rPr>
          <w:rFonts w:ascii="Arial" w:hAnsi="Arial" w:cs="Arial"/>
        </w:rPr>
        <w:t>n</w:t>
      </w:r>
      <w:proofErr w:type="gramEnd"/>
      <w:r>
        <w:rPr>
          <w:rFonts w:ascii="Arial" w:hAnsi="Arial" w:cs="Arial"/>
        </w:rPr>
        <w:t xml:space="preserve"> NDIS participant </w:t>
      </w:r>
      <w:r w:rsidR="001E5A10">
        <w:rPr>
          <w:rFonts w:ascii="Arial" w:hAnsi="Arial" w:cs="Arial"/>
        </w:rPr>
        <w:t>walking</w:t>
      </w:r>
      <w:r w:rsidR="00AE0A47">
        <w:rPr>
          <w:rFonts w:ascii="Arial" w:hAnsi="Arial" w:cs="Arial"/>
        </w:rPr>
        <w:t xml:space="preserve"> on stage</w:t>
      </w:r>
      <w:r>
        <w:rPr>
          <w:rFonts w:ascii="Arial" w:hAnsi="Arial" w:cs="Arial"/>
        </w:rPr>
        <w:t xml:space="preserve">. </w:t>
      </w:r>
    </w:p>
    <w:p w14:paraId="685BB7D0" w14:textId="41680D1B" w:rsidR="00A92E4D" w:rsidRPr="007A0828" w:rsidRDefault="00A92E4D" w:rsidP="00A92E4D">
      <w:pPr>
        <w:spacing w:line="360" w:lineRule="auto"/>
        <w:rPr>
          <w:rFonts w:ascii="Arial" w:hAnsi="Arial" w:cs="Arial"/>
        </w:rPr>
      </w:pPr>
      <w:r>
        <w:rPr>
          <w:rFonts w:ascii="Arial" w:hAnsi="Arial" w:cs="Arial"/>
        </w:rPr>
        <w:t>Quote</w:t>
      </w:r>
      <w:r w:rsidR="00D02E74">
        <w:rPr>
          <w:rFonts w:ascii="Arial" w:hAnsi="Arial" w:cs="Arial"/>
        </w:rPr>
        <w:t xml:space="preserve"> from participant</w:t>
      </w:r>
      <w:r>
        <w:rPr>
          <w:rFonts w:ascii="Arial" w:hAnsi="Arial" w:cs="Arial"/>
        </w:rPr>
        <w:t xml:space="preserve">: </w:t>
      </w:r>
      <w:r w:rsidR="008B733B">
        <w:rPr>
          <w:rFonts w:ascii="Arial" w:hAnsi="Arial" w:cs="Arial"/>
        </w:rPr>
        <w:t>“</w:t>
      </w:r>
      <w:r w:rsidR="001E5A10">
        <w:rPr>
          <w:rFonts w:ascii="Arial" w:hAnsi="Arial" w:cs="Arial"/>
        </w:rPr>
        <w:t>Thanks to the NDIS I can set goals that were out of my reach previously</w:t>
      </w:r>
      <w:r w:rsidRPr="00A92E4D">
        <w:rPr>
          <w:rFonts w:ascii="Arial" w:hAnsi="Arial" w:cs="Arial"/>
        </w:rPr>
        <w:t>.</w:t>
      </w:r>
      <w:r w:rsidR="008B733B">
        <w:rPr>
          <w:rFonts w:ascii="Arial" w:hAnsi="Arial" w:cs="Arial"/>
        </w:rPr>
        <w:t>”</w:t>
      </w:r>
      <w:r>
        <w:rPr>
          <w:rFonts w:ascii="Arial" w:hAnsi="Arial" w:cs="Arial"/>
        </w:rPr>
        <w:t xml:space="preserve"> </w:t>
      </w:r>
      <w:r w:rsidR="001E5A10">
        <w:rPr>
          <w:rFonts w:ascii="Arial" w:hAnsi="Arial" w:cs="Arial"/>
        </w:rPr>
        <w:t>NDIS participant</w:t>
      </w:r>
      <w:r w:rsidRPr="00A92E4D">
        <w:rPr>
          <w:rFonts w:ascii="Arial" w:hAnsi="Arial" w:cs="Arial"/>
        </w:rPr>
        <w:t xml:space="preserve">, </w:t>
      </w:r>
      <w:r w:rsidR="001E5A10">
        <w:rPr>
          <w:rFonts w:ascii="Arial" w:hAnsi="Arial" w:cs="Arial"/>
        </w:rPr>
        <w:t>Sara.</w:t>
      </w:r>
      <w:r>
        <w:rPr>
          <w:rFonts w:ascii="Arial" w:hAnsi="Arial" w:cs="Arial"/>
        </w:rPr>
        <w:t xml:space="preserve"> </w:t>
      </w:r>
    </w:p>
    <w:p w14:paraId="49D7D0B6" w14:textId="77777777" w:rsidR="00CC67BF" w:rsidRDefault="00CC67BF">
      <w:pPr>
        <w:rPr>
          <w:rFonts w:ascii="Arial" w:eastAsiaTheme="majorEastAsia" w:hAnsi="Arial" w:cs="Arial"/>
          <w:b/>
          <w:color w:val="FFFFFF" w:themeColor="background1"/>
        </w:rPr>
      </w:pPr>
      <w:r>
        <w:rPr>
          <w:rFonts w:cs="Arial"/>
        </w:rPr>
        <w:br w:type="page"/>
      </w:r>
    </w:p>
    <w:p w14:paraId="1E47D498" w14:textId="0DDBF1CC"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558F21D1" w14:textId="77777777" w:rsidR="00BE77B7" w:rsidRPr="00BE77B7" w:rsidRDefault="00BE77B7" w:rsidP="00BE77B7">
      <w:pPr>
        <w:spacing w:after="0" w:line="360" w:lineRule="auto"/>
        <w:rPr>
          <w:rFonts w:ascii="Arial" w:hAnsi="Arial" w:cs="Arial"/>
        </w:rPr>
      </w:pPr>
      <w:r w:rsidRPr="00BE77B7">
        <w:rPr>
          <w:rFonts w:ascii="Arial" w:hAnsi="Arial" w:cs="Arial"/>
        </w:rPr>
        <w:t>The number of participants with other physical disabilities has increased by 4% and 3% in the last two years.</w:t>
      </w:r>
    </w:p>
    <w:p w14:paraId="3A8A604A" w14:textId="4E85F434" w:rsidR="004F524C" w:rsidRPr="004F524C" w:rsidRDefault="00BE77B7" w:rsidP="004F524C">
      <w:pPr>
        <w:spacing w:after="0" w:line="360" w:lineRule="auto"/>
        <w:rPr>
          <w:rFonts w:ascii="Arial" w:hAnsi="Arial" w:cs="Arial"/>
        </w:rPr>
      </w:pPr>
      <w:r w:rsidRPr="00BE77B7">
        <w:rPr>
          <w:rFonts w:ascii="Arial" w:hAnsi="Arial" w:cs="Arial"/>
        </w:rPr>
        <w:t xml:space="preserve">A bar chart shows there were 19,961 active participants </w:t>
      </w:r>
      <w:r w:rsidR="00F7714B" w:rsidRPr="007A0828">
        <w:rPr>
          <w:rFonts w:ascii="Arial" w:hAnsi="Arial" w:cs="Arial"/>
        </w:rPr>
        <w:t xml:space="preserve">have </w:t>
      </w:r>
      <w:r w:rsidR="00F7714B">
        <w:rPr>
          <w:rFonts w:ascii="Arial" w:hAnsi="Arial" w:cs="Arial"/>
        </w:rPr>
        <w:t xml:space="preserve">other physical disabilities as </w:t>
      </w:r>
      <w:r w:rsidR="00F7714B" w:rsidRPr="007A0828">
        <w:rPr>
          <w:rFonts w:ascii="Arial" w:hAnsi="Arial" w:cs="Arial"/>
        </w:rPr>
        <w:t>a primary disability</w:t>
      </w:r>
      <w:r w:rsidR="00F7714B">
        <w:rPr>
          <w:rFonts w:ascii="Arial" w:hAnsi="Arial" w:cs="Arial"/>
        </w:rPr>
        <w:t xml:space="preserve"> </w:t>
      </w:r>
      <w:proofErr w:type="gramStart"/>
      <w:r w:rsidRPr="00BE77B7">
        <w:rPr>
          <w:rFonts w:ascii="Arial" w:hAnsi="Arial" w:cs="Arial"/>
        </w:rPr>
        <w:t>at</w:t>
      </w:r>
      <w:proofErr w:type="gramEnd"/>
      <w:r w:rsidRPr="00BE77B7">
        <w:rPr>
          <w:rFonts w:ascii="Arial" w:hAnsi="Arial" w:cs="Arial"/>
        </w:rPr>
        <w:t xml:space="preserve"> 30 June 2023</w:t>
      </w:r>
    </w:p>
    <w:p w14:paraId="30327A4B" w14:textId="77777777" w:rsidR="00BE77B7" w:rsidRPr="00BE77B7" w:rsidRDefault="00BE77B7" w:rsidP="00BE77B7">
      <w:pPr>
        <w:pStyle w:val="ListParagraph"/>
        <w:numPr>
          <w:ilvl w:val="0"/>
          <w:numId w:val="35"/>
        </w:numPr>
        <w:spacing w:after="0" w:line="360" w:lineRule="auto"/>
        <w:rPr>
          <w:rFonts w:ascii="Arial" w:hAnsi="Arial" w:cs="Arial"/>
        </w:rPr>
      </w:pPr>
      <w:r w:rsidRPr="00BE77B7">
        <w:rPr>
          <w:rFonts w:ascii="Arial" w:hAnsi="Arial" w:cs="Arial"/>
        </w:rPr>
        <w:t>The number of active participants with other physical disabilities was 19,368 at June 2022 and 18,617 at June 2021</w:t>
      </w:r>
    </w:p>
    <w:p w14:paraId="073FBFCA" w14:textId="1F2593DE" w:rsidR="004F524C" w:rsidRPr="00BE77B7" w:rsidRDefault="00BE77B7" w:rsidP="00950370">
      <w:pPr>
        <w:pStyle w:val="ListParagraph"/>
        <w:numPr>
          <w:ilvl w:val="0"/>
          <w:numId w:val="35"/>
        </w:numPr>
        <w:spacing w:after="0" w:line="360" w:lineRule="auto"/>
        <w:rPr>
          <w:rFonts w:ascii="Arial" w:hAnsi="Arial" w:cs="Arial"/>
        </w:rPr>
      </w:pPr>
      <w:r w:rsidRPr="00BE77B7">
        <w:rPr>
          <w:rFonts w:ascii="Arial" w:hAnsi="Arial" w:cs="Arial"/>
        </w:rPr>
        <w:t>The number of active participants with other physical disabilities has increased by 4% between June 2021 and June 2022 and 3% between June 2022, and 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454E9015" w14:textId="77777777" w:rsidR="00BE77B7" w:rsidRPr="00BE77B7" w:rsidRDefault="00BE77B7" w:rsidP="00BE77B7">
      <w:pPr>
        <w:spacing w:after="0" w:line="360" w:lineRule="auto"/>
        <w:rPr>
          <w:rFonts w:ascii="Arial" w:hAnsi="Arial" w:cs="Arial"/>
          <w:bCs/>
        </w:rPr>
      </w:pPr>
      <w:r w:rsidRPr="00BE77B7">
        <w:rPr>
          <w:rFonts w:ascii="Arial" w:hAnsi="Arial" w:cs="Arial"/>
          <w:bCs/>
        </w:rPr>
        <w:t>In the year ending 30 June 2023:</w:t>
      </w:r>
    </w:p>
    <w:p w14:paraId="71FA548F" w14:textId="06897210" w:rsidR="00BE77B7" w:rsidRDefault="00BE77B7" w:rsidP="00BE77B7">
      <w:pPr>
        <w:spacing w:after="0" w:line="360" w:lineRule="auto"/>
        <w:rPr>
          <w:rFonts w:ascii="Arial" w:hAnsi="Arial" w:cs="Arial"/>
          <w:bCs/>
        </w:rPr>
      </w:pPr>
      <w:r w:rsidRPr="00BE77B7">
        <w:rPr>
          <w:rFonts w:ascii="Arial" w:hAnsi="Arial" w:cs="Arial"/>
          <w:bCs/>
        </w:rPr>
        <w:t>A doughnut chart shows that 21%</w:t>
      </w:r>
      <w:r w:rsidR="008D0666">
        <w:rPr>
          <w:rFonts w:ascii="Arial" w:hAnsi="Arial" w:cs="Arial"/>
          <w:bCs/>
        </w:rPr>
        <w:t xml:space="preserve"> (or 1,623)</w:t>
      </w:r>
      <w:r w:rsidRPr="00BE77B7">
        <w:rPr>
          <w:rFonts w:ascii="Arial" w:hAnsi="Arial" w:cs="Arial"/>
          <w:bCs/>
        </w:rPr>
        <w:t xml:space="preserve"> of access decisions for applicants with other physical disabilities resulted in the applicant joining the Scheme, compared to 76% of access decisions for all applicants.</w:t>
      </w:r>
    </w:p>
    <w:p w14:paraId="6DEE808A" w14:textId="77777777" w:rsidR="00BE77B7" w:rsidRPr="00BE77B7" w:rsidRDefault="00BE77B7" w:rsidP="00BE77B7">
      <w:pPr>
        <w:spacing w:after="0" w:line="360" w:lineRule="auto"/>
        <w:rPr>
          <w:rFonts w:ascii="Arial" w:hAnsi="Arial" w:cs="Arial"/>
          <w:bCs/>
        </w:rPr>
      </w:pPr>
    </w:p>
    <w:p w14:paraId="2B8AF779" w14:textId="77777777" w:rsidR="00BE77B7" w:rsidRDefault="00BE77B7" w:rsidP="00BE77B7">
      <w:pPr>
        <w:spacing w:after="0" w:line="360" w:lineRule="auto"/>
        <w:rPr>
          <w:rFonts w:ascii="Arial" w:hAnsi="Arial" w:cs="Arial"/>
          <w:bCs/>
        </w:rPr>
      </w:pPr>
      <w:r w:rsidRPr="00BE77B7">
        <w:rPr>
          <w:rFonts w:ascii="Arial" w:hAnsi="Arial" w:cs="Arial"/>
          <w:bCs/>
        </w:rPr>
        <w:t>The next doughnut chart shows that 7,551 access decisions have been made in the year for applicants with other physical disabilities, of which 1,623 participants met access and are still active.</w:t>
      </w:r>
    </w:p>
    <w:p w14:paraId="55F30434" w14:textId="77777777" w:rsidR="00BE77B7" w:rsidRPr="00BE77B7" w:rsidRDefault="00BE77B7" w:rsidP="00BE77B7">
      <w:pPr>
        <w:spacing w:after="0" w:line="360" w:lineRule="auto"/>
        <w:rPr>
          <w:rFonts w:ascii="Arial" w:hAnsi="Arial" w:cs="Arial"/>
          <w:bCs/>
        </w:rPr>
      </w:pPr>
    </w:p>
    <w:p w14:paraId="1F12558E" w14:textId="31A4534C" w:rsidR="00447398" w:rsidRDefault="00BE77B7" w:rsidP="005110C5">
      <w:pPr>
        <w:spacing w:after="0" w:line="360" w:lineRule="auto"/>
        <w:rPr>
          <w:rFonts w:ascii="Arial" w:hAnsi="Arial" w:cs="Arial"/>
          <w:bCs/>
        </w:rPr>
      </w:pPr>
      <w:r w:rsidRPr="00BE77B7">
        <w:rPr>
          <w:rFonts w:ascii="Arial" w:hAnsi="Arial" w:cs="Arial"/>
          <w:bCs/>
        </w:rPr>
        <w:t xml:space="preserve">A bar chart </w:t>
      </w:r>
      <w:r w:rsidR="00DE513E">
        <w:rPr>
          <w:rFonts w:ascii="Arial" w:hAnsi="Arial" w:cs="Arial"/>
          <w:bCs/>
        </w:rPr>
        <w:t xml:space="preserve">displays </w:t>
      </w:r>
      <w:r w:rsidR="00C85A7C">
        <w:rPr>
          <w:rFonts w:ascii="Arial" w:hAnsi="Arial" w:cs="Arial"/>
          <w:bCs/>
        </w:rPr>
        <w:t>the percentage of participants with other physical disabilities by age band of those who met access and are still alive</w:t>
      </w:r>
      <w:r w:rsidRPr="00BE77B7">
        <w:rPr>
          <w:rFonts w:ascii="Arial" w:hAnsi="Arial" w:cs="Arial"/>
          <w:bCs/>
        </w:rPr>
        <w:t>. Of the 1,623 participants who joined the scheme in the year ending 30 June 2023, 1</w:t>
      </w:r>
      <w:r>
        <w:rPr>
          <w:rFonts w:ascii="Arial" w:hAnsi="Arial" w:cs="Arial"/>
          <w:bCs/>
        </w:rPr>
        <w:t>,365</w:t>
      </w:r>
      <w:r w:rsidRPr="00BE77B7">
        <w:rPr>
          <w:rFonts w:ascii="Arial" w:hAnsi="Arial" w:cs="Arial"/>
          <w:bCs/>
        </w:rPr>
        <w:t xml:space="preserve"> (</w:t>
      </w:r>
      <w:r w:rsidR="00C33245">
        <w:rPr>
          <w:rFonts w:ascii="Arial" w:hAnsi="Arial" w:cs="Arial"/>
          <w:bCs/>
        </w:rPr>
        <w:t xml:space="preserve">or </w:t>
      </w:r>
      <w:r>
        <w:rPr>
          <w:rFonts w:ascii="Arial" w:hAnsi="Arial" w:cs="Arial"/>
          <w:bCs/>
        </w:rPr>
        <w:t>84%</w:t>
      </w:r>
      <w:r w:rsidRPr="00BE77B7">
        <w:rPr>
          <w:rFonts w:ascii="Arial" w:hAnsi="Arial" w:cs="Arial"/>
          <w:bCs/>
        </w:rPr>
        <w:t xml:space="preserve">) were aged </w:t>
      </w:r>
      <w:r>
        <w:rPr>
          <w:rFonts w:ascii="Arial" w:hAnsi="Arial" w:cs="Arial"/>
          <w:bCs/>
        </w:rPr>
        <w:t>25</w:t>
      </w:r>
      <w:r w:rsidRPr="00BE77B7">
        <w:rPr>
          <w:rFonts w:ascii="Arial" w:hAnsi="Arial" w:cs="Arial"/>
          <w:bCs/>
        </w:rPr>
        <w:t xml:space="preserve"> years and </w:t>
      </w:r>
      <w:r>
        <w:rPr>
          <w:rFonts w:ascii="Arial" w:hAnsi="Arial" w:cs="Arial"/>
          <w:bCs/>
        </w:rPr>
        <w:t>over</w:t>
      </w:r>
      <w:r w:rsidRPr="00BE77B7">
        <w:rPr>
          <w:rFonts w:ascii="Arial" w:hAnsi="Arial" w:cs="Arial"/>
          <w:bCs/>
        </w:rPr>
        <w:t>.</w:t>
      </w:r>
    </w:p>
    <w:p w14:paraId="71A84CB4" w14:textId="77777777" w:rsidR="00BE77B7" w:rsidRPr="00BE77B7" w:rsidRDefault="00BE77B7" w:rsidP="00BE77B7">
      <w:pPr>
        <w:pStyle w:val="ListParagraph"/>
        <w:numPr>
          <w:ilvl w:val="0"/>
          <w:numId w:val="41"/>
        </w:numPr>
        <w:spacing w:after="0" w:line="360" w:lineRule="auto"/>
        <w:rPr>
          <w:rFonts w:ascii="Arial" w:hAnsi="Arial" w:cs="Arial"/>
          <w:bCs/>
        </w:rPr>
      </w:pPr>
      <w:r w:rsidRPr="00BE77B7">
        <w:rPr>
          <w:rFonts w:ascii="Arial" w:hAnsi="Arial" w:cs="Arial"/>
          <w:bCs/>
        </w:rPr>
        <w:t>6% were aged 0 to 6.</w:t>
      </w:r>
    </w:p>
    <w:p w14:paraId="60937E70" w14:textId="77777777" w:rsidR="00BE77B7" w:rsidRPr="00BE77B7" w:rsidRDefault="00BE77B7" w:rsidP="00BE77B7">
      <w:pPr>
        <w:pStyle w:val="ListParagraph"/>
        <w:numPr>
          <w:ilvl w:val="0"/>
          <w:numId w:val="41"/>
        </w:numPr>
        <w:spacing w:after="0" w:line="360" w:lineRule="auto"/>
        <w:rPr>
          <w:rFonts w:ascii="Arial" w:hAnsi="Arial" w:cs="Arial"/>
          <w:bCs/>
        </w:rPr>
      </w:pPr>
      <w:r w:rsidRPr="00BE77B7">
        <w:rPr>
          <w:rFonts w:ascii="Arial" w:hAnsi="Arial" w:cs="Arial"/>
          <w:bCs/>
        </w:rPr>
        <w:t>6% were aged 7 to 14.</w:t>
      </w:r>
    </w:p>
    <w:p w14:paraId="15668201" w14:textId="77777777" w:rsidR="00BE77B7" w:rsidRPr="00BE77B7" w:rsidRDefault="00BE77B7" w:rsidP="00BE77B7">
      <w:pPr>
        <w:pStyle w:val="ListParagraph"/>
        <w:numPr>
          <w:ilvl w:val="0"/>
          <w:numId w:val="41"/>
        </w:numPr>
        <w:spacing w:after="0" w:line="360" w:lineRule="auto"/>
        <w:rPr>
          <w:rFonts w:ascii="Arial" w:hAnsi="Arial" w:cs="Arial"/>
          <w:bCs/>
        </w:rPr>
      </w:pPr>
      <w:r w:rsidRPr="00BE77B7">
        <w:rPr>
          <w:rFonts w:ascii="Arial" w:hAnsi="Arial" w:cs="Arial"/>
          <w:bCs/>
        </w:rPr>
        <w:t>2% were aged 15 to 18.</w:t>
      </w:r>
    </w:p>
    <w:p w14:paraId="189628BF" w14:textId="77777777" w:rsidR="00BE77B7" w:rsidRPr="00BE77B7" w:rsidRDefault="00BE77B7" w:rsidP="00BE77B7">
      <w:pPr>
        <w:pStyle w:val="ListParagraph"/>
        <w:numPr>
          <w:ilvl w:val="0"/>
          <w:numId w:val="41"/>
        </w:numPr>
        <w:spacing w:after="0" w:line="360" w:lineRule="auto"/>
        <w:rPr>
          <w:rFonts w:ascii="Arial" w:hAnsi="Arial" w:cs="Arial"/>
          <w:bCs/>
        </w:rPr>
      </w:pPr>
      <w:r w:rsidRPr="00BE77B7">
        <w:rPr>
          <w:rFonts w:ascii="Arial" w:hAnsi="Arial" w:cs="Arial"/>
          <w:bCs/>
        </w:rPr>
        <w:t>2% were aged 19 to 24.</w:t>
      </w:r>
    </w:p>
    <w:p w14:paraId="032DE411" w14:textId="716C2EE7" w:rsidR="00EE2504" w:rsidRPr="008D0666" w:rsidRDefault="00BE77B7" w:rsidP="00EE2504">
      <w:pPr>
        <w:pStyle w:val="ListParagraph"/>
        <w:numPr>
          <w:ilvl w:val="0"/>
          <w:numId w:val="41"/>
        </w:numPr>
        <w:spacing w:after="0" w:line="360" w:lineRule="auto"/>
        <w:rPr>
          <w:rFonts w:ascii="Arial" w:hAnsi="Arial" w:cs="Arial"/>
          <w:bCs/>
        </w:rPr>
      </w:pPr>
      <w:r w:rsidRPr="00BE77B7">
        <w:rPr>
          <w:rFonts w:ascii="Arial" w:hAnsi="Arial" w:cs="Arial"/>
          <w:bCs/>
        </w:rPr>
        <w:t>84% were aged 25</w:t>
      </w:r>
      <w:r w:rsidR="008D0666">
        <w:rPr>
          <w:rFonts w:ascii="Arial" w:hAnsi="Arial" w:cs="Arial"/>
          <w:bCs/>
        </w:rPr>
        <w:t xml:space="preserve"> and over</w:t>
      </w:r>
      <w:r w:rsidRPr="00BE77B7">
        <w:rPr>
          <w:rFonts w:ascii="Arial" w:hAnsi="Arial" w:cs="Arial"/>
          <w:bCs/>
        </w:rPr>
        <w:t>.</w:t>
      </w:r>
      <w:r w:rsidR="00EE2504" w:rsidRPr="00BE77B7">
        <w:rPr>
          <w:rFonts w:ascii="Arial" w:hAnsi="Arial" w:cs="Arial"/>
          <w:b/>
        </w:rPr>
        <w:tab/>
      </w:r>
    </w:p>
    <w:p w14:paraId="3AC85286" w14:textId="4375398E" w:rsidR="00312690" w:rsidRPr="007A0828" w:rsidRDefault="00312690" w:rsidP="00B868A1">
      <w:pPr>
        <w:pStyle w:val="Heading3"/>
      </w:pPr>
      <w:r w:rsidRPr="007A0828">
        <w:t>Gender</w:t>
      </w:r>
    </w:p>
    <w:p w14:paraId="244E6FC5" w14:textId="77777777" w:rsidR="00BE77B7" w:rsidRPr="00BE77B7" w:rsidRDefault="00BE77B7" w:rsidP="00BE77B7">
      <w:pPr>
        <w:spacing w:after="0" w:line="360" w:lineRule="auto"/>
        <w:rPr>
          <w:rFonts w:ascii="Arial" w:hAnsi="Arial" w:cs="Arial"/>
          <w:bCs/>
        </w:rPr>
      </w:pPr>
      <w:r w:rsidRPr="00BE77B7">
        <w:rPr>
          <w:rFonts w:ascii="Arial" w:hAnsi="Arial" w:cs="Arial"/>
          <w:bCs/>
        </w:rPr>
        <w:t>Distribution of active participants by gender</w:t>
      </w:r>
    </w:p>
    <w:p w14:paraId="7022AB96" w14:textId="77777777" w:rsidR="00BE77B7" w:rsidRPr="00BE77B7" w:rsidRDefault="00BE77B7" w:rsidP="00BE77B7">
      <w:pPr>
        <w:spacing w:after="0" w:line="360" w:lineRule="auto"/>
        <w:rPr>
          <w:rFonts w:ascii="Arial" w:hAnsi="Arial" w:cs="Arial"/>
          <w:bCs/>
        </w:rPr>
      </w:pPr>
      <w:r w:rsidRPr="00BE77B7">
        <w:rPr>
          <w:rFonts w:ascii="Arial" w:hAnsi="Arial" w:cs="Arial"/>
          <w:bCs/>
        </w:rPr>
        <w:t>A bar chart shows the percentage of active participants with other physical disabilities by gender and compares that to the distribution of all participants in the Scheme.</w:t>
      </w:r>
    </w:p>
    <w:p w14:paraId="66F96393" w14:textId="7D1D7D38" w:rsidR="00C504A0" w:rsidRPr="007A0828" w:rsidRDefault="00BE77B7" w:rsidP="00BE77B7">
      <w:pPr>
        <w:spacing w:after="0" w:line="360" w:lineRule="auto"/>
        <w:rPr>
          <w:rFonts w:ascii="Arial" w:hAnsi="Arial" w:cs="Arial"/>
          <w:bCs/>
        </w:rPr>
      </w:pPr>
      <w:r w:rsidRPr="00BE77B7">
        <w:rPr>
          <w:rFonts w:ascii="Arial" w:hAnsi="Arial" w:cs="Arial"/>
          <w:bCs/>
        </w:rPr>
        <w:lastRenderedPageBreak/>
        <w:t xml:space="preserve">As </w:t>
      </w:r>
      <w:proofErr w:type="gramStart"/>
      <w:r w:rsidRPr="00BE77B7">
        <w:rPr>
          <w:rFonts w:ascii="Arial" w:hAnsi="Arial" w:cs="Arial"/>
          <w:bCs/>
        </w:rPr>
        <w:t>at</w:t>
      </w:r>
      <w:proofErr w:type="gramEnd"/>
      <w:r w:rsidRPr="00BE77B7">
        <w:rPr>
          <w:rFonts w:ascii="Arial" w:hAnsi="Arial" w:cs="Arial"/>
          <w:bCs/>
        </w:rPr>
        <w:t xml:space="preserve"> 30 June 2023, the percentage of participants with other physical disabilities who identified as:</w:t>
      </w:r>
      <w:r w:rsidR="00C504A0" w:rsidRPr="007A0828">
        <w:rPr>
          <w:rFonts w:ascii="Arial" w:hAnsi="Arial" w:cs="Arial"/>
          <w:bCs/>
        </w:rPr>
        <w:tab/>
      </w:r>
    </w:p>
    <w:p w14:paraId="1B725547"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Male was 48%, compared to 61% for all participants.</w:t>
      </w:r>
    </w:p>
    <w:p w14:paraId="0C3E39B2"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Female was 50%, compared to 37% for all participants.</w:t>
      </w:r>
    </w:p>
    <w:p w14:paraId="0183DD2A" w14:textId="48826EA4" w:rsidR="00312690"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Other was 1%, compared to 1% for all participants.</w:t>
      </w:r>
    </w:p>
    <w:p w14:paraId="2C44A32A" w14:textId="77777777" w:rsidR="00925926" w:rsidRPr="007A0828" w:rsidRDefault="00925926" w:rsidP="00950370">
      <w:pPr>
        <w:spacing w:after="0" w:line="360" w:lineRule="auto"/>
        <w:rPr>
          <w:rFonts w:ascii="Arial" w:hAnsi="Arial" w:cs="Arial"/>
          <w:b/>
        </w:rPr>
      </w:pPr>
    </w:p>
    <w:p w14:paraId="50B01FEE" w14:textId="5E504BE0" w:rsidR="00925926" w:rsidRPr="008D0666" w:rsidRDefault="00B54F63" w:rsidP="00950370">
      <w:pPr>
        <w:spacing w:after="0" w:line="360" w:lineRule="auto"/>
        <w:rPr>
          <w:rFonts w:ascii="Arial" w:hAnsi="Arial" w:cs="Arial"/>
          <w:bCs/>
        </w:rPr>
      </w:pPr>
      <w:r w:rsidRPr="007A0828">
        <w:rPr>
          <w:rFonts w:ascii="Arial" w:hAnsi="Arial" w:cs="Arial"/>
        </w:rPr>
        <w:t xml:space="preserve">Commentary in the text box: </w:t>
      </w:r>
      <w:r w:rsidR="003D6D77" w:rsidRPr="007A0828">
        <w:rPr>
          <w:rFonts w:ascii="Arial" w:hAnsi="Arial" w:cs="Arial"/>
          <w:bCs/>
        </w:rPr>
        <w:t>The</w:t>
      </w:r>
      <w:r w:rsidR="00BE77B7">
        <w:rPr>
          <w:rFonts w:ascii="Arial" w:hAnsi="Arial" w:cs="Arial"/>
          <w:bCs/>
        </w:rPr>
        <w:t xml:space="preserve">re are slightly more females in the Scheme with other physical disabilities </w:t>
      </w:r>
      <w:r w:rsidR="003D6D77" w:rsidRPr="007A0828">
        <w:rPr>
          <w:rFonts w:ascii="Arial" w:hAnsi="Arial" w:cs="Arial"/>
          <w:bCs/>
        </w:rPr>
        <w:t>(</w:t>
      </w:r>
      <w:r w:rsidR="00BE77B7">
        <w:rPr>
          <w:rFonts w:ascii="Arial" w:hAnsi="Arial" w:cs="Arial"/>
          <w:bCs/>
        </w:rPr>
        <w:t>5</w:t>
      </w:r>
      <w:r w:rsidR="003D6D77" w:rsidRPr="007A0828">
        <w:rPr>
          <w:rFonts w:ascii="Arial" w:hAnsi="Arial" w:cs="Arial"/>
          <w:bCs/>
        </w:rPr>
        <w:t>0%)</w:t>
      </w:r>
      <w:r w:rsidR="007E7F61">
        <w:rPr>
          <w:rFonts w:ascii="Arial" w:hAnsi="Arial" w:cs="Arial"/>
          <w:bCs/>
        </w:rPr>
        <w:t>.</w:t>
      </w:r>
    </w:p>
    <w:p w14:paraId="40580432" w14:textId="603447B7" w:rsidR="00C710E1" w:rsidRPr="007A0828" w:rsidRDefault="00C710E1" w:rsidP="00B868A1">
      <w:pPr>
        <w:pStyle w:val="Heading3"/>
      </w:pPr>
      <w:r w:rsidRPr="007A0828">
        <w:t>State/Territory</w:t>
      </w:r>
    </w:p>
    <w:p w14:paraId="67621F93" w14:textId="77777777" w:rsidR="00BE77B7" w:rsidRPr="00BE77B7" w:rsidRDefault="00BE77B7" w:rsidP="00BE77B7">
      <w:pPr>
        <w:spacing w:after="0" w:line="360" w:lineRule="auto"/>
        <w:rPr>
          <w:rFonts w:ascii="Arial" w:hAnsi="Arial" w:cs="Arial"/>
          <w:bCs/>
        </w:rPr>
      </w:pPr>
      <w:r w:rsidRPr="00BE77B7">
        <w:rPr>
          <w:rFonts w:ascii="Arial" w:hAnsi="Arial" w:cs="Arial"/>
          <w:bCs/>
        </w:rPr>
        <w:t>Distribution of active participants by State/Territory</w:t>
      </w:r>
    </w:p>
    <w:p w14:paraId="3A62309B" w14:textId="49DFF952" w:rsidR="00BE77B7" w:rsidRPr="00BE77B7" w:rsidRDefault="00BE77B7" w:rsidP="00BE77B7">
      <w:pPr>
        <w:spacing w:after="0" w:line="360" w:lineRule="auto"/>
        <w:rPr>
          <w:rFonts w:ascii="Arial" w:hAnsi="Arial" w:cs="Arial"/>
          <w:bCs/>
        </w:rPr>
      </w:pPr>
      <w:r w:rsidRPr="00BE77B7">
        <w:rPr>
          <w:rFonts w:ascii="Arial" w:hAnsi="Arial" w:cs="Arial"/>
          <w:bCs/>
        </w:rPr>
        <w:t>A bar chart shows the percentage of active participants with other physical disabilities residing in each State/Territory</w:t>
      </w:r>
      <w:r>
        <w:rPr>
          <w:rFonts w:ascii="Arial" w:hAnsi="Arial" w:cs="Arial"/>
          <w:bCs/>
        </w:rPr>
        <w:t xml:space="preserve"> </w:t>
      </w:r>
      <w:r w:rsidRPr="00BE77B7">
        <w:rPr>
          <w:rFonts w:ascii="Arial" w:hAnsi="Arial" w:cs="Arial"/>
          <w:bCs/>
        </w:rPr>
        <w:t>and compares that to the distribution of all participants in the Scheme.</w:t>
      </w:r>
    </w:p>
    <w:p w14:paraId="107940E4" w14:textId="63EF7ADB" w:rsidR="00B81C63" w:rsidRPr="007A0828" w:rsidRDefault="00BE77B7" w:rsidP="00BE77B7">
      <w:pPr>
        <w:spacing w:after="0" w:line="360" w:lineRule="auto"/>
        <w:rPr>
          <w:rFonts w:ascii="Arial" w:hAnsi="Arial" w:cs="Arial"/>
          <w:bCs/>
        </w:rPr>
      </w:pPr>
      <w:r w:rsidRPr="00BE77B7">
        <w:rPr>
          <w:rFonts w:ascii="Arial" w:hAnsi="Arial" w:cs="Arial"/>
          <w:bCs/>
        </w:rPr>
        <w:t xml:space="preserve">As </w:t>
      </w:r>
      <w:proofErr w:type="gramStart"/>
      <w:r w:rsidRPr="00BE77B7">
        <w:rPr>
          <w:rFonts w:ascii="Arial" w:hAnsi="Arial" w:cs="Arial"/>
          <w:bCs/>
        </w:rPr>
        <w:t>at</w:t>
      </w:r>
      <w:proofErr w:type="gramEnd"/>
      <w:r w:rsidRPr="00BE77B7">
        <w:rPr>
          <w:rFonts w:ascii="Arial" w:hAnsi="Arial" w:cs="Arial"/>
          <w:bCs/>
        </w:rPr>
        <w:t xml:space="preserve"> 30 June 2023, the percentage of participants with other physical disabilities who resided in:</w:t>
      </w:r>
      <w:r w:rsidR="00B81C63" w:rsidRPr="007A0828">
        <w:rPr>
          <w:rFonts w:ascii="Arial" w:hAnsi="Arial" w:cs="Arial"/>
          <w:bCs/>
        </w:rPr>
        <w:tab/>
      </w:r>
    </w:p>
    <w:p w14:paraId="4A46CB6B"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NSW was 29%, compared to 30% for all participants.</w:t>
      </w:r>
    </w:p>
    <w:p w14:paraId="18F6A89B"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VIC was 23%, compared to 27% for all participants.</w:t>
      </w:r>
    </w:p>
    <w:p w14:paraId="49AF08E4"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QLD was 24%, compared to 21% for all participants.</w:t>
      </w:r>
    </w:p>
    <w:p w14:paraId="5AF4F0B6"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WA was 9%, compared to 9% for all participants.</w:t>
      </w:r>
    </w:p>
    <w:p w14:paraId="01C366D0"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SA was 9%, compared to 9% for all participants.</w:t>
      </w:r>
    </w:p>
    <w:p w14:paraId="404BF43B"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TAS was 2%, compared to 2% for all participants.</w:t>
      </w:r>
    </w:p>
    <w:p w14:paraId="3CE55DE4" w14:textId="77777777" w:rsidR="00BE77B7" w:rsidRPr="00BE77B7" w:rsidRDefault="00BE77B7" w:rsidP="00BE77B7">
      <w:pPr>
        <w:pStyle w:val="ListParagraph"/>
        <w:numPr>
          <w:ilvl w:val="0"/>
          <w:numId w:val="6"/>
        </w:numPr>
        <w:spacing w:after="0" w:line="360" w:lineRule="auto"/>
        <w:rPr>
          <w:rFonts w:ascii="Arial" w:hAnsi="Arial" w:cs="Arial"/>
          <w:bCs/>
        </w:rPr>
      </w:pPr>
      <w:r w:rsidRPr="00BE77B7">
        <w:rPr>
          <w:rFonts w:ascii="Arial" w:hAnsi="Arial" w:cs="Arial"/>
          <w:bCs/>
        </w:rPr>
        <w:t>NT was 1%, compared to 1% for all participants.</w:t>
      </w:r>
    </w:p>
    <w:p w14:paraId="2911DAFD" w14:textId="739B2130" w:rsidR="00312690" w:rsidRPr="008D0666" w:rsidRDefault="00BE77B7" w:rsidP="00950370">
      <w:pPr>
        <w:pStyle w:val="ListParagraph"/>
        <w:numPr>
          <w:ilvl w:val="0"/>
          <w:numId w:val="6"/>
        </w:numPr>
        <w:spacing w:after="0" w:line="360" w:lineRule="auto"/>
        <w:rPr>
          <w:rFonts w:ascii="Arial" w:hAnsi="Arial" w:cs="Arial"/>
          <w:bCs/>
        </w:rPr>
      </w:pPr>
      <w:r w:rsidRPr="00BE77B7">
        <w:rPr>
          <w:rFonts w:ascii="Arial" w:hAnsi="Arial" w:cs="Arial"/>
          <w:bCs/>
        </w:rPr>
        <w:t>ACT was 3%, compared to 2% for all participants.</w:t>
      </w:r>
    </w:p>
    <w:p w14:paraId="5EA7779B" w14:textId="2D0AD2E9" w:rsidR="00C710E1" w:rsidRPr="007A0828" w:rsidRDefault="00C710E1" w:rsidP="00B868A1">
      <w:pPr>
        <w:pStyle w:val="Heading3"/>
      </w:pPr>
      <w:r w:rsidRPr="007A0828">
        <w:t>Age Band</w:t>
      </w:r>
    </w:p>
    <w:p w14:paraId="42E0FC7D" w14:textId="77777777" w:rsidR="00BE77B7" w:rsidRPr="00BE77B7" w:rsidRDefault="00BE77B7" w:rsidP="00BE77B7">
      <w:pPr>
        <w:spacing w:after="0" w:line="360" w:lineRule="auto"/>
        <w:rPr>
          <w:rFonts w:ascii="Arial" w:hAnsi="Arial" w:cs="Arial"/>
        </w:rPr>
      </w:pPr>
      <w:r w:rsidRPr="00BE77B7">
        <w:rPr>
          <w:rFonts w:ascii="Arial" w:hAnsi="Arial" w:cs="Arial"/>
        </w:rPr>
        <w:t xml:space="preserve">Distribution of active participants by age band </w:t>
      </w:r>
    </w:p>
    <w:p w14:paraId="4C432B24" w14:textId="77777777" w:rsidR="00BE77B7" w:rsidRPr="00BE77B7" w:rsidRDefault="00BE77B7" w:rsidP="00BE77B7">
      <w:pPr>
        <w:spacing w:after="0" w:line="360" w:lineRule="auto"/>
        <w:rPr>
          <w:rFonts w:ascii="Arial" w:hAnsi="Arial" w:cs="Arial"/>
        </w:rPr>
      </w:pPr>
      <w:r w:rsidRPr="00BE77B7">
        <w:rPr>
          <w:rFonts w:ascii="Arial" w:hAnsi="Arial" w:cs="Arial"/>
        </w:rPr>
        <w:t xml:space="preserve">A chart shows the percentage of active participants with other physical disabilities by age </w:t>
      </w:r>
      <w:proofErr w:type="gramStart"/>
      <w:r w:rsidRPr="00BE77B7">
        <w:rPr>
          <w:rFonts w:ascii="Arial" w:hAnsi="Arial" w:cs="Arial"/>
        </w:rPr>
        <w:t>band, and</w:t>
      </w:r>
      <w:proofErr w:type="gramEnd"/>
      <w:r w:rsidRPr="00BE77B7">
        <w:rPr>
          <w:rFonts w:ascii="Arial" w:hAnsi="Arial" w:cs="Arial"/>
        </w:rPr>
        <w:t xml:space="preserve"> compares that to the distribution of all participants in the Scheme.</w:t>
      </w:r>
    </w:p>
    <w:p w14:paraId="35D19C98" w14:textId="47DAD4DA" w:rsidR="00B21C91" w:rsidRPr="007A0828" w:rsidRDefault="00BE77B7" w:rsidP="00BE77B7">
      <w:pPr>
        <w:spacing w:after="0" w:line="360" w:lineRule="auto"/>
        <w:rPr>
          <w:rFonts w:ascii="Arial" w:hAnsi="Arial" w:cs="Arial"/>
        </w:rPr>
      </w:pPr>
      <w:r w:rsidRPr="00BE77B7">
        <w:rPr>
          <w:rFonts w:ascii="Arial" w:hAnsi="Arial" w:cs="Arial"/>
        </w:rPr>
        <w:t xml:space="preserve">As </w:t>
      </w:r>
      <w:proofErr w:type="gramStart"/>
      <w:r w:rsidRPr="00BE77B7">
        <w:rPr>
          <w:rFonts w:ascii="Arial" w:hAnsi="Arial" w:cs="Arial"/>
        </w:rPr>
        <w:t>at</w:t>
      </w:r>
      <w:proofErr w:type="gramEnd"/>
      <w:r w:rsidRPr="00BE77B7">
        <w:rPr>
          <w:rFonts w:ascii="Arial" w:hAnsi="Arial" w:cs="Arial"/>
        </w:rPr>
        <w:t xml:space="preserve"> 30 June 2023, the percentage of participants with other physical disabilities who were in the age band:</w:t>
      </w:r>
    </w:p>
    <w:p w14:paraId="633A4EC8" w14:textId="77777777" w:rsidR="00BE77B7" w:rsidRP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t>0 to 6 was 2%, compared to 16% for all participants.</w:t>
      </w:r>
    </w:p>
    <w:p w14:paraId="4EED41F8" w14:textId="77777777" w:rsidR="00BE77B7" w:rsidRP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t>7 to 14 was 8%, compared to 26% for all participants.</w:t>
      </w:r>
    </w:p>
    <w:p w14:paraId="7F08B5D6" w14:textId="77777777" w:rsidR="00BE77B7" w:rsidRP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t>15 to 18 was 3%, compared to 9% for all participants.</w:t>
      </w:r>
    </w:p>
    <w:p w14:paraId="0C34BE6B" w14:textId="77777777" w:rsidR="00BE77B7" w:rsidRP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t>19 to 24 was 4%, compared to 8% for all participants.</w:t>
      </w:r>
    </w:p>
    <w:p w14:paraId="5E79C318" w14:textId="77777777" w:rsidR="00BE77B7" w:rsidRP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t>25 to 34 was 6%, compared to 9% for all participants.</w:t>
      </w:r>
    </w:p>
    <w:p w14:paraId="003E60B7" w14:textId="77777777" w:rsidR="00BE77B7" w:rsidRP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lastRenderedPageBreak/>
        <w:t>35 to 44 was 10%, compared to 8% for all participants.</w:t>
      </w:r>
    </w:p>
    <w:p w14:paraId="7410FCA8" w14:textId="77777777" w:rsidR="00BE77B7" w:rsidRP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t>45 to 54 was 18%, compared to 9% for all participants.</w:t>
      </w:r>
    </w:p>
    <w:p w14:paraId="4AB9B15E" w14:textId="77777777" w:rsidR="00BE77B7" w:rsidRP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t>55 to 64 was 31%, compared to 11% for all participants.</w:t>
      </w:r>
    </w:p>
    <w:p w14:paraId="60903C9D" w14:textId="7C5E5E1F" w:rsidR="00BE77B7" w:rsidRDefault="00BE77B7" w:rsidP="00BE77B7">
      <w:pPr>
        <w:pStyle w:val="ListParagraph"/>
        <w:numPr>
          <w:ilvl w:val="1"/>
          <w:numId w:val="7"/>
        </w:numPr>
        <w:spacing w:after="0" w:line="360" w:lineRule="auto"/>
        <w:rPr>
          <w:rFonts w:ascii="Arial" w:hAnsi="Arial" w:cs="Arial"/>
        </w:rPr>
      </w:pPr>
      <w:r w:rsidRPr="00BE77B7">
        <w:rPr>
          <w:rFonts w:ascii="Arial" w:hAnsi="Arial" w:cs="Arial"/>
        </w:rPr>
        <w:t>65</w:t>
      </w:r>
      <w:r w:rsidR="008D0666">
        <w:rPr>
          <w:rFonts w:ascii="Arial" w:hAnsi="Arial" w:cs="Arial"/>
        </w:rPr>
        <w:t xml:space="preserve"> and over</w:t>
      </w:r>
      <w:r w:rsidRPr="00BE77B7">
        <w:rPr>
          <w:rFonts w:ascii="Arial" w:hAnsi="Arial" w:cs="Arial"/>
        </w:rPr>
        <w:t xml:space="preserve"> was 18%, compared to 5% for all participants.</w:t>
      </w:r>
    </w:p>
    <w:p w14:paraId="51F31919" w14:textId="4672C1A2" w:rsidR="00C710E1" w:rsidRPr="007A0828" w:rsidRDefault="00C710E1" w:rsidP="00BE77B7">
      <w:pPr>
        <w:pStyle w:val="ListParagraph"/>
        <w:spacing w:after="0" w:line="360" w:lineRule="auto"/>
        <w:rPr>
          <w:rFonts w:ascii="Arial" w:hAnsi="Arial" w:cs="Arial"/>
        </w:rPr>
      </w:pPr>
    </w:p>
    <w:p w14:paraId="12DB4D52" w14:textId="41AE042F" w:rsidR="00490FC0" w:rsidRPr="007A0828" w:rsidRDefault="00B21C91" w:rsidP="00B21C91">
      <w:pPr>
        <w:spacing w:after="0" w:line="360" w:lineRule="auto"/>
        <w:rPr>
          <w:rFonts w:ascii="Arial" w:hAnsi="Arial" w:cs="Arial"/>
        </w:rPr>
      </w:pPr>
      <w:r w:rsidRPr="007A0828">
        <w:rPr>
          <w:rFonts w:ascii="Arial" w:hAnsi="Arial" w:cs="Arial"/>
        </w:rPr>
        <w:t xml:space="preserve">Commentary in the text box: </w:t>
      </w:r>
      <w:proofErr w:type="gramStart"/>
      <w:r w:rsidR="009A1EB7" w:rsidRPr="007A0828">
        <w:rPr>
          <w:rFonts w:ascii="Arial" w:hAnsi="Arial" w:cs="Arial"/>
        </w:rPr>
        <w:t>The majority of</w:t>
      </w:r>
      <w:proofErr w:type="gramEnd"/>
      <w:r w:rsidR="009A1EB7" w:rsidRPr="007A0828">
        <w:rPr>
          <w:rFonts w:ascii="Arial" w:hAnsi="Arial" w:cs="Arial"/>
        </w:rPr>
        <w:t xml:space="preserve"> participants with </w:t>
      </w:r>
      <w:r w:rsidR="00272C12">
        <w:rPr>
          <w:rFonts w:ascii="Arial" w:hAnsi="Arial" w:cs="Arial"/>
        </w:rPr>
        <w:t>other physical disabilities</w:t>
      </w:r>
      <w:r w:rsidR="00272C12" w:rsidRPr="007A0828">
        <w:rPr>
          <w:rFonts w:ascii="Arial" w:hAnsi="Arial" w:cs="Arial"/>
        </w:rPr>
        <w:t xml:space="preserve"> </w:t>
      </w:r>
      <w:r w:rsidR="009A1EB7" w:rsidRPr="007A0828">
        <w:rPr>
          <w:rFonts w:ascii="Arial" w:hAnsi="Arial" w:cs="Arial"/>
        </w:rPr>
        <w:t xml:space="preserve">are aged </w:t>
      </w:r>
      <w:r w:rsidR="00272C12">
        <w:rPr>
          <w:rFonts w:ascii="Arial" w:hAnsi="Arial" w:cs="Arial"/>
        </w:rPr>
        <w:t>45</w:t>
      </w:r>
      <w:r w:rsidR="009A1EB7" w:rsidRPr="007A0828">
        <w:rPr>
          <w:rFonts w:ascii="Arial" w:hAnsi="Arial" w:cs="Arial"/>
        </w:rPr>
        <w:t xml:space="preserve"> </w:t>
      </w:r>
      <w:r w:rsidR="00272C12">
        <w:rPr>
          <w:rFonts w:ascii="Arial" w:hAnsi="Arial" w:cs="Arial"/>
        </w:rPr>
        <w:t>and over</w:t>
      </w:r>
      <w:r w:rsidR="009A1EB7" w:rsidRPr="007A0828">
        <w:rPr>
          <w:rFonts w:ascii="Arial" w:hAnsi="Arial" w:cs="Arial"/>
        </w:rPr>
        <w:t xml:space="preserve"> (</w:t>
      </w:r>
      <w:r w:rsidR="00272C12">
        <w:rPr>
          <w:rFonts w:ascii="Arial" w:hAnsi="Arial" w:cs="Arial"/>
        </w:rPr>
        <w:t>67</w:t>
      </w:r>
      <w:r w:rsidR="009A1EB7" w:rsidRPr="007A0828">
        <w:rPr>
          <w:rFonts w:ascii="Arial" w:hAnsi="Arial" w:cs="Arial"/>
        </w:rPr>
        <w:t>%)</w:t>
      </w:r>
      <w:r w:rsidR="00490FC0" w:rsidRPr="007A0828">
        <w:rPr>
          <w:rFonts w:ascii="Arial" w:hAnsi="Arial" w:cs="Arial"/>
        </w:rPr>
        <w:t>.</w:t>
      </w:r>
    </w:p>
    <w:p w14:paraId="614B8F30" w14:textId="77777777" w:rsidR="00C710E1" w:rsidRPr="007A0828" w:rsidRDefault="00C710E1" w:rsidP="00B868A1">
      <w:pPr>
        <w:pStyle w:val="Heading3"/>
      </w:pPr>
      <w:r w:rsidRPr="007A0828">
        <w:t>Reported Level of Function</w:t>
      </w:r>
      <w:r w:rsidRPr="007A0828">
        <w:tab/>
      </w:r>
      <w:r w:rsidRPr="007A0828">
        <w:tab/>
      </w:r>
      <w:r w:rsidRPr="007A0828">
        <w:tab/>
      </w:r>
    </w:p>
    <w:p w14:paraId="1F3D69E8" w14:textId="77777777" w:rsidR="00BE77B7" w:rsidRPr="00BE77B7" w:rsidRDefault="00BE77B7" w:rsidP="00BE77B7">
      <w:pPr>
        <w:spacing w:after="0" w:line="360" w:lineRule="auto"/>
        <w:rPr>
          <w:rFonts w:ascii="Arial" w:hAnsi="Arial" w:cs="Arial"/>
        </w:rPr>
      </w:pPr>
      <w:r w:rsidRPr="00BE77B7">
        <w:rPr>
          <w:rFonts w:ascii="Arial" w:hAnsi="Arial" w:cs="Arial"/>
        </w:rPr>
        <w:t xml:space="preserve">Distribution of active participants by reported level of </w:t>
      </w:r>
      <w:proofErr w:type="gramStart"/>
      <w:r w:rsidRPr="00BE77B7">
        <w:rPr>
          <w:rFonts w:ascii="Arial" w:hAnsi="Arial" w:cs="Arial"/>
        </w:rPr>
        <w:t>function</w:t>
      </w:r>
      <w:proofErr w:type="gramEnd"/>
      <w:r w:rsidRPr="00BE77B7">
        <w:rPr>
          <w:rFonts w:ascii="Arial" w:hAnsi="Arial" w:cs="Arial"/>
        </w:rPr>
        <w:t xml:space="preserve"> </w:t>
      </w:r>
    </w:p>
    <w:p w14:paraId="1214ACCB" w14:textId="4541A85A" w:rsidR="00BE77B7" w:rsidRPr="00BE77B7" w:rsidRDefault="00BE77B7" w:rsidP="00BE77B7">
      <w:pPr>
        <w:spacing w:after="0" w:line="360" w:lineRule="auto"/>
        <w:rPr>
          <w:rFonts w:ascii="Arial" w:hAnsi="Arial" w:cs="Arial"/>
        </w:rPr>
      </w:pPr>
      <w:r w:rsidRPr="00BE77B7">
        <w:rPr>
          <w:rFonts w:ascii="Arial" w:hAnsi="Arial" w:cs="Arial"/>
        </w:rPr>
        <w:t xml:space="preserve">A chart shows the percentage of active participants with other physical disabilities by reported level of </w:t>
      </w:r>
      <w:proofErr w:type="gramStart"/>
      <w:r w:rsidRPr="00BE77B7">
        <w:rPr>
          <w:rFonts w:ascii="Arial" w:hAnsi="Arial" w:cs="Arial"/>
        </w:rPr>
        <w:t>function</w:t>
      </w:r>
      <w:r w:rsidR="00272C12">
        <w:rPr>
          <w:rFonts w:ascii="Arial" w:hAnsi="Arial" w:cs="Arial"/>
        </w:rPr>
        <w:t xml:space="preserve">, </w:t>
      </w:r>
      <w:r w:rsidRPr="00BE77B7">
        <w:rPr>
          <w:rFonts w:ascii="Arial" w:hAnsi="Arial" w:cs="Arial"/>
        </w:rPr>
        <w:t>and</w:t>
      </w:r>
      <w:proofErr w:type="gramEnd"/>
      <w:r w:rsidRPr="00BE77B7">
        <w:rPr>
          <w:rFonts w:ascii="Arial" w:hAnsi="Arial" w:cs="Arial"/>
        </w:rPr>
        <w:t xml:space="preserve"> compares that to the distribution of all participants in the Scheme.</w:t>
      </w:r>
    </w:p>
    <w:p w14:paraId="699EBB8F" w14:textId="10E77A96" w:rsidR="00D4328B" w:rsidRPr="007A0828" w:rsidRDefault="00BE77B7" w:rsidP="00BE77B7">
      <w:pPr>
        <w:spacing w:after="0" w:line="360" w:lineRule="auto"/>
        <w:rPr>
          <w:rFonts w:ascii="Arial" w:hAnsi="Arial" w:cs="Arial"/>
        </w:rPr>
      </w:pPr>
      <w:r w:rsidRPr="00BE77B7">
        <w:rPr>
          <w:rFonts w:ascii="Arial" w:hAnsi="Arial" w:cs="Arial"/>
        </w:rPr>
        <w:t xml:space="preserve">As </w:t>
      </w:r>
      <w:proofErr w:type="gramStart"/>
      <w:r w:rsidRPr="00BE77B7">
        <w:rPr>
          <w:rFonts w:ascii="Arial" w:hAnsi="Arial" w:cs="Arial"/>
        </w:rPr>
        <w:t>at</w:t>
      </w:r>
      <w:proofErr w:type="gramEnd"/>
      <w:r w:rsidRPr="00BE77B7">
        <w:rPr>
          <w:rFonts w:ascii="Arial" w:hAnsi="Arial" w:cs="Arial"/>
        </w:rPr>
        <w:t xml:space="preserve"> 30 June 2023, the percentage of participants with other physical disabilities who had</w:t>
      </w:r>
      <w:r>
        <w:rPr>
          <w:rFonts w:ascii="Arial" w:hAnsi="Arial" w:cs="Arial"/>
        </w:rPr>
        <w:t>:</w:t>
      </w:r>
    </w:p>
    <w:p w14:paraId="0DBBECF4" w14:textId="564903AE" w:rsidR="00BE77B7" w:rsidRPr="00BE77B7" w:rsidRDefault="00BE77B7" w:rsidP="00BE77B7">
      <w:pPr>
        <w:pStyle w:val="ListParagraph"/>
        <w:numPr>
          <w:ilvl w:val="0"/>
          <w:numId w:val="8"/>
        </w:numPr>
        <w:spacing w:after="0" w:line="360" w:lineRule="auto"/>
        <w:rPr>
          <w:rFonts w:ascii="Arial" w:hAnsi="Arial" w:cs="Arial"/>
        </w:rPr>
      </w:pPr>
      <w:r w:rsidRPr="00BE77B7">
        <w:rPr>
          <w:rFonts w:ascii="Arial" w:hAnsi="Arial" w:cs="Arial"/>
        </w:rPr>
        <w:t xml:space="preserve">a </w:t>
      </w:r>
      <w:r w:rsidR="008B733B">
        <w:rPr>
          <w:rFonts w:ascii="Arial" w:hAnsi="Arial" w:cs="Arial"/>
        </w:rPr>
        <w:t xml:space="preserve">high </w:t>
      </w:r>
      <w:r w:rsidRPr="00BE77B7">
        <w:rPr>
          <w:rFonts w:ascii="Arial" w:hAnsi="Arial" w:cs="Arial"/>
        </w:rPr>
        <w:t>reported level of function was 12%, compared to 30% for all participants.</w:t>
      </w:r>
    </w:p>
    <w:p w14:paraId="7D7E01C3" w14:textId="180C508E" w:rsidR="00BE77B7" w:rsidRPr="00BE77B7" w:rsidRDefault="00BE77B7" w:rsidP="00BE77B7">
      <w:pPr>
        <w:pStyle w:val="ListParagraph"/>
        <w:numPr>
          <w:ilvl w:val="0"/>
          <w:numId w:val="8"/>
        </w:numPr>
        <w:spacing w:after="0" w:line="360" w:lineRule="auto"/>
        <w:rPr>
          <w:rFonts w:ascii="Arial" w:hAnsi="Arial" w:cs="Arial"/>
        </w:rPr>
      </w:pPr>
      <w:r w:rsidRPr="00BE77B7">
        <w:rPr>
          <w:rFonts w:ascii="Arial" w:hAnsi="Arial" w:cs="Arial"/>
        </w:rPr>
        <w:t xml:space="preserve">a </w:t>
      </w:r>
      <w:r w:rsidR="008B733B">
        <w:rPr>
          <w:rFonts w:ascii="Arial" w:hAnsi="Arial" w:cs="Arial"/>
        </w:rPr>
        <w:t xml:space="preserve">medium </w:t>
      </w:r>
      <w:r w:rsidRPr="00BE77B7">
        <w:rPr>
          <w:rFonts w:ascii="Arial" w:hAnsi="Arial" w:cs="Arial"/>
        </w:rPr>
        <w:t>reported level of function was 51%, compared to 46% for all participants.</w:t>
      </w:r>
    </w:p>
    <w:p w14:paraId="1D7201E5" w14:textId="0F6613FE" w:rsidR="00D4328B" w:rsidRPr="00BE77B7" w:rsidRDefault="00BE77B7" w:rsidP="00BE77B7">
      <w:pPr>
        <w:pStyle w:val="ListParagraph"/>
        <w:numPr>
          <w:ilvl w:val="0"/>
          <w:numId w:val="8"/>
        </w:numPr>
        <w:spacing w:after="0" w:line="360" w:lineRule="auto"/>
        <w:rPr>
          <w:rFonts w:ascii="Arial" w:hAnsi="Arial" w:cs="Arial"/>
        </w:rPr>
      </w:pPr>
      <w:r w:rsidRPr="00BE77B7">
        <w:rPr>
          <w:rFonts w:ascii="Arial" w:hAnsi="Arial" w:cs="Arial"/>
        </w:rPr>
        <w:t xml:space="preserve">a </w:t>
      </w:r>
      <w:r w:rsidR="008B733B">
        <w:rPr>
          <w:rFonts w:ascii="Arial" w:hAnsi="Arial" w:cs="Arial"/>
        </w:rPr>
        <w:t xml:space="preserve">low </w:t>
      </w:r>
      <w:r w:rsidRPr="00BE77B7">
        <w:rPr>
          <w:rFonts w:ascii="Arial" w:hAnsi="Arial" w:cs="Arial"/>
        </w:rPr>
        <w:t>reported level of function was 37%, compared to 24% for all participants.</w:t>
      </w:r>
    </w:p>
    <w:p w14:paraId="66AE6EF1" w14:textId="2C0F76B2" w:rsidR="00C710E1" w:rsidRPr="00272C12" w:rsidRDefault="00C710E1" w:rsidP="00272C12">
      <w:pPr>
        <w:spacing w:after="0" w:line="360" w:lineRule="auto"/>
        <w:rPr>
          <w:rFonts w:ascii="Arial" w:hAnsi="Arial" w:cs="Arial"/>
        </w:rPr>
      </w:pPr>
      <w:r w:rsidRPr="007A0828">
        <w:rPr>
          <w:rFonts w:ascii="Arial" w:hAnsi="Arial" w:cs="Arial"/>
        </w:rPr>
        <w:t xml:space="preserve">Commentary in the text box: </w:t>
      </w:r>
      <w:proofErr w:type="gramStart"/>
      <w:r w:rsidRPr="007A0828">
        <w:rPr>
          <w:rFonts w:ascii="Arial" w:hAnsi="Arial" w:cs="Arial"/>
        </w:rPr>
        <w:t>The majority of</w:t>
      </w:r>
      <w:proofErr w:type="gramEnd"/>
      <w:r w:rsidRPr="007A0828">
        <w:rPr>
          <w:rFonts w:ascii="Arial" w:hAnsi="Arial" w:cs="Arial"/>
        </w:rPr>
        <w:t xml:space="preserve"> the participants with </w:t>
      </w:r>
      <w:r w:rsidR="00272C12">
        <w:rPr>
          <w:rFonts w:ascii="Arial" w:hAnsi="Arial" w:cs="Arial"/>
        </w:rPr>
        <w:t>other physical disabilities</w:t>
      </w:r>
      <w:r w:rsidR="00272C12" w:rsidRPr="007A0828">
        <w:rPr>
          <w:rFonts w:ascii="Arial" w:hAnsi="Arial" w:cs="Arial"/>
        </w:rPr>
        <w:t xml:space="preserve"> </w:t>
      </w:r>
      <w:r w:rsidRPr="007A0828">
        <w:rPr>
          <w:rFonts w:ascii="Arial" w:hAnsi="Arial" w:cs="Arial"/>
        </w:rPr>
        <w:t>have a medium reported level of function (</w:t>
      </w:r>
      <w:r w:rsidR="00272C12">
        <w:rPr>
          <w:rFonts w:ascii="Arial" w:hAnsi="Arial" w:cs="Arial"/>
        </w:rPr>
        <w:t>51</w:t>
      </w:r>
      <w:r w:rsidRPr="007A0828">
        <w:rPr>
          <w:rFonts w:ascii="Arial" w:hAnsi="Arial" w:cs="Arial"/>
        </w:rPr>
        <w:t>%).</w:t>
      </w:r>
    </w:p>
    <w:p w14:paraId="4CE3055E" w14:textId="77777777" w:rsidR="00C710E1" w:rsidRPr="007A0828" w:rsidRDefault="00C710E1" w:rsidP="00B868A1">
      <w:pPr>
        <w:pStyle w:val="Heading3"/>
      </w:pPr>
      <w:r w:rsidRPr="007A0828">
        <w:t>Remoteness</w:t>
      </w:r>
      <w:r w:rsidRPr="007A0828">
        <w:tab/>
      </w:r>
      <w:r w:rsidRPr="007A0828">
        <w:tab/>
      </w:r>
    </w:p>
    <w:p w14:paraId="38D2B075" w14:textId="77777777" w:rsidR="00BE77B7" w:rsidRPr="00BE77B7" w:rsidRDefault="00BE77B7" w:rsidP="00BE77B7">
      <w:pPr>
        <w:spacing w:after="0" w:line="360" w:lineRule="auto"/>
        <w:rPr>
          <w:rFonts w:ascii="Arial" w:hAnsi="Arial" w:cs="Arial"/>
        </w:rPr>
      </w:pPr>
      <w:r w:rsidRPr="00BE77B7">
        <w:rPr>
          <w:rFonts w:ascii="Arial" w:hAnsi="Arial" w:cs="Arial"/>
        </w:rPr>
        <w:t xml:space="preserve">Distribution of active participants by remoteness </w:t>
      </w:r>
    </w:p>
    <w:p w14:paraId="05C84D2D" w14:textId="77777777" w:rsidR="00BE77B7" w:rsidRPr="00BE77B7" w:rsidRDefault="00BE77B7" w:rsidP="00BE77B7">
      <w:pPr>
        <w:spacing w:after="0" w:line="360" w:lineRule="auto"/>
        <w:rPr>
          <w:rFonts w:ascii="Arial" w:hAnsi="Arial" w:cs="Arial"/>
        </w:rPr>
      </w:pPr>
      <w:r w:rsidRPr="00BE77B7">
        <w:rPr>
          <w:rFonts w:ascii="Arial" w:hAnsi="Arial" w:cs="Arial"/>
        </w:rPr>
        <w:t xml:space="preserve">A chart shows the distribution of active participants with other physical disabilities by </w:t>
      </w:r>
      <w:proofErr w:type="gramStart"/>
      <w:r w:rsidRPr="00BE77B7">
        <w:rPr>
          <w:rFonts w:ascii="Arial" w:hAnsi="Arial" w:cs="Arial"/>
        </w:rPr>
        <w:t>remoteness, and</w:t>
      </w:r>
      <w:proofErr w:type="gramEnd"/>
      <w:r w:rsidRPr="00BE77B7">
        <w:rPr>
          <w:rFonts w:ascii="Arial" w:hAnsi="Arial" w:cs="Arial"/>
        </w:rPr>
        <w:t xml:space="preserve"> compares that to the distribution of all participants in the Scheme.</w:t>
      </w:r>
    </w:p>
    <w:p w14:paraId="7CF4D5EB" w14:textId="5FA6E414" w:rsidR="00F7554C" w:rsidRPr="007A0828" w:rsidRDefault="00BE77B7" w:rsidP="00BE77B7">
      <w:pPr>
        <w:spacing w:after="0" w:line="360" w:lineRule="auto"/>
        <w:rPr>
          <w:rFonts w:ascii="Arial" w:hAnsi="Arial" w:cs="Arial"/>
        </w:rPr>
      </w:pPr>
      <w:r w:rsidRPr="00BE77B7">
        <w:rPr>
          <w:rFonts w:ascii="Arial" w:hAnsi="Arial" w:cs="Arial"/>
        </w:rPr>
        <w:t xml:space="preserve">As </w:t>
      </w:r>
      <w:proofErr w:type="gramStart"/>
      <w:r w:rsidRPr="00BE77B7">
        <w:rPr>
          <w:rFonts w:ascii="Arial" w:hAnsi="Arial" w:cs="Arial"/>
        </w:rPr>
        <w:t>at</w:t>
      </w:r>
      <w:proofErr w:type="gramEnd"/>
      <w:r w:rsidRPr="00BE77B7">
        <w:rPr>
          <w:rFonts w:ascii="Arial" w:hAnsi="Arial" w:cs="Arial"/>
        </w:rPr>
        <w:t xml:space="preserve"> 30 June 2023, the percentage of participants with other physical disabilities who resided in</w:t>
      </w:r>
      <w:r>
        <w:rPr>
          <w:rFonts w:ascii="Arial" w:hAnsi="Arial" w:cs="Arial"/>
        </w:rPr>
        <w:t>:</w:t>
      </w:r>
    </w:p>
    <w:p w14:paraId="0B01BC11"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 xml:space="preserve">Major cities </w:t>
      </w:r>
      <w:proofErr w:type="gramStart"/>
      <w:r w:rsidRPr="00BE77B7">
        <w:rPr>
          <w:rFonts w:ascii="Arial" w:hAnsi="Arial" w:cs="Arial"/>
        </w:rPr>
        <w:t>was</w:t>
      </w:r>
      <w:proofErr w:type="gramEnd"/>
      <w:r w:rsidRPr="00BE77B7">
        <w:rPr>
          <w:rFonts w:ascii="Arial" w:hAnsi="Arial" w:cs="Arial"/>
        </w:rPr>
        <w:t xml:space="preserve"> 66%, compared to 68% for all participants.</w:t>
      </w:r>
    </w:p>
    <w:p w14:paraId="5C988641" w14:textId="33DE2260" w:rsidR="00BE77B7" w:rsidRPr="00BE77B7" w:rsidRDefault="00DD35C7" w:rsidP="00BE77B7">
      <w:pPr>
        <w:pStyle w:val="ListParagraph"/>
        <w:numPr>
          <w:ilvl w:val="1"/>
          <w:numId w:val="8"/>
        </w:numPr>
        <w:spacing w:after="0" w:line="360" w:lineRule="auto"/>
        <w:rPr>
          <w:rFonts w:ascii="Arial" w:hAnsi="Arial" w:cs="Arial"/>
        </w:rPr>
      </w:pPr>
      <w:r>
        <w:rPr>
          <w:rFonts w:ascii="Arial" w:hAnsi="Arial" w:cs="Arial"/>
        </w:rPr>
        <w:t>A region with a population</w:t>
      </w:r>
      <w:r w:rsidR="00BE77B7" w:rsidRPr="00BE77B7">
        <w:rPr>
          <w:rFonts w:ascii="Arial" w:hAnsi="Arial" w:cs="Arial"/>
        </w:rPr>
        <w:t xml:space="preserve"> greater than 50,000 </w:t>
      </w:r>
      <w:r>
        <w:rPr>
          <w:rFonts w:ascii="Arial" w:hAnsi="Arial" w:cs="Arial"/>
        </w:rPr>
        <w:t xml:space="preserve">(and not a major city) </w:t>
      </w:r>
      <w:r w:rsidR="00BE77B7" w:rsidRPr="00BE77B7">
        <w:rPr>
          <w:rFonts w:ascii="Arial" w:hAnsi="Arial" w:cs="Arial"/>
        </w:rPr>
        <w:t>was 10%, compared to 11% for all participants.</w:t>
      </w:r>
    </w:p>
    <w:p w14:paraId="626360A6" w14:textId="36EC7C50" w:rsidR="00BE77B7" w:rsidRPr="00BE77B7" w:rsidRDefault="00DD35C7" w:rsidP="00BE77B7">
      <w:pPr>
        <w:pStyle w:val="ListParagraph"/>
        <w:numPr>
          <w:ilvl w:val="1"/>
          <w:numId w:val="8"/>
        </w:numPr>
        <w:spacing w:after="0" w:line="360" w:lineRule="auto"/>
        <w:rPr>
          <w:rFonts w:ascii="Arial" w:hAnsi="Arial" w:cs="Arial"/>
        </w:rPr>
      </w:pPr>
      <w:r>
        <w:rPr>
          <w:rFonts w:ascii="Arial" w:hAnsi="Arial" w:cs="Arial"/>
        </w:rPr>
        <w:t>A region with a population</w:t>
      </w:r>
      <w:r w:rsidR="00BE77B7" w:rsidRPr="00BE77B7">
        <w:rPr>
          <w:rFonts w:ascii="Arial" w:hAnsi="Arial" w:cs="Arial"/>
        </w:rPr>
        <w:t xml:space="preserve"> of 15,000 to 50,000 was 8%, compared to 8% for all participants.</w:t>
      </w:r>
    </w:p>
    <w:p w14:paraId="197FB5DF" w14:textId="15E0B647" w:rsidR="00BE77B7" w:rsidRPr="00BE77B7" w:rsidRDefault="00DD35C7" w:rsidP="00BE77B7">
      <w:pPr>
        <w:pStyle w:val="ListParagraph"/>
        <w:numPr>
          <w:ilvl w:val="1"/>
          <w:numId w:val="8"/>
        </w:numPr>
        <w:spacing w:after="0" w:line="360" w:lineRule="auto"/>
        <w:rPr>
          <w:rFonts w:ascii="Arial" w:hAnsi="Arial" w:cs="Arial"/>
        </w:rPr>
      </w:pPr>
      <w:r>
        <w:rPr>
          <w:rFonts w:ascii="Arial" w:hAnsi="Arial" w:cs="Arial"/>
        </w:rPr>
        <w:t>A region with a population</w:t>
      </w:r>
      <w:r w:rsidR="00BE77B7" w:rsidRPr="00BE77B7">
        <w:rPr>
          <w:rFonts w:ascii="Arial" w:hAnsi="Arial" w:cs="Arial"/>
        </w:rPr>
        <w:t xml:space="preserve"> of 5,000 to 15,000 was 5%, compared to 5% for all participants.</w:t>
      </w:r>
    </w:p>
    <w:p w14:paraId="5370DF43" w14:textId="7B941861" w:rsidR="00BE77B7" w:rsidRPr="00BE77B7" w:rsidRDefault="00DD35C7" w:rsidP="00BE77B7">
      <w:pPr>
        <w:pStyle w:val="ListParagraph"/>
        <w:numPr>
          <w:ilvl w:val="1"/>
          <w:numId w:val="8"/>
        </w:numPr>
        <w:spacing w:after="0" w:line="360" w:lineRule="auto"/>
        <w:rPr>
          <w:rFonts w:ascii="Arial" w:hAnsi="Arial" w:cs="Arial"/>
        </w:rPr>
      </w:pPr>
      <w:r>
        <w:rPr>
          <w:rFonts w:ascii="Arial" w:hAnsi="Arial" w:cs="Arial"/>
        </w:rPr>
        <w:t>A region with a population</w:t>
      </w:r>
      <w:r w:rsidR="00BE77B7" w:rsidRPr="00BE77B7">
        <w:rPr>
          <w:rFonts w:ascii="Arial" w:hAnsi="Arial" w:cs="Arial"/>
        </w:rPr>
        <w:t xml:space="preserve"> less than 5,000 </w:t>
      </w:r>
      <w:r>
        <w:rPr>
          <w:rFonts w:ascii="Arial" w:hAnsi="Arial" w:cs="Arial"/>
        </w:rPr>
        <w:t xml:space="preserve">(and not a remote or very remote area) </w:t>
      </w:r>
      <w:r w:rsidR="00BE77B7" w:rsidRPr="00BE77B7">
        <w:rPr>
          <w:rFonts w:ascii="Arial" w:hAnsi="Arial" w:cs="Arial"/>
        </w:rPr>
        <w:t>was 8%, compared to 6% for all participants.</w:t>
      </w:r>
    </w:p>
    <w:p w14:paraId="2C31F079" w14:textId="72EE9E8F"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Remote</w:t>
      </w:r>
      <w:r w:rsidR="00DD35C7">
        <w:rPr>
          <w:rFonts w:ascii="Arial" w:hAnsi="Arial" w:cs="Arial"/>
        </w:rPr>
        <w:t xml:space="preserve"> areas</w:t>
      </w:r>
      <w:r w:rsidRPr="00BE77B7">
        <w:rPr>
          <w:rFonts w:ascii="Arial" w:hAnsi="Arial" w:cs="Arial"/>
        </w:rPr>
        <w:t xml:space="preserve"> </w:t>
      </w:r>
      <w:proofErr w:type="gramStart"/>
      <w:r w:rsidRPr="00BE77B7">
        <w:rPr>
          <w:rFonts w:ascii="Arial" w:hAnsi="Arial" w:cs="Arial"/>
        </w:rPr>
        <w:t>was</w:t>
      </w:r>
      <w:proofErr w:type="gramEnd"/>
      <w:r w:rsidRPr="00BE77B7">
        <w:rPr>
          <w:rFonts w:ascii="Arial" w:hAnsi="Arial" w:cs="Arial"/>
        </w:rPr>
        <w:t xml:space="preserve"> 1%, compared to 1% for all participants.</w:t>
      </w:r>
    </w:p>
    <w:p w14:paraId="3A6AC82F" w14:textId="372B004A" w:rsid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lastRenderedPageBreak/>
        <w:t xml:space="preserve">Very remote </w:t>
      </w:r>
      <w:r w:rsidR="00DD35C7">
        <w:rPr>
          <w:rFonts w:ascii="Arial" w:hAnsi="Arial" w:cs="Arial"/>
        </w:rPr>
        <w:t xml:space="preserve">areas </w:t>
      </w:r>
      <w:proofErr w:type="gramStart"/>
      <w:r w:rsidRPr="00BE77B7">
        <w:rPr>
          <w:rFonts w:ascii="Arial" w:hAnsi="Arial" w:cs="Arial"/>
        </w:rPr>
        <w:t>was</w:t>
      </w:r>
      <w:proofErr w:type="gramEnd"/>
      <w:r w:rsidRPr="00BE77B7">
        <w:rPr>
          <w:rFonts w:ascii="Arial" w:hAnsi="Arial" w:cs="Arial"/>
        </w:rPr>
        <w:t xml:space="preserve"> 1%, compared to 1% for all participants.</w:t>
      </w:r>
    </w:p>
    <w:p w14:paraId="757FE5FA" w14:textId="77777777" w:rsidR="00DB5EDB" w:rsidRPr="00DB5EDB" w:rsidRDefault="00DB5EDB" w:rsidP="00DB5EDB">
      <w:pPr>
        <w:spacing w:after="0" w:line="360" w:lineRule="auto"/>
        <w:rPr>
          <w:rFonts w:ascii="Arial" w:hAnsi="Arial" w:cs="Arial"/>
        </w:rPr>
      </w:pPr>
    </w:p>
    <w:p w14:paraId="268D3DEB" w14:textId="77777777" w:rsidR="00C710E1" w:rsidRPr="007A0828" w:rsidRDefault="00C710E1" w:rsidP="00B868A1">
      <w:pPr>
        <w:pStyle w:val="Heading3"/>
      </w:pPr>
      <w:r w:rsidRPr="007A0828">
        <w:t>SEIFA score (using Index of Education and Occupation)</w:t>
      </w:r>
      <w:r w:rsidRPr="007A0828">
        <w:tab/>
      </w:r>
      <w:r w:rsidRPr="007A0828">
        <w:tab/>
      </w:r>
      <w:r w:rsidRPr="007A0828">
        <w:tab/>
      </w:r>
    </w:p>
    <w:p w14:paraId="4EAC199E" w14:textId="77777777" w:rsidR="00BE77B7" w:rsidRPr="00BE77B7" w:rsidRDefault="00BE77B7" w:rsidP="00BE77B7">
      <w:pPr>
        <w:spacing w:after="0" w:line="360" w:lineRule="auto"/>
        <w:rPr>
          <w:rFonts w:ascii="Arial" w:hAnsi="Arial" w:cs="Arial"/>
        </w:rPr>
      </w:pPr>
      <w:r w:rsidRPr="00BE77B7">
        <w:rPr>
          <w:rFonts w:ascii="Arial" w:hAnsi="Arial" w:cs="Arial"/>
        </w:rPr>
        <w:t xml:space="preserve">Distribution of active participants by SEIFA score. (The Australian Bureau of Statistics SEIFA Index of Education and Occupation (IEO) is used by NDIA to classify participants into socio-economic deciles, with decile one representing participants in the </w:t>
      </w:r>
    </w:p>
    <w:p w14:paraId="3B5FAD8C" w14:textId="77777777" w:rsidR="00BE77B7" w:rsidRPr="00BE77B7" w:rsidRDefault="00BE77B7" w:rsidP="00BE77B7">
      <w:pPr>
        <w:spacing w:after="0" w:line="360" w:lineRule="auto"/>
        <w:rPr>
          <w:rFonts w:ascii="Arial" w:hAnsi="Arial" w:cs="Arial"/>
        </w:rPr>
      </w:pPr>
      <w:r w:rsidRPr="00BE77B7">
        <w:rPr>
          <w:rFonts w:ascii="Arial" w:hAnsi="Arial" w:cs="Arial"/>
        </w:rPr>
        <w:t>lowest socio-economic decile, and decile ten representing participants in the highest socio-economic decile. SEIFA deciles are allocated based on the Statistical Area 1 (SA1) that a participant lives in).</w:t>
      </w:r>
    </w:p>
    <w:p w14:paraId="6091A3F5" w14:textId="77777777" w:rsidR="00BE77B7" w:rsidRPr="00BE77B7" w:rsidRDefault="00BE77B7" w:rsidP="00BE77B7">
      <w:pPr>
        <w:spacing w:after="0" w:line="360" w:lineRule="auto"/>
        <w:rPr>
          <w:rFonts w:ascii="Arial" w:hAnsi="Arial" w:cs="Arial"/>
        </w:rPr>
      </w:pPr>
      <w:r w:rsidRPr="00BE77B7">
        <w:rPr>
          <w:rFonts w:ascii="Arial" w:hAnsi="Arial" w:cs="Arial"/>
        </w:rPr>
        <w:t xml:space="preserve">A bar chart shows the percentage of active participants with other physical disabilities by SEIFA </w:t>
      </w:r>
      <w:proofErr w:type="gramStart"/>
      <w:r w:rsidRPr="00BE77B7">
        <w:rPr>
          <w:rFonts w:ascii="Arial" w:hAnsi="Arial" w:cs="Arial"/>
        </w:rPr>
        <w:t>score, and</w:t>
      </w:r>
      <w:proofErr w:type="gramEnd"/>
      <w:r w:rsidRPr="00BE77B7">
        <w:rPr>
          <w:rFonts w:ascii="Arial" w:hAnsi="Arial" w:cs="Arial"/>
        </w:rPr>
        <w:t xml:space="preserve"> compares that to the distribution of all participants in the Scheme. </w:t>
      </w:r>
    </w:p>
    <w:p w14:paraId="4E4BCE83" w14:textId="77777777" w:rsidR="00BE77B7" w:rsidRPr="00BE77B7" w:rsidRDefault="00BE77B7" w:rsidP="00BE77B7">
      <w:pPr>
        <w:spacing w:after="0" w:line="360" w:lineRule="auto"/>
        <w:rPr>
          <w:rFonts w:ascii="Arial" w:hAnsi="Arial" w:cs="Arial"/>
        </w:rPr>
      </w:pPr>
      <w:r w:rsidRPr="00BE77B7">
        <w:rPr>
          <w:rFonts w:ascii="Arial" w:hAnsi="Arial" w:cs="Arial"/>
        </w:rPr>
        <w:t>Socio-Economic Indexes for Areas (SEIFA) is a product developed by the ABS that ranks areas in Australia according to relative socio-economic advantage and disadvantage.</w:t>
      </w:r>
    </w:p>
    <w:p w14:paraId="6DAD7F7A" w14:textId="4D3E4FA1" w:rsidR="00356E73" w:rsidRPr="007A0828" w:rsidRDefault="00BE77B7" w:rsidP="00BE77B7">
      <w:pPr>
        <w:spacing w:after="0" w:line="360" w:lineRule="auto"/>
        <w:rPr>
          <w:rFonts w:ascii="Arial" w:hAnsi="Arial" w:cs="Arial"/>
        </w:rPr>
      </w:pPr>
      <w:r w:rsidRPr="00BE77B7">
        <w:rPr>
          <w:rFonts w:ascii="Arial" w:hAnsi="Arial" w:cs="Arial"/>
        </w:rPr>
        <w:t xml:space="preserve">As </w:t>
      </w:r>
      <w:proofErr w:type="gramStart"/>
      <w:r w:rsidRPr="00BE77B7">
        <w:rPr>
          <w:rFonts w:ascii="Arial" w:hAnsi="Arial" w:cs="Arial"/>
        </w:rPr>
        <w:t>at</w:t>
      </w:r>
      <w:proofErr w:type="gramEnd"/>
      <w:r w:rsidRPr="00BE77B7">
        <w:rPr>
          <w:rFonts w:ascii="Arial" w:hAnsi="Arial" w:cs="Arial"/>
        </w:rPr>
        <w:t xml:space="preserve"> 30 June 2023, the percentage of participants with other physical disabilities who resided in areas with:</w:t>
      </w:r>
    </w:p>
    <w:p w14:paraId="1F2CDF58"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1 was 15%, compared to 14% for all participants.</w:t>
      </w:r>
    </w:p>
    <w:p w14:paraId="1780FE59"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2 was 12%, compared to 12% for all participants.</w:t>
      </w:r>
    </w:p>
    <w:p w14:paraId="4AAA6BD5"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3 was 12%, compared to 12% for all participants.</w:t>
      </w:r>
    </w:p>
    <w:p w14:paraId="06F79982"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4 was 11%, compared to 11% for all participants.</w:t>
      </w:r>
    </w:p>
    <w:p w14:paraId="63C8BC82"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5 was 10%, compared to 11% for all participants.</w:t>
      </w:r>
    </w:p>
    <w:p w14:paraId="26F4AE7B"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6 was 10%, compared to 10% for all participants.</w:t>
      </w:r>
    </w:p>
    <w:p w14:paraId="13D663B4"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7 was 9%, compared to 9% for all participants.</w:t>
      </w:r>
    </w:p>
    <w:p w14:paraId="22BB9AA7"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8 was 8%, compared to 8% for all participants.</w:t>
      </w:r>
    </w:p>
    <w:p w14:paraId="1228BD3B" w14:textId="77777777" w:rsidR="00BE77B7" w:rsidRP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9 was 7%, compared to 7% for all participants.</w:t>
      </w:r>
    </w:p>
    <w:p w14:paraId="7E853DE1" w14:textId="3FF03BA1" w:rsidR="00BE77B7" w:rsidRDefault="00BE77B7" w:rsidP="00BE77B7">
      <w:pPr>
        <w:pStyle w:val="ListParagraph"/>
        <w:numPr>
          <w:ilvl w:val="1"/>
          <w:numId w:val="8"/>
        </w:numPr>
        <w:spacing w:after="0" w:line="360" w:lineRule="auto"/>
        <w:rPr>
          <w:rFonts w:ascii="Arial" w:hAnsi="Arial" w:cs="Arial"/>
        </w:rPr>
      </w:pPr>
      <w:r w:rsidRPr="00BE77B7">
        <w:rPr>
          <w:rFonts w:ascii="Arial" w:hAnsi="Arial" w:cs="Arial"/>
        </w:rPr>
        <w:t>SEIFA scores of 10 was 6%, compared to 5% for all participants.</w:t>
      </w:r>
    </w:p>
    <w:p w14:paraId="6ACF0F86" w14:textId="05EBEE8F" w:rsidR="00F7554C" w:rsidRPr="007A0828" w:rsidRDefault="00F7554C" w:rsidP="00BE77B7">
      <w:pPr>
        <w:pStyle w:val="ListParagraph"/>
        <w:spacing w:after="0" w:line="360" w:lineRule="auto"/>
        <w:rPr>
          <w:rFonts w:ascii="Arial" w:hAnsi="Arial" w:cs="Arial"/>
        </w:rPr>
      </w:pPr>
    </w:p>
    <w:p w14:paraId="3A6A0FB1" w14:textId="0BD653CF" w:rsidR="009D2DD4" w:rsidRPr="007A0828" w:rsidRDefault="00C710E1" w:rsidP="00950370">
      <w:pPr>
        <w:spacing w:after="0" w:line="360" w:lineRule="auto"/>
        <w:rPr>
          <w:rFonts w:ascii="Arial" w:hAnsi="Arial" w:cs="Arial"/>
        </w:rPr>
      </w:pPr>
      <w:r w:rsidRPr="007A0828">
        <w:rPr>
          <w:rFonts w:ascii="Arial" w:hAnsi="Arial" w:cs="Arial"/>
        </w:rPr>
        <w:t xml:space="preserve">Commentary in the text box: </w:t>
      </w:r>
      <w:r w:rsidR="00312690" w:rsidRPr="007A0828">
        <w:rPr>
          <w:rFonts w:ascii="Arial" w:hAnsi="Arial" w:cs="Arial"/>
        </w:rPr>
        <w:t xml:space="preserve">There is a greater proportion of participants with </w:t>
      </w:r>
      <w:r w:rsidR="00272C12">
        <w:rPr>
          <w:rFonts w:ascii="Arial" w:hAnsi="Arial" w:cs="Arial"/>
        </w:rPr>
        <w:t>other physical disabilities</w:t>
      </w:r>
      <w:r w:rsidR="00272C12" w:rsidRPr="007A0828">
        <w:rPr>
          <w:rFonts w:ascii="Arial" w:hAnsi="Arial" w:cs="Arial"/>
        </w:rPr>
        <w:t xml:space="preserve"> </w:t>
      </w:r>
      <w:r w:rsidR="00312690" w:rsidRPr="007A0828">
        <w:rPr>
          <w:rFonts w:ascii="Arial" w:hAnsi="Arial" w:cs="Arial"/>
        </w:rPr>
        <w:t>who reside in areas with a lower socioeconomic score</w:t>
      </w:r>
      <w:r w:rsidR="009D2DD4" w:rsidRPr="007A0828">
        <w:rPr>
          <w:rFonts w:ascii="Arial" w:hAnsi="Arial" w:cs="Arial"/>
        </w:rPr>
        <w:t>.</w:t>
      </w:r>
    </w:p>
    <w:p w14:paraId="29B9F79E" w14:textId="77777777" w:rsidR="009D2DD4" w:rsidRDefault="009D2DD4" w:rsidP="00950370">
      <w:pPr>
        <w:spacing w:after="0" w:line="360" w:lineRule="auto"/>
        <w:rPr>
          <w:rFonts w:ascii="Arial" w:hAnsi="Arial" w:cs="Arial"/>
        </w:rPr>
      </w:pPr>
    </w:p>
    <w:p w14:paraId="170BAFCB" w14:textId="57447E72" w:rsidR="00A92E4D" w:rsidRPr="007A0828" w:rsidRDefault="00A92E4D" w:rsidP="00272C12">
      <w:pPr>
        <w:spacing w:after="0" w:line="360" w:lineRule="auto"/>
        <w:rPr>
          <w:rFonts w:ascii="Arial" w:hAnsi="Arial" w:cs="Arial"/>
        </w:rPr>
      </w:pPr>
      <w:r>
        <w:rPr>
          <w:rFonts w:ascii="Arial" w:hAnsi="Arial" w:cs="Arial"/>
        </w:rPr>
        <w:t xml:space="preserve">Quote: </w:t>
      </w:r>
      <w:r w:rsidR="008B733B">
        <w:rPr>
          <w:rFonts w:ascii="Arial" w:hAnsi="Arial" w:cs="Arial"/>
        </w:rPr>
        <w:t>“</w:t>
      </w:r>
      <w:r w:rsidR="00272C12" w:rsidRPr="00272C12">
        <w:rPr>
          <w:rFonts w:ascii="Arial" w:hAnsi="Arial" w:cs="Arial"/>
        </w:rPr>
        <w:t>My quality of life has improved substantially since having access to safer legs. I am more confident in carrying out daily tasks.</w:t>
      </w:r>
      <w:r w:rsidR="008B733B">
        <w:rPr>
          <w:rFonts w:ascii="Arial" w:hAnsi="Arial" w:cs="Arial"/>
        </w:rPr>
        <w:t>”</w:t>
      </w:r>
      <w:r>
        <w:rPr>
          <w:rFonts w:ascii="Arial" w:hAnsi="Arial" w:cs="Arial"/>
        </w:rPr>
        <w:t xml:space="preserve"> By </w:t>
      </w:r>
      <w:r w:rsidRPr="00A92E4D">
        <w:rPr>
          <w:rFonts w:ascii="Arial" w:hAnsi="Arial" w:cs="Arial"/>
        </w:rPr>
        <w:t xml:space="preserve">NDIS participant, </w:t>
      </w:r>
      <w:r w:rsidR="00272C12">
        <w:rPr>
          <w:rFonts w:ascii="Arial" w:hAnsi="Arial" w:cs="Arial"/>
        </w:rPr>
        <w:t>Sara</w:t>
      </w:r>
      <w:r>
        <w:rPr>
          <w:rFonts w:ascii="Arial" w:hAnsi="Arial" w:cs="Arial"/>
        </w:rPr>
        <w:t>.</w:t>
      </w:r>
    </w:p>
    <w:p w14:paraId="5E5D2E01" w14:textId="2E953AED" w:rsidR="009D2DD4" w:rsidRPr="007A0828" w:rsidRDefault="009D2DD4" w:rsidP="00B868A1">
      <w:pPr>
        <w:pStyle w:val="Heading3"/>
      </w:pPr>
      <w:r w:rsidRPr="007A0828">
        <w:t>First Nations</w:t>
      </w:r>
    </w:p>
    <w:p w14:paraId="5AE4AD69" w14:textId="77777777" w:rsidR="00297A54" w:rsidRPr="007A0828" w:rsidRDefault="00297A54" w:rsidP="00297A54">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603BE3F3" w14:textId="77777777" w:rsidR="00BE77B7" w:rsidRDefault="00BE77B7" w:rsidP="00FF48C9">
      <w:pPr>
        <w:pStyle w:val="ListParagraph"/>
        <w:numPr>
          <w:ilvl w:val="1"/>
          <w:numId w:val="8"/>
        </w:numPr>
        <w:spacing w:after="0" w:line="360" w:lineRule="auto"/>
        <w:rPr>
          <w:rFonts w:ascii="Arial" w:hAnsi="Arial" w:cs="Arial"/>
        </w:rPr>
      </w:pPr>
      <w:r w:rsidRPr="00BE77B7">
        <w:rPr>
          <w:rFonts w:ascii="Arial" w:hAnsi="Arial" w:cs="Arial"/>
        </w:rPr>
        <w:lastRenderedPageBreak/>
        <w:t xml:space="preserve">A bar chart shows that the number of active participants with other physical disabilities who identify as First Nations people has increased from 1,062 to 1,095, an increase of 3%. </w:t>
      </w:r>
    </w:p>
    <w:p w14:paraId="6E7781E5" w14:textId="34670E52" w:rsidR="00BE77B7" w:rsidRPr="00BE77B7" w:rsidRDefault="00297A54" w:rsidP="00BE77B7">
      <w:pPr>
        <w:pStyle w:val="ListParagraph"/>
        <w:numPr>
          <w:ilvl w:val="1"/>
          <w:numId w:val="8"/>
        </w:numPr>
        <w:spacing w:after="0" w:line="360" w:lineRule="auto"/>
        <w:rPr>
          <w:rFonts w:ascii="Arial" w:hAnsi="Arial" w:cs="Arial"/>
        </w:rPr>
      </w:pPr>
      <w:proofErr w:type="gramStart"/>
      <w:r w:rsidRPr="00FF48C9">
        <w:rPr>
          <w:rFonts w:ascii="Arial" w:hAnsi="Arial" w:cs="Arial"/>
        </w:rPr>
        <w:t>At</w:t>
      </w:r>
      <w:proofErr w:type="gramEnd"/>
      <w:r w:rsidRPr="00FF48C9">
        <w:rPr>
          <w:rFonts w:ascii="Arial" w:hAnsi="Arial" w:cs="Arial"/>
        </w:rPr>
        <w:t xml:space="preserve"> June 2023</w:t>
      </w:r>
      <w:r w:rsidR="00BE77B7">
        <w:rPr>
          <w:rFonts w:ascii="Arial" w:hAnsi="Arial" w:cs="Arial"/>
        </w:rPr>
        <w:t xml:space="preserve">, </w:t>
      </w:r>
      <w:r w:rsidR="00BE77B7" w:rsidRPr="00BE77B7">
        <w:rPr>
          <w:rFonts w:ascii="Arial" w:hAnsi="Arial" w:cs="Arial"/>
        </w:rPr>
        <w:t>a doughnut chart shows that 5% (</w:t>
      </w:r>
      <w:r w:rsidR="00272C12">
        <w:rPr>
          <w:rFonts w:ascii="Arial" w:hAnsi="Arial" w:cs="Arial"/>
        </w:rPr>
        <w:t xml:space="preserve">or </w:t>
      </w:r>
      <w:r w:rsidR="00BE77B7" w:rsidRPr="00BE77B7">
        <w:rPr>
          <w:rFonts w:ascii="Arial" w:hAnsi="Arial" w:cs="Arial"/>
        </w:rPr>
        <w:t>1,095) of participants with other physical disabilities who identify as First Nations people, compared to 8% (</w:t>
      </w:r>
      <w:r w:rsidR="00272C12">
        <w:rPr>
          <w:rFonts w:ascii="Arial" w:hAnsi="Arial" w:cs="Arial"/>
        </w:rPr>
        <w:t xml:space="preserve">or </w:t>
      </w:r>
      <w:r w:rsidR="00BE77B7" w:rsidRPr="00BE77B7">
        <w:rPr>
          <w:rFonts w:ascii="Arial" w:hAnsi="Arial" w:cs="Arial"/>
        </w:rPr>
        <w:t>46,694) for all participants.</w:t>
      </w:r>
    </w:p>
    <w:p w14:paraId="540A420E" w14:textId="559A8DDF" w:rsidR="00FF48C9" w:rsidRPr="00272C12" w:rsidRDefault="00297A54" w:rsidP="00FF48C9">
      <w:pPr>
        <w:pStyle w:val="ListParagraph"/>
        <w:numPr>
          <w:ilvl w:val="1"/>
          <w:numId w:val="8"/>
        </w:numPr>
        <w:spacing w:after="0" w:line="360" w:lineRule="auto"/>
        <w:rPr>
          <w:rFonts w:ascii="Arial" w:hAnsi="Arial" w:cs="Arial"/>
        </w:rPr>
      </w:pPr>
      <w:proofErr w:type="gramStart"/>
      <w:r w:rsidRPr="00FF48C9">
        <w:rPr>
          <w:rFonts w:ascii="Arial" w:hAnsi="Arial" w:cs="Arial"/>
        </w:rPr>
        <w:t>At</w:t>
      </w:r>
      <w:proofErr w:type="gramEnd"/>
      <w:r w:rsidRPr="00FF48C9">
        <w:rPr>
          <w:rFonts w:ascii="Arial" w:hAnsi="Arial" w:cs="Arial"/>
        </w:rPr>
        <w:t xml:space="preserve"> June 2023</w:t>
      </w:r>
      <w:r w:rsidR="00BE77B7">
        <w:rPr>
          <w:rFonts w:ascii="Arial" w:hAnsi="Arial" w:cs="Arial"/>
        </w:rPr>
        <w:t>,</w:t>
      </w:r>
      <w:r w:rsidRPr="00FF48C9">
        <w:rPr>
          <w:rFonts w:ascii="Arial" w:hAnsi="Arial" w:cs="Arial"/>
        </w:rPr>
        <w:t xml:space="preserve"> </w:t>
      </w:r>
      <w:r w:rsidR="00BE77B7">
        <w:rPr>
          <w:rFonts w:ascii="Arial" w:hAnsi="Arial" w:cs="Arial"/>
        </w:rPr>
        <w:t>a</w:t>
      </w:r>
      <w:r w:rsidR="00BE77B7" w:rsidRPr="00BE77B7">
        <w:rPr>
          <w:rFonts w:ascii="Arial" w:hAnsi="Arial" w:cs="Arial"/>
        </w:rPr>
        <w:t xml:space="preserve"> doughnut chart shows that 38% (</w:t>
      </w:r>
      <w:r w:rsidR="00272C12">
        <w:rPr>
          <w:rFonts w:ascii="Arial" w:hAnsi="Arial" w:cs="Arial"/>
        </w:rPr>
        <w:t xml:space="preserve">or </w:t>
      </w:r>
      <w:r w:rsidR="00BE77B7" w:rsidRPr="00BE77B7">
        <w:rPr>
          <w:rFonts w:ascii="Arial" w:hAnsi="Arial" w:cs="Arial"/>
        </w:rPr>
        <w:t>420) of participants with</w:t>
      </w:r>
      <w:r w:rsidR="00272C12">
        <w:rPr>
          <w:rFonts w:ascii="Arial" w:hAnsi="Arial" w:cs="Arial"/>
        </w:rPr>
        <w:t xml:space="preserve"> </w:t>
      </w:r>
      <w:r w:rsidR="00BE77B7" w:rsidRPr="00BE77B7">
        <w:rPr>
          <w:rFonts w:ascii="Arial" w:hAnsi="Arial" w:cs="Arial"/>
        </w:rPr>
        <w:t>other physical disabilities who identify as First Nations people live in a major city</w:t>
      </w:r>
      <w:r w:rsidR="00272C12">
        <w:rPr>
          <w:rFonts w:ascii="Arial" w:hAnsi="Arial" w:cs="Arial"/>
        </w:rPr>
        <w:t xml:space="preserve">, </w:t>
      </w:r>
      <w:r w:rsidR="00BE77B7" w:rsidRPr="00BE77B7">
        <w:rPr>
          <w:rFonts w:ascii="Arial" w:hAnsi="Arial" w:cs="Arial"/>
        </w:rPr>
        <w:t>compared to 68%</w:t>
      </w:r>
      <w:r w:rsidR="00272C12">
        <w:rPr>
          <w:rFonts w:ascii="Arial" w:hAnsi="Arial" w:cs="Arial"/>
        </w:rPr>
        <w:t xml:space="preserve"> (or 417,206)</w:t>
      </w:r>
      <w:r w:rsidR="00BE77B7" w:rsidRPr="00BE77B7">
        <w:rPr>
          <w:rFonts w:ascii="Arial" w:hAnsi="Arial" w:cs="Arial"/>
        </w:rPr>
        <w:t xml:space="preserve"> for all participants.</w:t>
      </w:r>
    </w:p>
    <w:p w14:paraId="1B183865" w14:textId="4A6E37F5" w:rsidR="003C6F08" w:rsidRPr="007A0828" w:rsidRDefault="003C6F08" w:rsidP="00B868A1">
      <w:pPr>
        <w:pStyle w:val="Heading3"/>
      </w:pPr>
      <w:r w:rsidRPr="007A0828">
        <w:t>Culturally and Linguistically Diverse</w:t>
      </w:r>
      <w:r w:rsidR="00272C12">
        <w:t xml:space="preserve"> (CALD)</w:t>
      </w:r>
    </w:p>
    <w:p w14:paraId="259882AF" w14:textId="77777777" w:rsidR="003F2F92" w:rsidRPr="007A0828" w:rsidRDefault="003F2F92" w:rsidP="003F2F92">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072B6E43" w14:textId="1AD3D79E" w:rsidR="00BE77B7" w:rsidRPr="00FF48C9" w:rsidRDefault="00BE77B7" w:rsidP="00FF48C9">
      <w:pPr>
        <w:pStyle w:val="ListParagraph"/>
        <w:numPr>
          <w:ilvl w:val="1"/>
          <w:numId w:val="8"/>
        </w:numPr>
        <w:spacing w:after="0" w:line="360" w:lineRule="auto"/>
        <w:rPr>
          <w:rFonts w:ascii="Arial" w:hAnsi="Arial" w:cs="Arial"/>
        </w:rPr>
      </w:pPr>
      <w:r w:rsidRPr="00BE77B7">
        <w:rPr>
          <w:rFonts w:ascii="Arial" w:hAnsi="Arial" w:cs="Arial"/>
        </w:rPr>
        <w:t xml:space="preserve">A bar chart shows that the number of active participants with other physical disabilities who identify as </w:t>
      </w:r>
      <w:r w:rsidR="00272C12">
        <w:rPr>
          <w:rFonts w:ascii="Arial" w:hAnsi="Arial" w:cs="Arial"/>
        </w:rPr>
        <w:t>CALD</w:t>
      </w:r>
      <w:r w:rsidRPr="00BE77B7">
        <w:rPr>
          <w:rFonts w:ascii="Arial" w:hAnsi="Arial" w:cs="Arial"/>
        </w:rPr>
        <w:t xml:space="preserve"> has increased from 2,638 to 2,794, an increase of 6%.</w:t>
      </w:r>
    </w:p>
    <w:p w14:paraId="2350899E" w14:textId="1F874E1C" w:rsidR="00BE77B7" w:rsidRPr="00BC1859" w:rsidRDefault="003F2F92" w:rsidP="00BC1859">
      <w:pPr>
        <w:pStyle w:val="ListParagraph"/>
        <w:numPr>
          <w:ilvl w:val="1"/>
          <w:numId w:val="8"/>
        </w:numPr>
        <w:spacing w:after="0" w:line="360" w:lineRule="auto"/>
        <w:rPr>
          <w:rFonts w:ascii="Arial" w:hAnsi="Arial" w:cs="Arial"/>
        </w:rPr>
      </w:pPr>
      <w:proofErr w:type="gramStart"/>
      <w:r w:rsidRPr="00FF48C9">
        <w:rPr>
          <w:rFonts w:ascii="Arial" w:hAnsi="Arial" w:cs="Arial"/>
        </w:rPr>
        <w:t>At</w:t>
      </w:r>
      <w:proofErr w:type="gramEnd"/>
      <w:r w:rsidRPr="00FF48C9">
        <w:rPr>
          <w:rFonts w:ascii="Arial" w:hAnsi="Arial" w:cs="Arial"/>
        </w:rPr>
        <w:t xml:space="preserve"> June 2023</w:t>
      </w:r>
      <w:r w:rsidR="00BC1859">
        <w:rPr>
          <w:rFonts w:ascii="Arial" w:hAnsi="Arial" w:cs="Arial"/>
        </w:rPr>
        <w:t xml:space="preserve">, </w:t>
      </w:r>
      <w:r w:rsidR="00BC1859" w:rsidRPr="00BC1859">
        <w:rPr>
          <w:rFonts w:ascii="Arial" w:hAnsi="Arial" w:cs="Arial"/>
        </w:rPr>
        <w:t>a</w:t>
      </w:r>
      <w:r w:rsidR="00BE77B7" w:rsidRPr="00BC1859">
        <w:rPr>
          <w:rFonts w:ascii="Arial" w:hAnsi="Arial" w:cs="Arial"/>
        </w:rPr>
        <w:t xml:space="preserve"> doughnut chart shows that 14% (</w:t>
      </w:r>
      <w:r w:rsidR="00272C12">
        <w:rPr>
          <w:rFonts w:ascii="Arial" w:hAnsi="Arial" w:cs="Arial"/>
        </w:rPr>
        <w:t xml:space="preserve">or </w:t>
      </w:r>
      <w:r w:rsidR="00BE77B7" w:rsidRPr="00BC1859">
        <w:rPr>
          <w:rFonts w:ascii="Arial" w:hAnsi="Arial" w:cs="Arial"/>
        </w:rPr>
        <w:t xml:space="preserve">2,794) of participants with other physical disabilities who identify as </w:t>
      </w:r>
      <w:r w:rsidR="00272C12">
        <w:rPr>
          <w:rFonts w:ascii="Arial" w:hAnsi="Arial" w:cs="Arial"/>
        </w:rPr>
        <w:t>CALD</w:t>
      </w:r>
      <w:r w:rsidR="00BE77B7" w:rsidRPr="00BC1859">
        <w:rPr>
          <w:rFonts w:ascii="Arial" w:hAnsi="Arial" w:cs="Arial"/>
        </w:rPr>
        <w:t>, compared to 9% (or 55,751) for all participants.</w:t>
      </w:r>
    </w:p>
    <w:p w14:paraId="522ABEE2" w14:textId="2541862B" w:rsidR="00BE77B7" w:rsidRPr="00BC1859" w:rsidRDefault="003F2F92" w:rsidP="00BC1859">
      <w:pPr>
        <w:pStyle w:val="ListParagraph"/>
        <w:numPr>
          <w:ilvl w:val="1"/>
          <w:numId w:val="8"/>
        </w:numPr>
        <w:spacing w:after="0" w:line="360" w:lineRule="auto"/>
        <w:rPr>
          <w:rFonts w:ascii="Arial" w:hAnsi="Arial" w:cs="Arial"/>
        </w:rPr>
      </w:pPr>
      <w:proofErr w:type="gramStart"/>
      <w:r w:rsidRPr="00FF48C9">
        <w:rPr>
          <w:rFonts w:ascii="Arial" w:hAnsi="Arial" w:cs="Arial"/>
        </w:rPr>
        <w:t>At</w:t>
      </w:r>
      <w:proofErr w:type="gramEnd"/>
      <w:r w:rsidRPr="00FF48C9">
        <w:rPr>
          <w:rFonts w:ascii="Arial" w:hAnsi="Arial" w:cs="Arial"/>
        </w:rPr>
        <w:t xml:space="preserve"> June 2023</w:t>
      </w:r>
      <w:r w:rsidR="00BC1859">
        <w:rPr>
          <w:rFonts w:ascii="Arial" w:hAnsi="Arial" w:cs="Arial"/>
        </w:rPr>
        <w:t xml:space="preserve">, </w:t>
      </w:r>
      <w:r w:rsidR="00BC1859" w:rsidRPr="00BC1859">
        <w:rPr>
          <w:rFonts w:ascii="Arial" w:hAnsi="Arial" w:cs="Arial"/>
        </w:rPr>
        <w:t>a</w:t>
      </w:r>
      <w:r w:rsidR="00BE77B7" w:rsidRPr="00BC1859">
        <w:rPr>
          <w:rFonts w:ascii="Arial" w:hAnsi="Arial" w:cs="Arial"/>
        </w:rPr>
        <w:t xml:space="preserve"> doughnut chart shows that 90% (</w:t>
      </w:r>
      <w:r w:rsidR="00272C12">
        <w:rPr>
          <w:rFonts w:ascii="Arial" w:hAnsi="Arial" w:cs="Arial"/>
        </w:rPr>
        <w:t xml:space="preserve">or </w:t>
      </w:r>
      <w:r w:rsidR="00BE77B7" w:rsidRPr="00BC1859">
        <w:rPr>
          <w:rFonts w:ascii="Arial" w:hAnsi="Arial" w:cs="Arial"/>
        </w:rPr>
        <w:t>2,509) of participants with other physical disabilities who identify as CALD live in a major city</w:t>
      </w:r>
      <w:r w:rsidR="00272C12">
        <w:rPr>
          <w:rFonts w:ascii="Arial" w:hAnsi="Arial" w:cs="Arial"/>
        </w:rPr>
        <w:t xml:space="preserve">, </w:t>
      </w:r>
      <w:r w:rsidR="00BE77B7" w:rsidRPr="00BC1859">
        <w:rPr>
          <w:rFonts w:ascii="Arial" w:hAnsi="Arial" w:cs="Arial"/>
        </w:rPr>
        <w:t>compared to 68%</w:t>
      </w:r>
      <w:r w:rsidR="00272C12">
        <w:rPr>
          <w:rFonts w:ascii="Arial" w:hAnsi="Arial" w:cs="Arial"/>
        </w:rPr>
        <w:t xml:space="preserve"> (or 417,206)</w:t>
      </w:r>
      <w:r w:rsidR="00BE77B7" w:rsidRPr="00BC1859">
        <w:rPr>
          <w:rFonts w:ascii="Arial" w:hAnsi="Arial" w:cs="Arial"/>
        </w:rPr>
        <w:t xml:space="preserve"> for all participants.</w:t>
      </w:r>
    </w:p>
    <w:p w14:paraId="72FBF32C" w14:textId="0741A730" w:rsidR="00C710E1" w:rsidRPr="007A0828" w:rsidRDefault="00C710E1" w:rsidP="00950370">
      <w:pPr>
        <w:spacing w:after="0" w:line="360" w:lineRule="auto"/>
        <w:rPr>
          <w:rFonts w:ascii="Arial" w:hAnsi="Arial" w:cs="Arial"/>
        </w:rPr>
      </w:pPr>
      <w:r w:rsidRPr="007A0828">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48DF0D26" w14:textId="77777777" w:rsidR="00CB482F" w:rsidRPr="00CB482F" w:rsidRDefault="00CB482F" w:rsidP="00CB482F">
      <w:pPr>
        <w:pStyle w:val="ListParagraph"/>
        <w:numPr>
          <w:ilvl w:val="1"/>
          <w:numId w:val="8"/>
        </w:numPr>
        <w:spacing w:after="0" w:line="360" w:lineRule="auto"/>
        <w:rPr>
          <w:rFonts w:ascii="Arial" w:hAnsi="Arial" w:cs="Arial"/>
        </w:rPr>
      </w:pPr>
      <w:r w:rsidRPr="00CB482F">
        <w:rPr>
          <w:rFonts w:ascii="Arial" w:hAnsi="Arial" w:cs="Arial"/>
        </w:rPr>
        <w:t>In the year ending 30 June 2023, the NDIS provided $1.23 billion of paid supports to participants with other physical disabilities.</w:t>
      </w:r>
    </w:p>
    <w:p w14:paraId="7BCFA890" w14:textId="300838F5" w:rsidR="00CB482F" w:rsidRDefault="00CB482F" w:rsidP="00CB482F">
      <w:pPr>
        <w:pStyle w:val="ListParagraph"/>
        <w:numPr>
          <w:ilvl w:val="1"/>
          <w:numId w:val="8"/>
        </w:numPr>
        <w:spacing w:after="0" w:line="360" w:lineRule="auto"/>
        <w:rPr>
          <w:rFonts w:ascii="Arial" w:hAnsi="Arial" w:cs="Arial"/>
        </w:rPr>
      </w:pPr>
      <w:r w:rsidRPr="00CB482F">
        <w:rPr>
          <w:rFonts w:ascii="Arial" w:hAnsi="Arial" w:cs="Arial"/>
        </w:rPr>
        <w:t>Last year, $1.01 billion of paid supports were provided to participants with other physical disabilities.</w:t>
      </w:r>
    </w:p>
    <w:p w14:paraId="38DE109B" w14:textId="6432BC7B" w:rsidR="008B1DE5" w:rsidRPr="00225C79" w:rsidRDefault="008B1DE5" w:rsidP="00225C79">
      <w:pPr>
        <w:pStyle w:val="ListParagraph"/>
        <w:numPr>
          <w:ilvl w:val="2"/>
          <w:numId w:val="8"/>
        </w:numPr>
        <w:spacing w:after="0" w:line="360" w:lineRule="auto"/>
        <w:rPr>
          <w:rFonts w:ascii="Arial" w:hAnsi="Arial" w:cs="Arial"/>
        </w:rPr>
      </w:pPr>
      <w:r w:rsidRPr="00225C79">
        <w:rPr>
          <w:rFonts w:ascii="Arial" w:hAnsi="Arial" w:cs="Arial"/>
        </w:rPr>
        <w:t>This is an increase of 2</w:t>
      </w:r>
      <w:r w:rsidR="00CB482F">
        <w:rPr>
          <w:rFonts w:ascii="Arial" w:hAnsi="Arial" w:cs="Arial"/>
        </w:rPr>
        <w:t>2</w:t>
      </w:r>
      <w:r w:rsidRPr="00225C79">
        <w:rPr>
          <w:rFonts w:ascii="Arial" w:hAnsi="Arial" w:cs="Arial"/>
        </w:rPr>
        <w:t>%.</w:t>
      </w:r>
    </w:p>
    <w:p w14:paraId="03A17BFB" w14:textId="77777777" w:rsidR="00F6593B" w:rsidRPr="004F524C" w:rsidRDefault="00F6593B" w:rsidP="004F524C">
      <w:pPr>
        <w:spacing w:after="0" w:line="360" w:lineRule="auto"/>
        <w:rPr>
          <w:rFonts w:ascii="Arial" w:hAnsi="Arial" w:cs="Arial"/>
        </w:rPr>
      </w:pPr>
    </w:p>
    <w:p w14:paraId="05D0F02B" w14:textId="0E60370D" w:rsidR="00CB482F" w:rsidRPr="00CB482F" w:rsidRDefault="00CB482F" w:rsidP="00490DE9">
      <w:pPr>
        <w:pStyle w:val="Heading3"/>
      </w:pPr>
      <w:r w:rsidRPr="00CB482F">
        <w:t>Total payments by support category (</w:t>
      </w:r>
      <w:r w:rsidR="00CC67BF">
        <w:t xml:space="preserve">in </w:t>
      </w:r>
      <w:r w:rsidRPr="00CB482F">
        <w:t>$m</w:t>
      </w:r>
      <w:r w:rsidR="00CC67BF">
        <w:t>illion</w:t>
      </w:r>
      <w:r w:rsidRPr="00CB482F">
        <w:t>)</w:t>
      </w:r>
    </w:p>
    <w:p w14:paraId="3B9A48E2" w14:textId="14EB9C3D" w:rsidR="00CB482F" w:rsidRPr="00CB482F" w:rsidRDefault="00CB482F" w:rsidP="00CB482F">
      <w:pPr>
        <w:spacing w:after="0" w:line="360" w:lineRule="auto"/>
        <w:rPr>
          <w:rFonts w:ascii="Arial" w:hAnsi="Arial" w:cs="Arial"/>
        </w:rPr>
      </w:pPr>
      <w:r w:rsidRPr="00CB482F">
        <w:rPr>
          <w:rFonts w:ascii="Arial" w:hAnsi="Arial" w:cs="Arial"/>
        </w:rPr>
        <w:t xml:space="preserve">(The sum of the payments by support category may not equal the total payments shown in the table since the total may include payments with a </w:t>
      </w:r>
      <w:r w:rsidR="008B733B">
        <w:rPr>
          <w:rFonts w:ascii="Arial" w:hAnsi="Arial" w:cs="Arial"/>
        </w:rPr>
        <w:t>“</w:t>
      </w:r>
      <w:r w:rsidRPr="00CB482F">
        <w:rPr>
          <w:rFonts w:ascii="Arial" w:hAnsi="Arial" w:cs="Arial"/>
        </w:rPr>
        <w:t>missing</w:t>
      </w:r>
      <w:r w:rsidR="008B733B">
        <w:rPr>
          <w:rFonts w:ascii="Arial" w:hAnsi="Arial" w:cs="Arial"/>
        </w:rPr>
        <w:t>”</w:t>
      </w:r>
      <w:r w:rsidRPr="00CB482F">
        <w:rPr>
          <w:rFonts w:ascii="Arial" w:hAnsi="Arial" w:cs="Arial"/>
        </w:rPr>
        <w:t xml:space="preserve"> support category. Daily activity supports include therapies.)</w:t>
      </w:r>
    </w:p>
    <w:p w14:paraId="3A2FDA8F" w14:textId="789C7F65" w:rsidR="008B1DE5" w:rsidRPr="007A0828" w:rsidRDefault="00CB482F" w:rsidP="00F6593B">
      <w:pPr>
        <w:spacing w:after="0" w:line="360" w:lineRule="auto"/>
        <w:rPr>
          <w:rFonts w:ascii="Arial" w:hAnsi="Arial" w:cs="Arial"/>
        </w:rPr>
      </w:pPr>
      <w:r w:rsidRPr="00CB482F">
        <w:rPr>
          <w:rFonts w:ascii="Arial" w:hAnsi="Arial" w:cs="Arial"/>
        </w:rPr>
        <w:t>A table shows the total payments to participants with other physical disabilities by support category in the last two years.</w:t>
      </w:r>
    </w:p>
    <w:p w14:paraId="2AF2E7FF" w14:textId="69822866"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$620.0 million for Core </w:t>
      </w:r>
      <w:r w:rsidR="00D02E74">
        <w:rPr>
          <w:rFonts w:ascii="Arial" w:hAnsi="Arial" w:cs="Arial"/>
        </w:rPr>
        <w:t>–</w:t>
      </w:r>
      <w:r w:rsidRPr="00CB482F">
        <w:rPr>
          <w:rFonts w:ascii="Arial" w:hAnsi="Arial" w:cs="Arial"/>
        </w:rPr>
        <w:t xml:space="preserve"> Daily Activities in the year ending 30 June 2023. This was $499.3 million in the year ending 30 June 2022, which represents a 24% increase from last year.</w:t>
      </w:r>
    </w:p>
    <w:p w14:paraId="43BAF3FC" w14:textId="1EDA1E81"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$219.1 million for Core </w:t>
      </w:r>
      <w:r w:rsidR="00D02E74">
        <w:rPr>
          <w:rFonts w:ascii="Arial" w:hAnsi="Arial" w:cs="Arial"/>
        </w:rPr>
        <w:t>–</w:t>
      </w:r>
      <w:r w:rsidRPr="00CB482F">
        <w:rPr>
          <w:rFonts w:ascii="Arial" w:hAnsi="Arial" w:cs="Arial"/>
        </w:rPr>
        <w:t xml:space="preserve"> Community in the year ending 30 June 2023. This was $149.6 million in the year ending 30 June 2022, which represents a 46% increase from last year.</w:t>
      </w:r>
    </w:p>
    <w:p w14:paraId="762ED5EC" w14:textId="1634F8EB"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$69.9 million for Core </w:t>
      </w:r>
      <w:r w:rsidR="00D02E74">
        <w:rPr>
          <w:rFonts w:ascii="Arial" w:hAnsi="Arial" w:cs="Arial"/>
        </w:rPr>
        <w:t>–</w:t>
      </w:r>
      <w:r w:rsidRPr="00CB482F">
        <w:rPr>
          <w:rFonts w:ascii="Arial" w:hAnsi="Arial" w:cs="Arial"/>
        </w:rPr>
        <w:t xml:space="preserve"> Consumables &amp; Transport in the year ending 30 June 2023. This was $63.7 million in the year ending 30 June 2022, which represents a 10% increase from last year.</w:t>
      </w:r>
    </w:p>
    <w:p w14:paraId="7DD1B498" w14:textId="721DF905"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$134.7 million for Capacity Building </w:t>
      </w:r>
      <w:r w:rsidR="00D02E74">
        <w:rPr>
          <w:rFonts w:ascii="Arial" w:hAnsi="Arial" w:cs="Arial"/>
        </w:rPr>
        <w:t>–</w:t>
      </w:r>
      <w:r w:rsidRPr="00CB482F">
        <w:rPr>
          <w:rFonts w:ascii="Arial" w:hAnsi="Arial" w:cs="Arial"/>
        </w:rPr>
        <w:t xml:space="preserve"> Daily Activities in the year ending 30 June 2023. This was $119.8 million in the year ending 30 June 2022, which represents a 12% increase from last year.</w:t>
      </w:r>
    </w:p>
    <w:p w14:paraId="710A20C7" w14:textId="0768085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$54.0 million for Capacity Building </w:t>
      </w:r>
      <w:r w:rsidR="00D02E74">
        <w:rPr>
          <w:rFonts w:ascii="Arial" w:hAnsi="Arial" w:cs="Arial"/>
        </w:rPr>
        <w:t>–</w:t>
      </w:r>
      <w:r w:rsidRPr="00CB482F">
        <w:rPr>
          <w:rFonts w:ascii="Arial" w:hAnsi="Arial" w:cs="Arial"/>
        </w:rPr>
        <w:t xml:space="preserve"> Other in the year ending 30 June 2023. This was $50.6 million in the year ending 30 June 2022, which represents a 7% increase from last year.</w:t>
      </w:r>
    </w:p>
    <w:p w14:paraId="2C987259"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$133.4 million for Capital in the year ending 30 June 2023. This was $122.7 million in the year ending 30 June 2022, which represents a 9% increase from last year.</w:t>
      </w:r>
    </w:p>
    <w:p w14:paraId="2060C525" w14:textId="4A2DF301" w:rsid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$1,231.1 million </w:t>
      </w:r>
      <w:r w:rsidR="00DD35C7">
        <w:rPr>
          <w:rFonts w:ascii="Arial" w:hAnsi="Arial" w:cs="Arial"/>
        </w:rPr>
        <w:t>t</w:t>
      </w:r>
      <w:r w:rsidRPr="00CB482F">
        <w:rPr>
          <w:rFonts w:ascii="Arial" w:hAnsi="Arial" w:cs="Arial"/>
        </w:rPr>
        <w:t xml:space="preserve">otal </w:t>
      </w:r>
      <w:r w:rsidR="00DD35C7">
        <w:rPr>
          <w:rFonts w:ascii="Arial" w:hAnsi="Arial" w:cs="Arial"/>
        </w:rPr>
        <w:t xml:space="preserve">payments </w:t>
      </w:r>
      <w:r w:rsidRPr="00CB482F">
        <w:rPr>
          <w:rFonts w:ascii="Arial" w:hAnsi="Arial" w:cs="Arial"/>
        </w:rPr>
        <w:t>in the year ending 30 June 2023. This was $1,005.8 million in the year ending 30 June 2022, which represents a 22% increase from last year.</w:t>
      </w:r>
    </w:p>
    <w:p w14:paraId="086F2872" w14:textId="1C4BC2CF" w:rsidR="008B1DE5" w:rsidRPr="00517984" w:rsidRDefault="008B1DE5" w:rsidP="00CB482F">
      <w:pPr>
        <w:pStyle w:val="ListParagraph"/>
        <w:spacing w:after="0" w:line="360" w:lineRule="auto"/>
        <w:rPr>
          <w:rFonts w:ascii="Arial" w:hAnsi="Arial" w:cs="Arial"/>
        </w:rPr>
      </w:pPr>
      <w:r w:rsidRPr="00517984">
        <w:rPr>
          <w:rFonts w:ascii="Arial" w:hAnsi="Arial" w:cs="Arial"/>
        </w:rPr>
        <w:lastRenderedPageBreak/>
        <w:tab/>
      </w:r>
      <w:r w:rsidRPr="00517984">
        <w:rPr>
          <w:rFonts w:ascii="Arial" w:hAnsi="Arial" w:cs="Arial"/>
        </w:rPr>
        <w:tab/>
      </w:r>
    </w:p>
    <w:p w14:paraId="5444DA4F" w14:textId="77777777" w:rsidR="00CC67BF" w:rsidRDefault="00CC67BF" w:rsidP="00950370">
      <w:pPr>
        <w:spacing w:after="0" w:line="360" w:lineRule="auto"/>
        <w:rPr>
          <w:rFonts w:ascii="Arial" w:hAnsi="Arial" w:cs="Arial"/>
        </w:rPr>
      </w:pPr>
    </w:p>
    <w:p w14:paraId="6E8B0D51" w14:textId="286AA5B2" w:rsidR="00CC67BF" w:rsidRDefault="00CC67BF" w:rsidP="00490DE9">
      <w:pPr>
        <w:pStyle w:val="Heading3"/>
      </w:pPr>
      <w:r>
        <w:t>Total payments by age band for the year ending 30 June 2023 (in $million)</w:t>
      </w:r>
    </w:p>
    <w:p w14:paraId="2B6F4A13" w14:textId="6C395552" w:rsidR="008B1DE5" w:rsidRPr="007A0828" w:rsidRDefault="00CB482F" w:rsidP="00950370">
      <w:pPr>
        <w:spacing w:after="0" w:line="360" w:lineRule="auto"/>
        <w:rPr>
          <w:rFonts w:ascii="Arial" w:hAnsi="Arial" w:cs="Arial"/>
        </w:rPr>
      </w:pPr>
      <w:r w:rsidRPr="00CB482F">
        <w:rPr>
          <w:rFonts w:ascii="Arial" w:hAnsi="Arial" w:cs="Arial"/>
        </w:rPr>
        <w:t>A bar chart shows the payments made to participants with other physical disabilities by age band for the year ending 30 June 2023.</w:t>
      </w:r>
      <w:r w:rsidR="008B1DE5" w:rsidRPr="007A0828">
        <w:rPr>
          <w:rFonts w:ascii="Arial" w:hAnsi="Arial" w:cs="Arial"/>
        </w:rPr>
        <w:tab/>
      </w:r>
      <w:r w:rsidR="008B1DE5" w:rsidRPr="007A0828">
        <w:rPr>
          <w:rFonts w:ascii="Arial" w:hAnsi="Arial" w:cs="Arial"/>
        </w:rPr>
        <w:tab/>
      </w:r>
    </w:p>
    <w:p w14:paraId="6378364B"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$12 million to participants aged 0 to 6.</w:t>
      </w:r>
    </w:p>
    <w:p w14:paraId="15C7CB91"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$40 million to participants aged 7 to 14.</w:t>
      </w:r>
    </w:p>
    <w:p w14:paraId="2CD937DE"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$21 million to participants aged 15 to 18.</w:t>
      </w:r>
    </w:p>
    <w:p w14:paraId="24411059"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$34 million to participants aged 19 to 24.</w:t>
      </w:r>
    </w:p>
    <w:p w14:paraId="6F1CF1DB"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$92 million to participants aged 25 to 34.</w:t>
      </w:r>
    </w:p>
    <w:p w14:paraId="4477625C"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$145 million to participants aged 35 to 44.</w:t>
      </w:r>
    </w:p>
    <w:p w14:paraId="33052A61"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$261 million to participants aged 45 to 54.</w:t>
      </w:r>
    </w:p>
    <w:p w14:paraId="6837A59A"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$424 million to participants aged 55 to 64.</w:t>
      </w:r>
    </w:p>
    <w:p w14:paraId="51D6904B" w14:textId="306C94F5" w:rsid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$202 million to participants aged 65</w:t>
      </w:r>
      <w:r w:rsidR="00CC67BF">
        <w:rPr>
          <w:rFonts w:ascii="Arial" w:hAnsi="Arial" w:cs="Arial"/>
        </w:rPr>
        <w:t xml:space="preserve"> and over</w:t>
      </w:r>
      <w:r w:rsidRPr="00CB482F">
        <w:rPr>
          <w:rFonts w:ascii="Arial" w:hAnsi="Arial" w:cs="Arial"/>
        </w:rPr>
        <w:t>.</w:t>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124793A7" w14:textId="05B257DB" w:rsidR="00CB482F" w:rsidRDefault="00CB482F" w:rsidP="00CB482F">
      <w:pPr>
        <w:spacing w:line="360" w:lineRule="auto"/>
        <w:rPr>
          <w:rFonts w:ascii="Arial" w:hAnsi="Arial" w:cs="Arial"/>
        </w:rPr>
      </w:pPr>
      <w:r w:rsidRPr="00CB482F">
        <w:rPr>
          <w:rFonts w:ascii="Arial" w:hAnsi="Arial" w:cs="Arial"/>
        </w:rPr>
        <w:t xml:space="preserve">The average payment per participant with other physical disabilities was $62,700 for the </w:t>
      </w:r>
      <w:r w:rsidR="004A52B6">
        <w:rPr>
          <w:rFonts w:ascii="Arial" w:hAnsi="Arial" w:cs="Arial"/>
        </w:rPr>
        <w:t xml:space="preserve">year </w:t>
      </w:r>
      <w:r w:rsidRPr="00CB482F">
        <w:rPr>
          <w:rFonts w:ascii="Arial" w:hAnsi="Arial" w:cs="Arial"/>
        </w:rPr>
        <w:t xml:space="preserve">ending 30 June 2023, compared to $52,900 for the </w:t>
      </w:r>
      <w:r w:rsidR="004A52B6">
        <w:rPr>
          <w:rFonts w:ascii="Arial" w:hAnsi="Arial" w:cs="Arial"/>
        </w:rPr>
        <w:t>year</w:t>
      </w:r>
      <w:r w:rsidRPr="00CB482F">
        <w:rPr>
          <w:rFonts w:ascii="Arial" w:hAnsi="Arial" w:cs="Arial"/>
        </w:rPr>
        <w:t xml:space="preserve"> ending 30 June 2022. This was a year-on-year increase of 19%</w:t>
      </w:r>
      <w:r>
        <w:rPr>
          <w:rFonts w:ascii="Arial" w:hAnsi="Arial" w:cs="Arial"/>
        </w:rPr>
        <w:t xml:space="preserve">. </w:t>
      </w:r>
      <w:r w:rsidRPr="00CB482F">
        <w:rPr>
          <w:rFonts w:ascii="Arial" w:hAnsi="Arial" w:cs="Arial"/>
        </w:rPr>
        <w:t xml:space="preserve">(Average payments per participant are calculated using a </w:t>
      </w:r>
      <w:proofErr w:type="gramStart"/>
      <w:r w:rsidRPr="00CB482F">
        <w:rPr>
          <w:rFonts w:ascii="Arial" w:hAnsi="Arial" w:cs="Arial"/>
        </w:rPr>
        <w:t>12 month</w:t>
      </w:r>
      <w:proofErr w:type="gramEnd"/>
      <w:r w:rsidRPr="00CB482F">
        <w:rPr>
          <w:rFonts w:ascii="Arial" w:hAnsi="Arial" w:cs="Arial"/>
        </w:rPr>
        <w:t xml:space="preserve"> period prior to the reporting date). </w:t>
      </w:r>
    </w:p>
    <w:p w14:paraId="2FC27A53" w14:textId="509B507F" w:rsidR="00A619F2" w:rsidRPr="0054305D" w:rsidRDefault="00CB482F" w:rsidP="00CB482F">
      <w:pPr>
        <w:spacing w:line="360" w:lineRule="auto"/>
        <w:rPr>
          <w:rFonts w:ascii="Arial" w:hAnsi="Arial" w:cs="Arial"/>
          <w:i/>
          <w:iCs/>
          <w:color w:val="808080" w:themeColor="background1" w:themeShade="80"/>
        </w:rPr>
      </w:pPr>
      <w:r w:rsidRPr="00CB482F">
        <w:rPr>
          <w:rFonts w:ascii="Arial" w:hAnsi="Arial" w:cs="Arial"/>
        </w:rPr>
        <w:t>A separate table compares the average payments for the same group of participants between this year and last year (that is, 12 months ending 30 June 2023 v</w:t>
      </w:r>
      <w:r w:rsidR="00CC67BF">
        <w:rPr>
          <w:rFonts w:ascii="Arial" w:hAnsi="Arial" w:cs="Arial"/>
        </w:rPr>
        <w:t>ersus</w:t>
      </w:r>
      <w:r w:rsidRPr="00CB482F">
        <w:rPr>
          <w:rFonts w:ascii="Arial" w:hAnsi="Arial" w:cs="Arial"/>
        </w:rPr>
        <w:t xml:space="preserve"> 12 months ending 30 June 2022). Participants who had an initial plan approved after 30 June 2022 are not included.</w:t>
      </w:r>
      <w:r w:rsidR="00A619F2" w:rsidRPr="00CE5D7A">
        <w:rPr>
          <w:rFonts w:ascii="Arial" w:hAnsi="Arial" w:cs="Arial"/>
        </w:rPr>
        <w:tab/>
      </w:r>
    </w:p>
    <w:p w14:paraId="00710967" w14:textId="77777777" w:rsidR="00CB482F" w:rsidRPr="00CB482F" w:rsidRDefault="00CB482F" w:rsidP="00CB482F">
      <w:pPr>
        <w:pStyle w:val="ListParagraph"/>
        <w:numPr>
          <w:ilvl w:val="0"/>
          <w:numId w:val="42"/>
        </w:numPr>
        <w:spacing w:line="360" w:lineRule="auto"/>
        <w:rPr>
          <w:rFonts w:ascii="Arial" w:hAnsi="Arial" w:cs="Arial"/>
        </w:rPr>
      </w:pPr>
      <w:r w:rsidRPr="00CB482F">
        <w:rPr>
          <w:rFonts w:ascii="Arial" w:hAnsi="Arial" w:cs="Arial"/>
        </w:rPr>
        <w:t>For participants aged under 18 years, the average payment this year was $29,700, compared to $26,100 last year, an increase of 14%.</w:t>
      </w:r>
    </w:p>
    <w:p w14:paraId="0B8264FA" w14:textId="77777777" w:rsidR="00CB482F" w:rsidRPr="00CB482F" w:rsidRDefault="00CB482F" w:rsidP="00CB482F">
      <w:pPr>
        <w:pStyle w:val="ListParagraph"/>
        <w:numPr>
          <w:ilvl w:val="0"/>
          <w:numId w:val="42"/>
        </w:numPr>
        <w:spacing w:line="360" w:lineRule="auto"/>
        <w:rPr>
          <w:rFonts w:ascii="Arial" w:hAnsi="Arial" w:cs="Arial"/>
        </w:rPr>
      </w:pPr>
      <w:r w:rsidRPr="00CB482F">
        <w:rPr>
          <w:rFonts w:ascii="Arial" w:hAnsi="Arial" w:cs="Arial"/>
        </w:rPr>
        <w:t>For participants aged 18 years and over and not in SIL, the average payment this year was $62,000, compared to $53,200 last year, an increase of 17%.</w:t>
      </w:r>
    </w:p>
    <w:p w14:paraId="246872E9" w14:textId="6CF0116D" w:rsidR="00CB482F" w:rsidRPr="00CB482F" w:rsidRDefault="00CB482F" w:rsidP="00CB482F">
      <w:pPr>
        <w:pStyle w:val="ListParagraph"/>
        <w:numPr>
          <w:ilvl w:val="0"/>
          <w:numId w:val="42"/>
        </w:numPr>
        <w:spacing w:line="360" w:lineRule="auto"/>
        <w:rPr>
          <w:rFonts w:ascii="Arial" w:hAnsi="Arial" w:cs="Arial"/>
        </w:rPr>
      </w:pPr>
      <w:r w:rsidRPr="00CB482F">
        <w:rPr>
          <w:rFonts w:ascii="Arial" w:hAnsi="Arial" w:cs="Arial"/>
        </w:rPr>
        <w:t>For participants aged 18 years and over and in SIL, the average payment this year was $441,100, compared to $386,800 last year, an increase of 14%.</w:t>
      </w:r>
    </w:p>
    <w:p w14:paraId="1B722EEA" w14:textId="16E1BBD8" w:rsidR="00A619F2" w:rsidRPr="00CB482F" w:rsidRDefault="00CB482F" w:rsidP="00CB482F">
      <w:pPr>
        <w:pStyle w:val="ListParagraph"/>
        <w:numPr>
          <w:ilvl w:val="0"/>
          <w:numId w:val="42"/>
        </w:numPr>
        <w:spacing w:line="360" w:lineRule="auto"/>
        <w:rPr>
          <w:rFonts w:ascii="Arial" w:hAnsi="Arial" w:cs="Arial"/>
        </w:rPr>
      </w:pPr>
      <w:r w:rsidRPr="00CB482F">
        <w:rPr>
          <w:rFonts w:ascii="Arial" w:hAnsi="Arial" w:cs="Arial"/>
        </w:rPr>
        <w:t>At overall level for participants with other physical disabilities, the average payment this year was $63,300, compared to $52,900 last year, an increase of 20%.</w:t>
      </w:r>
      <w:r w:rsidR="00A619F2" w:rsidRPr="00CB482F">
        <w:rPr>
          <w:rFonts w:ascii="Arial" w:hAnsi="Arial" w:cs="Arial"/>
        </w:rPr>
        <w:tab/>
      </w:r>
    </w:p>
    <w:p w14:paraId="067E7F5C" w14:textId="77777777" w:rsidR="00A619F2" w:rsidRPr="007A0828" w:rsidRDefault="00A619F2" w:rsidP="00DB5EDB">
      <w:pPr>
        <w:pStyle w:val="Heading3"/>
      </w:pPr>
      <w:r w:rsidRPr="007A0828">
        <w:rPr>
          <w:rFonts w:eastAsia="Times New Roman"/>
          <w:lang w:eastAsia="en-AU"/>
        </w:rPr>
        <w:lastRenderedPageBreak/>
        <w:t>Participants in Supported Independent Living (SIL)</w:t>
      </w:r>
    </w:p>
    <w:p w14:paraId="0977D375" w14:textId="674811FA" w:rsidR="00A826EE" w:rsidRDefault="00A826EE" w:rsidP="00490DE9">
      <w:pPr>
        <w:pStyle w:val="Heading3"/>
      </w:pPr>
      <w:r w:rsidRPr="00A826EE">
        <w:t>Total payments by support category for the year ending 30 June 2023 (</w:t>
      </w:r>
      <w:r>
        <w:t>in $</w:t>
      </w:r>
      <w:r w:rsidRPr="00A826EE">
        <w:t>m</w:t>
      </w:r>
      <w:r>
        <w:t>illion</w:t>
      </w:r>
      <w:r w:rsidRPr="00A826EE">
        <w:t>)</w:t>
      </w:r>
    </w:p>
    <w:p w14:paraId="45F858AE" w14:textId="04E96943" w:rsidR="00CB482F" w:rsidRPr="00CB482F" w:rsidRDefault="00CB482F" w:rsidP="00CB482F">
      <w:pPr>
        <w:spacing w:after="0" w:line="360" w:lineRule="auto"/>
        <w:rPr>
          <w:rFonts w:ascii="Arial" w:hAnsi="Arial" w:cs="Arial"/>
        </w:rPr>
      </w:pPr>
      <w:r w:rsidRPr="00CB482F">
        <w:rPr>
          <w:rFonts w:ascii="Arial" w:hAnsi="Arial" w:cs="Arial"/>
        </w:rPr>
        <w:t>A table shows the payments by support category made to participants other physical disabilities who were in SIL and not in SIL, in the year ending 30 June 2023.</w:t>
      </w:r>
      <w:r w:rsidR="00A619F2" w:rsidRPr="007A0828">
        <w:rPr>
          <w:rFonts w:ascii="Arial" w:hAnsi="Arial" w:cs="Arial"/>
        </w:rPr>
        <w:tab/>
      </w:r>
    </w:p>
    <w:p w14:paraId="010F7A36" w14:textId="5D5D0AA6"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$95.2 million of payments for Core </w:t>
      </w:r>
      <w:r w:rsidR="00D02E74">
        <w:rPr>
          <w:rFonts w:ascii="Arial" w:hAnsi="Arial" w:cs="Arial"/>
        </w:rPr>
        <w:t>–</w:t>
      </w:r>
      <w:r w:rsidRPr="00CB482F">
        <w:rPr>
          <w:rFonts w:ascii="Arial" w:hAnsi="Arial" w:cs="Arial"/>
        </w:rPr>
        <w:t xml:space="preserve"> Daily Activities to participants in SIL, compared to $524.8 million for participants not in SIL. This represents a total of $620.0 million for all payments made for Core </w:t>
      </w:r>
      <w:r w:rsidR="00D02E74">
        <w:rPr>
          <w:rFonts w:ascii="Arial" w:hAnsi="Arial" w:cs="Arial"/>
        </w:rPr>
        <w:t>–</w:t>
      </w:r>
      <w:r w:rsidRPr="00CB482F">
        <w:rPr>
          <w:rFonts w:ascii="Arial" w:hAnsi="Arial" w:cs="Arial"/>
        </w:rPr>
        <w:t xml:space="preserve"> Daily Activities supports.</w:t>
      </w:r>
    </w:p>
    <w:p w14:paraId="49D01886" w14:textId="3AE2DE69"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$11.7 million of payments for Core </w:t>
      </w:r>
      <w:r w:rsidR="00D02E74">
        <w:rPr>
          <w:rFonts w:ascii="Arial" w:hAnsi="Arial" w:cs="Arial"/>
        </w:rPr>
        <w:t>–</w:t>
      </w:r>
      <w:r w:rsidRPr="00CB482F">
        <w:rPr>
          <w:rFonts w:ascii="Arial" w:hAnsi="Arial" w:cs="Arial"/>
        </w:rPr>
        <w:t xml:space="preserve"> Community to participants in SIL, compared to $207.4 million for participants not in SIL. This represents a total of $219.1 million for all payments made for Core </w:t>
      </w:r>
      <w:r w:rsidR="00D02E74">
        <w:rPr>
          <w:rFonts w:ascii="Arial" w:hAnsi="Arial" w:cs="Arial"/>
        </w:rPr>
        <w:t>–</w:t>
      </w:r>
      <w:r w:rsidRPr="00CB482F">
        <w:rPr>
          <w:rFonts w:ascii="Arial" w:hAnsi="Arial" w:cs="Arial"/>
        </w:rPr>
        <w:t xml:space="preserve"> Community supports.</w:t>
      </w:r>
    </w:p>
    <w:p w14:paraId="4F499B48" w14:textId="68A06CE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$2.3 million of payments for Core </w:t>
      </w:r>
      <w:r w:rsidR="00D02E74">
        <w:rPr>
          <w:rFonts w:ascii="Arial" w:hAnsi="Arial" w:cs="Arial"/>
        </w:rPr>
        <w:t>–</w:t>
      </w:r>
      <w:r w:rsidRPr="00CB482F">
        <w:rPr>
          <w:rFonts w:ascii="Arial" w:hAnsi="Arial" w:cs="Arial"/>
        </w:rPr>
        <w:t xml:space="preserve"> Consumables &amp; Transport to participants in SIL, compared to $67.6 million for participants not in SIL. This represents a total of $69.9 million for all payments made for Core </w:t>
      </w:r>
      <w:r w:rsidR="00D02E74">
        <w:rPr>
          <w:rFonts w:ascii="Arial" w:hAnsi="Arial" w:cs="Arial"/>
        </w:rPr>
        <w:t>–</w:t>
      </w:r>
      <w:r w:rsidRPr="00CB482F">
        <w:rPr>
          <w:rFonts w:ascii="Arial" w:hAnsi="Arial" w:cs="Arial"/>
        </w:rPr>
        <w:t xml:space="preserve"> Consumables &amp; Transport supports.</w:t>
      </w:r>
    </w:p>
    <w:p w14:paraId="55D6ECDA" w14:textId="4400177A"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$4.2 million of payments for Capacity Building </w:t>
      </w:r>
      <w:r w:rsidR="00D02E74">
        <w:rPr>
          <w:rFonts w:ascii="Arial" w:hAnsi="Arial" w:cs="Arial"/>
        </w:rPr>
        <w:t>–</w:t>
      </w:r>
      <w:r w:rsidRPr="00CB482F">
        <w:rPr>
          <w:rFonts w:ascii="Arial" w:hAnsi="Arial" w:cs="Arial"/>
        </w:rPr>
        <w:t xml:space="preserve"> Daily Activities to participants in SIL, compared to $130.5 million for participants not in SIL. This represents a total of $134.7 million for all payments made for Capacity Building </w:t>
      </w:r>
      <w:r w:rsidR="00D02E74">
        <w:rPr>
          <w:rFonts w:ascii="Arial" w:hAnsi="Arial" w:cs="Arial"/>
        </w:rPr>
        <w:t>–</w:t>
      </w:r>
      <w:r w:rsidRPr="00CB482F">
        <w:rPr>
          <w:rFonts w:ascii="Arial" w:hAnsi="Arial" w:cs="Arial"/>
        </w:rPr>
        <w:t xml:space="preserve"> Daily Activities supports.</w:t>
      </w:r>
    </w:p>
    <w:p w14:paraId="31493CEA" w14:textId="75FB72C9"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$3.0 million of payments for Capacity Building </w:t>
      </w:r>
      <w:r w:rsidR="00D02E74">
        <w:rPr>
          <w:rFonts w:ascii="Arial" w:hAnsi="Arial" w:cs="Arial"/>
        </w:rPr>
        <w:t>–</w:t>
      </w:r>
      <w:r w:rsidRPr="00CB482F">
        <w:rPr>
          <w:rFonts w:ascii="Arial" w:hAnsi="Arial" w:cs="Arial"/>
        </w:rPr>
        <w:t xml:space="preserve"> Other to participants in SIL, compared to $51.0 million for participants not in SIL. This represents a total of $54.0 million for all payments made for Capacity Building </w:t>
      </w:r>
      <w:r w:rsidR="00D02E74">
        <w:rPr>
          <w:rFonts w:ascii="Arial" w:hAnsi="Arial" w:cs="Arial"/>
        </w:rPr>
        <w:t>–</w:t>
      </w:r>
      <w:r w:rsidRPr="00CB482F">
        <w:rPr>
          <w:rFonts w:ascii="Arial" w:hAnsi="Arial" w:cs="Arial"/>
        </w:rPr>
        <w:t xml:space="preserve"> Other supports.</w:t>
      </w:r>
    </w:p>
    <w:p w14:paraId="61B2AF0D"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$6.7 million of payments for Capital to participants in SIL, compared to $126.7 million for participants not in SIL. This represents a total of $133.4 million for all payments made for Capital supports.</w:t>
      </w:r>
    </w:p>
    <w:p w14:paraId="31CFDD6C" w14:textId="1EF281F5" w:rsid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$123.1 million total payments to participants in SIL, compared to $1,108.0 million to participants not in SIL. This represents a total of $1,231.1 million payments to participants with other physical disabilities.</w:t>
      </w:r>
    </w:p>
    <w:p w14:paraId="3915667C" w14:textId="77777777" w:rsidR="00CB482F" w:rsidRDefault="00CB482F" w:rsidP="00950370">
      <w:pPr>
        <w:spacing w:after="0" w:line="360" w:lineRule="auto"/>
        <w:rPr>
          <w:rFonts w:ascii="Arial" w:hAnsi="Arial" w:cs="Arial"/>
        </w:rPr>
      </w:pPr>
    </w:p>
    <w:p w14:paraId="49BCAE20" w14:textId="19C1AC6E" w:rsidR="00A619F2" w:rsidRPr="007A0828" w:rsidRDefault="00A619F2" w:rsidP="00950370">
      <w:pPr>
        <w:spacing w:after="0" w:line="360" w:lineRule="auto"/>
        <w:rPr>
          <w:rFonts w:ascii="Arial" w:hAnsi="Arial" w:cs="Arial"/>
        </w:rPr>
      </w:pPr>
      <w:r w:rsidRPr="007A0828">
        <w:rPr>
          <w:rFonts w:ascii="Arial" w:hAnsi="Arial" w:cs="Arial"/>
        </w:rPr>
        <w:t xml:space="preserve">For participants aged 18 years and over with </w:t>
      </w:r>
      <w:r w:rsidR="001E5A10" w:rsidRPr="00CB482F">
        <w:rPr>
          <w:rFonts w:ascii="Arial" w:hAnsi="Arial" w:cs="Arial"/>
        </w:rPr>
        <w:t>other physical disabilities</w:t>
      </w:r>
      <w:r w:rsidR="00225C79">
        <w:rPr>
          <w:rFonts w:ascii="Arial" w:hAnsi="Arial" w:cs="Arial"/>
        </w:rPr>
        <w:t>:</w:t>
      </w:r>
      <w:r w:rsidRPr="007A0828">
        <w:rPr>
          <w:rFonts w:ascii="Arial" w:hAnsi="Arial" w:cs="Arial"/>
        </w:rPr>
        <w:tab/>
      </w:r>
    </w:p>
    <w:p w14:paraId="546738B4"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Participants in SIL comprise 2% of all participants with other physical disabilities who were aged 18 years and over, and their payments in the year ending 30 June 2023 comprise 11% of payments to participants with other physical disabilities aged 18 years and over.</w:t>
      </w:r>
    </w:p>
    <w:p w14:paraId="53B3900C" w14:textId="16F72C0F" w:rsid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A year ago, participants in SIL represented 1% of participants with other physical disabilities who were aged 18 years and over, and their payments were 8% of payments to participants with other physical disabilities aged 18 years and over in that year.</w:t>
      </w:r>
    </w:p>
    <w:p w14:paraId="4A33287D" w14:textId="5DC4F783" w:rsidR="00C710E1" w:rsidRPr="007A0828" w:rsidRDefault="001B48E8" w:rsidP="00272C12">
      <w:pPr>
        <w:rPr>
          <w:rFonts w:ascii="Arial" w:eastAsiaTheme="majorEastAsia" w:hAnsi="Arial" w:cs="Arial"/>
          <w:color w:val="2F5496" w:themeColor="accent1" w:themeShade="BF"/>
        </w:rPr>
      </w:pPr>
      <w:r>
        <w:rPr>
          <w:rFonts w:ascii="Arial" w:eastAsiaTheme="majorEastAsia" w:hAnsi="Arial" w:cs="Arial"/>
          <w:color w:val="2F5496" w:themeColor="accent1" w:themeShade="BF"/>
        </w:rPr>
        <w:lastRenderedPageBreak/>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lastRenderedPageBreak/>
        <w:t>Section 3: Participant Outcomes and Satisfaction</w:t>
      </w:r>
      <w:bookmarkEnd w:id="3"/>
    </w:p>
    <w:p w14:paraId="056C7996" w14:textId="27352564" w:rsidR="00A619F2" w:rsidRPr="007A0828" w:rsidRDefault="00CB482F" w:rsidP="00C1631F">
      <w:pPr>
        <w:rPr>
          <w:rFonts w:ascii="Arial" w:hAnsi="Arial" w:cs="Arial"/>
        </w:rPr>
      </w:pPr>
      <w:r w:rsidRPr="00CB482F">
        <w:rPr>
          <w:rFonts w:ascii="Arial" w:hAnsi="Arial" w:cs="Arial"/>
        </w:rPr>
        <w:t>The Participant Outcome section compares baseline results when participants entered the Scheme or at their first reassessment, with results measured at the most recent participant plan reassessment for each respondent. Results are for participants who have been in the Scheme for at least two years and NDIS trial participants are excluded.</w:t>
      </w:r>
      <w:r w:rsidR="004A52B6">
        <w:rPr>
          <w:rFonts w:ascii="Arial" w:hAnsi="Arial" w:cs="Arial"/>
        </w:rPr>
        <w:t xml:space="preserve"> </w:t>
      </w:r>
      <w:r w:rsidR="004A52B6" w:rsidRPr="004A52B6">
        <w:rPr>
          <w:rFonts w:ascii="Arial" w:hAnsi="Arial" w:cs="Arial"/>
        </w:rPr>
        <w:t xml:space="preserve">All outcome results are rounded to the nearest </w:t>
      </w:r>
      <w:proofErr w:type="gramStart"/>
      <w:r w:rsidR="004A52B6" w:rsidRPr="004A52B6">
        <w:rPr>
          <w:rFonts w:ascii="Arial" w:hAnsi="Arial" w:cs="Arial"/>
        </w:rPr>
        <w:t>percentage</w:t>
      </w:r>
      <w:proofErr w:type="gramEnd"/>
      <w:r w:rsidR="004A52B6" w:rsidRPr="004A52B6">
        <w:rPr>
          <w:rFonts w:ascii="Arial" w:hAnsi="Arial" w:cs="Arial"/>
        </w:rPr>
        <w:t xml:space="preserve"> but the percentage point increases or decreases are calculated based on the unrounded results.</w:t>
      </w:r>
      <w:r w:rsidR="00A619F2" w:rsidRPr="00DD136D">
        <w:rPr>
          <w:rFonts w:ascii="Arial" w:hAnsi="Arial" w:cs="Arial"/>
        </w:rPr>
        <w:tab/>
      </w:r>
      <w:r w:rsidR="00A619F2" w:rsidRPr="00DD136D">
        <w:rPr>
          <w:rFonts w:ascii="Arial" w:hAnsi="Arial" w:cs="Arial"/>
        </w:rPr>
        <w:tab/>
      </w:r>
    </w:p>
    <w:p w14:paraId="53B39383" w14:textId="05CC307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r w:rsidRPr="00DB5EDB">
        <w:rPr>
          <w:rFonts w:cs="Arial"/>
          <w:szCs w:val="22"/>
        </w:rPr>
        <w:tab/>
      </w:r>
    </w:p>
    <w:p w14:paraId="6CB59AD5" w14:textId="77777777" w:rsidR="00CB482F" w:rsidRPr="00CB482F" w:rsidRDefault="00CB482F" w:rsidP="00CB482F">
      <w:pPr>
        <w:spacing w:line="360" w:lineRule="auto"/>
        <w:rPr>
          <w:rFonts w:ascii="Arial" w:hAnsi="Arial" w:cs="Arial"/>
        </w:rPr>
      </w:pPr>
      <w:r w:rsidRPr="00CB482F">
        <w:rPr>
          <w:rFonts w:ascii="Arial" w:hAnsi="Arial" w:cs="Arial"/>
        </w:rPr>
        <w:t>For participants aged 15 years and over with other physical disabilities, 37% said at their latest reassessment that they were actively involved in a community, cultural or religious group in the last 12 months. This compares to 42% for the Scheme as a whole.</w:t>
      </w:r>
    </w:p>
    <w:p w14:paraId="4207CBF2" w14:textId="0E01C7B5" w:rsidR="00A619F2" w:rsidRPr="007A0828" w:rsidRDefault="00CB482F" w:rsidP="00CB482F">
      <w:pPr>
        <w:spacing w:line="360" w:lineRule="auto"/>
        <w:rPr>
          <w:rFonts w:ascii="Arial" w:hAnsi="Arial" w:cs="Arial"/>
        </w:rPr>
      </w:pPr>
      <w:r w:rsidRPr="00CB482F">
        <w:rPr>
          <w:rFonts w:ascii="Arial" w:hAnsi="Arial" w:cs="Arial"/>
        </w:rPr>
        <w:t>Comparing responses at the most recent plan reassessment (between two to seven years after entry) with responses at Scheme entry or baseline), there has been a:</w:t>
      </w:r>
      <w:r w:rsidR="00A619F2" w:rsidRPr="007A0828">
        <w:rPr>
          <w:rFonts w:ascii="Arial" w:hAnsi="Arial" w:cs="Arial"/>
        </w:rPr>
        <w:tab/>
      </w:r>
      <w:r w:rsidR="00A619F2" w:rsidRPr="007A0828">
        <w:rPr>
          <w:rFonts w:ascii="Arial" w:hAnsi="Arial" w:cs="Arial"/>
        </w:rPr>
        <w:tab/>
      </w:r>
    </w:p>
    <w:p w14:paraId="28B4F8C6"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4 percentage point increase from 33% to 37% for participants aged 15 years and over.</w:t>
      </w:r>
    </w:p>
    <w:p w14:paraId="66CA0E7C" w14:textId="39A54101" w:rsidR="00A619F2"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4 percentage point increase from 33% to 36% for participants aged 25 years and over.</w:t>
      </w:r>
      <w:r w:rsidR="00A619F2" w:rsidRPr="00CB482F">
        <w:rPr>
          <w:rFonts w:ascii="Arial" w:hAnsi="Arial" w:cs="Arial"/>
        </w:rPr>
        <w:tab/>
      </w:r>
    </w:p>
    <w:p w14:paraId="6A04E818" w14:textId="77777777" w:rsidR="00A619F2" w:rsidRPr="007A0828" w:rsidRDefault="00A619F2" w:rsidP="00192AEE">
      <w:pPr>
        <w:spacing w:after="0" w:line="360" w:lineRule="auto"/>
        <w:rPr>
          <w:rFonts w:ascii="Arial" w:hAnsi="Arial" w:cs="Arial"/>
        </w:rPr>
      </w:pPr>
      <w:r w:rsidRPr="007A0828">
        <w:rPr>
          <w:rFonts w:ascii="Arial" w:hAnsi="Arial" w:cs="Arial"/>
        </w:rPr>
        <w:t>A bar chart shows that:</w:t>
      </w:r>
      <w:r w:rsidRPr="007A0828">
        <w:rPr>
          <w:rFonts w:ascii="Arial" w:hAnsi="Arial" w:cs="Arial"/>
        </w:rPr>
        <w:tab/>
      </w:r>
    </w:p>
    <w:p w14:paraId="376EFC69"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15 to 24 years there was a </w:t>
      </w:r>
      <w:proofErr w:type="gramStart"/>
      <w:r w:rsidRPr="00CB482F">
        <w:rPr>
          <w:rFonts w:ascii="Arial" w:hAnsi="Arial" w:cs="Arial"/>
        </w:rPr>
        <w:t>5 percentage</w:t>
      </w:r>
      <w:proofErr w:type="gramEnd"/>
      <w:r w:rsidRPr="00CB482F">
        <w:rPr>
          <w:rFonts w:ascii="Arial" w:hAnsi="Arial" w:cs="Arial"/>
        </w:rPr>
        <w:t xml:space="preserve"> point increase from 35% to 40%.</w:t>
      </w:r>
    </w:p>
    <w:p w14:paraId="37D60EF4"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25 to 34 years there was a </w:t>
      </w:r>
      <w:proofErr w:type="gramStart"/>
      <w:r w:rsidRPr="00CB482F">
        <w:rPr>
          <w:rFonts w:ascii="Arial" w:hAnsi="Arial" w:cs="Arial"/>
        </w:rPr>
        <w:t>5 percentage</w:t>
      </w:r>
      <w:proofErr w:type="gramEnd"/>
      <w:r w:rsidRPr="00CB482F">
        <w:rPr>
          <w:rFonts w:ascii="Arial" w:hAnsi="Arial" w:cs="Arial"/>
        </w:rPr>
        <w:t xml:space="preserve"> point increase from 38% to 42%.</w:t>
      </w:r>
    </w:p>
    <w:p w14:paraId="2A087312"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35 to 44 years there was a </w:t>
      </w:r>
      <w:proofErr w:type="gramStart"/>
      <w:r w:rsidRPr="00CB482F">
        <w:rPr>
          <w:rFonts w:ascii="Arial" w:hAnsi="Arial" w:cs="Arial"/>
        </w:rPr>
        <w:t>5 percentage</w:t>
      </w:r>
      <w:proofErr w:type="gramEnd"/>
      <w:r w:rsidRPr="00CB482F">
        <w:rPr>
          <w:rFonts w:ascii="Arial" w:hAnsi="Arial" w:cs="Arial"/>
        </w:rPr>
        <w:t xml:space="preserve"> point increase from 33% to 38%.</w:t>
      </w:r>
    </w:p>
    <w:p w14:paraId="21333782"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45 to 54 years there was a </w:t>
      </w:r>
      <w:proofErr w:type="gramStart"/>
      <w:r w:rsidRPr="00CB482F">
        <w:rPr>
          <w:rFonts w:ascii="Arial" w:hAnsi="Arial" w:cs="Arial"/>
        </w:rPr>
        <w:t>3 percentage</w:t>
      </w:r>
      <w:proofErr w:type="gramEnd"/>
      <w:r w:rsidRPr="00CB482F">
        <w:rPr>
          <w:rFonts w:ascii="Arial" w:hAnsi="Arial" w:cs="Arial"/>
        </w:rPr>
        <w:t xml:space="preserve"> point increase from 33% to 36%.</w:t>
      </w:r>
    </w:p>
    <w:p w14:paraId="44E53205"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55 to 64 years there was a </w:t>
      </w:r>
      <w:proofErr w:type="gramStart"/>
      <w:r w:rsidRPr="00CB482F">
        <w:rPr>
          <w:rFonts w:ascii="Arial" w:hAnsi="Arial" w:cs="Arial"/>
        </w:rPr>
        <w:t>3 percentage</w:t>
      </w:r>
      <w:proofErr w:type="gramEnd"/>
      <w:r w:rsidRPr="00CB482F">
        <w:rPr>
          <w:rFonts w:ascii="Arial" w:hAnsi="Arial" w:cs="Arial"/>
        </w:rPr>
        <w:t xml:space="preserve"> point increase from 30% to 33%.</w:t>
      </w:r>
    </w:p>
    <w:p w14:paraId="1E8AD113" w14:textId="27BCC1B6" w:rsid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65 years and over there was a </w:t>
      </w:r>
      <w:proofErr w:type="gramStart"/>
      <w:r w:rsidRPr="00CB482F">
        <w:rPr>
          <w:rFonts w:ascii="Arial" w:hAnsi="Arial" w:cs="Arial"/>
        </w:rPr>
        <w:t>4 percentage</w:t>
      </w:r>
      <w:proofErr w:type="gramEnd"/>
      <w:r w:rsidRPr="00CB482F">
        <w:rPr>
          <w:rFonts w:ascii="Arial" w:hAnsi="Arial" w:cs="Arial"/>
        </w:rPr>
        <w:t xml:space="preserve"> point increase from 37% to 41%.</w:t>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t>Outcome: Participant Employment</w:t>
      </w:r>
    </w:p>
    <w:p w14:paraId="6BFB5C68" w14:textId="365483B7" w:rsidR="00A619F2" w:rsidRPr="007A0828" w:rsidRDefault="00CB482F" w:rsidP="00950370">
      <w:pPr>
        <w:spacing w:line="360" w:lineRule="auto"/>
        <w:rPr>
          <w:rFonts w:ascii="Arial" w:hAnsi="Arial" w:cs="Arial"/>
        </w:rPr>
      </w:pPr>
      <w:r w:rsidRPr="00CB482F">
        <w:rPr>
          <w:rFonts w:ascii="Arial" w:hAnsi="Arial" w:cs="Arial"/>
        </w:rPr>
        <w:t>For participants aged 15 to 64 years with other physical disabilities, 27% reported that they had a paid job at their latest reassessment.  This compares to 23% for the Scheme as a whole.</w:t>
      </w:r>
      <w:r w:rsidR="00A619F2" w:rsidRPr="007A0828">
        <w:rPr>
          <w:rFonts w:ascii="Arial" w:hAnsi="Arial" w:cs="Arial"/>
        </w:rPr>
        <w:tab/>
      </w:r>
      <w:r w:rsidR="00A619F2" w:rsidRPr="007A0828">
        <w:rPr>
          <w:rFonts w:ascii="Arial" w:hAnsi="Arial" w:cs="Arial"/>
        </w:rPr>
        <w:tab/>
      </w:r>
    </w:p>
    <w:p w14:paraId="2514ECC8" w14:textId="79CD8845" w:rsidR="00A619F2" w:rsidRPr="007A0828" w:rsidRDefault="00CB482F" w:rsidP="00950370">
      <w:pPr>
        <w:spacing w:line="360" w:lineRule="auto"/>
        <w:rPr>
          <w:rFonts w:ascii="Arial" w:hAnsi="Arial" w:cs="Arial"/>
        </w:rPr>
      </w:pPr>
      <w:r w:rsidRPr="00CB482F">
        <w:rPr>
          <w:rFonts w:ascii="Arial" w:hAnsi="Arial" w:cs="Arial"/>
        </w:rPr>
        <w:lastRenderedPageBreak/>
        <w:t>Comparing responses at the most recent plan reassessment (between two to seven years after entry) with responses at Scheme entry, there has been a:</w:t>
      </w:r>
      <w:r w:rsidR="00A619F2" w:rsidRPr="007A0828">
        <w:rPr>
          <w:rFonts w:ascii="Arial" w:hAnsi="Arial" w:cs="Arial"/>
        </w:rPr>
        <w:tab/>
      </w:r>
      <w:r w:rsidR="00A619F2" w:rsidRPr="007A0828">
        <w:rPr>
          <w:rFonts w:ascii="Arial" w:hAnsi="Arial" w:cs="Arial"/>
        </w:rPr>
        <w:tab/>
      </w:r>
    </w:p>
    <w:p w14:paraId="47AF7B83" w14:textId="716BFBA4" w:rsidR="00CB482F" w:rsidRPr="00CB482F" w:rsidRDefault="00272C12" w:rsidP="00CB482F">
      <w:pPr>
        <w:pStyle w:val="ListParagraph"/>
        <w:numPr>
          <w:ilvl w:val="0"/>
          <w:numId w:val="3"/>
        </w:numPr>
        <w:spacing w:after="0" w:line="360" w:lineRule="auto"/>
        <w:rPr>
          <w:rFonts w:ascii="Arial" w:hAnsi="Arial" w:cs="Arial"/>
        </w:rPr>
      </w:pPr>
      <w:r>
        <w:rPr>
          <w:rFonts w:ascii="Arial" w:hAnsi="Arial" w:cs="Arial"/>
        </w:rPr>
        <w:t>m</w:t>
      </w:r>
      <w:r w:rsidRPr="00272C12">
        <w:rPr>
          <w:rFonts w:ascii="Arial" w:hAnsi="Arial" w:cs="Arial"/>
        </w:rPr>
        <w:t xml:space="preserve">inimal movement from baseline </w:t>
      </w:r>
      <w:r w:rsidR="00CC67BF">
        <w:rPr>
          <w:rFonts w:ascii="Arial" w:hAnsi="Arial" w:cs="Arial"/>
        </w:rPr>
        <w:t>of</w:t>
      </w:r>
      <w:r w:rsidR="00CC67BF" w:rsidRPr="00272C12">
        <w:rPr>
          <w:rFonts w:ascii="Arial" w:hAnsi="Arial" w:cs="Arial"/>
        </w:rPr>
        <w:t xml:space="preserve"> </w:t>
      </w:r>
      <w:r w:rsidRPr="00272C12">
        <w:rPr>
          <w:rFonts w:ascii="Arial" w:hAnsi="Arial" w:cs="Arial"/>
        </w:rPr>
        <w:t xml:space="preserve">27% for participants aged </w:t>
      </w:r>
      <w:r w:rsidR="00CB482F" w:rsidRPr="00CB482F">
        <w:rPr>
          <w:rFonts w:ascii="Arial" w:hAnsi="Arial" w:cs="Arial"/>
        </w:rPr>
        <w:t>15 to 64 years.</w:t>
      </w:r>
    </w:p>
    <w:p w14:paraId="42E17931" w14:textId="32222AA8" w:rsid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1 percentage point decrease from 28% to 26% for participants aged 25 to 64 years.</w:t>
      </w:r>
    </w:p>
    <w:p w14:paraId="75D702C6" w14:textId="77777777" w:rsidR="00272C12" w:rsidRPr="00272C12" w:rsidRDefault="00272C12" w:rsidP="00272C12">
      <w:pPr>
        <w:spacing w:after="0" w:line="360" w:lineRule="auto"/>
        <w:rPr>
          <w:rFonts w:ascii="Arial" w:hAnsi="Arial" w:cs="Arial"/>
        </w:rPr>
      </w:pPr>
    </w:p>
    <w:p w14:paraId="63F93C14" w14:textId="77777777" w:rsidR="00A619F2" w:rsidRPr="007A0828" w:rsidRDefault="00A619F2" w:rsidP="00950370">
      <w:pPr>
        <w:spacing w:line="360" w:lineRule="auto"/>
        <w:rPr>
          <w:rFonts w:ascii="Arial" w:hAnsi="Arial" w:cs="Arial"/>
        </w:rPr>
      </w:pPr>
      <w:r w:rsidRPr="007A0828">
        <w:rPr>
          <w:rFonts w:ascii="Arial" w:hAnsi="Arial" w:cs="Arial"/>
        </w:rPr>
        <w:t>A bar chart shows that:</w:t>
      </w:r>
      <w:r w:rsidRPr="007A0828">
        <w:rPr>
          <w:rFonts w:ascii="Arial" w:hAnsi="Arial" w:cs="Arial"/>
        </w:rPr>
        <w:tab/>
      </w:r>
      <w:r w:rsidRPr="007A0828">
        <w:rPr>
          <w:rFonts w:ascii="Arial" w:hAnsi="Arial" w:cs="Arial"/>
        </w:rPr>
        <w:tab/>
      </w:r>
    </w:p>
    <w:p w14:paraId="2734A188"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15 to 24 years there was a </w:t>
      </w:r>
      <w:proofErr w:type="gramStart"/>
      <w:r w:rsidRPr="00CB482F">
        <w:rPr>
          <w:rFonts w:ascii="Arial" w:hAnsi="Arial" w:cs="Arial"/>
        </w:rPr>
        <w:t>13 percentage</w:t>
      </w:r>
      <w:proofErr w:type="gramEnd"/>
      <w:r w:rsidRPr="00CB482F">
        <w:rPr>
          <w:rFonts w:ascii="Arial" w:hAnsi="Arial" w:cs="Arial"/>
        </w:rPr>
        <w:t xml:space="preserve"> point increase from 19% to 31%.</w:t>
      </w:r>
    </w:p>
    <w:p w14:paraId="2925A43E"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25 to 34 years there was a </w:t>
      </w:r>
      <w:proofErr w:type="gramStart"/>
      <w:r w:rsidRPr="00CB482F">
        <w:rPr>
          <w:rFonts w:ascii="Arial" w:hAnsi="Arial" w:cs="Arial"/>
        </w:rPr>
        <w:t>5 percentage</w:t>
      </w:r>
      <w:proofErr w:type="gramEnd"/>
      <w:r w:rsidRPr="00CB482F">
        <w:rPr>
          <w:rFonts w:ascii="Arial" w:hAnsi="Arial" w:cs="Arial"/>
        </w:rPr>
        <w:t xml:space="preserve"> point increase from 35% to 40%.</w:t>
      </w:r>
    </w:p>
    <w:p w14:paraId="241A9D17"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35 to 44 years there was a </w:t>
      </w:r>
      <w:proofErr w:type="gramStart"/>
      <w:r w:rsidRPr="00CB482F">
        <w:rPr>
          <w:rFonts w:ascii="Arial" w:hAnsi="Arial" w:cs="Arial"/>
        </w:rPr>
        <w:t>2 percentage</w:t>
      </w:r>
      <w:proofErr w:type="gramEnd"/>
      <w:r w:rsidRPr="00CB482F">
        <w:rPr>
          <w:rFonts w:ascii="Arial" w:hAnsi="Arial" w:cs="Arial"/>
        </w:rPr>
        <w:t xml:space="preserve"> point increase from 35% to 37%.</w:t>
      </w:r>
    </w:p>
    <w:p w14:paraId="2C094888" w14:textId="77777777" w:rsidR="00CB482F" w:rsidRP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for participants aged 45 to 54 years there was a 1 percentage point decrease from 29% to 28%.</w:t>
      </w:r>
    </w:p>
    <w:p w14:paraId="04E050EB" w14:textId="19AE314C" w:rsidR="00CB482F" w:rsidRDefault="00CB482F" w:rsidP="00CB482F">
      <w:pPr>
        <w:pStyle w:val="ListParagraph"/>
        <w:numPr>
          <w:ilvl w:val="0"/>
          <w:numId w:val="3"/>
        </w:numPr>
        <w:spacing w:after="0" w:line="360" w:lineRule="auto"/>
        <w:rPr>
          <w:rFonts w:ascii="Arial" w:hAnsi="Arial" w:cs="Arial"/>
        </w:rPr>
      </w:pPr>
      <w:r w:rsidRPr="00CB482F">
        <w:rPr>
          <w:rFonts w:ascii="Arial" w:hAnsi="Arial" w:cs="Arial"/>
        </w:rPr>
        <w:t xml:space="preserve">for participants aged </w:t>
      </w:r>
      <w:r w:rsidR="0033476E">
        <w:rPr>
          <w:rFonts w:ascii="Arial" w:hAnsi="Arial" w:cs="Arial"/>
        </w:rPr>
        <w:t xml:space="preserve">55 to 64 </w:t>
      </w:r>
      <w:r w:rsidRPr="00CB482F">
        <w:rPr>
          <w:rFonts w:ascii="Arial" w:hAnsi="Arial" w:cs="Arial"/>
        </w:rPr>
        <w:t xml:space="preserve">years and over there was a </w:t>
      </w:r>
      <w:proofErr w:type="gramStart"/>
      <w:r w:rsidRPr="00CB482F">
        <w:rPr>
          <w:rFonts w:ascii="Arial" w:hAnsi="Arial" w:cs="Arial"/>
        </w:rPr>
        <w:t>4 percentage</w:t>
      </w:r>
      <w:proofErr w:type="gramEnd"/>
      <w:r w:rsidRPr="00CB482F">
        <w:rPr>
          <w:rFonts w:ascii="Arial" w:hAnsi="Arial" w:cs="Arial"/>
        </w:rPr>
        <w:t xml:space="preserve"> point decrease from 23% to 19%.</w:t>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64591C93" w14:textId="77777777" w:rsidR="00FB4E65" w:rsidRPr="00FB4E65" w:rsidRDefault="00FB4E65" w:rsidP="00FB4E65">
      <w:pPr>
        <w:spacing w:after="0" w:line="360" w:lineRule="auto"/>
        <w:rPr>
          <w:rFonts w:ascii="Arial" w:hAnsi="Arial" w:cs="Arial"/>
        </w:rPr>
      </w:pPr>
      <w:r w:rsidRPr="00FB4E65">
        <w:rPr>
          <w:rFonts w:ascii="Arial" w:hAnsi="Arial" w:cs="Arial"/>
        </w:rPr>
        <w:t>Family/carers of participants with other physical disabilities reported an employment rate of 48%, this compares to Scheme average family/carers employment rate of 50%.</w:t>
      </w:r>
    </w:p>
    <w:p w14:paraId="69A8EDF7" w14:textId="49AA13C3" w:rsidR="00A619F2" w:rsidRPr="007A0828" w:rsidRDefault="00FB4E65" w:rsidP="00FB4E65">
      <w:pPr>
        <w:spacing w:after="0" w:line="360" w:lineRule="auto"/>
        <w:rPr>
          <w:rFonts w:ascii="Arial" w:hAnsi="Arial" w:cs="Arial"/>
        </w:rPr>
      </w:pPr>
      <w:r w:rsidRPr="00FB4E65">
        <w:rPr>
          <w:rFonts w:ascii="Arial" w:hAnsi="Arial" w:cs="Arial"/>
        </w:rPr>
        <w:t>Comparing responses at the most recent plan reassessment (between two to seven years after entry) with responses at Scheme entry, there has been a:</w:t>
      </w:r>
      <w:r w:rsidR="00A619F2" w:rsidRPr="007A0828">
        <w:rPr>
          <w:rFonts w:ascii="Arial" w:hAnsi="Arial" w:cs="Arial"/>
        </w:rPr>
        <w:tab/>
      </w:r>
      <w:r w:rsidR="00A619F2" w:rsidRPr="007A0828">
        <w:rPr>
          <w:rFonts w:ascii="Arial" w:hAnsi="Arial" w:cs="Arial"/>
        </w:rPr>
        <w:tab/>
      </w:r>
    </w:p>
    <w:p w14:paraId="5A2CE3CD" w14:textId="77777777" w:rsidR="00FB4E65"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9 percentage point increase from 46% to 55% for participants aged 0 to 14 years.</w:t>
      </w:r>
    </w:p>
    <w:p w14:paraId="48443ABE" w14:textId="56A1A4CF" w:rsid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 xml:space="preserve">minimal movement from baseline </w:t>
      </w:r>
      <w:r w:rsidR="00CC67BF">
        <w:rPr>
          <w:rFonts w:ascii="Arial" w:hAnsi="Arial" w:cs="Arial"/>
        </w:rPr>
        <w:t>of</w:t>
      </w:r>
      <w:r w:rsidR="00CC67BF" w:rsidRPr="00FB4E65">
        <w:rPr>
          <w:rFonts w:ascii="Arial" w:hAnsi="Arial" w:cs="Arial"/>
        </w:rPr>
        <w:t xml:space="preserve"> </w:t>
      </w:r>
      <w:r w:rsidRPr="00FB4E65">
        <w:rPr>
          <w:rFonts w:ascii="Arial" w:hAnsi="Arial" w:cs="Arial"/>
        </w:rPr>
        <w:t xml:space="preserve">42% for participants aged 15 years and over. </w:t>
      </w:r>
    </w:p>
    <w:p w14:paraId="2B53CCEC" w14:textId="6941D374" w:rsidR="00C710E1" w:rsidRPr="00D320CB" w:rsidRDefault="00FB4E65" w:rsidP="00D320CB">
      <w:pPr>
        <w:pStyle w:val="ListParagraph"/>
        <w:numPr>
          <w:ilvl w:val="0"/>
          <w:numId w:val="17"/>
        </w:numPr>
        <w:spacing w:after="0" w:line="360" w:lineRule="auto"/>
        <w:rPr>
          <w:rFonts w:ascii="Arial" w:hAnsi="Arial" w:cs="Arial"/>
        </w:rPr>
      </w:pPr>
      <w:r w:rsidRPr="00FB4E65">
        <w:rPr>
          <w:rFonts w:ascii="Arial" w:hAnsi="Arial" w:cs="Arial"/>
        </w:rPr>
        <w:t>4 percentage point increase from 44% to 48% for participants across all ages.</w:t>
      </w:r>
    </w:p>
    <w:p w14:paraId="48E955E6" w14:textId="583D44C1" w:rsidR="00C710E1" w:rsidRPr="007A0828" w:rsidRDefault="00C710E1" w:rsidP="00950370">
      <w:pPr>
        <w:pStyle w:val="Heading3"/>
        <w:spacing w:line="360" w:lineRule="auto"/>
        <w:rPr>
          <w:rFonts w:cs="Arial"/>
          <w:szCs w:val="22"/>
        </w:rPr>
      </w:pPr>
      <w:r w:rsidRPr="007A0828">
        <w:rPr>
          <w:rFonts w:cs="Arial"/>
          <w:szCs w:val="22"/>
        </w:rPr>
        <w:t>Outcome: Choice &amp; Control</w:t>
      </w:r>
      <w:r w:rsidRPr="007A0828">
        <w:rPr>
          <w:rFonts w:cs="Arial"/>
          <w:szCs w:val="22"/>
        </w:rPr>
        <w:tab/>
      </w:r>
      <w:r w:rsidRPr="007A0828">
        <w:rPr>
          <w:rFonts w:cs="Arial"/>
          <w:szCs w:val="22"/>
        </w:rPr>
        <w:tab/>
      </w:r>
      <w:r w:rsidRPr="007A0828">
        <w:rPr>
          <w:rFonts w:cs="Arial"/>
          <w:szCs w:val="22"/>
        </w:rPr>
        <w:tab/>
      </w:r>
    </w:p>
    <w:p w14:paraId="6ACDC41D" w14:textId="41220945" w:rsidR="00A619F2" w:rsidRPr="00490DE9" w:rsidRDefault="00FB4E65" w:rsidP="00490DE9">
      <w:pPr>
        <w:spacing w:line="360" w:lineRule="auto"/>
        <w:rPr>
          <w:rFonts w:ascii="Arial" w:hAnsi="Arial" w:cs="Arial"/>
        </w:rPr>
      </w:pPr>
      <w:proofErr w:type="gramStart"/>
      <w:r w:rsidRPr="00FB4E65">
        <w:rPr>
          <w:rFonts w:ascii="Arial" w:hAnsi="Arial" w:cs="Arial"/>
        </w:rPr>
        <w:t>At</w:t>
      </w:r>
      <w:proofErr w:type="gramEnd"/>
      <w:r w:rsidRPr="00FB4E65">
        <w:rPr>
          <w:rFonts w:ascii="Arial" w:hAnsi="Arial" w:cs="Arial"/>
        </w:rPr>
        <w:t xml:space="preserve"> 30 June 2023, 80% of participants with other physical disabilities aged 15 years and over said the NDIS has helped them have more choice and control over their life.</w:t>
      </w:r>
      <w:r w:rsidR="00885EC5">
        <w:rPr>
          <w:rFonts w:ascii="Arial" w:hAnsi="Arial" w:cs="Arial"/>
        </w:rPr>
        <w:t xml:space="preserve"> </w:t>
      </w:r>
      <w:r w:rsidR="00950370" w:rsidRPr="00490DE9">
        <w:rPr>
          <w:rFonts w:ascii="Arial" w:hAnsi="Arial" w:cs="Arial"/>
        </w:rPr>
        <w:t xml:space="preserve">This is </w:t>
      </w:r>
      <w:r w:rsidRPr="00490DE9">
        <w:rPr>
          <w:rFonts w:ascii="Arial" w:hAnsi="Arial" w:cs="Arial"/>
        </w:rPr>
        <w:t>higher</w:t>
      </w:r>
      <w:r w:rsidR="00950370" w:rsidRPr="00490DE9">
        <w:rPr>
          <w:rFonts w:ascii="Arial" w:hAnsi="Arial" w:cs="Arial"/>
        </w:rPr>
        <w:t xml:space="preserve"> than the Scheme average rate at 77%.</w:t>
      </w:r>
    </w:p>
    <w:p w14:paraId="136C5052" w14:textId="42256079" w:rsidR="00FB4E65" w:rsidRPr="00FB4E65" w:rsidRDefault="00FB4E65" w:rsidP="00FB4E65">
      <w:pPr>
        <w:spacing w:line="360" w:lineRule="auto"/>
        <w:rPr>
          <w:rFonts w:ascii="Arial" w:hAnsi="Arial" w:cs="Arial"/>
        </w:rPr>
      </w:pPr>
      <w:r w:rsidRPr="00FB4E65">
        <w:rPr>
          <w:rFonts w:ascii="Arial" w:hAnsi="Arial" w:cs="Arial"/>
        </w:rPr>
        <w:t>Comparing responses at the most recent plan reassessment (between two to seven years after entry) with responses at their first plan reassessment, there has been a:</w:t>
      </w:r>
      <w:r w:rsidR="00950370" w:rsidRPr="007A0828">
        <w:rPr>
          <w:rFonts w:ascii="Arial" w:hAnsi="Arial" w:cs="Arial"/>
        </w:rPr>
        <w:tab/>
      </w:r>
      <w:r w:rsidR="00950370" w:rsidRPr="007A0828">
        <w:rPr>
          <w:rFonts w:ascii="Arial" w:hAnsi="Arial" w:cs="Arial"/>
        </w:rPr>
        <w:tab/>
      </w:r>
    </w:p>
    <w:p w14:paraId="3182AA0B" w14:textId="77777777" w:rsidR="00FB4E65"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12 percentage point increase from 68% to 80% for participants aged 15 years and over.</w:t>
      </w:r>
    </w:p>
    <w:p w14:paraId="02733A5A" w14:textId="77777777" w:rsid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lastRenderedPageBreak/>
        <w:t>12 percentage point increase from 68% to 81% for participants aged 25 years and over.</w:t>
      </w:r>
    </w:p>
    <w:p w14:paraId="14EA76FA" w14:textId="3F1390E0" w:rsidR="00950370" w:rsidRPr="00FB4E65" w:rsidRDefault="00950370" w:rsidP="00490DE9">
      <w:pPr>
        <w:spacing w:after="0" w:line="360" w:lineRule="auto"/>
        <w:ind w:left="720"/>
        <w:rPr>
          <w:rFonts w:ascii="Arial" w:hAnsi="Arial" w:cs="Arial"/>
        </w:rPr>
      </w:pPr>
    </w:p>
    <w:p w14:paraId="1A96EC5C" w14:textId="77777777" w:rsidR="00950370" w:rsidRPr="007A0828" w:rsidRDefault="00950370" w:rsidP="00950370">
      <w:pPr>
        <w:spacing w:line="360" w:lineRule="auto"/>
        <w:rPr>
          <w:rFonts w:ascii="Arial" w:hAnsi="Arial" w:cs="Arial"/>
        </w:rPr>
      </w:pPr>
      <w:r w:rsidRPr="007A0828">
        <w:rPr>
          <w:rFonts w:ascii="Arial" w:hAnsi="Arial" w:cs="Arial"/>
        </w:rPr>
        <w:t>A chart shows that:</w:t>
      </w:r>
      <w:r w:rsidRPr="007A0828">
        <w:rPr>
          <w:rFonts w:ascii="Arial" w:hAnsi="Arial" w:cs="Arial"/>
        </w:rPr>
        <w:tab/>
      </w:r>
      <w:r w:rsidRPr="007A0828">
        <w:rPr>
          <w:rFonts w:ascii="Arial" w:hAnsi="Arial" w:cs="Arial"/>
        </w:rPr>
        <w:tab/>
      </w:r>
    </w:p>
    <w:p w14:paraId="7884B2BC" w14:textId="77777777" w:rsidR="00FB4E65"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 xml:space="preserve">for participants aged 15 to 24 years there was a </w:t>
      </w:r>
      <w:proofErr w:type="gramStart"/>
      <w:r w:rsidRPr="00FB4E65">
        <w:rPr>
          <w:rFonts w:ascii="Arial" w:hAnsi="Arial" w:cs="Arial"/>
        </w:rPr>
        <w:t>11 percentage</w:t>
      </w:r>
      <w:proofErr w:type="gramEnd"/>
      <w:r w:rsidRPr="00FB4E65">
        <w:rPr>
          <w:rFonts w:ascii="Arial" w:hAnsi="Arial" w:cs="Arial"/>
        </w:rPr>
        <w:t xml:space="preserve"> point increase from 64% to 75%.</w:t>
      </w:r>
    </w:p>
    <w:p w14:paraId="15C9E1D1" w14:textId="77777777" w:rsidR="00FB4E65"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 xml:space="preserve">for participants aged 25 to 34 years there was a </w:t>
      </w:r>
      <w:proofErr w:type="gramStart"/>
      <w:r w:rsidRPr="00FB4E65">
        <w:rPr>
          <w:rFonts w:ascii="Arial" w:hAnsi="Arial" w:cs="Arial"/>
        </w:rPr>
        <w:t>10 percentage</w:t>
      </w:r>
      <w:proofErr w:type="gramEnd"/>
      <w:r w:rsidRPr="00FB4E65">
        <w:rPr>
          <w:rFonts w:ascii="Arial" w:hAnsi="Arial" w:cs="Arial"/>
        </w:rPr>
        <w:t xml:space="preserve"> point increase from 69% to 79%.</w:t>
      </w:r>
    </w:p>
    <w:p w14:paraId="7CE8CACA" w14:textId="77777777" w:rsidR="00FB4E65"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 xml:space="preserve">for participants aged 35 to 44 years there was a </w:t>
      </w:r>
      <w:proofErr w:type="gramStart"/>
      <w:r w:rsidRPr="00FB4E65">
        <w:rPr>
          <w:rFonts w:ascii="Arial" w:hAnsi="Arial" w:cs="Arial"/>
        </w:rPr>
        <w:t>13 percentage</w:t>
      </w:r>
      <w:proofErr w:type="gramEnd"/>
      <w:r w:rsidRPr="00FB4E65">
        <w:rPr>
          <w:rFonts w:ascii="Arial" w:hAnsi="Arial" w:cs="Arial"/>
        </w:rPr>
        <w:t xml:space="preserve"> point increase from 68% to 81%.</w:t>
      </w:r>
    </w:p>
    <w:p w14:paraId="09B8AC9C" w14:textId="77777777" w:rsidR="00FB4E65"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 xml:space="preserve">for participants aged 45 to 54 years there was a </w:t>
      </w:r>
      <w:proofErr w:type="gramStart"/>
      <w:r w:rsidRPr="00FB4E65">
        <w:rPr>
          <w:rFonts w:ascii="Arial" w:hAnsi="Arial" w:cs="Arial"/>
        </w:rPr>
        <w:t>13 percentage</w:t>
      </w:r>
      <w:proofErr w:type="gramEnd"/>
      <w:r w:rsidRPr="00FB4E65">
        <w:rPr>
          <w:rFonts w:ascii="Arial" w:hAnsi="Arial" w:cs="Arial"/>
        </w:rPr>
        <w:t xml:space="preserve"> point increase from 66% to 79%.</w:t>
      </w:r>
    </w:p>
    <w:p w14:paraId="0CC28EA7" w14:textId="7A99F0BE" w:rsidR="00FB4E65"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for participants aged 55 to 64 years there was a</w:t>
      </w:r>
      <w:r w:rsidR="00845F37">
        <w:rPr>
          <w:rFonts w:ascii="Arial" w:hAnsi="Arial" w:cs="Arial"/>
        </w:rPr>
        <w:t>n</w:t>
      </w:r>
      <w:r w:rsidRPr="00FB4E65">
        <w:rPr>
          <w:rFonts w:ascii="Arial" w:hAnsi="Arial" w:cs="Arial"/>
        </w:rPr>
        <w:t xml:space="preserve"> </w:t>
      </w:r>
      <w:proofErr w:type="gramStart"/>
      <w:r w:rsidRPr="00FB4E65">
        <w:rPr>
          <w:rFonts w:ascii="Arial" w:hAnsi="Arial" w:cs="Arial"/>
        </w:rPr>
        <w:t>11 percentage</w:t>
      </w:r>
      <w:proofErr w:type="gramEnd"/>
      <w:r w:rsidRPr="00FB4E65">
        <w:rPr>
          <w:rFonts w:ascii="Arial" w:hAnsi="Arial" w:cs="Arial"/>
        </w:rPr>
        <w:t xml:space="preserve"> point increase from 69% to 80%.</w:t>
      </w:r>
    </w:p>
    <w:p w14:paraId="6129CE9D" w14:textId="6D321F73" w:rsidR="00950370"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for participants aged 65 and over there was a</w:t>
      </w:r>
      <w:r w:rsidR="00845F37">
        <w:rPr>
          <w:rFonts w:ascii="Arial" w:hAnsi="Arial" w:cs="Arial"/>
        </w:rPr>
        <w:t>n</w:t>
      </w:r>
      <w:r w:rsidRPr="00FB4E65">
        <w:rPr>
          <w:rFonts w:ascii="Arial" w:hAnsi="Arial" w:cs="Arial"/>
        </w:rPr>
        <w:t xml:space="preserve"> </w:t>
      </w:r>
      <w:proofErr w:type="gramStart"/>
      <w:r w:rsidRPr="00FB4E65">
        <w:rPr>
          <w:rFonts w:ascii="Arial" w:hAnsi="Arial" w:cs="Arial"/>
        </w:rPr>
        <w:t>11 percentage</w:t>
      </w:r>
      <w:proofErr w:type="gramEnd"/>
      <w:r w:rsidRPr="00FB4E65">
        <w:rPr>
          <w:rFonts w:ascii="Arial" w:hAnsi="Arial" w:cs="Arial"/>
        </w:rPr>
        <w:t xml:space="preserve"> point increase from 72% to 83%.</w:t>
      </w:r>
      <w:r w:rsidR="00950370" w:rsidRPr="00FB4E65">
        <w:rPr>
          <w:rFonts w:ascii="Arial" w:hAnsi="Arial" w:cs="Arial"/>
        </w:rPr>
        <w:tab/>
      </w:r>
      <w:r w:rsidR="00950370" w:rsidRPr="00FB4E65">
        <w:rPr>
          <w:rFonts w:ascii="Arial" w:hAnsi="Arial" w:cs="Arial"/>
        </w:rPr>
        <w:tab/>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0D9C2DB1" w14:textId="5FA04B97" w:rsidR="00FB4E65" w:rsidRPr="00FB4E65" w:rsidRDefault="00FB4E65" w:rsidP="00FB4E65">
      <w:pPr>
        <w:pStyle w:val="ListParagraph"/>
        <w:numPr>
          <w:ilvl w:val="0"/>
          <w:numId w:val="21"/>
        </w:numPr>
        <w:spacing w:after="0" w:line="360" w:lineRule="auto"/>
        <w:rPr>
          <w:rFonts w:ascii="Arial" w:hAnsi="Arial" w:cs="Arial"/>
        </w:rPr>
      </w:pPr>
      <w:r w:rsidRPr="00FB4E65">
        <w:rPr>
          <w:rFonts w:ascii="Arial" w:hAnsi="Arial" w:cs="Arial"/>
        </w:rPr>
        <w:t>95% of parents and carers for children with other physical disabilities thought the NDIS improved their child</w:t>
      </w:r>
      <w:r w:rsidR="00D02E74">
        <w:rPr>
          <w:rFonts w:ascii="Arial" w:hAnsi="Arial" w:cs="Arial"/>
        </w:rPr>
        <w:t>’</w:t>
      </w:r>
      <w:r w:rsidRPr="00FB4E65">
        <w:rPr>
          <w:rFonts w:ascii="Arial" w:hAnsi="Arial" w:cs="Arial"/>
        </w:rPr>
        <w:t xml:space="preserve">s development at their most recent plan reassessment, compared to 85% at their first reassessment. This is a </w:t>
      </w:r>
      <w:proofErr w:type="gramStart"/>
      <w:r w:rsidRPr="00FB4E65">
        <w:rPr>
          <w:rFonts w:ascii="Arial" w:hAnsi="Arial" w:cs="Arial"/>
        </w:rPr>
        <w:t>10 percentage</w:t>
      </w:r>
      <w:proofErr w:type="gramEnd"/>
      <w:r w:rsidRPr="00FB4E65">
        <w:rPr>
          <w:rFonts w:ascii="Arial" w:hAnsi="Arial" w:cs="Arial"/>
        </w:rPr>
        <w:t xml:space="preserve"> point increase from the first reassessment.</w:t>
      </w:r>
    </w:p>
    <w:p w14:paraId="739F2B6C" w14:textId="062334DF" w:rsidR="00FB4E65" w:rsidRPr="00FB4E65" w:rsidRDefault="00FB4E65" w:rsidP="00FB4E65">
      <w:pPr>
        <w:pStyle w:val="ListParagraph"/>
        <w:numPr>
          <w:ilvl w:val="0"/>
          <w:numId w:val="21"/>
        </w:numPr>
        <w:spacing w:after="0" w:line="360" w:lineRule="auto"/>
        <w:rPr>
          <w:rFonts w:ascii="Arial" w:hAnsi="Arial" w:cs="Arial"/>
        </w:rPr>
      </w:pPr>
      <w:r w:rsidRPr="00FB4E65">
        <w:rPr>
          <w:rFonts w:ascii="Arial" w:hAnsi="Arial" w:cs="Arial"/>
        </w:rPr>
        <w:t>96% of parents and carers for children with other physical disabilities thought the NDIS improved their child</w:t>
      </w:r>
      <w:r w:rsidR="00D02E74">
        <w:rPr>
          <w:rFonts w:ascii="Arial" w:hAnsi="Arial" w:cs="Arial"/>
        </w:rPr>
        <w:t>’</w:t>
      </w:r>
      <w:r w:rsidRPr="00FB4E65">
        <w:rPr>
          <w:rFonts w:ascii="Arial" w:hAnsi="Arial" w:cs="Arial"/>
        </w:rPr>
        <w:t xml:space="preserve">s access to specialist services at their latest plan reassessment, compared to 85% at their first reassessment. This is a </w:t>
      </w:r>
      <w:proofErr w:type="gramStart"/>
      <w:r w:rsidRPr="00FB4E65">
        <w:rPr>
          <w:rFonts w:ascii="Arial" w:hAnsi="Arial" w:cs="Arial"/>
        </w:rPr>
        <w:t>11 percentage</w:t>
      </w:r>
      <w:proofErr w:type="gramEnd"/>
      <w:r w:rsidRPr="00FB4E65">
        <w:rPr>
          <w:rFonts w:ascii="Arial" w:hAnsi="Arial" w:cs="Arial"/>
        </w:rPr>
        <w:t xml:space="preserve"> point increase from the first reassessment.</w:t>
      </w:r>
    </w:p>
    <w:p w14:paraId="43B55C53"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starting school to 14 years:</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5177381C" w14:textId="013D2CF3" w:rsidR="00950370" w:rsidRPr="00225C79" w:rsidRDefault="00FB4E65" w:rsidP="00225C79">
      <w:pPr>
        <w:pStyle w:val="ListParagraph"/>
        <w:numPr>
          <w:ilvl w:val="0"/>
          <w:numId w:val="43"/>
        </w:numPr>
        <w:spacing w:after="0" w:line="360" w:lineRule="auto"/>
        <w:rPr>
          <w:rFonts w:ascii="Arial" w:hAnsi="Arial" w:cs="Arial"/>
        </w:rPr>
      </w:pPr>
      <w:r w:rsidRPr="00FB4E65">
        <w:rPr>
          <w:rFonts w:ascii="Arial" w:hAnsi="Arial" w:cs="Arial"/>
        </w:rPr>
        <w:t xml:space="preserve">77% of parents and carers for children with other physical disabilities felt their child had become more independent </w:t>
      </w:r>
      <w:proofErr w:type="gramStart"/>
      <w:r w:rsidRPr="00FB4E65">
        <w:rPr>
          <w:rFonts w:ascii="Arial" w:hAnsi="Arial" w:cs="Arial"/>
        </w:rPr>
        <w:t>as a result of</w:t>
      </w:r>
      <w:proofErr w:type="gramEnd"/>
      <w:r w:rsidRPr="00FB4E65">
        <w:rPr>
          <w:rFonts w:ascii="Arial" w:hAnsi="Arial" w:cs="Arial"/>
        </w:rPr>
        <w:t xml:space="preserve"> the NDIS at their most recent plan reassessment, compared to 62% at their first reassessment</w:t>
      </w:r>
      <w:r w:rsidR="00950370" w:rsidRPr="00225C79">
        <w:rPr>
          <w:rFonts w:ascii="Arial" w:hAnsi="Arial" w:cs="Arial"/>
        </w:rPr>
        <w:t>.</w:t>
      </w:r>
      <w:r w:rsidR="006D7D03" w:rsidRPr="00225C79">
        <w:rPr>
          <w:rFonts w:ascii="Arial" w:hAnsi="Arial" w:cs="Arial"/>
        </w:rPr>
        <w:t xml:space="preserve"> </w:t>
      </w:r>
      <w:r w:rsidR="00950370" w:rsidRPr="00225C79">
        <w:rPr>
          <w:rFonts w:ascii="Arial" w:hAnsi="Arial" w:cs="Arial"/>
        </w:rPr>
        <w:t xml:space="preserve">This is a </w:t>
      </w:r>
      <w:proofErr w:type="gramStart"/>
      <w:r w:rsidR="00950370" w:rsidRPr="00225C79">
        <w:rPr>
          <w:rFonts w:ascii="Arial" w:hAnsi="Arial" w:cs="Arial"/>
        </w:rPr>
        <w:t>1</w:t>
      </w:r>
      <w:r>
        <w:rPr>
          <w:rFonts w:ascii="Arial" w:hAnsi="Arial" w:cs="Arial"/>
        </w:rPr>
        <w:t>5</w:t>
      </w:r>
      <w:r w:rsidR="00950370" w:rsidRPr="00225C79">
        <w:rPr>
          <w:rFonts w:ascii="Arial" w:hAnsi="Arial" w:cs="Arial"/>
        </w:rPr>
        <w:t xml:space="preserve"> percentage</w:t>
      </w:r>
      <w:proofErr w:type="gramEnd"/>
      <w:r w:rsidR="00950370" w:rsidRPr="00225C79">
        <w:rPr>
          <w:rFonts w:ascii="Arial" w:hAnsi="Arial" w:cs="Arial"/>
        </w:rPr>
        <w:t xml:space="preserve"> point increase from the first reassessment.</w:t>
      </w:r>
    </w:p>
    <w:p w14:paraId="10125141" w14:textId="0D9FE4CE" w:rsidR="00C710E1" w:rsidRPr="00FB4E65" w:rsidRDefault="00FB4E65" w:rsidP="00950370">
      <w:pPr>
        <w:pStyle w:val="ListParagraph"/>
        <w:numPr>
          <w:ilvl w:val="0"/>
          <w:numId w:val="43"/>
        </w:numPr>
        <w:spacing w:after="0" w:line="360" w:lineRule="auto"/>
        <w:rPr>
          <w:rFonts w:ascii="Arial" w:hAnsi="Arial" w:cs="Arial"/>
        </w:rPr>
      </w:pPr>
      <w:r w:rsidRPr="00FB4E65">
        <w:rPr>
          <w:rFonts w:ascii="Arial" w:hAnsi="Arial" w:cs="Arial"/>
        </w:rPr>
        <w:t>61% of parents and carers for children with other physical disabilities felt the NDIS has improved their child</w:t>
      </w:r>
      <w:r w:rsidR="00D02E74">
        <w:rPr>
          <w:rFonts w:ascii="Arial" w:hAnsi="Arial" w:cs="Arial"/>
        </w:rPr>
        <w:t>’</w:t>
      </w:r>
      <w:r w:rsidRPr="00FB4E65">
        <w:rPr>
          <w:rFonts w:ascii="Arial" w:hAnsi="Arial" w:cs="Arial"/>
        </w:rPr>
        <w:t xml:space="preserve">s relationship with family and friends at their most recent </w:t>
      </w:r>
      <w:r w:rsidRPr="00FB4E65">
        <w:rPr>
          <w:rFonts w:ascii="Arial" w:hAnsi="Arial" w:cs="Arial"/>
        </w:rPr>
        <w:lastRenderedPageBreak/>
        <w:t>plan reassessment, compared with 48% at their first reassessment</w:t>
      </w:r>
      <w:r w:rsidR="00950370" w:rsidRPr="00225C79">
        <w:rPr>
          <w:rFonts w:ascii="Arial" w:hAnsi="Arial" w:cs="Arial"/>
        </w:rPr>
        <w:t>.</w:t>
      </w:r>
      <w:r w:rsidR="006D7D03" w:rsidRPr="00225C79">
        <w:rPr>
          <w:rFonts w:ascii="Arial" w:hAnsi="Arial" w:cs="Arial"/>
        </w:rPr>
        <w:t xml:space="preserve"> </w:t>
      </w:r>
      <w:r w:rsidR="00950370" w:rsidRPr="00225C79">
        <w:rPr>
          <w:rFonts w:ascii="Arial" w:hAnsi="Arial" w:cs="Arial"/>
        </w:rPr>
        <w:t xml:space="preserve">This is a </w:t>
      </w:r>
      <w:proofErr w:type="gramStart"/>
      <w:r>
        <w:rPr>
          <w:rFonts w:ascii="Arial" w:hAnsi="Arial" w:cs="Arial"/>
        </w:rPr>
        <w:t>13</w:t>
      </w:r>
      <w:r w:rsidR="00950370" w:rsidRPr="00225C79">
        <w:rPr>
          <w:rFonts w:ascii="Arial" w:hAnsi="Arial" w:cs="Arial"/>
        </w:rPr>
        <w:t xml:space="preserve"> percentage</w:t>
      </w:r>
      <w:proofErr w:type="gramEnd"/>
      <w:r w:rsidR="00950370" w:rsidRPr="00225C79">
        <w:rPr>
          <w:rFonts w:ascii="Arial" w:hAnsi="Arial" w:cs="Arial"/>
        </w:rPr>
        <w:t xml:space="preserve"> point increase from the first reassessment.</w:t>
      </w:r>
      <w:r w:rsidR="00C710E1" w:rsidRPr="00225C79">
        <w:rPr>
          <w:rFonts w:ascii="Arial" w:hAnsi="Arial" w:cs="Arial"/>
        </w:rPr>
        <w:tab/>
      </w:r>
    </w:p>
    <w:p w14:paraId="69A5BCD7" w14:textId="089381F2" w:rsidR="004163C5" w:rsidRPr="007A0828" w:rsidRDefault="00C710E1" w:rsidP="00950370">
      <w:pPr>
        <w:pStyle w:val="Heading3"/>
        <w:spacing w:line="360" w:lineRule="auto"/>
        <w:rPr>
          <w:rFonts w:cs="Arial"/>
          <w:szCs w:val="22"/>
        </w:rPr>
      </w:pPr>
      <w:r w:rsidRPr="007A0828">
        <w:rPr>
          <w:rFonts w:cs="Arial"/>
          <w:szCs w:val="22"/>
        </w:rPr>
        <w:t>Education outcomes</w:t>
      </w:r>
    </w:p>
    <w:p w14:paraId="57800D79" w14:textId="77777777" w:rsidR="00FB4E65" w:rsidRPr="00FB4E65" w:rsidRDefault="00FB4E65" w:rsidP="00FB4E65">
      <w:pPr>
        <w:rPr>
          <w:rFonts w:ascii="Arial" w:hAnsi="Arial" w:cs="Arial"/>
        </w:rPr>
      </w:pPr>
      <w:r w:rsidRPr="00FB4E65">
        <w:rPr>
          <w:rFonts w:ascii="Arial" w:hAnsi="Arial" w:cs="Arial"/>
        </w:rPr>
        <w:t xml:space="preserve">This section contains 4 bar charts demonstrating education outcomes and ADE employment outcomes for participants with other physical disabilities. </w:t>
      </w:r>
    </w:p>
    <w:p w14:paraId="6691BDC9" w14:textId="474E5DD6" w:rsidR="00FB4E65" w:rsidRPr="00FB4E65" w:rsidRDefault="00FB4E65" w:rsidP="00FB4E65">
      <w:pPr>
        <w:rPr>
          <w:rFonts w:ascii="Arial" w:hAnsi="Arial" w:cs="Arial"/>
        </w:rPr>
      </w:pPr>
      <w:r w:rsidRPr="00FB4E65">
        <w:rPr>
          <w:rFonts w:ascii="Arial" w:hAnsi="Arial" w:cs="Arial"/>
        </w:rPr>
        <w:t xml:space="preserve">A chart entitled: </w:t>
      </w:r>
      <w:r w:rsidR="008B733B">
        <w:rPr>
          <w:rFonts w:ascii="Arial" w:hAnsi="Arial" w:cs="Arial"/>
        </w:rPr>
        <w:t>“</w:t>
      </w:r>
      <w:r w:rsidRPr="00FB4E65">
        <w:rPr>
          <w:rFonts w:ascii="Arial" w:hAnsi="Arial" w:cs="Arial"/>
        </w:rPr>
        <w:t>Percentage of children starting school to aged 14 who attend school in a mainstream class</w:t>
      </w:r>
      <w:r w:rsidR="008B733B">
        <w:rPr>
          <w:rFonts w:ascii="Arial" w:hAnsi="Arial" w:cs="Arial"/>
        </w:rPr>
        <w:t>”</w:t>
      </w:r>
      <w:r w:rsidRPr="00FB4E65">
        <w:rPr>
          <w:rFonts w:ascii="Arial" w:hAnsi="Arial" w:cs="Arial"/>
        </w:rPr>
        <w:t xml:space="preserve"> </w:t>
      </w:r>
      <w:r w:rsidR="00885EC5" w:rsidRPr="00FB4E65">
        <w:rPr>
          <w:rFonts w:ascii="Arial" w:hAnsi="Arial" w:cs="Arial"/>
        </w:rPr>
        <w:t xml:space="preserve">displays </w:t>
      </w:r>
      <w:r w:rsidRPr="00FB4E65">
        <w:rPr>
          <w:rFonts w:ascii="Arial" w:hAnsi="Arial" w:cs="Arial"/>
        </w:rPr>
        <w:t xml:space="preserve">the percentage of school children with other physical disabilities (up to 14 years of age) who attend school in a mainstream </w:t>
      </w:r>
      <w:proofErr w:type="gramStart"/>
      <w:r w:rsidRPr="00FB4E65">
        <w:rPr>
          <w:rFonts w:ascii="Arial" w:hAnsi="Arial" w:cs="Arial"/>
        </w:rPr>
        <w:t>class, and</w:t>
      </w:r>
      <w:proofErr w:type="gramEnd"/>
      <w:r w:rsidRPr="00FB4E65">
        <w:rPr>
          <w:rFonts w:ascii="Arial" w:hAnsi="Arial" w:cs="Arial"/>
        </w:rPr>
        <w:t xml:space="preserve"> compares results at the latest plan reassessment and Scheme entry (or baseline).</w:t>
      </w:r>
    </w:p>
    <w:p w14:paraId="68354494" w14:textId="002AB844" w:rsidR="004163C5" w:rsidRPr="007A0828" w:rsidRDefault="00FB4E65" w:rsidP="00FB4E65">
      <w:pPr>
        <w:rPr>
          <w:rFonts w:ascii="Arial" w:hAnsi="Arial" w:cs="Arial"/>
        </w:rPr>
      </w:pPr>
      <w:r w:rsidRPr="00FB4E65">
        <w:rPr>
          <w:rFonts w:ascii="Arial" w:hAnsi="Arial" w:cs="Arial"/>
        </w:rPr>
        <w:t>The percentage of children starting school to aged 14 with other physical disabilities who attend school in the mainstream class were: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5E94C006" w14:textId="73C4F6CA" w:rsidR="004163C5" w:rsidRPr="007A0828" w:rsidRDefault="00FB4E65" w:rsidP="00517984">
      <w:pPr>
        <w:pStyle w:val="ListParagraph"/>
        <w:numPr>
          <w:ilvl w:val="0"/>
          <w:numId w:val="17"/>
        </w:numPr>
        <w:spacing w:after="0" w:line="360" w:lineRule="auto"/>
        <w:rPr>
          <w:rFonts w:ascii="Arial" w:hAnsi="Arial" w:cs="Arial"/>
        </w:rPr>
      </w:pPr>
      <w:r>
        <w:rPr>
          <w:rFonts w:ascii="Arial" w:hAnsi="Arial" w:cs="Arial"/>
        </w:rPr>
        <w:t>83</w:t>
      </w:r>
      <w:r w:rsidR="004163C5" w:rsidRPr="007A0828">
        <w:rPr>
          <w:rFonts w:ascii="Arial" w:hAnsi="Arial" w:cs="Arial"/>
        </w:rPr>
        <w:t>% at baseline.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0B97935B" w14:textId="233BD3C3" w:rsidR="004163C5" w:rsidRDefault="00FB4E65" w:rsidP="00517984">
      <w:pPr>
        <w:pStyle w:val="ListParagraph"/>
        <w:numPr>
          <w:ilvl w:val="0"/>
          <w:numId w:val="17"/>
        </w:numPr>
        <w:spacing w:after="0" w:line="360" w:lineRule="auto"/>
        <w:rPr>
          <w:rFonts w:ascii="Arial" w:hAnsi="Arial" w:cs="Arial"/>
        </w:rPr>
      </w:pPr>
      <w:r>
        <w:rPr>
          <w:rFonts w:ascii="Arial" w:hAnsi="Arial" w:cs="Arial"/>
        </w:rPr>
        <w:t>81</w:t>
      </w:r>
      <w:r w:rsidR="004163C5" w:rsidRPr="007A0828">
        <w:rPr>
          <w:rFonts w:ascii="Arial" w:hAnsi="Arial" w:cs="Arial"/>
        </w:rPr>
        <w:t>% at the latest reassessment.</w:t>
      </w:r>
    </w:p>
    <w:p w14:paraId="783A4CA2" w14:textId="77777777" w:rsidR="00FB4E65" w:rsidRPr="00FB4E65" w:rsidRDefault="00FB4E65" w:rsidP="00FB4E65">
      <w:pPr>
        <w:spacing w:after="0" w:line="360" w:lineRule="auto"/>
        <w:rPr>
          <w:rFonts w:ascii="Arial" w:hAnsi="Arial" w:cs="Arial"/>
        </w:rPr>
      </w:pPr>
    </w:p>
    <w:p w14:paraId="62AECA67" w14:textId="5C6206FE" w:rsidR="00FB4E65" w:rsidRPr="00FB4E65" w:rsidRDefault="00FB4E65" w:rsidP="00FB4E65">
      <w:pPr>
        <w:rPr>
          <w:rFonts w:ascii="Arial" w:hAnsi="Arial" w:cs="Arial"/>
        </w:rPr>
      </w:pPr>
      <w:r w:rsidRPr="00FB4E65">
        <w:rPr>
          <w:rFonts w:ascii="Arial" w:hAnsi="Arial" w:cs="Arial"/>
        </w:rPr>
        <w:t xml:space="preserve">The next chart entitled: </w:t>
      </w:r>
      <w:r w:rsidR="008B733B">
        <w:rPr>
          <w:rFonts w:ascii="Arial" w:hAnsi="Arial" w:cs="Arial"/>
        </w:rPr>
        <w:t>“</w:t>
      </w:r>
      <w:r w:rsidRPr="00FB4E65">
        <w:rPr>
          <w:rFonts w:ascii="Arial" w:hAnsi="Arial" w:cs="Arial"/>
        </w:rPr>
        <w:t>Percentage of participants who have post-school qualification</w:t>
      </w:r>
      <w:r w:rsidR="008B733B">
        <w:rPr>
          <w:rFonts w:ascii="Arial" w:hAnsi="Arial" w:cs="Arial"/>
        </w:rPr>
        <w:t>”</w:t>
      </w:r>
      <w:r w:rsidRPr="00FB4E65">
        <w:rPr>
          <w:rFonts w:ascii="Arial" w:hAnsi="Arial" w:cs="Arial"/>
        </w:rPr>
        <w:t xml:space="preserve"> displays the percentage of participants with other physical disabilities who have post-school qualifications and compares the results at the latest plan reassessment and Scheme entry (or baseline).</w:t>
      </w:r>
    </w:p>
    <w:p w14:paraId="34BEE2FB" w14:textId="6697C2DB" w:rsidR="004163C5" w:rsidRPr="007A0828" w:rsidRDefault="00FB4E65" w:rsidP="00FB4E65">
      <w:pPr>
        <w:rPr>
          <w:rFonts w:ascii="Arial" w:hAnsi="Arial" w:cs="Arial"/>
        </w:rPr>
      </w:pPr>
      <w:r w:rsidRPr="00FB4E65">
        <w:rPr>
          <w:rFonts w:ascii="Arial" w:hAnsi="Arial" w:cs="Arial"/>
        </w:rPr>
        <w:t>The percentage of participants with other physical disabilities who have post-school qualification were:</w:t>
      </w:r>
      <w:r w:rsidR="004163C5" w:rsidRPr="007A0828">
        <w:rPr>
          <w:rFonts w:ascii="Arial" w:hAnsi="Arial" w:cs="Arial"/>
        </w:rPr>
        <w:tab/>
      </w:r>
    </w:p>
    <w:p w14:paraId="41AC7DDC" w14:textId="77777777" w:rsidR="00FB4E65" w:rsidRP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20% at baseline and 24% at the latest plan reassessment for participants aged 15 to 24 years.</w:t>
      </w:r>
    </w:p>
    <w:p w14:paraId="744E8F7B" w14:textId="77777777" w:rsidR="00FB4E65" w:rsidRDefault="00FB4E65" w:rsidP="00FB4E65">
      <w:pPr>
        <w:pStyle w:val="ListParagraph"/>
        <w:numPr>
          <w:ilvl w:val="0"/>
          <w:numId w:val="17"/>
        </w:numPr>
        <w:spacing w:after="0" w:line="360" w:lineRule="auto"/>
        <w:rPr>
          <w:rFonts w:ascii="Arial" w:hAnsi="Arial" w:cs="Arial"/>
        </w:rPr>
      </w:pPr>
      <w:r w:rsidRPr="00FB4E65">
        <w:rPr>
          <w:rFonts w:ascii="Arial" w:hAnsi="Arial" w:cs="Arial"/>
        </w:rPr>
        <w:t>62% at baseline and 62% at the latest plan reassessment for participants aged 25 and over.</w:t>
      </w:r>
    </w:p>
    <w:p w14:paraId="7171E8DD" w14:textId="141E9533" w:rsidR="004163C5" w:rsidRPr="00FB4E65" w:rsidRDefault="004163C5" w:rsidP="00FB4E65">
      <w:pPr>
        <w:spacing w:after="0" w:line="360" w:lineRule="auto"/>
        <w:ind w:left="360"/>
        <w:rPr>
          <w:rFonts w:ascii="Arial" w:hAnsi="Arial" w:cs="Arial"/>
        </w:rPr>
      </w:pPr>
      <w:r w:rsidRPr="00FB4E65">
        <w:rPr>
          <w:rFonts w:ascii="Arial" w:hAnsi="Arial" w:cs="Arial"/>
        </w:rPr>
        <w:tab/>
      </w:r>
      <w:r w:rsidRPr="00FB4E65">
        <w:rPr>
          <w:rFonts w:ascii="Arial" w:hAnsi="Arial" w:cs="Arial"/>
        </w:rPr>
        <w:tab/>
      </w:r>
      <w:r w:rsidRPr="00FB4E65">
        <w:rPr>
          <w:rFonts w:ascii="Arial" w:hAnsi="Arial" w:cs="Arial"/>
        </w:rPr>
        <w:tab/>
      </w:r>
    </w:p>
    <w:p w14:paraId="6E6B2434" w14:textId="29B8A07A" w:rsidR="00FB4E65" w:rsidRPr="00FB4E65" w:rsidRDefault="00FB4E65" w:rsidP="00FB4E65">
      <w:pPr>
        <w:rPr>
          <w:rFonts w:ascii="Arial" w:hAnsi="Arial" w:cs="Arial"/>
        </w:rPr>
      </w:pPr>
      <w:r w:rsidRPr="00FB4E65">
        <w:rPr>
          <w:rFonts w:ascii="Arial" w:hAnsi="Arial" w:cs="Arial"/>
        </w:rPr>
        <w:t xml:space="preserve">The next chart entitled: </w:t>
      </w:r>
      <w:r w:rsidR="008B733B">
        <w:rPr>
          <w:rFonts w:ascii="Arial" w:hAnsi="Arial" w:cs="Arial"/>
        </w:rPr>
        <w:t>“</w:t>
      </w:r>
      <w:r w:rsidRPr="00FB4E65">
        <w:rPr>
          <w:rFonts w:ascii="Arial" w:hAnsi="Arial" w:cs="Arial"/>
        </w:rPr>
        <w:t>Percentage of participants who get opportunities to learn new things</w:t>
      </w:r>
      <w:r w:rsidR="008B733B">
        <w:rPr>
          <w:rFonts w:ascii="Arial" w:hAnsi="Arial" w:cs="Arial"/>
        </w:rPr>
        <w:t>”</w:t>
      </w:r>
      <w:r w:rsidRPr="00FB4E65">
        <w:rPr>
          <w:rFonts w:ascii="Arial" w:hAnsi="Arial" w:cs="Arial"/>
        </w:rPr>
        <w:t xml:space="preserve"> displays the percentage of participants with other physical disabilities who get opportunities to learn new things and compares the results at the latest plan reassessment and Scheme entry (or baseline).</w:t>
      </w:r>
    </w:p>
    <w:p w14:paraId="3AB2CC24" w14:textId="1F58D5BB" w:rsidR="004163C5" w:rsidRPr="007A0828" w:rsidRDefault="00FB4E65" w:rsidP="00FB4E65">
      <w:pPr>
        <w:rPr>
          <w:rFonts w:ascii="Arial" w:hAnsi="Arial" w:cs="Arial"/>
        </w:rPr>
      </w:pPr>
      <w:r w:rsidRPr="00FB4E65">
        <w:rPr>
          <w:rFonts w:ascii="Arial" w:hAnsi="Arial" w:cs="Arial"/>
        </w:rPr>
        <w:t>The percentage of participants with other physical disabilities who get opportunities to learn new things were:</w:t>
      </w:r>
    </w:p>
    <w:p w14:paraId="5AA0EC0D" w14:textId="77777777" w:rsidR="004572B3" w:rsidRPr="004572B3" w:rsidRDefault="004572B3" w:rsidP="004572B3">
      <w:pPr>
        <w:pStyle w:val="ListParagraph"/>
        <w:numPr>
          <w:ilvl w:val="0"/>
          <w:numId w:val="17"/>
        </w:numPr>
        <w:spacing w:after="0" w:line="360" w:lineRule="auto"/>
        <w:rPr>
          <w:rFonts w:ascii="Arial" w:hAnsi="Arial" w:cs="Arial"/>
        </w:rPr>
      </w:pPr>
      <w:r w:rsidRPr="004572B3">
        <w:rPr>
          <w:rFonts w:ascii="Arial" w:hAnsi="Arial" w:cs="Arial"/>
        </w:rPr>
        <w:t>70% at baseline and 72% at the latest plan reassessment for participants aged 15 to 24 years.</w:t>
      </w:r>
    </w:p>
    <w:p w14:paraId="6F8D0BDA" w14:textId="6A8C91B3" w:rsidR="004163C5" w:rsidRPr="007A0828" w:rsidRDefault="004572B3" w:rsidP="004572B3">
      <w:pPr>
        <w:pStyle w:val="ListParagraph"/>
        <w:numPr>
          <w:ilvl w:val="0"/>
          <w:numId w:val="17"/>
        </w:numPr>
        <w:spacing w:after="0" w:line="360" w:lineRule="auto"/>
        <w:rPr>
          <w:rFonts w:ascii="Arial" w:hAnsi="Arial" w:cs="Arial"/>
        </w:rPr>
      </w:pPr>
      <w:r w:rsidRPr="004572B3">
        <w:rPr>
          <w:rFonts w:ascii="Arial" w:hAnsi="Arial" w:cs="Arial"/>
        </w:rPr>
        <w:t>42% at baseline and 44% at the latest plan reassessment for participants aged 25 and over.</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2F2DBDAB" w14:textId="77777777" w:rsidR="00DD3E1C" w:rsidRDefault="00DD3E1C" w:rsidP="004163C5">
      <w:pPr>
        <w:rPr>
          <w:rFonts w:ascii="Arial" w:hAnsi="Arial" w:cs="Arial"/>
        </w:rPr>
      </w:pPr>
    </w:p>
    <w:p w14:paraId="373ADAB8" w14:textId="0A295C43" w:rsidR="004572B3" w:rsidRPr="004572B3" w:rsidRDefault="004572B3" w:rsidP="004572B3">
      <w:pPr>
        <w:rPr>
          <w:rFonts w:ascii="Arial" w:hAnsi="Arial" w:cs="Arial"/>
        </w:rPr>
      </w:pPr>
      <w:r w:rsidRPr="004572B3">
        <w:rPr>
          <w:rFonts w:ascii="Arial" w:hAnsi="Arial" w:cs="Arial"/>
        </w:rPr>
        <w:t xml:space="preserve">The next chart </w:t>
      </w:r>
      <w:r w:rsidR="004A52B6">
        <w:rPr>
          <w:rFonts w:ascii="Arial" w:hAnsi="Arial" w:cs="Arial"/>
        </w:rPr>
        <w:t xml:space="preserve">is </w:t>
      </w:r>
      <w:r w:rsidRPr="004572B3">
        <w:rPr>
          <w:rFonts w:ascii="Arial" w:hAnsi="Arial" w:cs="Arial"/>
        </w:rPr>
        <w:t xml:space="preserve">entitled: </w:t>
      </w:r>
      <w:r w:rsidR="008B733B">
        <w:rPr>
          <w:rFonts w:ascii="Arial" w:hAnsi="Arial" w:cs="Arial"/>
        </w:rPr>
        <w:t>“</w:t>
      </w:r>
      <w:r w:rsidRPr="004572B3">
        <w:rPr>
          <w:rFonts w:ascii="Arial" w:hAnsi="Arial" w:cs="Arial"/>
        </w:rPr>
        <w:t xml:space="preserve">Percentage who are working in </w:t>
      </w:r>
      <w:bookmarkStart w:id="4" w:name="_Hlk146032926"/>
      <w:r w:rsidRPr="004572B3">
        <w:rPr>
          <w:rFonts w:ascii="Arial" w:hAnsi="Arial" w:cs="Arial"/>
        </w:rPr>
        <w:t xml:space="preserve">Australian Disability Enterprise </w:t>
      </w:r>
      <w:bookmarkEnd w:id="4"/>
      <w:r w:rsidRPr="004572B3">
        <w:rPr>
          <w:rFonts w:ascii="Arial" w:hAnsi="Arial" w:cs="Arial"/>
        </w:rPr>
        <w:t>(of those participants who are working in a paid job)</w:t>
      </w:r>
      <w:r w:rsidR="008B733B">
        <w:rPr>
          <w:rFonts w:ascii="Arial" w:hAnsi="Arial" w:cs="Arial"/>
        </w:rPr>
        <w:t>”</w:t>
      </w:r>
      <w:r w:rsidR="004A52B6">
        <w:rPr>
          <w:rFonts w:ascii="Arial" w:hAnsi="Arial" w:cs="Arial"/>
        </w:rPr>
        <w:t>.</w:t>
      </w:r>
    </w:p>
    <w:p w14:paraId="5C169774" w14:textId="67E584E8" w:rsidR="004163C5" w:rsidRPr="007A0828" w:rsidRDefault="004572B3" w:rsidP="004572B3">
      <w:pPr>
        <w:rPr>
          <w:rFonts w:ascii="Arial" w:hAnsi="Arial" w:cs="Arial"/>
        </w:rPr>
      </w:pPr>
      <w:r w:rsidRPr="004572B3">
        <w:rPr>
          <w:rFonts w:ascii="Arial" w:hAnsi="Arial" w:cs="Arial"/>
        </w:rPr>
        <w:lastRenderedPageBreak/>
        <w:t>Of the participants with other physical disabilities who are working in a paid job, the chart displays the percentage working in Australia Disability Enterprise and compares the results at their latest plan reassessment and Scheme entry (or baseline).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69BD249D" w14:textId="52EDBED3" w:rsidR="004163C5" w:rsidRPr="007A0828" w:rsidRDefault="004572B3" w:rsidP="004163C5">
      <w:pPr>
        <w:rPr>
          <w:rFonts w:ascii="Arial" w:hAnsi="Arial" w:cs="Arial"/>
        </w:rPr>
      </w:pPr>
      <w:r w:rsidRPr="004572B3">
        <w:rPr>
          <w:rFonts w:ascii="Arial" w:hAnsi="Arial" w:cs="Arial"/>
        </w:rPr>
        <w:t>The percentage of participants with other physical disabilities who are working in Australian Disability Enterprise are:</w:t>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r w:rsidR="004163C5" w:rsidRPr="007A0828">
        <w:rPr>
          <w:rFonts w:ascii="Arial" w:hAnsi="Arial" w:cs="Arial"/>
        </w:rPr>
        <w:tab/>
      </w:r>
    </w:p>
    <w:p w14:paraId="7A4E0F18" w14:textId="77777777" w:rsidR="004572B3" w:rsidRPr="004572B3" w:rsidRDefault="004572B3" w:rsidP="004572B3">
      <w:pPr>
        <w:pStyle w:val="ListParagraph"/>
        <w:numPr>
          <w:ilvl w:val="0"/>
          <w:numId w:val="17"/>
        </w:numPr>
        <w:spacing w:after="0" w:line="360" w:lineRule="auto"/>
        <w:rPr>
          <w:rFonts w:ascii="Arial" w:hAnsi="Arial" w:cs="Arial"/>
        </w:rPr>
      </w:pPr>
      <w:r w:rsidRPr="004572B3">
        <w:rPr>
          <w:rFonts w:ascii="Arial" w:hAnsi="Arial" w:cs="Arial"/>
        </w:rPr>
        <w:t>3% at baseline and 3% at the latest plan reassessment for participants aged 15 to 24 years.</w:t>
      </w:r>
    </w:p>
    <w:p w14:paraId="23BC90A5" w14:textId="1FA5FC57" w:rsidR="00950370" w:rsidRDefault="004572B3" w:rsidP="004572B3">
      <w:pPr>
        <w:pStyle w:val="ListParagraph"/>
        <w:numPr>
          <w:ilvl w:val="0"/>
          <w:numId w:val="17"/>
        </w:numPr>
        <w:spacing w:after="0" w:line="360" w:lineRule="auto"/>
        <w:rPr>
          <w:rFonts w:ascii="Arial" w:hAnsi="Arial" w:cs="Arial"/>
        </w:rPr>
      </w:pPr>
      <w:r w:rsidRPr="004572B3">
        <w:rPr>
          <w:rFonts w:ascii="Arial" w:hAnsi="Arial" w:cs="Arial"/>
        </w:rPr>
        <w:t>10% at baseline and 10% at the latest plan reassessment for participants aged 25 and over.</w:t>
      </w:r>
    </w:p>
    <w:p w14:paraId="7AB8EF7E" w14:textId="2AF5F978" w:rsidR="0079735C" w:rsidRDefault="00A92E4D" w:rsidP="00D02E74">
      <w:pPr>
        <w:rPr>
          <w:rFonts w:ascii="Arial" w:hAnsi="Arial" w:cs="Arial"/>
        </w:rPr>
      </w:pPr>
      <w:r>
        <w:rPr>
          <w:rFonts w:ascii="Arial" w:hAnsi="Arial" w:cs="Arial"/>
        </w:rPr>
        <w:t xml:space="preserve">Quote: </w:t>
      </w:r>
      <w:r w:rsidR="008B733B">
        <w:rPr>
          <w:rFonts w:ascii="Arial" w:hAnsi="Arial" w:cs="Arial"/>
        </w:rPr>
        <w:t>“</w:t>
      </w:r>
      <w:r w:rsidR="00D02E74" w:rsidRPr="00D02E74">
        <w:rPr>
          <w:rFonts w:ascii="Arial" w:hAnsi="Arial" w:cs="Arial"/>
        </w:rPr>
        <w:t>The NDIS has been fantastic for me. It’s given me my independence back and allowed me to do the things I love.</w:t>
      </w:r>
      <w:r w:rsidR="008B733B">
        <w:rPr>
          <w:rFonts w:ascii="Arial" w:hAnsi="Arial" w:cs="Arial"/>
        </w:rPr>
        <w:t>”</w:t>
      </w:r>
      <w:r w:rsidR="00D02E74">
        <w:rPr>
          <w:rFonts w:ascii="Arial" w:hAnsi="Arial" w:cs="Arial"/>
        </w:rPr>
        <w:t xml:space="preserve"> By </w:t>
      </w:r>
      <w:r w:rsidR="00D02E74" w:rsidRPr="00D02E74">
        <w:rPr>
          <w:rFonts w:ascii="Arial" w:hAnsi="Arial" w:cs="Arial"/>
        </w:rPr>
        <w:t>NDIS participant, Kristy</w:t>
      </w:r>
      <w:r w:rsidR="00D02E74">
        <w:rPr>
          <w:rFonts w:ascii="Arial" w:hAnsi="Arial" w:cs="Arial"/>
        </w:rPr>
        <w:t>.</w:t>
      </w: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7997F802" w14:textId="0894D02A" w:rsidR="004572B3" w:rsidRPr="004572B3" w:rsidRDefault="004572B3" w:rsidP="004572B3">
      <w:pPr>
        <w:spacing w:line="360" w:lineRule="auto"/>
        <w:rPr>
          <w:rFonts w:ascii="Arial" w:hAnsi="Arial" w:cs="Arial"/>
        </w:rPr>
      </w:pPr>
      <w:r w:rsidRPr="004572B3">
        <w:rPr>
          <w:rFonts w:ascii="Arial" w:hAnsi="Arial" w:cs="Arial"/>
        </w:rPr>
        <w:t>Four bar charts compare the satisfaction responses between participants with other physical disabilities and all participants in the year ending 30 June 2023. The NDIA gathers responses at the four primary stages of the participant pathway – access, preplanning, planning and plan reassessment.</w:t>
      </w:r>
    </w:p>
    <w:p w14:paraId="0A12ECF9" w14:textId="5EB123A1" w:rsidR="00950370" w:rsidRPr="007A0828" w:rsidRDefault="004572B3" w:rsidP="004572B3">
      <w:pPr>
        <w:spacing w:line="360" w:lineRule="auto"/>
        <w:rPr>
          <w:rFonts w:ascii="Arial" w:hAnsi="Arial" w:cs="Arial"/>
        </w:rPr>
      </w:pPr>
      <w:r w:rsidRPr="004572B3">
        <w:rPr>
          <w:rFonts w:ascii="Arial" w:hAnsi="Arial" w:cs="Arial"/>
        </w:rPr>
        <w:t>The percentage of participants with other physical disabilities who rated their experience with the as good or very good was:</w:t>
      </w:r>
      <w:r w:rsidR="00950370" w:rsidRPr="007A0828">
        <w:rPr>
          <w:rFonts w:ascii="Arial" w:hAnsi="Arial" w:cs="Arial"/>
        </w:rPr>
        <w:tab/>
      </w:r>
    </w:p>
    <w:p w14:paraId="73581231" w14:textId="77777777" w:rsidR="004572B3" w:rsidRPr="004572B3" w:rsidRDefault="004572B3" w:rsidP="004572B3">
      <w:pPr>
        <w:pStyle w:val="ListParagraph"/>
        <w:numPr>
          <w:ilvl w:val="0"/>
          <w:numId w:val="17"/>
        </w:numPr>
        <w:spacing w:after="0" w:line="360" w:lineRule="auto"/>
        <w:rPr>
          <w:rFonts w:ascii="Arial" w:hAnsi="Arial" w:cs="Arial"/>
        </w:rPr>
      </w:pPr>
      <w:r w:rsidRPr="004572B3">
        <w:rPr>
          <w:rFonts w:ascii="Arial" w:hAnsi="Arial" w:cs="Arial"/>
        </w:rPr>
        <w:t>68% for the Access Process, compared to 81% for all participants.</w:t>
      </w:r>
    </w:p>
    <w:p w14:paraId="14BEC71B" w14:textId="77777777" w:rsidR="004572B3" w:rsidRPr="004572B3" w:rsidRDefault="004572B3" w:rsidP="004572B3">
      <w:pPr>
        <w:pStyle w:val="ListParagraph"/>
        <w:numPr>
          <w:ilvl w:val="0"/>
          <w:numId w:val="17"/>
        </w:numPr>
        <w:spacing w:after="0" w:line="360" w:lineRule="auto"/>
        <w:rPr>
          <w:rFonts w:ascii="Arial" w:hAnsi="Arial" w:cs="Arial"/>
        </w:rPr>
      </w:pPr>
      <w:r w:rsidRPr="004572B3">
        <w:rPr>
          <w:rFonts w:ascii="Arial" w:hAnsi="Arial" w:cs="Arial"/>
        </w:rPr>
        <w:t>81% for the Pre-Planning Process, compared to 81% for all participants.</w:t>
      </w:r>
    </w:p>
    <w:p w14:paraId="75E92076" w14:textId="77777777" w:rsidR="004572B3" w:rsidRPr="004572B3" w:rsidRDefault="004572B3" w:rsidP="004572B3">
      <w:pPr>
        <w:pStyle w:val="ListParagraph"/>
        <w:numPr>
          <w:ilvl w:val="0"/>
          <w:numId w:val="17"/>
        </w:numPr>
        <w:spacing w:after="0" w:line="360" w:lineRule="auto"/>
        <w:rPr>
          <w:rFonts w:ascii="Arial" w:hAnsi="Arial" w:cs="Arial"/>
        </w:rPr>
      </w:pPr>
      <w:r w:rsidRPr="004572B3">
        <w:rPr>
          <w:rFonts w:ascii="Arial" w:hAnsi="Arial" w:cs="Arial"/>
        </w:rPr>
        <w:t>80% for the Planning Process, compared to 86% for all participants.</w:t>
      </w:r>
    </w:p>
    <w:p w14:paraId="3538B7B5" w14:textId="0B8F3DEA" w:rsidR="004572B3" w:rsidRDefault="004572B3" w:rsidP="004572B3">
      <w:pPr>
        <w:pStyle w:val="ListParagraph"/>
        <w:numPr>
          <w:ilvl w:val="0"/>
          <w:numId w:val="17"/>
        </w:numPr>
        <w:spacing w:after="0" w:line="360" w:lineRule="auto"/>
        <w:rPr>
          <w:rFonts w:ascii="Arial" w:hAnsi="Arial" w:cs="Arial"/>
        </w:rPr>
      </w:pPr>
      <w:r w:rsidRPr="004572B3">
        <w:rPr>
          <w:rFonts w:ascii="Arial" w:hAnsi="Arial" w:cs="Arial"/>
        </w:rPr>
        <w:t>69% for the Reassessment Process, compared to 68% for all participants.</w:t>
      </w:r>
    </w:p>
    <w:p w14:paraId="7585C5D7" w14:textId="77777777" w:rsidR="007076BC" w:rsidRDefault="007076BC" w:rsidP="007076BC">
      <w:pPr>
        <w:spacing w:after="0" w:line="360" w:lineRule="auto"/>
        <w:rPr>
          <w:rFonts w:ascii="Arial" w:hAnsi="Arial" w:cs="Arial"/>
        </w:rPr>
      </w:pPr>
    </w:p>
    <w:p w14:paraId="4490F393" w14:textId="0C3C0483" w:rsidR="007076BC" w:rsidRPr="007076BC" w:rsidRDefault="004572B3" w:rsidP="007076BC">
      <w:pPr>
        <w:spacing w:after="0" w:line="360" w:lineRule="auto"/>
        <w:rPr>
          <w:rFonts w:ascii="Arial" w:hAnsi="Arial" w:cs="Arial"/>
        </w:rPr>
      </w:pPr>
      <w:r w:rsidRPr="007076BC">
        <w:rPr>
          <w:rFonts w:ascii="Arial" w:hAnsi="Arial" w:cs="Arial"/>
        </w:rPr>
        <w:t xml:space="preserve">The weighted average satisfaction result for participants with other physical disabilities who rated their experience as good or very good over the 4 stages of the pathway was 71% in the year ending 30 June 2023. </w:t>
      </w:r>
    </w:p>
    <w:p w14:paraId="2BA279B8" w14:textId="77777777" w:rsidR="007076BC" w:rsidRPr="007076BC" w:rsidRDefault="007076BC" w:rsidP="007076BC">
      <w:pPr>
        <w:pStyle w:val="ListParagraph"/>
        <w:numPr>
          <w:ilvl w:val="0"/>
          <w:numId w:val="17"/>
        </w:numPr>
        <w:spacing w:after="0" w:line="360" w:lineRule="auto"/>
        <w:rPr>
          <w:rFonts w:ascii="Arial" w:hAnsi="Arial" w:cs="Arial"/>
        </w:rPr>
      </w:pPr>
      <w:r w:rsidRPr="007076BC">
        <w:rPr>
          <w:rFonts w:ascii="Arial" w:hAnsi="Arial" w:cs="Arial"/>
        </w:rPr>
        <w:t>This was 72% for the year ending 30 June 2022.</w:t>
      </w:r>
    </w:p>
    <w:p w14:paraId="1E61F8E7" w14:textId="132441D7" w:rsidR="00950370" w:rsidRPr="007A0828" w:rsidRDefault="007076BC" w:rsidP="007076BC">
      <w:pPr>
        <w:pStyle w:val="ListParagraph"/>
        <w:numPr>
          <w:ilvl w:val="0"/>
          <w:numId w:val="17"/>
        </w:numPr>
        <w:spacing w:after="0" w:line="360" w:lineRule="auto"/>
        <w:rPr>
          <w:rFonts w:ascii="Arial" w:hAnsi="Arial" w:cs="Arial"/>
        </w:rPr>
      </w:pPr>
      <w:r w:rsidRPr="007076BC">
        <w:rPr>
          <w:rFonts w:ascii="Arial" w:hAnsi="Arial" w:cs="Arial"/>
        </w:rPr>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3F619F38" w14:textId="3B6CFBA9" w:rsidR="00950370" w:rsidRPr="00951960" w:rsidRDefault="007076BC" w:rsidP="007076BC">
      <w:pPr>
        <w:spacing w:line="360" w:lineRule="auto"/>
        <w:rPr>
          <w:rFonts w:ascii="Arial" w:hAnsi="Arial" w:cs="Arial"/>
        </w:rPr>
      </w:pPr>
      <w:r w:rsidRPr="007076BC">
        <w:rPr>
          <w:rFonts w:ascii="Arial" w:hAnsi="Arial" w:cs="Arial"/>
        </w:rPr>
        <w:t xml:space="preserve">There were 1,963 complaints raised by participants with other physical disabilities in the year ending </w:t>
      </w:r>
      <w:r w:rsidR="00D02E74">
        <w:rPr>
          <w:rFonts w:ascii="Arial" w:hAnsi="Arial" w:cs="Arial"/>
        </w:rPr>
        <w:t xml:space="preserve">30 </w:t>
      </w:r>
      <w:r w:rsidRPr="007076BC">
        <w:rPr>
          <w:rFonts w:ascii="Arial" w:hAnsi="Arial" w:cs="Arial"/>
        </w:rPr>
        <w:t>June 2023 (or a complaint rate of 10%). (The complaint rate is an annualised rate calculated as the number of complaints in the year divided by the active participant exposure in the year).</w:t>
      </w:r>
    </w:p>
    <w:p w14:paraId="224240DF" w14:textId="17B28427" w:rsidR="007076BC" w:rsidRPr="007076BC" w:rsidRDefault="007076BC" w:rsidP="007076BC">
      <w:pPr>
        <w:pStyle w:val="ListParagraph"/>
        <w:numPr>
          <w:ilvl w:val="0"/>
          <w:numId w:val="17"/>
        </w:numPr>
        <w:spacing w:after="0" w:line="360" w:lineRule="auto"/>
        <w:rPr>
          <w:rFonts w:ascii="Arial" w:hAnsi="Arial" w:cs="Arial"/>
        </w:rPr>
      </w:pPr>
      <w:r w:rsidRPr="007076BC">
        <w:rPr>
          <w:rFonts w:ascii="Arial" w:hAnsi="Arial" w:cs="Arial"/>
        </w:rPr>
        <w:lastRenderedPageBreak/>
        <w:t>The complaint rate 12 months ago for participants with other physical disabilities was 11%</w:t>
      </w:r>
      <w:r w:rsidR="00D320CB">
        <w:rPr>
          <w:rFonts w:ascii="Arial" w:hAnsi="Arial" w:cs="Arial"/>
        </w:rPr>
        <w:t>, 1 percentage point higher than the current year.</w:t>
      </w:r>
    </w:p>
    <w:p w14:paraId="7F8F3257" w14:textId="62BF7198" w:rsidR="00C710E1" w:rsidRPr="007A0828" w:rsidRDefault="007076BC" w:rsidP="007076BC">
      <w:pPr>
        <w:pStyle w:val="ListParagraph"/>
        <w:numPr>
          <w:ilvl w:val="0"/>
          <w:numId w:val="17"/>
        </w:numPr>
        <w:spacing w:after="0" w:line="360" w:lineRule="auto"/>
        <w:rPr>
          <w:rFonts w:ascii="Arial" w:hAnsi="Arial" w:cs="Arial"/>
        </w:rPr>
      </w:pPr>
      <w:r w:rsidRPr="007076BC">
        <w:rPr>
          <w:rFonts w:ascii="Arial" w:hAnsi="Arial" w:cs="Arial"/>
        </w:rPr>
        <w:t>This compares to a complaint rate of 6% for all participants.</w:t>
      </w:r>
    </w:p>
    <w:p w14:paraId="1CD89487" w14:textId="77777777" w:rsidR="00950370" w:rsidRPr="007A0828" w:rsidRDefault="00950370" w:rsidP="00950370">
      <w:pPr>
        <w:spacing w:line="360" w:lineRule="auto"/>
        <w:rPr>
          <w:rFonts w:ascii="Arial" w:eastAsiaTheme="majorEastAsia" w:hAnsi="Arial" w:cs="Arial"/>
          <w:color w:val="1F3763" w:themeColor="accent1" w:themeShade="7F"/>
        </w:rPr>
      </w:pPr>
    </w:p>
    <w:p w14:paraId="615841E6" w14:textId="77777777" w:rsidR="00C710E1" w:rsidRPr="007A0828" w:rsidRDefault="00C710E1" w:rsidP="0079735C">
      <w:pPr>
        <w:pStyle w:val="Heading2"/>
        <w:shd w:val="clear" w:color="auto" w:fill="6B2976"/>
        <w:spacing w:after="240" w:line="360" w:lineRule="auto"/>
        <w:rPr>
          <w:rFonts w:cs="Arial"/>
          <w:sz w:val="22"/>
          <w:szCs w:val="22"/>
        </w:rPr>
      </w:pPr>
      <w:bookmarkStart w:id="5" w:name="_Toc118888827"/>
      <w:r w:rsidRPr="007A0828">
        <w:rPr>
          <w:rFonts w:cs="Arial"/>
          <w:sz w:val="22"/>
          <w:szCs w:val="22"/>
        </w:rPr>
        <w:t>Section 4: Providers</w:t>
      </w:r>
      <w:bookmarkEnd w:id="5"/>
      <w:r w:rsidRPr="007A0828">
        <w:rPr>
          <w:rFonts w:cs="Arial"/>
          <w:sz w:val="22"/>
          <w:szCs w:val="22"/>
        </w:rPr>
        <w:t xml:space="preserve"> </w:t>
      </w:r>
    </w:p>
    <w:p w14:paraId="4FEC5F3E" w14:textId="4B459C87" w:rsidR="007076BC" w:rsidRDefault="007076BC" w:rsidP="007076BC">
      <w:pPr>
        <w:spacing w:after="0" w:line="360" w:lineRule="auto"/>
        <w:rPr>
          <w:rFonts w:ascii="Arial" w:hAnsi="Arial" w:cs="Arial"/>
        </w:rPr>
      </w:pPr>
      <w:r w:rsidRPr="007076BC">
        <w:rPr>
          <w:rFonts w:ascii="Arial" w:hAnsi="Arial" w:cs="Arial"/>
        </w:rPr>
        <w:t xml:space="preserve">This section contains information on service providers supporting participants with other physical disabilities in the year ending </w:t>
      </w:r>
      <w:r w:rsidR="00D02E74">
        <w:rPr>
          <w:rFonts w:ascii="Arial" w:hAnsi="Arial" w:cs="Arial"/>
        </w:rPr>
        <w:t xml:space="preserve">30 </w:t>
      </w:r>
      <w:r w:rsidRPr="007076BC">
        <w:rPr>
          <w:rFonts w:ascii="Arial" w:hAnsi="Arial" w:cs="Arial"/>
        </w:rPr>
        <w:t>June 2023, in the form of doughnut charts.</w:t>
      </w:r>
    </w:p>
    <w:p w14:paraId="6A264881" w14:textId="77777777" w:rsidR="007076BC" w:rsidRPr="007076BC" w:rsidRDefault="007076BC" w:rsidP="007076BC">
      <w:pPr>
        <w:spacing w:after="0" w:line="360" w:lineRule="auto"/>
        <w:rPr>
          <w:rFonts w:ascii="Arial" w:hAnsi="Arial" w:cs="Arial"/>
        </w:rPr>
      </w:pPr>
    </w:p>
    <w:p w14:paraId="33359866" w14:textId="417AC7A6" w:rsidR="00950370" w:rsidRPr="007076BC" w:rsidRDefault="007076BC" w:rsidP="007076BC">
      <w:pPr>
        <w:spacing w:after="0" w:line="360" w:lineRule="auto"/>
        <w:rPr>
          <w:rFonts w:ascii="Arial" w:hAnsi="Arial" w:cs="Arial"/>
        </w:rPr>
      </w:pPr>
      <w:r w:rsidRPr="007076BC">
        <w:rPr>
          <w:rFonts w:ascii="Arial" w:hAnsi="Arial" w:cs="Arial"/>
        </w:rPr>
        <w:t>The first set of three doughnut charts show an overview of all the providers supporting participants with other physical disabilities:</w:t>
      </w:r>
      <w:r w:rsidR="00950370" w:rsidRPr="007A0828">
        <w:rPr>
          <w:rFonts w:ascii="Arial" w:hAnsi="Arial" w:cs="Arial"/>
        </w:rPr>
        <w:tab/>
      </w:r>
      <w:bookmarkStart w:id="6" w:name="OLE_LINK1"/>
      <w:r w:rsidR="00950370" w:rsidRPr="007076BC">
        <w:rPr>
          <w:rFonts w:ascii="Arial" w:hAnsi="Arial" w:cs="Arial"/>
        </w:rPr>
        <w:tab/>
      </w:r>
      <w:bookmarkEnd w:id="6"/>
      <w:r w:rsidR="00950370" w:rsidRPr="007076BC">
        <w:rPr>
          <w:rFonts w:ascii="Arial" w:hAnsi="Arial" w:cs="Arial"/>
        </w:rPr>
        <w:tab/>
      </w:r>
    </w:p>
    <w:p w14:paraId="562C897F" w14:textId="66721C31" w:rsidR="008328CE" w:rsidRPr="003E695A" w:rsidRDefault="007076BC" w:rsidP="008328CE">
      <w:pPr>
        <w:pStyle w:val="ListParagraph"/>
        <w:numPr>
          <w:ilvl w:val="2"/>
          <w:numId w:val="28"/>
        </w:numPr>
        <w:spacing w:after="0" w:line="360" w:lineRule="auto"/>
        <w:ind w:left="709"/>
        <w:rPr>
          <w:rFonts w:ascii="Arial" w:hAnsi="Arial" w:cs="Arial"/>
        </w:rPr>
      </w:pPr>
      <w:r w:rsidRPr="007076BC">
        <w:rPr>
          <w:rFonts w:ascii="Arial" w:hAnsi="Arial" w:cs="Arial"/>
        </w:rPr>
        <w:t>A doughnut charts shows that 40,236 agency or plan managed providers received a payment during the year.</w:t>
      </w:r>
      <w:r>
        <w:rPr>
          <w:rFonts w:ascii="Arial" w:hAnsi="Arial" w:cs="Arial"/>
        </w:rPr>
        <w:t xml:space="preserve"> </w:t>
      </w:r>
      <w:r w:rsidRPr="007076BC">
        <w:rPr>
          <w:rFonts w:ascii="Arial" w:hAnsi="Arial" w:cs="Arial"/>
        </w:rPr>
        <w:t>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r w:rsidR="008328CE" w:rsidRPr="00CE5D7A">
        <w:rPr>
          <w:rFonts w:ascii="Arial" w:hAnsi="Arial" w:cs="Arial"/>
        </w:rPr>
        <w:tab/>
      </w:r>
    </w:p>
    <w:p w14:paraId="7D679C22" w14:textId="56247828" w:rsidR="00D2662A" w:rsidRDefault="007076BC" w:rsidP="00517984">
      <w:pPr>
        <w:pStyle w:val="ListParagraph"/>
        <w:numPr>
          <w:ilvl w:val="0"/>
          <w:numId w:val="17"/>
        </w:numPr>
        <w:spacing w:after="0" w:line="360" w:lineRule="auto"/>
        <w:rPr>
          <w:rFonts w:ascii="Arial" w:hAnsi="Arial" w:cs="Arial"/>
        </w:rPr>
      </w:pPr>
      <w:r w:rsidRPr="007076BC">
        <w:rPr>
          <w:rFonts w:ascii="Arial" w:hAnsi="Arial" w:cs="Arial"/>
        </w:rPr>
        <w:t>The next doughnut chart shows that 5% of payments were received by the top 10 providers</w:t>
      </w:r>
      <w:r w:rsidR="008108AA">
        <w:rPr>
          <w:rFonts w:ascii="Arial" w:hAnsi="Arial" w:cs="Arial"/>
        </w:rPr>
        <w:t>.</w:t>
      </w:r>
    </w:p>
    <w:p w14:paraId="6ED30FD9" w14:textId="1D8A33F7" w:rsidR="00950370" w:rsidRPr="007A0828" w:rsidRDefault="00D2662A" w:rsidP="00517984">
      <w:pPr>
        <w:pStyle w:val="ListParagraph"/>
        <w:numPr>
          <w:ilvl w:val="0"/>
          <w:numId w:val="17"/>
        </w:numPr>
        <w:spacing w:after="0" w:line="360" w:lineRule="auto"/>
        <w:rPr>
          <w:rFonts w:ascii="Arial" w:hAnsi="Arial" w:cs="Arial"/>
        </w:rPr>
      </w:pPr>
      <w:r w:rsidRPr="00D2662A">
        <w:rPr>
          <w:rFonts w:ascii="Arial" w:hAnsi="Arial" w:cs="Arial"/>
        </w:rPr>
        <w:t xml:space="preserve">The next doughnut chart shows that 50% of these providers </w:t>
      </w:r>
      <w:r w:rsidR="004A52B6">
        <w:rPr>
          <w:rFonts w:ascii="Arial" w:hAnsi="Arial" w:cs="Arial"/>
        </w:rPr>
        <w:t>were</w:t>
      </w:r>
      <w:r w:rsidR="004A52B6" w:rsidRPr="00D2662A">
        <w:rPr>
          <w:rFonts w:ascii="Arial" w:hAnsi="Arial" w:cs="Arial"/>
        </w:rPr>
        <w:t xml:space="preserve"> </w:t>
      </w:r>
      <w:r w:rsidRPr="00D2662A">
        <w:rPr>
          <w:rFonts w:ascii="Arial" w:hAnsi="Arial" w:cs="Arial"/>
        </w:rPr>
        <w:t xml:space="preserve">companies or organisations and 50% </w:t>
      </w:r>
      <w:r w:rsidR="004A52B6">
        <w:rPr>
          <w:rFonts w:ascii="Arial" w:hAnsi="Arial" w:cs="Arial"/>
        </w:rPr>
        <w:t>were</w:t>
      </w:r>
      <w:r w:rsidR="004A52B6" w:rsidRPr="00D2662A">
        <w:rPr>
          <w:rFonts w:ascii="Arial" w:hAnsi="Arial" w:cs="Arial"/>
        </w:rPr>
        <w:t xml:space="preserve"> </w:t>
      </w:r>
      <w:r w:rsidRPr="00D2662A">
        <w:rPr>
          <w:rFonts w:ascii="Arial" w:hAnsi="Arial" w:cs="Arial"/>
        </w:rPr>
        <w:t>individuals or sole traders.</w:t>
      </w:r>
      <w:r w:rsidR="00950370" w:rsidRPr="007A0828">
        <w:rPr>
          <w:rFonts w:ascii="Arial" w:hAnsi="Arial" w:cs="Arial"/>
        </w:rPr>
        <w:tab/>
      </w:r>
    </w:p>
    <w:p w14:paraId="3213F5DD" w14:textId="0E890B87" w:rsidR="00950370" w:rsidRPr="007A0828" w:rsidRDefault="00950370" w:rsidP="00B053AE">
      <w:pPr>
        <w:spacing w:after="0" w:line="360" w:lineRule="auto"/>
        <w:ind w:firstLine="1440"/>
        <w:rPr>
          <w:rFonts w:ascii="Arial" w:hAnsi="Arial" w:cs="Arial"/>
        </w:rPr>
      </w:pPr>
    </w:p>
    <w:p w14:paraId="42CBE6D8" w14:textId="5E7C65A1" w:rsidR="00950370" w:rsidRPr="00517984" w:rsidRDefault="00D2662A" w:rsidP="001867F7">
      <w:pPr>
        <w:spacing w:after="0" w:line="360" w:lineRule="auto"/>
        <w:rPr>
          <w:rFonts w:ascii="Arial" w:hAnsi="Arial" w:cs="Arial"/>
        </w:rPr>
      </w:pPr>
      <w:r w:rsidRPr="00D2662A">
        <w:rPr>
          <w:rFonts w:ascii="Arial" w:hAnsi="Arial" w:cs="Arial"/>
        </w:rPr>
        <w:t>The second set of three doughnut charts are for providers supporting participants with other physical disabilities who used a plan manager:</w:t>
      </w:r>
    </w:p>
    <w:p w14:paraId="2F6DA7C0" w14:textId="511D0A79" w:rsidR="00950370" w:rsidRPr="00CE5D7A" w:rsidRDefault="00D2662A" w:rsidP="00517984">
      <w:pPr>
        <w:pStyle w:val="ListParagraph"/>
        <w:numPr>
          <w:ilvl w:val="1"/>
          <w:numId w:val="29"/>
        </w:numPr>
        <w:spacing w:after="0" w:line="360" w:lineRule="auto"/>
        <w:ind w:left="709"/>
        <w:rPr>
          <w:rFonts w:ascii="Arial" w:hAnsi="Arial" w:cs="Arial"/>
        </w:rPr>
      </w:pPr>
      <w:r w:rsidRPr="00D2662A">
        <w:rPr>
          <w:rFonts w:ascii="Arial" w:hAnsi="Arial" w:cs="Arial"/>
        </w:rPr>
        <w:t xml:space="preserve">A doughnut chart shows that 39,378 providers received a payment during the year. </w:t>
      </w:r>
      <w:r w:rsidR="00517984" w:rsidRPr="00517984">
        <w:rPr>
          <w:rFonts w:ascii="Arial" w:hAnsi="Arial" w:cs="Arial"/>
        </w:rPr>
        <w:t xml:space="preserve"> </w:t>
      </w:r>
      <w:r w:rsidR="00950370"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00950370"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00950370" w:rsidRPr="00CE5D7A">
        <w:rPr>
          <w:rFonts w:ascii="Arial" w:hAnsi="Arial" w:cs="Arial"/>
        </w:rPr>
        <w:t>)</w:t>
      </w:r>
      <w:r w:rsidR="00950370" w:rsidRPr="00CE5D7A">
        <w:rPr>
          <w:rFonts w:ascii="Arial" w:hAnsi="Arial" w:cs="Arial"/>
        </w:rPr>
        <w:tab/>
      </w:r>
    </w:p>
    <w:p w14:paraId="0A0136B0" w14:textId="1CF59359" w:rsidR="00950370" w:rsidRPr="008328CE" w:rsidRDefault="00D2662A" w:rsidP="00517984">
      <w:pPr>
        <w:pStyle w:val="ListParagraph"/>
        <w:numPr>
          <w:ilvl w:val="1"/>
          <w:numId w:val="29"/>
        </w:numPr>
        <w:spacing w:after="0" w:line="360" w:lineRule="auto"/>
        <w:ind w:left="709"/>
        <w:rPr>
          <w:rFonts w:ascii="Arial" w:hAnsi="Arial" w:cs="Arial"/>
        </w:rPr>
      </w:pPr>
      <w:r w:rsidRPr="00D2662A">
        <w:rPr>
          <w:rFonts w:ascii="Arial" w:hAnsi="Arial" w:cs="Arial"/>
        </w:rPr>
        <w:t>The next doughnut chart shows that 19% of the providers were registered and 81% were unregistered.</w:t>
      </w:r>
      <w:r w:rsidR="003E695A" w:rsidRPr="008328CE">
        <w:rPr>
          <w:rFonts w:ascii="Arial" w:hAnsi="Arial" w:cs="Arial"/>
        </w:rPr>
        <w:t xml:space="preserve"> </w:t>
      </w:r>
      <w:r w:rsidR="00950370" w:rsidRPr="00CE5D7A">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00950370" w:rsidRPr="00CE5D7A">
        <w:rPr>
          <w:rFonts w:ascii="Arial" w:hAnsi="Arial" w:cs="Arial"/>
        </w:rPr>
        <w:t>)</w:t>
      </w:r>
      <w:r w:rsidR="00950370" w:rsidRPr="008328CE">
        <w:rPr>
          <w:rFonts w:ascii="Arial" w:hAnsi="Arial" w:cs="Arial"/>
        </w:rPr>
        <w:tab/>
      </w:r>
    </w:p>
    <w:p w14:paraId="4E1D4AC0" w14:textId="7318A59E" w:rsidR="00950370" w:rsidRPr="008108AA" w:rsidRDefault="00D2662A" w:rsidP="00DD3E1C">
      <w:pPr>
        <w:pStyle w:val="ListParagraph"/>
        <w:numPr>
          <w:ilvl w:val="1"/>
          <w:numId w:val="29"/>
        </w:numPr>
        <w:spacing w:after="0" w:line="360" w:lineRule="auto"/>
        <w:ind w:left="709"/>
        <w:rPr>
          <w:rFonts w:ascii="Arial" w:hAnsi="Arial" w:cs="Arial"/>
        </w:rPr>
      </w:pPr>
      <w:r w:rsidRPr="00D2662A">
        <w:rPr>
          <w:rFonts w:ascii="Arial" w:hAnsi="Arial" w:cs="Arial"/>
        </w:rPr>
        <w:lastRenderedPageBreak/>
        <w:t>The next doughnut chart shows that $7</w:t>
      </w:r>
      <w:r w:rsidR="008108AA">
        <w:rPr>
          <w:rFonts w:ascii="Arial" w:hAnsi="Arial" w:cs="Arial"/>
        </w:rPr>
        <w:t>60</w:t>
      </w:r>
      <w:r w:rsidRPr="00D2662A">
        <w:rPr>
          <w:rFonts w:ascii="Arial" w:hAnsi="Arial" w:cs="Arial"/>
        </w:rPr>
        <w:t xml:space="preserve"> million was paid in the year ending 30 June 2023. This makes up 62% of payments to participants with other physical disabilities.</w:t>
      </w:r>
      <w:r w:rsidR="00950370" w:rsidRPr="007A0828">
        <w:rPr>
          <w:rFonts w:ascii="Arial" w:hAnsi="Arial" w:cs="Arial"/>
        </w:rPr>
        <w:tab/>
      </w:r>
    </w:p>
    <w:p w14:paraId="54C97F31" w14:textId="04330CE2" w:rsidR="00950370" w:rsidRPr="007A0828" w:rsidRDefault="00D2662A" w:rsidP="001867F7">
      <w:pPr>
        <w:spacing w:after="0" w:line="360" w:lineRule="auto"/>
        <w:rPr>
          <w:rFonts w:ascii="Arial" w:hAnsi="Arial" w:cs="Arial"/>
        </w:rPr>
      </w:pPr>
      <w:r w:rsidRPr="00D2662A">
        <w:rPr>
          <w:rFonts w:ascii="Arial" w:hAnsi="Arial" w:cs="Arial"/>
        </w:rPr>
        <w:t>The last set of three doughnut charts are for providers supporting agency-managed participants with other physical disabilities:</w:t>
      </w:r>
    </w:p>
    <w:p w14:paraId="53A9A244" w14:textId="65F83C21" w:rsidR="00D2662A" w:rsidRDefault="00D2662A" w:rsidP="00517984">
      <w:pPr>
        <w:pStyle w:val="ListParagraph"/>
        <w:numPr>
          <w:ilvl w:val="1"/>
          <w:numId w:val="30"/>
        </w:numPr>
        <w:spacing w:after="0" w:line="360" w:lineRule="auto"/>
        <w:ind w:left="709"/>
        <w:rPr>
          <w:rFonts w:ascii="Arial" w:hAnsi="Arial" w:cs="Arial"/>
        </w:rPr>
      </w:pPr>
      <w:r w:rsidRPr="00D2662A">
        <w:rPr>
          <w:rFonts w:ascii="Arial" w:hAnsi="Arial" w:cs="Arial"/>
        </w:rPr>
        <w:t>A doughnut chart shows that 4,030 providers received a payment during the year.</w:t>
      </w:r>
    </w:p>
    <w:p w14:paraId="29A6B015" w14:textId="5A8E73C1" w:rsidR="00D2662A" w:rsidRDefault="00D2662A" w:rsidP="00517984">
      <w:pPr>
        <w:pStyle w:val="ListParagraph"/>
        <w:numPr>
          <w:ilvl w:val="1"/>
          <w:numId w:val="30"/>
        </w:numPr>
        <w:spacing w:after="0" w:line="360" w:lineRule="auto"/>
        <w:ind w:left="709"/>
        <w:rPr>
          <w:rFonts w:ascii="Arial" w:hAnsi="Arial" w:cs="Arial"/>
        </w:rPr>
      </w:pPr>
      <w:r w:rsidRPr="00D2662A">
        <w:rPr>
          <w:rFonts w:ascii="Arial" w:hAnsi="Arial" w:cs="Arial"/>
        </w:rPr>
        <w:t>A doughnut chart shows that 100% of providers were registered.</w:t>
      </w:r>
    </w:p>
    <w:p w14:paraId="06938AEF" w14:textId="757F321C" w:rsidR="00950370" w:rsidRPr="00D2662A" w:rsidRDefault="00D2662A" w:rsidP="00D2662A">
      <w:pPr>
        <w:pStyle w:val="ListParagraph"/>
        <w:numPr>
          <w:ilvl w:val="1"/>
          <w:numId w:val="30"/>
        </w:numPr>
        <w:spacing w:after="0" w:line="360" w:lineRule="auto"/>
        <w:ind w:left="709"/>
        <w:rPr>
          <w:rFonts w:ascii="Arial" w:hAnsi="Arial" w:cs="Arial"/>
        </w:rPr>
      </w:pPr>
      <w:r w:rsidRPr="00D2662A">
        <w:rPr>
          <w:rFonts w:ascii="Arial" w:hAnsi="Arial" w:cs="Arial"/>
        </w:rPr>
        <w:t>The next doughnut chart shows that $25</w:t>
      </w:r>
      <w:r w:rsidR="008108AA">
        <w:rPr>
          <w:rFonts w:ascii="Arial" w:hAnsi="Arial" w:cs="Arial"/>
        </w:rPr>
        <w:t>1</w:t>
      </w:r>
      <w:r w:rsidRPr="00D2662A">
        <w:rPr>
          <w:rFonts w:ascii="Arial" w:hAnsi="Arial" w:cs="Arial"/>
        </w:rPr>
        <w:t xml:space="preserve"> million was paid in the year ending 30 June 2023. This makes up 20% of payments to participants with other physical disabilities.</w:t>
      </w:r>
      <w:r w:rsidR="00950370" w:rsidRPr="00D2662A">
        <w:rPr>
          <w:rFonts w:ascii="Arial" w:hAnsi="Arial" w:cs="Arial"/>
        </w:rPr>
        <w:tab/>
      </w:r>
    </w:p>
    <w:p w14:paraId="6545B50F" w14:textId="6FA17BD5" w:rsidR="00950370" w:rsidRPr="007A0828" w:rsidRDefault="00950370" w:rsidP="00950370">
      <w:pPr>
        <w:spacing w:after="0" w:line="360" w:lineRule="auto"/>
        <w:rPr>
          <w:rFonts w:ascii="Arial" w:hAnsi="Arial" w:cs="Arial"/>
        </w:rPr>
      </w:pPr>
    </w:p>
    <w:p w14:paraId="214EB494" w14:textId="27D1245D" w:rsidR="00E66A81" w:rsidRDefault="00D2662A" w:rsidP="00950370">
      <w:pPr>
        <w:spacing w:after="0" w:line="360" w:lineRule="auto"/>
        <w:rPr>
          <w:rFonts w:ascii="Arial" w:hAnsi="Arial" w:cs="Arial"/>
        </w:rPr>
      </w:pPr>
      <w:r w:rsidRPr="00D2662A">
        <w:rPr>
          <w:rFonts w:ascii="Arial" w:hAnsi="Arial" w:cs="Arial"/>
        </w:rPr>
        <w:t>For providers supporting self-managed participants with other physical disabilities, $220 million was paid in the year ending 30 June 2023, which is 18% of all payments to participants with other physical disabilities. At this time, for self-managed payments, the total number of providers and the registration status of providers is unable to be determined since it is not a requirement for self-managed participants to provide the ABN at the time of payment.</w:t>
      </w:r>
      <w:r w:rsidR="00C710E1" w:rsidRPr="007A0828">
        <w:rPr>
          <w:rFonts w:ascii="Arial" w:hAnsi="Arial" w:cs="Arial"/>
        </w:rPr>
        <w:tab/>
      </w:r>
    </w:p>
    <w:p w14:paraId="31D16D75" w14:textId="77777777" w:rsidR="00E66A81" w:rsidRDefault="00E66A81" w:rsidP="00950370">
      <w:pPr>
        <w:spacing w:after="0" w:line="360" w:lineRule="auto"/>
        <w:rPr>
          <w:rFonts w:ascii="Arial" w:hAnsi="Arial" w:cs="Arial"/>
        </w:rPr>
      </w:pPr>
    </w:p>
    <w:p w14:paraId="01026569" w14:textId="77777777" w:rsidR="00E66A81" w:rsidRPr="007A0828" w:rsidRDefault="00E66A81" w:rsidP="00950370">
      <w:pPr>
        <w:spacing w:after="0" w:line="360" w:lineRule="auto"/>
        <w:rPr>
          <w:rFonts w:ascii="Arial" w:eastAsiaTheme="majorEastAsia" w:hAnsi="Arial" w:cs="Arial"/>
          <w:color w:val="2F5496" w:themeColor="accent1" w:themeShade="BF"/>
        </w:rPr>
      </w:pPr>
    </w:p>
    <w:p w14:paraId="2CFD4C44" w14:textId="77777777"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3D9B3" w14:textId="77777777" w:rsidR="00C37EE6" w:rsidRDefault="00C37EE6" w:rsidP="00C37EE6">
      <w:pPr>
        <w:spacing w:after="0" w:line="240" w:lineRule="auto"/>
      </w:pPr>
      <w:r>
        <w:separator/>
      </w:r>
    </w:p>
  </w:endnote>
  <w:endnote w:type="continuationSeparator" w:id="0">
    <w:p w14:paraId="61621534" w14:textId="77777777" w:rsidR="00C37EE6" w:rsidRDefault="00C37EE6" w:rsidP="00C37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1168" w14:textId="77777777" w:rsidR="00C37EE6" w:rsidRDefault="00C37EE6" w:rsidP="00C37EE6">
      <w:pPr>
        <w:spacing w:after="0" w:line="240" w:lineRule="auto"/>
      </w:pPr>
      <w:r>
        <w:separator/>
      </w:r>
    </w:p>
  </w:footnote>
  <w:footnote w:type="continuationSeparator" w:id="0">
    <w:p w14:paraId="0BFA1065" w14:textId="77777777" w:rsidR="00C37EE6" w:rsidRDefault="00C37EE6" w:rsidP="00C37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18526E"/>
    <w:multiLevelType w:val="hybridMultilevel"/>
    <w:tmpl w:val="C0A27A5C"/>
    <w:lvl w:ilvl="0" w:tplc="0C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5E14573"/>
    <w:multiLevelType w:val="hybridMultilevel"/>
    <w:tmpl w:val="1F684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D829DC"/>
    <w:multiLevelType w:val="hybridMultilevel"/>
    <w:tmpl w:val="35044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B7DBB"/>
    <w:multiLevelType w:val="hybridMultilevel"/>
    <w:tmpl w:val="93582B82"/>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CF5FE1"/>
    <w:multiLevelType w:val="hybridMultilevel"/>
    <w:tmpl w:val="12161B1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326E94"/>
    <w:multiLevelType w:val="hybridMultilevel"/>
    <w:tmpl w:val="F3D848D2"/>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A45FC9"/>
    <w:multiLevelType w:val="hybridMultilevel"/>
    <w:tmpl w:val="C696DB7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E58457E"/>
    <w:multiLevelType w:val="hybridMultilevel"/>
    <w:tmpl w:val="67E2D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EF001A9"/>
    <w:multiLevelType w:val="hybridMultilevel"/>
    <w:tmpl w:val="FC12E4FE"/>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DC7037"/>
    <w:multiLevelType w:val="hybridMultilevel"/>
    <w:tmpl w:val="FBD23BD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AC1B9A"/>
    <w:multiLevelType w:val="hybridMultilevel"/>
    <w:tmpl w:val="CD3C04E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42046D"/>
    <w:multiLevelType w:val="hybridMultilevel"/>
    <w:tmpl w:val="87B46C4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AE966CB"/>
    <w:multiLevelType w:val="hybridMultilevel"/>
    <w:tmpl w:val="B67C22E2"/>
    <w:lvl w:ilvl="0" w:tplc="0C090001">
      <w:start w:val="1"/>
      <w:numFmt w:val="bullet"/>
      <w:lvlText w:val=""/>
      <w:lvlJc w:val="left"/>
      <w:pPr>
        <w:ind w:left="720" w:hanging="360"/>
      </w:pPr>
      <w:rPr>
        <w:rFonts w:ascii="Symbol" w:hAnsi="Symbol" w:hint="default"/>
      </w:rPr>
    </w:lvl>
    <w:lvl w:ilvl="1" w:tplc="C2061C4A">
      <w:start w:val="55"/>
      <w:numFmt w:val="bullet"/>
      <w:lvlText w:val="•"/>
      <w:lvlJc w:val="left"/>
      <w:pPr>
        <w:ind w:left="1800" w:hanging="72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9A5B81"/>
    <w:multiLevelType w:val="hybridMultilevel"/>
    <w:tmpl w:val="3B208CE4"/>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6C68AC"/>
    <w:multiLevelType w:val="hybridMultilevel"/>
    <w:tmpl w:val="55CC0C0C"/>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FB02E9"/>
    <w:multiLevelType w:val="hybridMultilevel"/>
    <w:tmpl w:val="26784A28"/>
    <w:lvl w:ilvl="0" w:tplc="FFFFFFFF">
      <w:numFmt w:val="bullet"/>
      <w:lvlText w:val="-"/>
      <w:lvlJc w:val="left"/>
      <w:pPr>
        <w:ind w:left="720" w:hanging="360"/>
      </w:pPr>
      <w:rPr>
        <w:rFonts w:ascii="Arial" w:eastAsia="Times New Roman" w:hAnsi="Arial" w:cs="Arial" w:hint="default"/>
      </w:rPr>
    </w:lvl>
    <w:lvl w:ilvl="1" w:tplc="0C090001">
      <w:start w:val="1"/>
      <w:numFmt w:val="bullet"/>
      <w:lvlText w:val=""/>
      <w:lvlJc w:val="left"/>
      <w:pPr>
        <w:ind w:left="1440" w:hanging="360"/>
      </w:pPr>
      <w:rPr>
        <w:rFonts w:ascii="Symbol" w:hAnsi="Symbol" w:hint="default"/>
      </w:rPr>
    </w:lvl>
    <w:lvl w:ilvl="2" w:tplc="4A90F7D6">
      <w:start w:val="55"/>
      <w:numFmt w:val="bullet"/>
      <w:lvlText w:val="•"/>
      <w:lvlJc w:val="left"/>
      <w:pPr>
        <w:ind w:left="2520" w:hanging="72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C707D4"/>
    <w:multiLevelType w:val="hybridMultilevel"/>
    <w:tmpl w:val="F85C8DC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ECE1C65"/>
    <w:multiLevelType w:val="hybridMultilevel"/>
    <w:tmpl w:val="C484A888"/>
    <w:lvl w:ilvl="0" w:tplc="0C09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A850F2"/>
    <w:multiLevelType w:val="hybridMultilevel"/>
    <w:tmpl w:val="AF887066"/>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D82A9D"/>
    <w:multiLevelType w:val="hybridMultilevel"/>
    <w:tmpl w:val="CE0E6406"/>
    <w:lvl w:ilvl="0" w:tplc="FFFFFFFF">
      <w:numFmt w:val="bullet"/>
      <w:lvlText w:val="-"/>
      <w:lvlJc w:val="left"/>
      <w:pPr>
        <w:ind w:left="720" w:hanging="360"/>
      </w:pPr>
      <w:rPr>
        <w:rFonts w:ascii="Arial" w:eastAsia="Times New Roman" w:hAnsi="Arial" w:cs="Arial" w:hint="default"/>
      </w:rPr>
    </w:lvl>
    <w:lvl w:ilvl="1" w:tplc="FFFFFFFF">
      <w:start w:val="1"/>
      <w:numFmt w:val="bullet"/>
      <w:lvlText w:val=""/>
      <w:lvlJc w:val="left"/>
      <w:pPr>
        <w:ind w:left="1440" w:hanging="360"/>
      </w:pPr>
      <w:rPr>
        <w:rFonts w:ascii="Symbol" w:hAnsi="Symbol"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7891112"/>
    <w:multiLevelType w:val="hybridMultilevel"/>
    <w:tmpl w:val="6EB47F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0A5E51"/>
    <w:multiLevelType w:val="hybridMultilevel"/>
    <w:tmpl w:val="C9A8A99A"/>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D21E80"/>
    <w:multiLevelType w:val="hybridMultilevel"/>
    <w:tmpl w:val="710EA30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BF2AB1"/>
    <w:multiLevelType w:val="hybridMultilevel"/>
    <w:tmpl w:val="231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A27A2"/>
    <w:multiLevelType w:val="hybridMultilevel"/>
    <w:tmpl w:val="DF600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44B1918"/>
    <w:multiLevelType w:val="hybridMultilevel"/>
    <w:tmpl w:val="3A0C458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4A515F4"/>
    <w:multiLevelType w:val="hybridMultilevel"/>
    <w:tmpl w:val="7446148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BC6704"/>
    <w:multiLevelType w:val="hybridMultilevel"/>
    <w:tmpl w:val="B76A00AE"/>
    <w:lvl w:ilvl="0" w:tplc="5288B2BC">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84777C"/>
    <w:multiLevelType w:val="hybridMultilevel"/>
    <w:tmpl w:val="4D58B5B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987CAB"/>
    <w:multiLevelType w:val="hybridMultilevel"/>
    <w:tmpl w:val="CBBC9F3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6B04554B"/>
    <w:multiLevelType w:val="hybridMultilevel"/>
    <w:tmpl w:val="AF2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6DF1D5A"/>
    <w:multiLevelType w:val="hybridMultilevel"/>
    <w:tmpl w:val="29282E54"/>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9B417E"/>
    <w:multiLevelType w:val="hybridMultilevel"/>
    <w:tmpl w:val="0C928A4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176358">
    <w:abstractNumId w:val="31"/>
  </w:num>
  <w:num w:numId="2" w16cid:durableId="791705990">
    <w:abstractNumId w:val="0"/>
  </w:num>
  <w:num w:numId="3" w16cid:durableId="1368751803">
    <w:abstractNumId w:val="13"/>
  </w:num>
  <w:num w:numId="4" w16cid:durableId="2107462734">
    <w:abstractNumId w:val="21"/>
  </w:num>
  <w:num w:numId="5" w16cid:durableId="1286623610">
    <w:abstractNumId w:val="2"/>
  </w:num>
  <w:num w:numId="6" w16cid:durableId="2060585929">
    <w:abstractNumId w:val="30"/>
  </w:num>
  <w:num w:numId="7" w16cid:durableId="843518397">
    <w:abstractNumId w:val="36"/>
  </w:num>
  <w:num w:numId="8" w16cid:durableId="993483762">
    <w:abstractNumId w:val="15"/>
  </w:num>
  <w:num w:numId="9" w16cid:durableId="200947908">
    <w:abstractNumId w:val="37"/>
  </w:num>
  <w:num w:numId="10" w16cid:durableId="1483739424">
    <w:abstractNumId w:val="32"/>
  </w:num>
  <w:num w:numId="11" w16cid:durableId="842476931">
    <w:abstractNumId w:val="27"/>
  </w:num>
  <w:num w:numId="12" w16cid:durableId="1621689938">
    <w:abstractNumId w:val="20"/>
  </w:num>
  <w:num w:numId="13" w16cid:durableId="123230606">
    <w:abstractNumId w:val="22"/>
  </w:num>
  <w:num w:numId="14" w16cid:durableId="703092463">
    <w:abstractNumId w:val="29"/>
  </w:num>
  <w:num w:numId="15" w16cid:durableId="33359535">
    <w:abstractNumId w:val="10"/>
  </w:num>
  <w:num w:numId="16" w16cid:durableId="1876313525">
    <w:abstractNumId w:val="6"/>
  </w:num>
  <w:num w:numId="17" w16cid:durableId="1268200457">
    <w:abstractNumId w:val="39"/>
  </w:num>
  <w:num w:numId="18" w16cid:durableId="1349064865">
    <w:abstractNumId w:val="11"/>
  </w:num>
  <w:num w:numId="19" w16cid:durableId="1976597965">
    <w:abstractNumId w:val="26"/>
  </w:num>
  <w:num w:numId="20" w16cid:durableId="1811290244">
    <w:abstractNumId w:val="17"/>
  </w:num>
  <w:num w:numId="21" w16cid:durableId="1143236890">
    <w:abstractNumId w:val="35"/>
  </w:num>
  <w:num w:numId="22" w16cid:durableId="441651126">
    <w:abstractNumId w:val="1"/>
  </w:num>
  <w:num w:numId="23" w16cid:durableId="1262564495">
    <w:abstractNumId w:val="40"/>
  </w:num>
  <w:num w:numId="24" w16cid:durableId="1990013711">
    <w:abstractNumId w:val="5"/>
  </w:num>
  <w:num w:numId="25" w16cid:durableId="1950357379">
    <w:abstractNumId w:val="33"/>
  </w:num>
  <w:num w:numId="26" w16cid:durableId="32274418">
    <w:abstractNumId w:val="16"/>
  </w:num>
  <w:num w:numId="27" w16cid:durableId="1072846816">
    <w:abstractNumId w:val="41"/>
  </w:num>
  <w:num w:numId="28" w16cid:durableId="1438332526">
    <w:abstractNumId w:val="42"/>
  </w:num>
  <w:num w:numId="29" w16cid:durableId="47806131">
    <w:abstractNumId w:val="9"/>
  </w:num>
  <w:num w:numId="30" w16cid:durableId="314376893">
    <w:abstractNumId w:val="38"/>
  </w:num>
  <w:num w:numId="31" w16cid:durableId="546530879">
    <w:abstractNumId w:val="23"/>
  </w:num>
  <w:num w:numId="32" w16cid:durableId="1075932970">
    <w:abstractNumId w:val="12"/>
  </w:num>
  <w:num w:numId="33" w16cid:durableId="37365711">
    <w:abstractNumId w:val="28"/>
  </w:num>
  <w:num w:numId="34" w16cid:durableId="208077779">
    <w:abstractNumId w:val="14"/>
  </w:num>
  <w:num w:numId="35" w16cid:durableId="159076821">
    <w:abstractNumId w:val="7"/>
  </w:num>
  <w:num w:numId="36" w16cid:durableId="609316531">
    <w:abstractNumId w:val="19"/>
  </w:num>
  <w:num w:numId="37" w16cid:durableId="127626205">
    <w:abstractNumId w:val="34"/>
  </w:num>
  <w:num w:numId="38" w16cid:durableId="592666240">
    <w:abstractNumId w:val="8"/>
  </w:num>
  <w:num w:numId="39" w16cid:durableId="1925609560">
    <w:abstractNumId w:val="4"/>
  </w:num>
  <w:num w:numId="40" w16cid:durableId="1971932135">
    <w:abstractNumId w:val="18"/>
  </w:num>
  <w:num w:numId="41" w16cid:durableId="516231925">
    <w:abstractNumId w:val="3"/>
  </w:num>
  <w:num w:numId="42" w16cid:durableId="223609266">
    <w:abstractNumId w:val="24"/>
  </w:num>
  <w:num w:numId="43" w16cid:durableId="167151934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0245E"/>
    <w:rsid w:val="000674A6"/>
    <w:rsid w:val="000C5B4B"/>
    <w:rsid w:val="001867F7"/>
    <w:rsid w:val="00192AEE"/>
    <w:rsid w:val="001B48E8"/>
    <w:rsid w:val="001C06F5"/>
    <w:rsid w:val="001D2A4F"/>
    <w:rsid w:val="001D3D23"/>
    <w:rsid w:val="001E5A10"/>
    <w:rsid w:val="00225C79"/>
    <w:rsid w:val="00272C12"/>
    <w:rsid w:val="00297A54"/>
    <w:rsid w:val="002C1157"/>
    <w:rsid w:val="002C385C"/>
    <w:rsid w:val="002D7D7B"/>
    <w:rsid w:val="00312690"/>
    <w:rsid w:val="00330560"/>
    <w:rsid w:val="00332AC1"/>
    <w:rsid w:val="0033476E"/>
    <w:rsid w:val="0035141A"/>
    <w:rsid w:val="00356E73"/>
    <w:rsid w:val="003C6F08"/>
    <w:rsid w:val="003D6D77"/>
    <w:rsid w:val="003E08C6"/>
    <w:rsid w:val="003E695A"/>
    <w:rsid w:val="003F2F92"/>
    <w:rsid w:val="004100BA"/>
    <w:rsid w:val="004163C5"/>
    <w:rsid w:val="00447398"/>
    <w:rsid w:val="00453194"/>
    <w:rsid w:val="004572B3"/>
    <w:rsid w:val="00490DE9"/>
    <w:rsid w:val="00490FC0"/>
    <w:rsid w:val="004A52B6"/>
    <w:rsid w:val="004C5B77"/>
    <w:rsid w:val="004F524C"/>
    <w:rsid w:val="005110C5"/>
    <w:rsid w:val="00517984"/>
    <w:rsid w:val="0054305D"/>
    <w:rsid w:val="00547042"/>
    <w:rsid w:val="005722DD"/>
    <w:rsid w:val="00590DD8"/>
    <w:rsid w:val="005D37F5"/>
    <w:rsid w:val="00615A14"/>
    <w:rsid w:val="006175CF"/>
    <w:rsid w:val="00632CB1"/>
    <w:rsid w:val="0069755E"/>
    <w:rsid w:val="006B257C"/>
    <w:rsid w:val="006D5B54"/>
    <w:rsid w:val="006D5E05"/>
    <w:rsid w:val="006D7D03"/>
    <w:rsid w:val="006E0055"/>
    <w:rsid w:val="006E391C"/>
    <w:rsid w:val="006F6234"/>
    <w:rsid w:val="007076BC"/>
    <w:rsid w:val="0079735C"/>
    <w:rsid w:val="007A0828"/>
    <w:rsid w:val="007E7F61"/>
    <w:rsid w:val="008017DD"/>
    <w:rsid w:val="008108AA"/>
    <w:rsid w:val="008328CE"/>
    <w:rsid w:val="00845F37"/>
    <w:rsid w:val="00864CF9"/>
    <w:rsid w:val="00885EC5"/>
    <w:rsid w:val="008B1DE5"/>
    <w:rsid w:val="008B733B"/>
    <w:rsid w:val="008D0666"/>
    <w:rsid w:val="008D7EC9"/>
    <w:rsid w:val="008E711A"/>
    <w:rsid w:val="00925926"/>
    <w:rsid w:val="00950370"/>
    <w:rsid w:val="00951960"/>
    <w:rsid w:val="009A1EB7"/>
    <w:rsid w:val="009D2DD4"/>
    <w:rsid w:val="00A619F2"/>
    <w:rsid w:val="00A63660"/>
    <w:rsid w:val="00A826EE"/>
    <w:rsid w:val="00A92E4D"/>
    <w:rsid w:val="00A95D18"/>
    <w:rsid w:val="00AA5E33"/>
    <w:rsid w:val="00AC1D64"/>
    <w:rsid w:val="00AE0A47"/>
    <w:rsid w:val="00B053AE"/>
    <w:rsid w:val="00B21C91"/>
    <w:rsid w:val="00B26A59"/>
    <w:rsid w:val="00B54031"/>
    <w:rsid w:val="00B54F53"/>
    <w:rsid w:val="00B54F63"/>
    <w:rsid w:val="00B563A0"/>
    <w:rsid w:val="00B604E2"/>
    <w:rsid w:val="00B81C63"/>
    <w:rsid w:val="00B81DE6"/>
    <w:rsid w:val="00B868A1"/>
    <w:rsid w:val="00BC1859"/>
    <w:rsid w:val="00BD05CA"/>
    <w:rsid w:val="00BE77B7"/>
    <w:rsid w:val="00C1631F"/>
    <w:rsid w:val="00C33245"/>
    <w:rsid w:val="00C37EE6"/>
    <w:rsid w:val="00C504A0"/>
    <w:rsid w:val="00C62137"/>
    <w:rsid w:val="00C70D3D"/>
    <w:rsid w:val="00C710E1"/>
    <w:rsid w:val="00C85A7C"/>
    <w:rsid w:val="00CA1B30"/>
    <w:rsid w:val="00CB482F"/>
    <w:rsid w:val="00CC67BF"/>
    <w:rsid w:val="00CE5D7A"/>
    <w:rsid w:val="00D02E74"/>
    <w:rsid w:val="00D127C7"/>
    <w:rsid w:val="00D2662A"/>
    <w:rsid w:val="00D30FDF"/>
    <w:rsid w:val="00D320CB"/>
    <w:rsid w:val="00D4328B"/>
    <w:rsid w:val="00DB5EDB"/>
    <w:rsid w:val="00DD136D"/>
    <w:rsid w:val="00DD35C7"/>
    <w:rsid w:val="00DD3E1C"/>
    <w:rsid w:val="00DE513E"/>
    <w:rsid w:val="00E0443D"/>
    <w:rsid w:val="00E66A81"/>
    <w:rsid w:val="00E83DCE"/>
    <w:rsid w:val="00EE2504"/>
    <w:rsid w:val="00EF07A3"/>
    <w:rsid w:val="00F6593B"/>
    <w:rsid w:val="00F72C59"/>
    <w:rsid w:val="00F7554C"/>
    <w:rsid w:val="00F7714B"/>
    <w:rsid w:val="00FB4E65"/>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75D899-D238-43C5-9160-5AB9EE56D21C}">
  <ds:schemaRefs>
    <ds:schemaRef ds:uri="http://schemas.openxmlformats.org/officeDocument/2006/bibliography"/>
  </ds:schemaRefs>
</ds:datastoreItem>
</file>

<file path=customXml/itemProps2.xml><?xml version="1.0" encoding="utf-8"?>
<ds:datastoreItem xmlns:ds="http://schemas.openxmlformats.org/officeDocument/2006/customXml" ds:itemID="{870E03CB-E910-4CCD-9144-39D237A957F7}"/>
</file>

<file path=customXml/itemProps3.xml><?xml version="1.0" encoding="utf-8"?>
<ds:datastoreItem xmlns:ds="http://schemas.openxmlformats.org/officeDocument/2006/customXml" ds:itemID="{7348464B-C534-43F0-9C5C-3701EE08B978}"/>
</file>

<file path=customXml/itemProps4.xml><?xml version="1.0" encoding="utf-8"?>
<ds:datastoreItem xmlns:ds="http://schemas.openxmlformats.org/officeDocument/2006/customXml" ds:itemID="{0AD4FDB6-04CD-4BCA-A791-21081303960B}"/>
</file>

<file path=docProps/app.xml><?xml version="1.0" encoding="utf-8"?>
<Properties xmlns="http://schemas.openxmlformats.org/officeDocument/2006/extended-properties" xmlns:vt="http://schemas.openxmlformats.org/officeDocument/2006/docPropsVTypes">
  <Template>Normal.dotm</Template>
  <TotalTime>0</TotalTime>
  <Pages>18</Pages>
  <Words>4647</Words>
  <Characters>26494</Characters>
  <DocSecurity>0</DocSecurity>
  <Lines>220</Lines>
  <Paragraphs>62</Paragraphs>
  <ScaleCrop>false</ScaleCrop>
  <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2023-09-22T00:28:00Z</dcterms:created>
  <dcterms:modified xsi:type="dcterms:W3CDTF">2023-09-22T00:29:00Z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2023-09-22T00:29:20Z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5e842675-d358-4af0-982f-f24de1a168be</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