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DE" w:rsidRDefault="000139DE" w:rsidP="000139DE">
      <w:pPr>
        <w:spacing w:before="840" w:after="600"/>
        <w:outlineLvl w:val="0"/>
        <w:rPr>
          <w:rFonts w:eastAsia="Times New Roman" w:cs="Arial"/>
          <w:b/>
          <w:color w:val="FEFFFF"/>
          <w:sz w:val="80"/>
          <w:szCs w:val="96"/>
          <w:lang w:val="en-AU"/>
        </w:rPr>
      </w:pPr>
      <w:bookmarkStart w:id="0" w:name="_Toc64298687"/>
      <w:bookmarkStart w:id="1" w:name="_Toc65251764"/>
      <w:bookmarkStart w:id="2" w:name="_Toc35866087"/>
      <w:bookmarkStart w:id="3" w:name="_Toc38465001"/>
      <w:bookmarkStart w:id="4" w:name="_Toc38540273"/>
      <w:bookmarkStart w:id="5" w:name="_Toc38556579"/>
      <w:bookmarkStart w:id="6" w:name="_Toc42246902"/>
      <w:bookmarkStart w:id="7" w:name="_Toc42247298"/>
      <w:bookmarkStart w:id="8" w:name="_Toc46915879"/>
      <w:bookmarkStart w:id="9" w:name="_Toc47424642"/>
      <w:bookmarkStart w:id="10" w:name="_Toc47525807"/>
      <w:r>
        <w:rPr>
          <w:rFonts w:eastAsia="Times New Roman" w:cs="Arial"/>
          <w:b/>
          <w:color w:val="FEFFFF"/>
          <w:sz w:val="80"/>
          <w:szCs w:val="96"/>
        </w:rPr>
        <w:t>International Models of Support Coordination and Local Area Coordination: Evidence Review Report</w:t>
      </w:r>
      <w:bookmarkEnd w:id="0"/>
      <w:bookmarkEnd w:id="1"/>
    </w:p>
    <w:p w:rsidR="000139DE" w:rsidRDefault="000139DE" w:rsidP="00605435">
      <w:pPr>
        <w:spacing w:after="720" w:line="240" w:lineRule="auto"/>
        <w:rPr>
          <w:rFonts w:eastAsia="Times New Roman" w:cs="Arial"/>
          <w:b/>
          <w:color w:val="FEFFFF"/>
          <w:sz w:val="28"/>
          <w:szCs w:val="28"/>
        </w:rPr>
      </w:pPr>
      <w:r>
        <w:rPr>
          <w:rFonts w:eastAsia="Times New Roman" w:cs="Arial"/>
          <w:color w:val="FEFFFF"/>
          <w:sz w:val="28"/>
          <w:szCs w:val="28"/>
        </w:rPr>
        <w:t xml:space="preserve">Version 1.0 </w:t>
      </w:r>
      <w:r>
        <w:rPr>
          <w:rFonts w:eastAsia="Times New Roman" w:cs="Arial"/>
          <w:color w:val="FEFFFF"/>
          <w:sz w:val="28"/>
          <w:szCs w:val="28"/>
        </w:rPr>
        <w:softHyphen/>
        <w:t>– July 2020</w:t>
      </w:r>
      <w:r>
        <w:rPr>
          <w:rFonts w:eastAsia="Times New Roman" w:cs="Arial"/>
          <w:color w:val="FEFFFF"/>
          <w:sz w:val="28"/>
          <w:szCs w:val="28"/>
        </w:rPr>
        <w:br/>
        <w:t>Associate Professor Lisa O’</w:t>
      </w:r>
      <w:r w:rsidR="00887965">
        <w:rPr>
          <w:rFonts w:eastAsia="Times New Roman" w:cs="Arial"/>
          <w:color w:val="FEFFFF"/>
          <w:sz w:val="28"/>
          <w:szCs w:val="28"/>
        </w:rPr>
        <w:t xml:space="preserve">Brien and Dr Ivana Randjelovic  </w:t>
      </w:r>
      <w:r>
        <w:rPr>
          <w:rFonts w:eastAsia="Times New Roman" w:cs="Arial"/>
          <w:color w:val="FEFFFF"/>
          <w:sz w:val="28"/>
          <w:szCs w:val="28"/>
        </w:rPr>
        <w:t xml:space="preserve"> </w:t>
      </w:r>
      <w:r w:rsidR="00887965">
        <w:rPr>
          <w:rFonts w:eastAsia="Times New Roman" w:cs="Arial"/>
          <w:color w:val="FEFFFF"/>
          <w:sz w:val="28"/>
          <w:szCs w:val="28"/>
        </w:rPr>
        <w:t xml:space="preserve">         </w:t>
      </w:r>
      <w:r>
        <w:rPr>
          <w:rFonts w:eastAsia="Times New Roman" w:cs="Arial"/>
          <w:color w:val="FEFFFF"/>
          <w:sz w:val="28"/>
          <w:szCs w:val="28"/>
        </w:rPr>
        <w:t>Policy, Advice and Research Division</w:t>
      </w:r>
      <w:r>
        <w:rPr>
          <w:rFonts w:eastAsia="Times New Roman" w:cs="Arial"/>
          <w:color w:val="FEFFFF"/>
          <w:sz w:val="28"/>
          <w:szCs w:val="28"/>
        </w:rPr>
        <w:br/>
      </w:r>
      <w:r>
        <w:rPr>
          <w:rFonts w:eastAsia="Times New Roman" w:cs="Arial"/>
          <w:b/>
          <w:color w:val="FEFFFF"/>
          <w:sz w:val="28"/>
          <w:szCs w:val="28"/>
        </w:rPr>
        <w:br/>
        <w:t>ndis.gov.au</w:t>
      </w:r>
    </w:p>
    <w:p w:rsidR="007B6A23" w:rsidRPr="007B6A23" w:rsidRDefault="007B6A23" w:rsidP="00196523">
      <w:pPr>
        <w:pStyle w:val="Heading2"/>
        <w:numPr>
          <w:ilvl w:val="0"/>
          <w:numId w:val="0"/>
        </w:numPr>
      </w:pPr>
      <w:bookmarkStart w:id="11" w:name="_Toc65251765"/>
      <w:r w:rsidRPr="007B6A23">
        <w:rPr>
          <w:rFonts w:cs="Arial"/>
          <w:noProof/>
          <w:color w:val="FFFFFF" w:themeColor="background1"/>
          <w:sz w:val="88"/>
          <w:szCs w:val="88"/>
          <w:highlight w:val="yellow"/>
          <w:lang w:val="en-AU" w:eastAsia="en-AU"/>
        </w:rPr>
        <w:drawing>
          <wp:anchor distT="0" distB="0" distL="114300" distR="114300" simplePos="0" relativeHeight="251659264" behindDoc="1" locked="0" layoutInCell="1" allowOverlap="1" wp14:anchorId="37E8DF11" wp14:editId="7BC268F0">
            <wp:simplePos x="0" y="0"/>
            <wp:positionH relativeFrom="page">
              <wp:posOffset>331470</wp:posOffset>
            </wp:positionH>
            <wp:positionV relativeFrom="page">
              <wp:posOffset>365331</wp:posOffset>
            </wp:positionV>
            <wp:extent cx="6839585" cy="8999855"/>
            <wp:effectExtent l="0" t="0" r="0" b="0"/>
            <wp:wrapNone/>
            <wp:docPr id="15" name="Picture 15" descr="Title Page for Research Paper International Models of Support Coordination and Local Area Coordin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bookmarkEnd w:id="4"/>
      <w:bookmarkEnd w:id="5"/>
      <w:bookmarkEnd w:id="6"/>
      <w:bookmarkEnd w:id="7"/>
      <w:bookmarkEnd w:id="8"/>
      <w:bookmarkEnd w:id="9"/>
      <w:bookmarkEnd w:id="10"/>
      <w:r w:rsidRPr="007B6A23">
        <w:rPr>
          <w:rFonts w:cs="Arial"/>
          <w:color w:val="FFFFFF" w:themeColor="background1"/>
          <w:sz w:val="96"/>
          <w:szCs w:val="96"/>
        </w:rPr>
        <w:br w:type="page"/>
      </w:r>
      <w:bookmarkStart w:id="12" w:name="_Toc35866090"/>
      <w:bookmarkStart w:id="13" w:name="_Toc38465004"/>
      <w:bookmarkStart w:id="14" w:name="_Toc38540276"/>
      <w:bookmarkStart w:id="15" w:name="_Toc38556582"/>
      <w:r w:rsidRPr="007B6A23">
        <w:lastRenderedPageBreak/>
        <w:t>About the Research and Evaluation Branch</w:t>
      </w:r>
      <w:bookmarkEnd w:id="11"/>
    </w:p>
    <w:p w:rsidR="007B6A23" w:rsidRPr="007B6A23" w:rsidRDefault="007B6A23" w:rsidP="007B6A23">
      <w:r w:rsidRPr="007B6A23">
        <w:t>The Research and Evaluation Branch is responsible for ensuring that NDIA policies, practices and priorities are informed by trustworthy and robust evidence so decisions can be based on an understanding of what works, what doesn’t and the benefit to participants and the Agency.</w:t>
      </w:r>
    </w:p>
    <w:p w:rsidR="007B6A23" w:rsidRPr="007B6A23" w:rsidRDefault="007B6A23" w:rsidP="00196523">
      <w:pPr>
        <w:pStyle w:val="Heading3"/>
        <w:numPr>
          <w:ilvl w:val="0"/>
          <w:numId w:val="0"/>
        </w:numPr>
      </w:pPr>
      <w:bookmarkStart w:id="16" w:name="_Toc65251766"/>
      <w:r w:rsidRPr="007B6A23">
        <w:t>This document</w:t>
      </w:r>
      <w:bookmarkEnd w:id="16"/>
    </w:p>
    <w:p w:rsidR="007B6A23" w:rsidRPr="007B6A23" w:rsidRDefault="007B6A23" w:rsidP="007B6A23">
      <w:r w:rsidRPr="007B6A23">
        <w:t>This report summarises the background, methods and findings for a rapid systematic evidence review of published reports of contemporary (2010-2020) Support Coordination and Local Area Coordination models.</w:t>
      </w:r>
    </w:p>
    <w:p w:rsidR="007B6A23" w:rsidRPr="007B6A23" w:rsidRDefault="007B6A23" w:rsidP="007B6A23">
      <w:pPr>
        <w:outlineLvl w:val="2"/>
        <w:rPr>
          <w:b/>
          <w:color w:val="6A2875"/>
          <w:sz w:val="30"/>
          <w:szCs w:val="30"/>
        </w:rPr>
      </w:pPr>
      <w:bookmarkStart w:id="17" w:name="_Toc65251767"/>
      <w:r w:rsidRPr="007B6A23">
        <w:rPr>
          <w:b/>
          <w:color w:val="6A2875"/>
          <w:sz w:val="30"/>
          <w:szCs w:val="30"/>
        </w:rPr>
        <w:t>Disclaimer</w:t>
      </w:r>
      <w:bookmarkEnd w:id="17"/>
    </w:p>
    <w:p w:rsidR="007B6A23" w:rsidRPr="007B6A23" w:rsidRDefault="007B6A23" w:rsidP="007B6A23">
      <w:r w:rsidRPr="007B6A23">
        <w:t>The National Disability Insurance Agency (NDIA) accepts no responsibility for the accuracy or completeness of any material contained in this report. Further, the National Disability Insurance Agency disclaims all liability to any person in respect of anything, and of the consequences of anything, done or omitted to be done by any such person in reliance, whether wholly or partly, upon any information presented in this report.</w:t>
      </w:r>
    </w:p>
    <w:p w:rsidR="007B6A23" w:rsidRPr="007B6A23" w:rsidRDefault="007B6A23" w:rsidP="007B6A23">
      <w:r w:rsidRPr="007B6A23">
        <w:t>Material in this report is made available on the understanding that the National Disability Insurance Agency is not providing professional advice. Before relying on any of the material in this report, users should obtain appropriate professional advice.</w:t>
      </w:r>
    </w:p>
    <w:p w:rsidR="007B6A23" w:rsidRPr="007B6A23" w:rsidRDefault="007B6A23" w:rsidP="007B6A23">
      <w:r w:rsidRPr="007B6A23">
        <w:t>Views and recommendations of third parties, which may also be included in this report, do not necessarily reflect the views of the National Disability Insurance Agency, or indicate a commitment to a particular course of action.</w:t>
      </w:r>
    </w:p>
    <w:p w:rsidR="007B6A23" w:rsidRPr="007B6A23" w:rsidRDefault="007B6A23" w:rsidP="007B6A23">
      <w:pPr>
        <w:outlineLvl w:val="2"/>
        <w:rPr>
          <w:b/>
          <w:color w:val="6A2875"/>
          <w:sz w:val="30"/>
          <w:szCs w:val="30"/>
        </w:rPr>
      </w:pPr>
      <w:bookmarkStart w:id="18" w:name="_Toc65251768"/>
      <w:r w:rsidRPr="007B6A23">
        <w:rPr>
          <w:b/>
          <w:color w:val="6A2875"/>
          <w:sz w:val="30"/>
          <w:szCs w:val="30"/>
        </w:rPr>
        <w:t>Citation</w:t>
      </w:r>
      <w:bookmarkEnd w:id="18"/>
    </w:p>
    <w:p w:rsidR="00006254" w:rsidRPr="00297F64" w:rsidRDefault="00006254" w:rsidP="00006254">
      <w:pPr>
        <w:rPr>
          <w:rFonts w:eastAsia="Times New Roman" w:cs="Times New Roman"/>
          <w:i/>
        </w:rPr>
      </w:pPr>
      <w:bookmarkStart w:id="19" w:name="_Toc42246905"/>
      <w:bookmarkStart w:id="20" w:name="_Toc42247301"/>
      <w:bookmarkStart w:id="21" w:name="_Toc46915883"/>
      <w:bookmarkStart w:id="22" w:name="_Toc47424646"/>
      <w:bookmarkStart w:id="23" w:name="_Toc47525811"/>
      <w:r w:rsidRPr="00297F64">
        <w:rPr>
          <w:rFonts w:eastAsia="Times New Roman" w:cs="Times New Roman"/>
        </w:rPr>
        <w:t xml:space="preserve">O’Brien, L and Randjelovic, I </w:t>
      </w:r>
      <w:r>
        <w:rPr>
          <w:rFonts w:eastAsia="Times New Roman" w:cs="Times New Roman"/>
        </w:rPr>
        <w:t>(</w:t>
      </w:r>
      <w:r w:rsidRPr="00297F64">
        <w:rPr>
          <w:rFonts w:eastAsia="Times New Roman" w:cs="Times New Roman"/>
        </w:rPr>
        <w:t>2020</w:t>
      </w:r>
      <w:r>
        <w:rPr>
          <w:rFonts w:eastAsia="Times New Roman" w:cs="Times New Roman"/>
        </w:rPr>
        <w:t>)</w:t>
      </w:r>
      <w:r w:rsidRPr="00297F64">
        <w:rPr>
          <w:rFonts w:eastAsia="Times New Roman" w:cs="Times New Roman"/>
        </w:rPr>
        <w:t xml:space="preserve">, </w:t>
      </w:r>
      <w:r w:rsidRPr="00297F64">
        <w:rPr>
          <w:rFonts w:eastAsia="Times New Roman" w:cs="Times New Roman"/>
          <w:i/>
        </w:rPr>
        <w:t>International Models of Support Coordination and Local Area Coordination:  Evidence Review Report</w:t>
      </w:r>
      <w:r w:rsidRPr="00297F64">
        <w:rPr>
          <w:rFonts w:eastAsia="Times New Roman" w:cs="Times New Roman"/>
        </w:rPr>
        <w:t xml:space="preserve">, National Disability Insurance Agency, </w:t>
      </w:r>
      <w:r>
        <w:rPr>
          <w:rFonts w:eastAsia="Times New Roman" w:cs="Times New Roman"/>
        </w:rPr>
        <w:t>Australian Government</w:t>
      </w:r>
      <w:r w:rsidRPr="00297F64">
        <w:rPr>
          <w:rFonts w:eastAsia="Times New Roman" w:cs="Times New Roman"/>
        </w:rPr>
        <w:t>.</w:t>
      </w:r>
    </w:p>
    <w:p w:rsidR="007B6A23" w:rsidRPr="007B6A23" w:rsidRDefault="007B6A23" w:rsidP="007B6A23">
      <w:pPr>
        <w:outlineLvl w:val="2"/>
        <w:rPr>
          <w:b/>
          <w:color w:val="6A2875"/>
          <w:sz w:val="30"/>
          <w:szCs w:val="30"/>
        </w:rPr>
      </w:pPr>
      <w:bookmarkStart w:id="24" w:name="_Toc65251769"/>
      <w:r w:rsidRPr="007B6A23">
        <w:rPr>
          <w:b/>
          <w:color w:val="6A2875"/>
          <w:sz w:val="30"/>
          <w:szCs w:val="30"/>
        </w:rPr>
        <w:t>Acknowledgements</w:t>
      </w:r>
      <w:bookmarkEnd w:id="19"/>
      <w:bookmarkEnd w:id="20"/>
      <w:bookmarkEnd w:id="21"/>
      <w:bookmarkEnd w:id="22"/>
      <w:bookmarkEnd w:id="23"/>
      <w:bookmarkEnd w:id="24"/>
    </w:p>
    <w:p w:rsidR="007B6A23" w:rsidRPr="007B6A23" w:rsidRDefault="007B6A23" w:rsidP="007B6A23">
      <w:r w:rsidRPr="007B6A23">
        <w:t xml:space="preserve">The NDIA acknowledges the Traditional Owners and Custodians throughout Australia and their continuing connection to the many lands, seas and communities. The NDIA pays </w:t>
      </w:r>
      <w:r w:rsidRPr="007B6A23">
        <w:lastRenderedPageBreak/>
        <w:t>respect to Elders past and present, and extends this acknowledgement and respect to any Aboriginal and Torres Strait Islander people who may be reading this Phase 1 Report.</w:t>
      </w:r>
    </w:p>
    <w:p w:rsidR="007B6A23" w:rsidRPr="007B6A23" w:rsidRDefault="007B6A23" w:rsidP="007B6A23">
      <w:r w:rsidRPr="007B6A23">
        <w:t>The Evidence Synthesis Team, part of the Research and Evaluation Branch would also like to acknowledge the insights provided by Associate Professor Claire Harris, Dr Rebecca Armstrong, Dr Renata Morello and Ms Marie Garrubba. We would also like to thank Hannah Simkin and Fiona Cromarty (Partner Program, NDIS)  Bridey Sanders, Deanne Williams (Provider and Markets, NDIS) and Catherine Viney (Baptcare) for their feedback.</w:t>
      </w:r>
    </w:p>
    <w:p w:rsidR="00596DF3" w:rsidRPr="007B6A23" w:rsidRDefault="00596DF3" w:rsidP="00596DF3">
      <w:pPr>
        <w:pageBreakBefore/>
        <w:spacing w:before="200" w:after="240"/>
        <w:outlineLvl w:val="1"/>
        <w:rPr>
          <w:rFonts w:eastAsiaTheme="majorEastAsia" w:cstheme="majorBidi"/>
          <w:b/>
          <w:bCs/>
          <w:color w:val="6A2875"/>
          <w:sz w:val="44"/>
          <w:szCs w:val="26"/>
        </w:rPr>
      </w:pPr>
      <w:bookmarkStart w:id="25" w:name="_Toc42246906"/>
      <w:bookmarkStart w:id="26" w:name="_Toc42247302"/>
      <w:bookmarkStart w:id="27" w:name="_Toc46915884"/>
      <w:bookmarkStart w:id="28" w:name="_Toc47424647"/>
      <w:bookmarkStart w:id="29" w:name="_Toc47525812"/>
      <w:bookmarkStart w:id="30" w:name="_Toc65251770"/>
      <w:bookmarkEnd w:id="12"/>
      <w:bookmarkEnd w:id="13"/>
      <w:bookmarkEnd w:id="14"/>
      <w:bookmarkEnd w:id="15"/>
      <w:r w:rsidRPr="007B6A23">
        <w:rPr>
          <w:rFonts w:eastAsiaTheme="majorEastAsia" w:cstheme="majorBidi"/>
          <w:b/>
          <w:bCs/>
          <w:color w:val="6A2875"/>
          <w:sz w:val="44"/>
          <w:szCs w:val="26"/>
        </w:rPr>
        <w:lastRenderedPageBreak/>
        <w:t>Abbreviations</w:t>
      </w:r>
      <w:bookmarkEnd w:id="25"/>
      <w:bookmarkEnd w:id="26"/>
      <w:bookmarkEnd w:id="27"/>
      <w:bookmarkEnd w:id="28"/>
      <w:bookmarkEnd w:id="29"/>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Description w:val="Table showing a list of abbreviations used in the report"/>
      </w:tblPr>
      <w:tblGrid>
        <w:gridCol w:w="2547"/>
        <w:gridCol w:w="6469"/>
      </w:tblGrid>
      <w:tr w:rsidR="00596DF3" w:rsidRPr="007B6A23" w:rsidTr="0043676A">
        <w:trPr>
          <w:tblHeader/>
        </w:trPr>
        <w:tc>
          <w:tcPr>
            <w:tcW w:w="2547" w:type="dxa"/>
          </w:tcPr>
          <w:p w:rsidR="00596DF3" w:rsidRPr="007B6A23" w:rsidRDefault="00596DF3" w:rsidP="0043676A">
            <w:pPr>
              <w:spacing w:after="60"/>
            </w:pPr>
            <w:r w:rsidRPr="007B6A23">
              <w:t>LAC</w:t>
            </w:r>
          </w:p>
        </w:tc>
        <w:tc>
          <w:tcPr>
            <w:tcW w:w="6469" w:type="dxa"/>
          </w:tcPr>
          <w:p w:rsidR="00596DF3" w:rsidRPr="007B6A23" w:rsidRDefault="00596DF3" w:rsidP="0043676A">
            <w:pPr>
              <w:spacing w:after="60"/>
            </w:pPr>
            <w:r w:rsidRPr="007B6A23">
              <w:t>Local Area Coordinator</w:t>
            </w:r>
          </w:p>
        </w:tc>
      </w:tr>
      <w:tr w:rsidR="00596DF3" w:rsidRPr="007B6A23" w:rsidTr="0043676A">
        <w:trPr>
          <w:tblHeader/>
        </w:trPr>
        <w:tc>
          <w:tcPr>
            <w:tcW w:w="2547" w:type="dxa"/>
          </w:tcPr>
          <w:p w:rsidR="00596DF3" w:rsidRPr="007B6A23" w:rsidRDefault="00596DF3" w:rsidP="0043676A">
            <w:pPr>
              <w:spacing w:after="60"/>
            </w:pPr>
            <w:r w:rsidRPr="007B6A23">
              <w:t>LCC</w:t>
            </w:r>
          </w:p>
        </w:tc>
        <w:tc>
          <w:tcPr>
            <w:tcW w:w="6469" w:type="dxa"/>
          </w:tcPr>
          <w:p w:rsidR="00596DF3" w:rsidRPr="007B6A23" w:rsidRDefault="00596DF3" w:rsidP="0043676A">
            <w:pPr>
              <w:spacing w:after="60"/>
            </w:pPr>
            <w:r w:rsidRPr="007B6A23">
              <w:t xml:space="preserve">Local </w:t>
            </w:r>
            <w:r w:rsidRPr="007B6A23">
              <w:rPr>
                <w:noProof/>
              </w:rPr>
              <w:t>Community Coordination</w:t>
            </w:r>
          </w:p>
        </w:tc>
      </w:tr>
      <w:tr w:rsidR="00596DF3" w:rsidRPr="007B6A23" w:rsidTr="0043676A">
        <w:trPr>
          <w:tblHeader/>
        </w:trPr>
        <w:tc>
          <w:tcPr>
            <w:tcW w:w="2547" w:type="dxa"/>
          </w:tcPr>
          <w:p w:rsidR="00596DF3" w:rsidRPr="007B6A23" w:rsidRDefault="00596DF3" w:rsidP="0043676A">
            <w:pPr>
              <w:spacing w:after="60"/>
            </w:pPr>
            <w:r w:rsidRPr="007B6A23">
              <w:t>NDIA</w:t>
            </w:r>
          </w:p>
        </w:tc>
        <w:tc>
          <w:tcPr>
            <w:tcW w:w="6469" w:type="dxa"/>
          </w:tcPr>
          <w:p w:rsidR="00596DF3" w:rsidRPr="007B6A23" w:rsidRDefault="00596DF3" w:rsidP="0043676A">
            <w:pPr>
              <w:spacing w:after="60"/>
            </w:pPr>
            <w:r w:rsidRPr="007B6A23">
              <w:t>National Disability Insurance Agency</w:t>
            </w:r>
          </w:p>
        </w:tc>
      </w:tr>
      <w:tr w:rsidR="00596DF3" w:rsidRPr="007B6A23" w:rsidTr="0043676A">
        <w:trPr>
          <w:tblHeader/>
        </w:trPr>
        <w:tc>
          <w:tcPr>
            <w:tcW w:w="2547" w:type="dxa"/>
          </w:tcPr>
          <w:p w:rsidR="00596DF3" w:rsidRPr="007B6A23" w:rsidRDefault="00596DF3" w:rsidP="0043676A">
            <w:pPr>
              <w:spacing w:after="60"/>
            </w:pPr>
            <w:r w:rsidRPr="007B6A23">
              <w:t>NDIS</w:t>
            </w:r>
          </w:p>
        </w:tc>
        <w:tc>
          <w:tcPr>
            <w:tcW w:w="6469" w:type="dxa"/>
          </w:tcPr>
          <w:p w:rsidR="00596DF3" w:rsidRPr="007B6A23" w:rsidRDefault="00596DF3" w:rsidP="0043676A">
            <w:pPr>
              <w:spacing w:after="60"/>
            </w:pPr>
            <w:r w:rsidRPr="007B6A23">
              <w:t>National Disability Insurance Scheme</w:t>
            </w:r>
          </w:p>
        </w:tc>
      </w:tr>
      <w:tr w:rsidR="00596DF3" w:rsidRPr="007B6A23" w:rsidTr="0043676A">
        <w:trPr>
          <w:tblHeader/>
        </w:trPr>
        <w:tc>
          <w:tcPr>
            <w:tcW w:w="2547" w:type="dxa"/>
          </w:tcPr>
          <w:p w:rsidR="00596DF3" w:rsidRPr="007B6A23" w:rsidRDefault="00596DF3" w:rsidP="0043676A">
            <w:pPr>
              <w:spacing w:after="60"/>
            </w:pPr>
            <w:r w:rsidRPr="007B6A23">
              <w:t>SC</w:t>
            </w:r>
          </w:p>
        </w:tc>
        <w:tc>
          <w:tcPr>
            <w:tcW w:w="6469" w:type="dxa"/>
          </w:tcPr>
          <w:p w:rsidR="00596DF3" w:rsidRPr="007B6A23" w:rsidRDefault="00596DF3" w:rsidP="0043676A">
            <w:pPr>
              <w:spacing w:after="60"/>
            </w:pPr>
            <w:r w:rsidRPr="007B6A23">
              <w:t>Support Coordination</w:t>
            </w:r>
          </w:p>
        </w:tc>
      </w:tr>
    </w:tbl>
    <w:p w:rsidR="00596DF3" w:rsidRDefault="00596DF3" w:rsidP="00596DF3"/>
    <w:p w:rsidR="007B6A23" w:rsidRPr="007B6A23" w:rsidRDefault="00596DF3" w:rsidP="0035716E">
      <w:pPr>
        <w:spacing w:line="276" w:lineRule="auto"/>
      </w:pPr>
      <w:r>
        <w:br w:type="page"/>
      </w:r>
    </w:p>
    <w:p w:rsidR="007219F1" w:rsidRDefault="009827B6" w:rsidP="00BE632A">
      <w:pPr>
        <w:pStyle w:val="Heading2"/>
        <w:numPr>
          <w:ilvl w:val="0"/>
          <w:numId w:val="0"/>
        </w:numPr>
      </w:pPr>
      <w:bookmarkStart w:id="31" w:name="_Toc65251771"/>
      <w:r>
        <w:lastRenderedPageBreak/>
        <w:t>C</w:t>
      </w:r>
      <w:r w:rsidR="007219F1" w:rsidRPr="004D32B5">
        <w:t>ontents</w:t>
      </w:r>
      <w:bookmarkEnd w:id="31"/>
    </w:p>
    <w:p w:rsidR="00EF4FB6" w:rsidRDefault="0040062A">
      <w:pPr>
        <w:pStyle w:val="TOC1"/>
        <w:rPr>
          <w:rFonts w:asciiTheme="minorHAnsi" w:hAnsiTheme="minorHAnsi"/>
          <w:noProof/>
          <w:szCs w:val="22"/>
          <w:lang w:val="en-AU" w:eastAsia="en-AU"/>
        </w:rPr>
      </w:pPr>
      <w:r>
        <w:fldChar w:fldCharType="begin"/>
      </w:r>
      <w:r>
        <w:instrText xml:space="preserve"> TOC \o "1-5" \h \z \u </w:instrText>
      </w:r>
      <w:r>
        <w:fldChar w:fldCharType="separate"/>
      </w:r>
      <w:hyperlink w:anchor="_Toc65251764" w:history="1">
        <w:r w:rsidR="00EF4FB6" w:rsidRPr="00DA5144">
          <w:rPr>
            <w:rStyle w:val="Hyperlink"/>
            <w:rFonts w:eastAsia="Times New Roman" w:cs="Arial"/>
            <w:b/>
            <w:noProof/>
          </w:rPr>
          <w:t>International Models of Support Coordination and Local Area Coordination: Evidence Review Report</w:t>
        </w:r>
        <w:r w:rsidR="00EF4FB6">
          <w:rPr>
            <w:noProof/>
            <w:webHidden/>
          </w:rPr>
          <w:tab/>
        </w:r>
        <w:r w:rsidR="00EF4FB6">
          <w:rPr>
            <w:noProof/>
            <w:webHidden/>
          </w:rPr>
          <w:fldChar w:fldCharType="begin"/>
        </w:r>
        <w:r w:rsidR="00EF4FB6">
          <w:rPr>
            <w:noProof/>
            <w:webHidden/>
          </w:rPr>
          <w:instrText xml:space="preserve"> PAGEREF _Toc65251764 \h </w:instrText>
        </w:r>
        <w:r w:rsidR="00EF4FB6">
          <w:rPr>
            <w:noProof/>
            <w:webHidden/>
          </w:rPr>
        </w:r>
        <w:r w:rsidR="00EF4FB6">
          <w:rPr>
            <w:noProof/>
            <w:webHidden/>
          </w:rPr>
          <w:fldChar w:fldCharType="separate"/>
        </w:r>
        <w:r w:rsidR="00EF4FB6">
          <w:rPr>
            <w:noProof/>
            <w:webHidden/>
          </w:rPr>
          <w:t>1</w:t>
        </w:r>
        <w:r w:rsidR="00EF4FB6">
          <w:rPr>
            <w:noProof/>
            <w:webHidden/>
          </w:rPr>
          <w:fldChar w:fldCharType="end"/>
        </w:r>
      </w:hyperlink>
    </w:p>
    <w:p w:rsidR="00EF4FB6" w:rsidRDefault="004B494E">
      <w:pPr>
        <w:pStyle w:val="TOC1"/>
        <w:rPr>
          <w:rFonts w:asciiTheme="minorHAnsi" w:hAnsiTheme="minorHAnsi"/>
          <w:noProof/>
          <w:szCs w:val="22"/>
          <w:lang w:val="en-AU" w:eastAsia="en-AU"/>
        </w:rPr>
      </w:pPr>
      <w:hyperlink w:anchor="_Toc65251765" w:history="1">
        <w:r w:rsidR="00EF4FB6" w:rsidRPr="00DA5144">
          <w:rPr>
            <w:rStyle w:val="Hyperlink"/>
            <w:rFonts w:eastAsiaTheme="majorEastAsia" w:cstheme="majorBidi"/>
            <w:b/>
            <w:bCs/>
            <w:noProof/>
          </w:rPr>
          <w:t>About the Research and Evaluation Branch</w:t>
        </w:r>
        <w:r w:rsidR="00EF4FB6">
          <w:rPr>
            <w:noProof/>
            <w:webHidden/>
          </w:rPr>
          <w:tab/>
        </w:r>
        <w:r w:rsidR="00EF4FB6">
          <w:rPr>
            <w:noProof/>
            <w:webHidden/>
          </w:rPr>
          <w:fldChar w:fldCharType="begin"/>
        </w:r>
        <w:r w:rsidR="00EF4FB6">
          <w:rPr>
            <w:noProof/>
            <w:webHidden/>
          </w:rPr>
          <w:instrText xml:space="preserve"> PAGEREF _Toc65251765 \h </w:instrText>
        </w:r>
        <w:r w:rsidR="00EF4FB6">
          <w:rPr>
            <w:noProof/>
            <w:webHidden/>
          </w:rPr>
        </w:r>
        <w:r w:rsidR="00EF4FB6">
          <w:rPr>
            <w:noProof/>
            <w:webHidden/>
          </w:rPr>
          <w:fldChar w:fldCharType="separate"/>
        </w:r>
        <w:r w:rsidR="00EF4FB6">
          <w:rPr>
            <w:noProof/>
            <w:webHidden/>
          </w:rPr>
          <w:t>1</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766" w:history="1">
        <w:r w:rsidR="00EF4FB6" w:rsidRPr="00DA5144">
          <w:rPr>
            <w:rStyle w:val="Hyperlink"/>
            <w:b/>
            <w:noProof/>
          </w:rPr>
          <w:t>This document</w:t>
        </w:r>
        <w:r w:rsidR="00EF4FB6">
          <w:rPr>
            <w:noProof/>
            <w:webHidden/>
          </w:rPr>
          <w:tab/>
        </w:r>
        <w:r w:rsidR="00EF4FB6">
          <w:rPr>
            <w:noProof/>
            <w:webHidden/>
          </w:rPr>
          <w:fldChar w:fldCharType="begin"/>
        </w:r>
        <w:r w:rsidR="00EF4FB6">
          <w:rPr>
            <w:noProof/>
            <w:webHidden/>
          </w:rPr>
          <w:instrText xml:space="preserve"> PAGEREF _Toc65251766 \h </w:instrText>
        </w:r>
        <w:r w:rsidR="00EF4FB6">
          <w:rPr>
            <w:noProof/>
            <w:webHidden/>
          </w:rPr>
        </w:r>
        <w:r w:rsidR="00EF4FB6">
          <w:rPr>
            <w:noProof/>
            <w:webHidden/>
          </w:rPr>
          <w:fldChar w:fldCharType="separate"/>
        </w:r>
        <w:r w:rsidR="00EF4FB6">
          <w:rPr>
            <w:noProof/>
            <w:webHidden/>
          </w:rPr>
          <w:t>2</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767" w:history="1">
        <w:r w:rsidR="00EF4FB6" w:rsidRPr="00DA5144">
          <w:rPr>
            <w:rStyle w:val="Hyperlink"/>
            <w:b/>
            <w:noProof/>
          </w:rPr>
          <w:t>Disclaimer</w:t>
        </w:r>
        <w:r w:rsidR="00EF4FB6">
          <w:rPr>
            <w:noProof/>
            <w:webHidden/>
          </w:rPr>
          <w:tab/>
        </w:r>
        <w:r w:rsidR="00EF4FB6">
          <w:rPr>
            <w:noProof/>
            <w:webHidden/>
          </w:rPr>
          <w:fldChar w:fldCharType="begin"/>
        </w:r>
        <w:r w:rsidR="00EF4FB6">
          <w:rPr>
            <w:noProof/>
            <w:webHidden/>
          </w:rPr>
          <w:instrText xml:space="preserve"> PAGEREF _Toc65251767 \h </w:instrText>
        </w:r>
        <w:r w:rsidR="00EF4FB6">
          <w:rPr>
            <w:noProof/>
            <w:webHidden/>
          </w:rPr>
        </w:r>
        <w:r w:rsidR="00EF4FB6">
          <w:rPr>
            <w:noProof/>
            <w:webHidden/>
          </w:rPr>
          <w:fldChar w:fldCharType="separate"/>
        </w:r>
        <w:r w:rsidR="00EF4FB6">
          <w:rPr>
            <w:noProof/>
            <w:webHidden/>
          </w:rPr>
          <w:t>2</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768" w:history="1">
        <w:r w:rsidR="00EF4FB6" w:rsidRPr="00DA5144">
          <w:rPr>
            <w:rStyle w:val="Hyperlink"/>
            <w:b/>
            <w:noProof/>
          </w:rPr>
          <w:t>Citation</w:t>
        </w:r>
        <w:r w:rsidR="00EF4FB6">
          <w:rPr>
            <w:noProof/>
            <w:webHidden/>
          </w:rPr>
          <w:tab/>
        </w:r>
        <w:r w:rsidR="00EF4FB6">
          <w:rPr>
            <w:noProof/>
            <w:webHidden/>
          </w:rPr>
          <w:fldChar w:fldCharType="begin"/>
        </w:r>
        <w:r w:rsidR="00EF4FB6">
          <w:rPr>
            <w:noProof/>
            <w:webHidden/>
          </w:rPr>
          <w:instrText xml:space="preserve"> PAGEREF _Toc65251768 \h </w:instrText>
        </w:r>
        <w:r w:rsidR="00EF4FB6">
          <w:rPr>
            <w:noProof/>
            <w:webHidden/>
          </w:rPr>
        </w:r>
        <w:r w:rsidR="00EF4FB6">
          <w:rPr>
            <w:noProof/>
            <w:webHidden/>
          </w:rPr>
          <w:fldChar w:fldCharType="separate"/>
        </w:r>
        <w:r w:rsidR="00EF4FB6">
          <w:rPr>
            <w:noProof/>
            <w:webHidden/>
          </w:rPr>
          <w:t>2</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769" w:history="1">
        <w:r w:rsidR="00EF4FB6" w:rsidRPr="00DA5144">
          <w:rPr>
            <w:rStyle w:val="Hyperlink"/>
            <w:b/>
            <w:noProof/>
          </w:rPr>
          <w:t>Acknowledgements</w:t>
        </w:r>
        <w:r w:rsidR="00EF4FB6">
          <w:rPr>
            <w:noProof/>
            <w:webHidden/>
          </w:rPr>
          <w:tab/>
        </w:r>
        <w:r w:rsidR="00EF4FB6">
          <w:rPr>
            <w:noProof/>
            <w:webHidden/>
          </w:rPr>
          <w:fldChar w:fldCharType="begin"/>
        </w:r>
        <w:r w:rsidR="00EF4FB6">
          <w:rPr>
            <w:noProof/>
            <w:webHidden/>
          </w:rPr>
          <w:instrText xml:space="preserve"> PAGEREF _Toc65251769 \h </w:instrText>
        </w:r>
        <w:r w:rsidR="00EF4FB6">
          <w:rPr>
            <w:noProof/>
            <w:webHidden/>
          </w:rPr>
        </w:r>
        <w:r w:rsidR="00EF4FB6">
          <w:rPr>
            <w:noProof/>
            <w:webHidden/>
          </w:rPr>
          <w:fldChar w:fldCharType="separate"/>
        </w:r>
        <w:r w:rsidR="00EF4FB6">
          <w:rPr>
            <w:noProof/>
            <w:webHidden/>
          </w:rPr>
          <w:t>2</w:t>
        </w:r>
        <w:r w:rsidR="00EF4FB6">
          <w:rPr>
            <w:noProof/>
            <w:webHidden/>
          </w:rPr>
          <w:fldChar w:fldCharType="end"/>
        </w:r>
      </w:hyperlink>
    </w:p>
    <w:p w:rsidR="00EF4FB6" w:rsidRDefault="004B494E">
      <w:pPr>
        <w:pStyle w:val="TOC2"/>
        <w:tabs>
          <w:tab w:val="right" w:leader="dot" w:pos="9016"/>
        </w:tabs>
        <w:rPr>
          <w:rFonts w:asciiTheme="minorHAnsi" w:hAnsiTheme="minorHAnsi"/>
          <w:noProof/>
          <w:szCs w:val="22"/>
          <w:lang w:val="en-AU" w:eastAsia="en-AU"/>
        </w:rPr>
      </w:pPr>
      <w:hyperlink w:anchor="_Toc65251770" w:history="1">
        <w:r w:rsidR="00EF4FB6" w:rsidRPr="00DA5144">
          <w:rPr>
            <w:rStyle w:val="Hyperlink"/>
            <w:rFonts w:eastAsiaTheme="majorEastAsia" w:cstheme="majorBidi"/>
            <w:b/>
            <w:bCs/>
            <w:noProof/>
          </w:rPr>
          <w:t>Abbreviations</w:t>
        </w:r>
        <w:r w:rsidR="00EF4FB6">
          <w:rPr>
            <w:noProof/>
            <w:webHidden/>
          </w:rPr>
          <w:tab/>
        </w:r>
        <w:r w:rsidR="00EF4FB6">
          <w:rPr>
            <w:noProof/>
            <w:webHidden/>
          </w:rPr>
          <w:fldChar w:fldCharType="begin"/>
        </w:r>
        <w:r w:rsidR="00EF4FB6">
          <w:rPr>
            <w:noProof/>
            <w:webHidden/>
          </w:rPr>
          <w:instrText xml:space="preserve"> PAGEREF _Toc65251770 \h </w:instrText>
        </w:r>
        <w:r w:rsidR="00EF4FB6">
          <w:rPr>
            <w:noProof/>
            <w:webHidden/>
          </w:rPr>
        </w:r>
        <w:r w:rsidR="00EF4FB6">
          <w:rPr>
            <w:noProof/>
            <w:webHidden/>
          </w:rPr>
          <w:fldChar w:fldCharType="separate"/>
        </w:r>
        <w:r w:rsidR="00EF4FB6">
          <w:rPr>
            <w:noProof/>
            <w:webHidden/>
          </w:rPr>
          <w:t>4</w:t>
        </w:r>
        <w:r w:rsidR="00EF4FB6">
          <w:rPr>
            <w:noProof/>
            <w:webHidden/>
          </w:rPr>
          <w:fldChar w:fldCharType="end"/>
        </w:r>
      </w:hyperlink>
    </w:p>
    <w:p w:rsidR="00EF4FB6" w:rsidRDefault="004B494E">
      <w:pPr>
        <w:pStyle w:val="TOC2"/>
        <w:tabs>
          <w:tab w:val="right" w:leader="dot" w:pos="9016"/>
        </w:tabs>
        <w:rPr>
          <w:rFonts w:asciiTheme="minorHAnsi" w:hAnsiTheme="minorHAnsi"/>
          <w:noProof/>
          <w:szCs w:val="22"/>
          <w:lang w:val="en-AU" w:eastAsia="en-AU"/>
        </w:rPr>
      </w:pPr>
      <w:hyperlink w:anchor="_Toc65251771" w:history="1">
        <w:r w:rsidR="00EF4FB6" w:rsidRPr="00DA5144">
          <w:rPr>
            <w:rStyle w:val="Hyperlink"/>
            <w:noProof/>
          </w:rPr>
          <w:t>Contents</w:t>
        </w:r>
        <w:r w:rsidR="00EF4FB6">
          <w:rPr>
            <w:noProof/>
            <w:webHidden/>
          </w:rPr>
          <w:tab/>
        </w:r>
        <w:r w:rsidR="00EF4FB6">
          <w:rPr>
            <w:noProof/>
            <w:webHidden/>
          </w:rPr>
          <w:fldChar w:fldCharType="begin"/>
        </w:r>
        <w:r w:rsidR="00EF4FB6">
          <w:rPr>
            <w:noProof/>
            <w:webHidden/>
          </w:rPr>
          <w:instrText xml:space="preserve"> PAGEREF _Toc65251771 \h </w:instrText>
        </w:r>
        <w:r w:rsidR="00EF4FB6">
          <w:rPr>
            <w:noProof/>
            <w:webHidden/>
          </w:rPr>
        </w:r>
        <w:r w:rsidR="00EF4FB6">
          <w:rPr>
            <w:noProof/>
            <w:webHidden/>
          </w:rPr>
          <w:fldChar w:fldCharType="separate"/>
        </w:r>
        <w:r w:rsidR="00EF4FB6">
          <w:rPr>
            <w:noProof/>
            <w:webHidden/>
          </w:rPr>
          <w:t>5</w:t>
        </w:r>
        <w:r w:rsidR="00EF4FB6">
          <w:rPr>
            <w:noProof/>
            <w:webHidden/>
          </w:rPr>
          <w:fldChar w:fldCharType="end"/>
        </w:r>
      </w:hyperlink>
    </w:p>
    <w:p w:rsidR="00EF4FB6" w:rsidRDefault="004B494E">
      <w:pPr>
        <w:pStyle w:val="TOC2"/>
        <w:tabs>
          <w:tab w:val="right" w:leader="dot" w:pos="9016"/>
        </w:tabs>
        <w:rPr>
          <w:rFonts w:asciiTheme="minorHAnsi" w:hAnsiTheme="minorHAnsi"/>
          <w:noProof/>
          <w:szCs w:val="22"/>
          <w:lang w:val="en-AU" w:eastAsia="en-AU"/>
        </w:rPr>
      </w:pPr>
      <w:hyperlink w:anchor="_Toc65251772" w:history="1">
        <w:r w:rsidR="00EF4FB6" w:rsidRPr="00DA5144">
          <w:rPr>
            <w:rStyle w:val="Hyperlink"/>
            <w:noProof/>
          </w:rPr>
          <w:t>Executive summary</w:t>
        </w:r>
        <w:r w:rsidR="00EF4FB6">
          <w:rPr>
            <w:noProof/>
            <w:webHidden/>
          </w:rPr>
          <w:tab/>
        </w:r>
        <w:r w:rsidR="00EF4FB6">
          <w:rPr>
            <w:noProof/>
            <w:webHidden/>
          </w:rPr>
          <w:fldChar w:fldCharType="begin"/>
        </w:r>
        <w:r w:rsidR="00EF4FB6">
          <w:rPr>
            <w:noProof/>
            <w:webHidden/>
          </w:rPr>
          <w:instrText xml:space="preserve"> PAGEREF _Toc65251772 \h </w:instrText>
        </w:r>
        <w:r w:rsidR="00EF4FB6">
          <w:rPr>
            <w:noProof/>
            <w:webHidden/>
          </w:rPr>
        </w:r>
        <w:r w:rsidR="00EF4FB6">
          <w:rPr>
            <w:noProof/>
            <w:webHidden/>
          </w:rPr>
          <w:fldChar w:fldCharType="separate"/>
        </w:r>
        <w:r w:rsidR="00EF4FB6">
          <w:rPr>
            <w:noProof/>
            <w:webHidden/>
          </w:rPr>
          <w:t>8</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773" w:history="1">
        <w:r w:rsidR="00EF4FB6" w:rsidRPr="00DA5144">
          <w:rPr>
            <w:rStyle w:val="Hyperlink"/>
            <w:noProof/>
            <w:lang w:val="en-AU" w:eastAsia="en-AU"/>
          </w:rPr>
          <w:t>The Problem:</w:t>
        </w:r>
        <w:r w:rsidR="00EF4FB6">
          <w:rPr>
            <w:noProof/>
            <w:webHidden/>
          </w:rPr>
          <w:tab/>
        </w:r>
        <w:r w:rsidR="00EF4FB6">
          <w:rPr>
            <w:noProof/>
            <w:webHidden/>
          </w:rPr>
          <w:fldChar w:fldCharType="begin"/>
        </w:r>
        <w:r w:rsidR="00EF4FB6">
          <w:rPr>
            <w:noProof/>
            <w:webHidden/>
          </w:rPr>
          <w:instrText xml:space="preserve"> PAGEREF _Toc65251773 \h </w:instrText>
        </w:r>
        <w:r w:rsidR="00EF4FB6">
          <w:rPr>
            <w:noProof/>
            <w:webHidden/>
          </w:rPr>
        </w:r>
        <w:r w:rsidR="00EF4FB6">
          <w:rPr>
            <w:noProof/>
            <w:webHidden/>
          </w:rPr>
          <w:fldChar w:fldCharType="separate"/>
        </w:r>
        <w:r w:rsidR="00EF4FB6">
          <w:rPr>
            <w:noProof/>
            <w:webHidden/>
          </w:rPr>
          <w:t>8</w:t>
        </w:r>
        <w:r w:rsidR="00EF4FB6">
          <w:rPr>
            <w:noProof/>
            <w:webHidden/>
          </w:rPr>
          <w:fldChar w:fldCharType="end"/>
        </w:r>
      </w:hyperlink>
    </w:p>
    <w:p w:rsidR="00EF4FB6" w:rsidRDefault="004B494E">
      <w:pPr>
        <w:pStyle w:val="TOC4"/>
        <w:tabs>
          <w:tab w:val="right" w:leader="dot" w:pos="9016"/>
        </w:tabs>
        <w:rPr>
          <w:rFonts w:asciiTheme="minorHAnsi" w:hAnsiTheme="minorHAnsi"/>
          <w:noProof/>
          <w:szCs w:val="22"/>
          <w:lang w:val="en-AU" w:eastAsia="en-AU"/>
        </w:rPr>
      </w:pPr>
      <w:hyperlink w:anchor="_Toc65251774" w:history="1">
        <w:r w:rsidR="00EF4FB6" w:rsidRPr="00DA5144">
          <w:rPr>
            <w:rStyle w:val="Hyperlink"/>
            <w:noProof/>
          </w:rPr>
          <w:t>Our methods:</w:t>
        </w:r>
        <w:r w:rsidR="00EF4FB6">
          <w:rPr>
            <w:noProof/>
            <w:webHidden/>
          </w:rPr>
          <w:tab/>
        </w:r>
        <w:r w:rsidR="00EF4FB6">
          <w:rPr>
            <w:noProof/>
            <w:webHidden/>
          </w:rPr>
          <w:fldChar w:fldCharType="begin"/>
        </w:r>
        <w:r w:rsidR="00EF4FB6">
          <w:rPr>
            <w:noProof/>
            <w:webHidden/>
          </w:rPr>
          <w:instrText xml:space="preserve"> PAGEREF _Toc65251774 \h </w:instrText>
        </w:r>
        <w:r w:rsidR="00EF4FB6">
          <w:rPr>
            <w:noProof/>
            <w:webHidden/>
          </w:rPr>
        </w:r>
        <w:r w:rsidR="00EF4FB6">
          <w:rPr>
            <w:noProof/>
            <w:webHidden/>
          </w:rPr>
          <w:fldChar w:fldCharType="separate"/>
        </w:r>
        <w:r w:rsidR="00EF4FB6">
          <w:rPr>
            <w:noProof/>
            <w:webHidden/>
          </w:rPr>
          <w:t>8</w:t>
        </w:r>
        <w:r w:rsidR="00EF4FB6">
          <w:rPr>
            <w:noProof/>
            <w:webHidden/>
          </w:rPr>
          <w:fldChar w:fldCharType="end"/>
        </w:r>
      </w:hyperlink>
    </w:p>
    <w:p w:rsidR="00EF4FB6" w:rsidRDefault="004B494E">
      <w:pPr>
        <w:pStyle w:val="TOC4"/>
        <w:tabs>
          <w:tab w:val="right" w:leader="dot" w:pos="9016"/>
        </w:tabs>
        <w:rPr>
          <w:rFonts w:asciiTheme="minorHAnsi" w:hAnsiTheme="minorHAnsi"/>
          <w:noProof/>
          <w:szCs w:val="22"/>
          <w:lang w:val="en-AU" w:eastAsia="en-AU"/>
        </w:rPr>
      </w:pPr>
      <w:hyperlink w:anchor="_Toc65251775" w:history="1">
        <w:r w:rsidR="00EF4FB6" w:rsidRPr="00DA5144">
          <w:rPr>
            <w:rStyle w:val="Hyperlink"/>
            <w:noProof/>
            <w:lang w:val="en-AU" w:eastAsia="en-AU"/>
          </w:rPr>
          <w:t>Key Findings:</w:t>
        </w:r>
        <w:r w:rsidR="00EF4FB6">
          <w:rPr>
            <w:noProof/>
            <w:webHidden/>
          </w:rPr>
          <w:tab/>
        </w:r>
        <w:r w:rsidR="00EF4FB6">
          <w:rPr>
            <w:noProof/>
            <w:webHidden/>
          </w:rPr>
          <w:fldChar w:fldCharType="begin"/>
        </w:r>
        <w:r w:rsidR="00EF4FB6">
          <w:rPr>
            <w:noProof/>
            <w:webHidden/>
          </w:rPr>
          <w:instrText xml:space="preserve"> PAGEREF _Toc65251775 \h </w:instrText>
        </w:r>
        <w:r w:rsidR="00EF4FB6">
          <w:rPr>
            <w:noProof/>
            <w:webHidden/>
          </w:rPr>
        </w:r>
        <w:r w:rsidR="00EF4FB6">
          <w:rPr>
            <w:noProof/>
            <w:webHidden/>
          </w:rPr>
          <w:fldChar w:fldCharType="separate"/>
        </w:r>
        <w:r w:rsidR="00EF4FB6">
          <w:rPr>
            <w:noProof/>
            <w:webHidden/>
          </w:rPr>
          <w:t>8</w:t>
        </w:r>
        <w:r w:rsidR="00EF4FB6">
          <w:rPr>
            <w:noProof/>
            <w:webHidden/>
          </w:rPr>
          <w:fldChar w:fldCharType="end"/>
        </w:r>
      </w:hyperlink>
    </w:p>
    <w:p w:rsidR="00EF4FB6" w:rsidRDefault="004B494E">
      <w:pPr>
        <w:pStyle w:val="TOC4"/>
        <w:tabs>
          <w:tab w:val="right" w:leader="dot" w:pos="9016"/>
        </w:tabs>
        <w:rPr>
          <w:rFonts w:asciiTheme="minorHAnsi" w:hAnsiTheme="minorHAnsi"/>
          <w:noProof/>
          <w:szCs w:val="22"/>
          <w:lang w:val="en-AU" w:eastAsia="en-AU"/>
        </w:rPr>
      </w:pPr>
      <w:hyperlink w:anchor="_Toc65251776" w:history="1">
        <w:r w:rsidR="00EF4FB6" w:rsidRPr="00DA5144">
          <w:rPr>
            <w:rStyle w:val="Hyperlink"/>
            <w:noProof/>
          </w:rPr>
          <w:t>Where to next:</w:t>
        </w:r>
        <w:r w:rsidR="00EF4FB6">
          <w:rPr>
            <w:noProof/>
            <w:webHidden/>
          </w:rPr>
          <w:tab/>
        </w:r>
        <w:r w:rsidR="00EF4FB6">
          <w:rPr>
            <w:noProof/>
            <w:webHidden/>
          </w:rPr>
          <w:fldChar w:fldCharType="begin"/>
        </w:r>
        <w:r w:rsidR="00EF4FB6">
          <w:rPr>
            <w:noProof/>
            <w:webHidden/>
          </w:rPr>
          <w:instrText xml:space="preserve"> PAGEREF _Toc65251776 \h </w:instrText>
        </w:r>
        <w:r w:rsidR="00EF4FB6">
          <w:rPr>
            <w:noProof/>
            <w:webHidden/>
          </w:rPr>
        </w:r>
        <w:r w:rsidR="00EF4FB6">
          <w:rPr>
            <w:noProof/>
            <w:webHidden/>
          </w:rPr>
          <w:fldChar w:fldCharType="separate"/>
        </w:r>
        <w:r w:rsidR="00EF4FB6">
          <w:rPr>
            <w:noProof/>
            <w:webHidden/>
          </w:rPr>
          <w:t>9</w:t>
        </w:r>
        <w:r w:rsidR="00EF4FB6">
          <w:rPr>
            <w:noProof/>
            <w:webHidden/>
          </w:rPr>
          <w:fldChar w:fldCharType="end"/>
        </w:r>
      </w:hyperlink>
    </w:p>
    <w:p w:rsidR="00EF4FB6" w:rsidRDefault="004B494E">
      <w:pPr>
        <w:pStyle w:val="TOC2"/>
        <w:tabs>
          <w:tab w:val="left" w:pos="660"/>
          <w:tab w:val="right" w:leader="dot" w:pos="9016"/>
        </w:tabs>
        <w:rPr>
          <w:rFonts w:asciiTheme="minorHAnsi" w:hAnsiTheme="minorHAnsi"/>
          <w:noProof/>
          <w:szCs w:val="22"/>
          <w:lang w:val="en-AU" w:eastAsia="en-AU"/>
        </w:rPr>
      </w:pPr>
      <w:hyperlink w:anchor="_Toc65251777" w:history="1">
        <w:r w:rsidR="00EF4FB6" w:rsidRPr="00DA5144">
          <w:rPr>
            <w:rStyle w:val="Hyperlink"/>
            <w:noProof/>
          </w:rPr>
          <w:t>1.</w:t>
        </w:r>
        <w:r w:rsidR="00EF4FB6">
          <w:rPr>
            <w:rFonts w:asciiTheme="minorHAnsi" w:hAnsiTheme="minorHAnsi"/>
            <w:noProof/>
            <w:szCs w:val="22"/>
            <w:lang w:val="en-AU" w:eastAsia="en-AU"/>
          </w:rPr>
          <w:tab/>
        </w:r>
        <w:r w:rsidR="00EF4FB6" w:rsidRPr="00DA5144">
          <w:rPr>
            <w:rStyle w:val="Hyperlink"/>
            <w:noProof/>
          </w:rPr>
          <w:t>Introduction</w:t>
        </w:r>
        <w:r w:rsidR="00EF4FB6">
          <w:rPr>
            <w:noProof/>
            <w:webHidden/>
          </w:rPr>
          <w:tab/>
        </w:r>
        <w:r w:rsidR="00EF4FB6">
          <w:rPr>
            <w:noProof/>
            <w:webHidden/>
          </w:rPr>
          <w:fldChar w:fldCharType="begin"/>
        </w:r>
        <w:r w:rsidR="00EF4FB6">
          <w:rPr>
            <w:noProof/>
            <w:webHidden/>
          </w:rPr>
          <w:instrText xml:space="preserve"> PAGEREF _Toc65251777 \h </w:instrText>
        </w:r>
        <w:r w:rsidR="00EF4FB6">
          <w:rPr>
            <w:noProof/>
            <w:webHidden/>
          </w:rPr>
        </w:r>
        <w:r w:rsidR="00EF4FB6">
          <w:rPr>
            <w:noProof/>
            <w:webHidden/>
          </w:rPr>
          <w:fldChar w:fldCharType="separate"/>
        </w:r>
        <w:r w:rsidR="00EF4FB6">
          <w:rPr>
            <w:noProof/>
            <w:webHidden/>
          </w:rPr>
          <w:t>11</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778" w:history="1">
        <w:r w:rsidR="00EF4FB6" w:rsidRPr="00DA5144">
          <w:rPr>
            <w:rStyle w:val="Hyperlink"/>
            <w:noProof/>
          </w:rPr>
          <w:t>1.1</w:t>
        </w:r>
        <w:r w:rsidR="00EF4FB6">
          <w:rPr>
            <w:rFonts w:asciiTheme="minorHAnsi" w:hAnsiTheme="minorHAnsi"/>
            <w:noProof/>
            <w:szCs w:val="22"/>
            <w:lang w:val="en-AU" w:eastAsia="en-AU"/>
          </w:rPr>
          <w:tab/>
        </w:r>
        <w:r w:rsidR="00EF4FB6" w:rsidRPr="00DA5144">
          <w:rPr>
            <w:rStyle w:val="Hyperlink"/>
            <w:noProof/>
          </w:rPr>
          <w:t>Objectives and Research Questions:</w:t>
        </w:r>
        <w:r w:rsidR="00EF4FB6">
          <w:rPr>
            <w:noProof/>
            <w:webHidden/>
          </w:rPr>
          <w:tab/>
        </w:r>
        <w:r w:rsidR="00EF4FB6">
          <w:rPr>
            <w:noProof/>
            <w:webHidden/>
          </w:rPr>
          <w:fldChar w:fldCharType="begin"/>
        </w:r>
        <w:r w:rsidR="00EF4FB6">
          <w:rPr>
            <w:noProof/>
            <w:webHidden/>
          </w:rPr>
          <w:instrText xml:space="preserve"> PAGEREF _Toc65251778 \h </w:instrText>
        </w:r>
        <w:r w:rsidR="00EF4FB6">
          <w:rPr>
            <w:noProof/>
            <w:webHidden/>
          </w:rPr>
        </w:r>
        <w:r w:rsidR="00EF4FB6">
          <w:rPr>
            <w:noProof/>
            <w:webHidden/>
          </w:rPr>
          <w:fldChar w:fldCharType="separate"/>
        </w:r>
        <w:r w:rsidR="00EF4FB6">
          <w:rPr>
            <w:noProof/>
            <w:webHidden/>
          </w:rPr>
          <w:t>11</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779" w:history="1">
        <w:r w:rsidR="00EF4FB6" w:rsidRPr="00DA5144">
          <w:rPr>
            <w:rStyle w:val="Hyperlink"/>
            <w:noProof/>
          </w:rPr>
          <w:t>1.2</w:t>
        </w:r>
        <w:r w:rsidR="00EF4FB6">
          <w:rPr>
            <w:rFonts w:asciiTheme="minorHAnsi" w:hAnsiTheme="minorHAnsi"/>
            <w:noProof/>
            <w:szCs w:val="22"/>
            <w:lang w:val="en-AU" w:eastAsia="en-AU"/>
          </w:rPr>
          <w:tab/>
        </w:r>
        <w:r w:rsidR="00EF4FB6" w:rsidRPr="00DA5144">
          <w:rPr>
            <w:rStyle w:val="Hyperlink"/>
            <w:noProof/>
          </w:rPr>
          <w:t>Methods:</w:t>
        </w:r>
        <w:r w:rsidR="00EF4FB6">
          <w:rPr>
            <w:noProof/>
            <w:webHidden/>
          </w:rPr>
          <w:tab/>
        </w:r>
        <w:r w:rsidR="00EF4FB6">
          <w:rPr>
            <w:noProof/>
            <w:webHidden/>
          </w:rPr>
          <w:fldChar w:fldCharType="begin"/>
        </w:r>
        <w:r w:rsidR="00EF4FB6">
          <w:rPr>
            <w:noProof/>
            <w:webHidden/>
          </w:rPr>
          <w:instrText xml:space="preserve"> PAGEREF _Toc65251779 \h </w:instrText>
        </w:r>
        <w:r w:rsidR="00EF4FB6">
          <w:rPr>
            <w:noProof/>
            <w:webHidden/>
          </w:rPr>
        </w:r>
        <w:r w:rsidR="00EF4FB6">
          <w:rPr>
            <w:noProof/>
            <w:webHidden/>
          </w:rPr>
          <w:fldChar w:fldCharType="separate"/>
        </w:r>
        <w:r w:rsidR="00EF4FB6">
          <w:rPr>
            <w:noProof/>
            <w:webHidden/>
          </w:rPr>
          <w:t>12</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780" w:history="1">
        <w:r w:rsidR="00EF4FB6" w:rsidRPr="00DA5144">
          <w:rPr>
            <w:rStyle w:val="Hyperlink"/>
            <w:noProof/>
          </w:rPr>
          <w:t>1.3</w:t>
        </w:r>
        <w:r w:rsidR="00EF4FB6">
          <w:rPr>
            <w:rFonts w:asciiTheme="minorHAnsi" w:hAnsiTheme="minorHAnsi"/>
            <w:noProof/>
            <w:szCs w:val="22"/>
            <w:lang w:val="en-AU" w:eastAsia="en-AU"/>
          </w:rPr>
          <w:tab/>
        </w:r>
        <w:r w:rsidR="00EF4FB6" w:rsidRPr="00DA5144">
          <w:rPr>
            <w:rStyle w:val="Hyperlink"/>
            <w:noProof/>
          </w:rPr>
          <w:t>Limitations:</w:t>
        </w:r>
        <w:r w:rsidR="00EF4FB6">
          <w:rPr>
            <w:noProof/>
            <w:webHidden/>
          </w:rPr>
          <w:tab/>
        </w:r>
        <w:r w:rsidR="00EF4FB6">
          <w:rPr>
            <w:noProof/>
            <w:webHidden/>
          </w:rPr>
          <w:fldChar w:fldCharType="begin"/>
        </w:r>
        <w:r w:rsidR="00EF4FB6">
          <w:rPr>
            <w:noProof/>
            <w:webHidden/>
          </w:rPr>
          <w:instrText xml:space="preserve"> PAGEREF _Toc65251780 \h </w:instrText>
        </w:r>
        <w:r w:rsidR="00EF4FB6">
          <w:rPr>
            <w:noProof/>
            <w:webHidden/>
          </w:rPr>
        </w:r>
        <w:r w:rsidR="00EF4FB6">
          <w:rPr>
            <w:noProof/>
            <w:webHidden/>
          </w:rPr>
          <w:fldChar w:fldCharType="separate"/>
        </w:r>
        <w:r w:rsidR="00EF4FB6">
          <w:rPr>
            <w:noProof/>
            <w:webHidden/>
          </w:rPr>
          <w:t>12</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781" w:history="1">
        <w:r w:rsidR="00EF4FB6" w:rsidRPr="00DA5144">
          <w:rPr>
            <w:rStyle w:val="Hyperlink"/>
            <w:noProof/>
          </w:rPr>
          <w:t>1.4</w:t>
        </w:r>
        <w:r w:rsidR="00EF4FB6">
          <w:rPr>
            <w:rFonts w:asciiTheme="minorHAnsi" w:hAnsiTheme="minorHAnsi"/>
            <w:noProof/>
            <w:szCs w:val="22"/>
            <w:lang w:val="en-AU" w:eastAsia="en-AU"/>
          </w:rPr>
          <w:tab/>
        </w:r>
        <w:r w:rsidR="00EF4FB6" w:rsidRPr="00DA5144">
          <w:rPr>
            <w:rStyle w:val="Hyperlink"/>
            <w:noProof/>
          </w:rPr>
          <w:t>Flowchart for finding key evidence</w:t>
        </w:r>
        <w:r w:rsidR="00EF4FB6">
          <w:rPr>
            <w:noProof/>
            <w:webHidden/>
          </w:rPr>
          <w:tab/>
        </w:r>
        <w:r w:rsidR="00EF4FB6">
          <w:rPr>
            <w:noProof/>
            <w:webHidden/>
          </w:rPr>
          <w:fldChar w:fldCharType="begin"/>
        </w:r>
        <w:r w:rsidR="00EF4FB6">
          <w:rPr>
            <w:noProof/>
            <w:webHidden/>
          </w:rPr>
          <w:instrText xml:space="preserve"> PAGEREF _Toc65251781 \h </w:instrText>
        </w:r>
        <w:r w:rsidR="00EF4FB6">
          <w:rPr>
            <w:noProof/>
            <w:webHidden/>
          </w:rPr>
        </w:r>
        <w:r w:rsidR="00EF4FB6">
          <w:rPr>
            <w:noProof/>
            <w:webHidden/>
          </w:rPr>
          <w:fldChar w:fldCharType="separate"/>
        </w:r>
        <w:r w:rsidR="00EF4FB6">
          <w:rPr>
            <w:noProof/>
            <w:webHidden/>
          </w:rPr>
          <w:t>12</w:t>
        </w:r>
        <w:r w:rsidR="00EF4FB6">
          <w:rPr>
            <w:noProof/>
            <w:webHidden/>
          </w:rPr>
          <w:fldChar w:fldCharType="end"/>
        </w:r>
      </w:hyperlink>
    </w:p>
    <w:p w:rsidR="00EF4FB6" w:rsidRDefault="004B494E">
      <w:pPr>
        <w:pStyle w:val="TOC2"/>
        <w:tabs>
          <w:tab w:val="left" w:pos="660"/>
          <w:tab w:val="right" w:leader="dot" w:pos="9016"/>
        </w:tabs>
        <w:rPr>
          <w:rFonts w:asciiTheme="minorHAnsi" w:hAnsiTheme="minorHAnsi"/>
          <w:noProof/>
          <w:szCs w:val="22"/>
          <w:lang w:val="en-AU" w:eastAsia="en-AU"/>
        </w:rPr>
      </w:pPr>
      <w:hyperlink w:anchor="_Toc65251782" w:history="1">
        <w:r w:rsidR="00EF4FB6" w:rsidRPr="00DA5144">
          <w:rPr>
            <w:rStyle w:val="Hyperlink"/>
            <w:noProof/>
          </w:rPr>
          <w:t>2.</w:t>
        </w:r>
        <w:r w:rsidR="00EF4FB6">
          <w:rPr>
            <w:rFonts w:asciiTheme="minorHAnsi" w:hAnsiTheme="minorHAnsi"/>
            <w:noProof/>
            <w:szCs w:val="22"/>
            <w:lang w:val="en-AU" w:eastAsia="en-AU"/>
          </w:rPr>
          <w:tab/>
        </w:r>
        <w:r w:rsidR="00EF4FB6" w:rsidRPr="00DA5144">
          <w:rPr>
            <w:rStyle w:val="Hyperlink"/>
            <w:noProof/>
          </w:rPr>
          <w:t>Findings</w:t>
        </w:r>
        <w:r w:rsidR="00EF4FB6">
          <w:rPr>
            <w:noProof/>
            <w:webHidden/>
          </w:rPr>
          <w:tab/>
        </w:r>
        <w:r w:rsidR="00EF4FB6">
          <w:rPr>
            <w:noProof/>
            <w:webHidden/>
          </w:rPr>
          <w:fldChar w:fldCharType="begin"/>
        </w:r>
        <w:r w:rsidR="00EF4FB6">
          <w:rPr>
            <w:noProof/>
            <w:webHidden/>
          </w:rPr>
          <w:instrText xml:space="preserve"> PAGEREF _Toc65251782 \h </w:instrText>
        </w:r>
        <w:r w:rsidR="00EF4FB6">
          <w:rPr>
            <w:noProof/>
            <w:webHidden/>
          </w:rPr>
        </w:r>
        <w:r w:rsidR="00EF4FB6">
          <w:rPr>
            <w:noProof/>
            <w:webHidden/>
          </w:rPr>
          <w:fldChar w:fldCharType="separate"/>
        </w:r>
        <w:r w:rsidR="00EF4FB6">
          <w:rPr>
            <w:noProof/>
            <w:webHidden/>
          </w:rPr>
          <w:t>13</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783" w:history="1">
        <w:r w:rsidR="00EF4FB6" w:rsidRPr="00DA5144">
          <w:rPr>
            <w:rStyle w:val="Hyperlink"/>
            <w:noProof/>
          </w:rPr>
          <w:t>2.1</w:t>
        </w:r>
        <w:r w:rsidR="00EF4FB6">
          <w:rPr>
            <w:rFonts w:asciiTheme="minorHAnsi" w:hAnsiTheme="minorHAnsi"/>
            <w:noProof/>
            <w:szCs w:val="22"/>
            <w:lang w:val="en-AU" w:eastAsia="en-AU"/>
          </w:rPr>
          <w:tab/>
        </w:r>
        <w:r w:rsidR="00EF4FB6" w:rsidRPr="00DA5144">
          <w:rPr>
            <w:rStyle w:val="Hyperlink"/>
            <w:noProof/>
          </w:rPr>
          <w:t>Support Coordination (Intermediary) Models</w:t>
        </w:r>
        <w:r w:rsidR="00EF4FB6">
          <w:rPr>
            <w:noProof/>
            <w:webHidden/>
          </w:rPr>
          <w:tab/>
        </w:r>
        <w:r w:rsidR="00EF4FB6">
          <w:rPr>
            <w:noProof/>
            <w:webHidden/>
          </w:rPr>
          <w:fldChar w:fldCharType="begin"/>
        </w:r>
        <w:r w:rsidR="00EF4FB6">
          <w:rPr>
            <w:noProof/>
            <w:webHidden/>
          </w:rPr>
          <w:instrText xml:space="preserve"> PAGEREF _Toc65251783 \h </w:instrText>
        </w:r>
        <w:r w:rsidR="00EF4FB6">
          <w:rPr>
            <w:noProof/>
            <w:webHidden/>
          </w:rPr>
        </w:r>
        <w:r w:rsidR="00EF4FB6">
          <w:rPr>
            <w:noProof/>
            <w:webHidden/>
          </w:rPr>
          <w:fldChar w:fldCharType="separate"/>
        </w:r>
        <w:r w:rsidR="00EF4FB6">
          <w:rPr>
            <w:noProof/>
            <w:webHidden/>
          </w:rPr>
          <w:t>14</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84" w:history="1">
        <w:r w:rsidR="00EF4FB6" w:rsidRPr="00DA5144">
          <w:rPr>
            <w:rStyle w:val="Hyperlink"/>
            <w:noProof/>
          </w:rPr>
          <w:t>2.1.1</w:t>
        </w:r>
        <w:r w:rsidR="00EF4FB6">
          <w:rPr>
            <w:rFonts w:asciiTheme="minorHAnsi" w:hAnsiTheme="minorHAnsi"/>
            <w:noProof/>
            <w:szCs w:val="22"/>
            <w:lang w:val="en-AU" w:eastAsia="en-AU"/>
          </w:rPr>
          <w:tab/>
        </w:r>
        <w:r w:rsidR="00EF4FB6" w:rsidRPr="00DA5144">
          <w:rPr>
            <w:rStyle w:val="Hyperlink"/>
            <w:noProof/>
          </w:rPr>
          <w:t>Key components of equivalent models</w:t>
        </w:r>
        <w:r w:rsidR="00EF4FB6">
          <w:rPr>
            <w:noProof/>
            <w:webHidden/>
          </w:rPr>
          <w:tab/>
        </w:r>
        <w:r w:rsidR="00EF4FB6">
          <w:rPr>
            <w:noProof/>
            <w:webHidden/>
          </w:rPr>
          <w:fldChar w:fldCharType="begin"/>
        </w:r>
        <w:r w:rsidR="00EF4FB6">
          <w:rPr>
            <w:noProof/>
            <w:webHidden/>
          </w:rPr>
          <w:instrText xml:space="preserve"> PAGEREF _Toc65251784 \h </w:instrText>
        </w:r>
        <w:r w:rsidR="00EF4FB6">
          <w:rPr>
            <w:noProof/>
            <w:webHidden/>
          </w:rPr>
        </w:r>
        <w:r w:rsidR="00EF4FB6">
          <w:rPr>
            <w:noProof/>
            <w:webHidden/>
          </w:rPr>
          <w:fldChar w:fldCharType="separate"/>
        </w:r>
        <w:r w:rsidR="00EF4FB6">
          <w:rPr>
            <w:noProof/>
            <w:webHidden/>
          </w:rPr>
          <w:t>14</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85" w:history="1">
        <w:r w:rsidR="00EF4FB6" w:rsidRPr="00DA5144">
          <w:rPr>
            <w:rStyle w:val="Hyperlink"/>
            <w:noProof/>
          </w:rPr>
          <w:t>2.1.2</w:t>
        </w:r>
        <w:r w:rsidR="00EF4FB6">
          <w:rPr>
            <w:rFonts w:asciiTheme="minorHAnsi" w:hAnsiTheme="minorHAnsi"/>
            <w:noProof/>
            <w:szCs w:val="22"/>
            <w:lang w:val="en-AU" w:eastAsia="en-AU"/>
          </w:rPr>
          <w:tab/>
        </w:r>
        <w:r w:rsidR="00EF4FB6" w:rsidRPr="00DA5144">
          <w:rPr>
            <w:rStyle w:val="Hyperlink"/>
            <w:noProof/>
          </w:rPr>
          <w:t>Quality of the evidence</w:t>
        </w:r>
        <w:r w:rsidR="00EF4FB6">
          <w:rPr>
            <w:noProof/>
            <w:webHidden/>
          </w:rPr>
          <w:tab/>
        </w:r>
        <w:r w:rsidR="00EF4FB6">
          <w:rPr>
            <w:noProof/>
            <w:webHidden/>
          </w:rPr>
          <w:fldChar w:fldCharType="begin"/>
        </w:r>
        <w:r w:rsidR="00EF4FB6">
          <w:rPr>
            <w:noProof/>
            <w:webHidden/>
          </w:rPr>
          <w:instrText xml:space="preserve"> PAGEREF _Toc65251785 \h </w:instrText>
        </w:r>
        <w:r w:rsidR="00EF4FB6">
          <w:rPr>
            <w:noProof/>
            <w:webHidden/>
          </w:rPr>
        </w:r>
        <w:r w:rsidR="00EF4FB6">
          <w:rPr>
            <w:noProof/>
            <w:webHidden/>
          </w:rPr>
          <w:fldChar w:fldCharType="separate"/>
        </w:r>
        <w:r w:rsidR="00EF4FB6">
          <w:rPr>
            <w:noProof/>
            <w:webHidden/>
          </w:rPr>
          <w:t>15</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86" w:history="1">
        <w:r w:rsidR="00EF4FB6" w:rsidRPr="00DA5144">
          <w:rPr>
            <w:rStyle w:val="Hyperlink"/>
            <w:noProof/>
          </w:rPr>
          <w:t>2.1.3</w:t>
        </w:r>
        <w:r w:rsidR="00EF4FB6">
          <w:rPr>
            <w:rFonts w:asciiTheme="minorHAnsi" w:hAnsiTheme="minorHAnsi"/>
            <w:noProof/>
            <w:szCs w:val="22"/>
            <w:lang w:val="en-AU" w:eastAsia="en-AU"/>
          </w:rPr>
          <w:tab/>
        </w:r>
        <w:r w:rsidR="00EF4FB6" w:rsidRPr="00DA5144">
          <w:rPr>
            <w:rStyle w:val="Hyperlink"/>
            <w:noProof/>
          </w:rPr>
          <w:t>Effectiveness of Intermediary Models</w:t>
        </w:r>
        <w:r w:rsidR="00EF4FB6">
          <w:rPr>
            <w:noProof/>
            <w:webHidden/>
          </w:rPr>
          <w:tab/>
        </w:r>
        <w:r w:rsidR="00EF4FB6">
          <w:rPr>
            <w:noProof/>
            <w:webHidden/>
          </w:rPr>
          <w:fldChar w:fldCharType="begin"/>
        </w:r>
        <w:r w:rsidR="00EF4FB6">
          <w:rPr>
            <w:noProof/>
            <w:webHidden/>
          </w:rPr>
          <w:instrText xml:space="preserve"> PAGEREF _Toc65251786 \h </w:instrText>
        </w:r>
        <w:r w:rsidR="00EF4FB6">
          <w:rPr>
            <w:noProof/>
            <w:webHidden/>
          </w:rPr>
        </w:r>
        <w:r w:rsidR="00EF4FB6">
          <w:rPr>
            <w:noProof/>
            <w:webHidden/>
          </w:rPr>
          <w:fldChar w:fldCharType="separate"/>
        </w:r>
        <w:r w:rsidR="00EF4FB6">
          <w:rPr>
            <w:noProof/>
            <w:webHidden/>
          </w:rPr>
          <w:t>16</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787" w:history="1">
        <w:r w:rsidR="00EF4FB6" w:rsidRPr="00DA5144">
          <w:rPr>
            <w:rStyle w:val="Hyperlink"/>
            <w:noProof/>
          </w:rPr>
          <w:t>2.2</w:t>
        </w:r>
        <w:r w:rsidR="00EF4FB6">
          <w:rPr>
            <w:rFonts w:asciiTheme="minorHAnsi" w:hAnsiTheme="minorHAnsi"/>
            <w:noProof/>
            <w:szCs w:val="22"/>
            <w:lang w:val="en-AU" w:eastAsia="en-AU"/>
          </w:rPr>
          <w:tab/>
        </w:r>
        <w:r w:rsidR="00EF4FB6" w:rsidRPr="00DA5144">
          <w:rPr>
            <w:rStyle w:val="Hyperlink"/>
            <w:noProof/>
          </w:rPr>
          <w:t>Local Area Coordination models</w:t>
        </w:r>
        <w:r w:rsidR="00EF4FB6">
          <w:rPr>
            <w:noProof/>
            <w:webHidden/>
          </w:rPr>
          <w:tab/>
        </w:r>
        <w:r w:rsidR="00EF4FB6">
          <w:rPr>
            <w:noProof/>
            <w:webHidden/>
          </w:rPr>
          <w:fldChar w:fldCharType="begin"/>
        </w:r>
        <w:r w:rsidR="00EF4FB6">
          <w:rPr>
            <w:noProof/>
            <w:webHidden/>
          </w:rPr>
          <w:instrText xml:space="preserve"> PAGEREF _Toc65251787 \h </w:instrText>
        </w:r>
        <w:r w:rsidR="00EF4FB6">
          <w:rPr>
            <w:noProof/>
            <w:webHidden/>
          </w:rPr>
        </w:r>
        <w:r w:rsidR="00EF4FB6">
          <w:rPr>
            <w:noProof/>
            <w:webHidden/>
          </w:rPr>
          <w:fldChar w:fldCharType="separate"/>
        </w:r>
        <w:r w:rsidR="00EF4FB6">
          <w:rPr>
            <w:noProof/>
            <w:webHidden/>
          </w:rPr>
          <w:t>17</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88" w:history="1">
        <w:r w:rsidR="00EF4FB6" w:rsidRPr="00DA5144">
          <w:rPr>
            <w:rStyle w:val="Hyperlink"/>
            <w:noProof/>
          </w:rPr>
          <w:t>2.2.1</w:t>
        </w:r>
        <w:r w:rsidR="00EF4FB6">
          <w:rPr>
            <w:rFonts w:asciiTheme="minorHAnsi" w:hAnsiTheme="minorHAnsi"/>
            <w:noProof/>
            <w:szCs w:val="22"/>
            <w:lang w:val="en-AU" w:eastAsia="en-AU"/>
          </w:rPr>
          <w:tab/>
        </w:r>
        <w:r w:rsidR="00EF4FB6" w:rsidRPr="00DA5144">
          <w:rPr>
            <w:rStyle w:val="Hyperlink"/>
            <w:noProof/>
          </w:rPr>
          <w:t>Name of the service</w:t>
        </w:r>
        <w:r w:rsidR="00EF4FB6">
          <w:rPr>
            <w:noProof/>
            <w:webHidden/>
          </w:rPr>
          <w:tab/>
        </w:r>
        <w:r w:rsidR="00EF4FB6">
          <w:rPr>
            <w:noProof/>
            <w:webHidden/>
          </w:rPr>
          <w:fldChar w:fldCharType="begin"/>
        </w:r>
        <w:r w:rsidR="00EF4FB6">
          <w:rPr>
            <w:noProof/>
            <w:webHidden/>
          </w:rPr>
          <w:instrText xml:space="preserve"> PAGEREF _Toc65251788 \h </w:instrText>
        </w:r>
        <w:r w:rsidR="00EF4FB6">
          <w:rPr>
            <w:noProof/>
            <w:webHidden/>
          </w:rPr>
        </w:r>
        <w:r w:rsidR="00EF4FB6">
          <w:rPr>
            <w:noProof/>
            <w:webHidden/>
          </w:rPr>
          <w:fldChar w:fldCharType="separate"/>
        </w:r>
        <w:r w:rsidR="00EF4FB6">
          <w:rPr>
            <w:noProof/>
            <w:webHidden/>
          </w:rPr>
          <w:t>17</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89" w:history="1">
        <w:r w:rsidR="00EF4FB6" w:rsidRPr="00DA5144">
          <w:rPr>
            <w:rStyle w:val="Hyperlink"/>
            <w:noProof/>
          </w:rPr>
          <w:t>2.2.2</w:t>
        </w:r>
        <w:r w:rsidR="00EF4FB6">
          <w:rPr>
            <w:rFonts w:asciiTheme="minorHAnsi" w:hAnsiTheme="minorHAnsi"/>
            <w:noProof/>
            <w:szCs w:val="22"/>
            <w:lang w:val="en-AU" w:eastAsia="en-AU"/>
          </w:rPr>
          <w:tab/>
        </w:r>
        <w:r w:rsidR="00EF4FB6" w:rsidRPr="00DA5144">
          <w:rPr>
            <w:rStyle w:val="Hyperlink"/>
            <w:noProof/>
          </w:rPr>
          <w:t>Key functions</w:t>
        </w:r>
        <w:r w:rsidR="00EF4FB6">
          <w:rPr>
            <w:noProof/>
            <w:webHidden/>
          </w:rPr>
          <w:tab/>
        </w:r>
        <w:r w:rsidR="00EF4FB6">
          <w:rPr>
            <w:noProof/>
            <w:webHidden/>
          </w:rPr>
          <w:fldChar w:fldCharType="begin"/>
        </w:r>
        <w:r w:rsidR="00EF4FB6">
          <w:rPr>
            <w:noProof/>
            <w:webHidden/>
          </w:rPr>
          <w:instrText xml:space="preserve"> PAGEREF _Toc65251789 \h </w:instrText>
        </w:r>
        <w:r w:rsidR="00EF4FB6">
          <w:rPr>
            <w:noProof/>
            <w:webHidden/>
          </w:rPr>
        </w:r>
        <w:r w:rsidR="00EF4FB6">
          <w:rPr>
            <w:noProof/>
            <w:webHidden/>
          </w:rPr>
          <w:fldChar w:fldCharType="separate"/>
        </w:r>
        <w:r w:rsidR="00EF4FB6">
          <w:rPr>
            <w:noProof/>
            <w:webHidden/>
          </w:rPr>
          <w:t>17</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0" w:history="1">
        <w:r w:rsidR="00EF4FB6" w:rsidRPr="00DA5144">
          <w:rPr>
            <w:rStyle w:val="Hyperlink"/>
            <w:noProof/>
          </w:rPr>
          <w:t>2.2.3</w:t>
        </w:r>
        <w:r w:rsidR="00EF4FB6">
          <w:rPr>
            <w:rFonts w:asciiTheme="minorHAnsi" w:hAnsiTheme="minorHAnsi"/>
            <w:noProof/>
            <w:szCs w:val="22"/>
            <w:lang w:val="en-AU" w:eastAsia="en-AU"/>
          </w:rPr>
          <w:tab/>
        </w:r>
        <w:r w:rsidR="00EF4FB6" w:rsidRPr="00DA5144">
          <w:rPr>
            <w:rStyle w:val="Hyperlink"/>
            <w:noProof/>
          </w:rPr>
          <w:t>Participants’ engagement with LAC</w:t>
        </w:r>
        <w:r w:rsidR="00EF4FB6">
          <w:rPr>
            <w:noProof/>
            <w:webHidden/>
          </w:rPr>
          <w:tab/>
        </w:r>
        <w:r w:rsidR="00EF4FB6">
          <w:rPr>
            <w:noProof/>
            <w:webHidden/>
          </w:rPr>
          <w:fldChar w:fldCharType="begin"/>
        </w:r>
        <w:r w:rsidR="00EF4FB6">
          <w:rPr>
            <w:noProof/>
            <w:webHidden/>
          </w:rPr>
          <w:instrText xml:space="preserve"> PAGEREF _Toc65251790 \h </w:instrText>
        </w:r>
        <w:r w:rsidR="00EF4FB6">
          <w:rPr>
            <w:noProof/>
            <w:webHidden/>
          </w:rPr>
        </w:r>
        <w:r w:rsidR="00EF4FB6">
          <w:rPr>
            <w:noProof/>
            <w:webHidden/>
          </w:rPr>
          <w:fldChar w:fldCharType="separate"/>
        </w:r>
        <w:r w:rsidR="00EF4FB6">
          <w:rPr>
            <w:noProof/>
            <w:webHidden/>
          </w:rPr>
          <w:t>19</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1" w:history="1">
        <w:r w:rsidR="00EF4FB6" w:rsidRPr="00DA5144">
          <w:rPr>
            <w:rStyle w:val="Hyperlink"/>
            <w:noProof/>
          </w:rPr>
          <w:t>2.2.4</w:t>
        </w:r>
        <w:r w:rsidR="00EF4FB6">
          <w:rPr>
            <w:rFonts w:asciiTheme="minorHAnsi" w:hAnsiTheme="minorHAnsi"/>
            <w:noProof/>
            <w:szCs w:val="22"/>
            <w:lang w:val="en-AU" w:eastAsia="en-AU"/>
          </w:rPr>
          <w:tab/>
        </w:r>
        <w:r w:rsidR="00EF4FB6" w:rsidRPr="00DA5144">
          <w:rPr>
            <w:rStyle w:val="Hyperlink"/>
            <w:noProof/>
          </w:rPr>
          <w:t>Life event associated with accessing LAC</w:t>
        </w:r>
        <w:r w:rsidR="00EF4FB6">
          <w:rPr>
            <w:noProof/>
            <w:webHidden/>
          </w:rPr>
          <w:tab/>
        </w:r>
        <w:r w:rsidR="00EF4FB6">
          <w:rPr>
            <w:noProof/>
            <w:webHidden/>
          </w:rPr>
          <w:fldChar w:fldCharType="begin"/>
        </w:r>
        <w:r w:rsidR="00EF4FB6">
          <w:rPr>
            <w:noProof/>
            <w:webHidden/>
          </w:rPr>
          <w:instrText xml:space="preserve"> PAGEREF _Toc65251791 \h </w:instrText>
        </w:r>
        <w:r w:rsidR="00EF4FB6">
          <w:rPr>
            <w:noProof/>
            <w:webHidden/>
          </w:rPr>
        </w:r>
        <w:r w:rsidR="00EF4FB6">
          <w:rPr>
            <w:noProof/>
            <w:webHidden/>
          </w:rPr>
          <w:fldChar w:fldCharType="separate"/>
        </w:r>
        <w:r w:rsidR="00EF4FB6">
          <w:rPr>
            <w:noProof/>
            <w:webHidden/>
          </w:rPr>
          <w:t>20</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2" w:history="1">
        <w:r w:rsidR="00EF4FB6" w:rsidRPr="00DA5144">
          <w:rPr>
            <w:rStyle w:val="Hyperlink"/>
            <w:noProof/>
          </w:rPr>
          <w:t>2.2.5</w:t>
        </w:r>
        <w:r w:rsidR="00EF4FB6">
          <w:rPr>
            <w:rFonts w:asciiTheme="minorHAnsi" w:hAnsiTheme="minorHAnsi"/>
            <w:noProof/>
            <w:szCs w:val="22"/>
            <w:lang w:val="en-AU" w:eastAsia="en-AU"/>
          </w:rPr>
          <w:tab/>
        </w:r>
        <w:r w:rsidR="00EF4FB6" w:rsidRPr="00DA5144">
          <w:rPr>
            <w:rStyle w:val="Hyperlink"/>
            <w:noProof/>
          </w:rPr>
          <w:t>LAC role</w:t>
        </w:r>
        <w:r w:rsidR="00EF4FB6">
          <w:rPr>
            <w:noProof/>
            <w:webHidden/>
          </w:rPr>
          <w:tab/>
        </w:r>
        <w:r w:rsidR="00EF4FB6">
          <w:rPr>
            <w:noProof/>
            <w:webHidden/>
          </w:rPr>
          <w:fldChar w:fldCharType="begin"/>
        </w:r>
        <w:r w:rsidR="00EF4FB6">
          <w:rPr>
            <w:noProof/>
            <w:webHidden/>
          </w:rPr>
          <w:instrText xml:space="preserve"> PAGEREF _Toc65251792 \h </w:instrText>
        </w:r>
        <w:r w:rsidR="00EF4FB6">
          <w:rPr>
            <w:noProof/>
            <w:webHidden/>
          </w:rPr>
        </w:r>
        <w:r w:rsidR="00EF4FB6">
          <w:rPr>
            <w:noProof/>
            <w:webHidden/>
          </w:rPr>
          <w:fldChar w:fldCharType="separate"/>
        </w:r>
        <w:r w:rsidR="00EF4FB6">
          <w:rPr>
            <w:noProof/>
            <w:webHidden/>
          </w:rPr>
          <w:t>20</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3" w:history="1">
        <w:r w:rsidR="00EF4FB6" w:rsidRPr="00DA5144">
          <w:rPr>
            <w:rStyle w:val="Hyperlink"/>
            <w:noProof/>
          </w:rPr>
          <w:t>2.2.6</w:t>
        </w:r>
        <w:r w:rsidR="00EF4FB6">
          <w:rPr>
            <w:rFonts w:asciiTheme="minorHAnsi" w:hAnsiTheme="minorHAnsi"/>
            <w:noProof/>
            <w:szCs w:val="22"/>
            <w:lang w:val="en-AU" w:eastAsia="en-AU"/>
          </w:rPr>
          <w:tab/>
        </w:r>
        <w:r w:rsidR="00EF4FB6" w:rsidRPr="00DA5144">
          <w:rPr>
            <w:rStyle w:val="Hyperlink"/>
            <w:noProof/>
          </w:rPr>
          <w:t>Participants per LAC ratio</w:t>
        </w:r>
        <w:r w:rsidR="00EF4FB6">
          <w:rPr>
            <w:noProof/>
            <w:webHidden/>
          </w:rPr>
          <w:tab/>
        </w:r>
        <w:r w:rsidR="00EF4FB6">
          <w:rPr>
            <w:noProof/>
            <w:webHidden/>
          </w:rPr>
          <w:fldChar w:fldCharType="begin"/>
        </w:r>
        <w:r w:rsidR="00EF4FB6">
          <w:rPr>
            <w:noProof/>
            <w:webHidden/>
          </w:rPr>
          <w:instrText xml:space="preserve"> PAGEREF _Toc65251793 \h </w:instrText>
        </w:r>
        <w:r w:rsidR="00EF4FB6">
          <w:rPr>
            <w:noProof/>
            <w:webHidden/>
          </w:rPr>
        </w:r>
        <w:r w:rsidR="00EF4FB6">
          <w:rPr>
            <w:noProof/>
            <w:webHidden/>
          </w:rPr>
          <w:fldChar w:fldCharType="separate"/>
        </w:r>
        <w:r w:rsidR="00EF4FB6">
          <w:rPr>
            <w:noProof/>
            <w:webHidden/>
          </w:rPr>
          <w:t>22</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4" w:history="1">
        <w:r w:rsidR="00EF4FB6" w:rsidRPr="00DA5144">
          <w:rPr>
            <w:rStyle w:val="Hyperlink"/>
            <w:noProof/>
          </w:rPr>
          <w:t>2.2.7</w:t>
        </w:r>
        <w:r w:rsidR="00EF4FB6">
          <w:rPr>
            <w:rFonts w:asciiTheme="minorHAnsi" w:hAnsiTheme="minorHAnsi"/>
            <w:noProof/>
            <w:szCs w:val="22"/>
            <w:lang w:val="en-AU" w:eastAsia="en-AU"/>
          </w:rPr>
          <w:tab/>
        </w:r>
        <w:r w:rsidR="00EF4FB6" w:rsidRPr="00DA5144">
          <w:rPr>
            <w:rStyle w:val="Hyperlink"/>
            <w:noProof/>
          </w:rPr>
          <w:t>Admin tasks</w:t>
        </w:r>
        <w:r w:rsidR="00EF4FB6">
          <w:rPr>
            <w:noProof/>
            <w:webHidden/>
          </w:rPr>
          <w:tab/>
        </w:r>
        <w:r w:rsidR="00EF4FB6">
          <w:rPr>
            <w:noProof/>
            <w:webHidden/>
          </w:rPr>
          <w:fldChar w:fldCharType="begin"/>
        </w:r>
        <w:r w:rsidR="00EF4FB6">
          <w:rPr>
            <w:noProof/>
            <w:webHidden/>
          </w:rPr>
          <w:instrText xml:space="preserve"> PAGEREF _Toc65251794 \h </w:instrText>
        </w:r>
        <w:r w:rsidR="00EF4FB6">
          <w:rPr>
            <w:noProof/>
            <w:webHidden/>
          </w:rPr>
        </w:r>
        <w:r w:rsidR="00EF4FB6">
          <w:rPr>
            <w:noProof/>
            <w:webHidden/>
          </w:rPr>
          <w:fldChar w:fldCharType="separate"/>
        </w:r>
        <w:r w:rsidR="00EF4FB6">
          <w:rPr>
            <w:noProof/>
            <w:webHidden/>
          </w:rPr>
          <w:t>22</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5" w:history="1">
        <w:r w:rsidR="00EF4FB6" w:rsidRPr="00DA5144">
          <w:rPr>
            <w:rStyle w:val="Hyperlink"/>
            <w:noProof/>
          </w:rPr>
          <w:t>2.2.8</w:t>
        </w:r>
        <w:r w:rsidR="00EF4FB6">
          <w:rPr>
            <w:rFonts w:asciiTheme="minorHAnsi" w:hAnsiTheme="minorHAnsi"/>
            <w:noProof/>
            <w:szCs w:val="22"/>
            <w:lang w:val="en-AU" w:eastAsia="en-AU"/>
          </w:rPr>
          <w:tab/>
        </w:r>
        <w:r w:rsidR="00EF4FB6" w:rsidRPr="00DA5144">
          <w:rPr>
            <w:rStyle w:val="Hyperlink"/>
            <w:noProof/>
          </w:rPr>
          <w:t>Service funding</w:t>
        </w:r>
        <w:r w:rsidR="00EF4FB6">
          <w:rPr>
            <w:noProof/>
            <w:webHidden/>
          </w:rPr>
          <w:tab/>
        </w:r>
        <w:r w:rsidR="00EF4FB6">
          <w:rPr>
            <w:noProof/>
            <w:webHidden/>
          </w:rPr>
          <w:fldChar w:fldCharType="begin"/>
        </w:r>
        <w:r w:rsidR="00EF4FB6">
          <w:rPr>
            <w:noProof/>
            <w:webHidden/>
          </w:rPr>
          <w:instrText xml:space="preserve"> PAGEREF _Toc65251795 \h </w:instrText>
        </w:r>
        <w:r w:rsidR="00EF4FB6">
          <w:rPr>
            <w:noProof/>
            <w:webHidden/>
          </w:rPr>
        </w:r>
        <w:r w:rsidR="00EF4FB6">
          <w:rPr>
            <w:noProof/>
            <w:webHidden/>
          </w:rPr>
          <w:fldChar w:fldCharType="separate"/>
        </w:r>
        <w:r w:rsidR="00EF4FB6">
          <w:rPr>
            <w:noProof/>
            <w:webHidden/>
          </w:rPr>
          <w:t>22</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6" w:history="1">
        <w:r w:rsidR="00EF4FB6" w:rsidRPr="00DA5144">
          <w:rPr>
            <w:rStyle w:val="Hyperlink"/>
            <w:noProof/>
          </w:rPr>
          <w:t>2.2.9</w:t>
        </w:r>
        <w:r w:rsidR="00EF4FB6">
          <w:rPr>
            <w:rFonts w:asciiTheme="minorHAnsi" w:hAnsiTheme="minorHAnsi"/>
            <w:noProof/>
            <w:szCs w:val="22"/>
            <w:lang w:val="en-AU" w:eastAsia="en-AU"/>
          </w:rPr>
          <w:tab/>
        </w:r>
        <w:r w:rsidR="00EF4FB6" w:rsidRPr="00DA5144">
          <w:rPr>
            <w:rStyle w:val="Hyperlink"/>
            <w:noProof/>
          </w:rPr>
          <w:t>Cost-effectiveness</w:t>
        </w:r>
        <w:r w:rsidR="00EF4FB6">
          <w:rPr>
            <w:noProof/>
            <w:webHidden/>
          </w:rPr>
          <w:tab/>
        </w:r>
        <w:r w:rsidR="00EF4FB6">
          <w:rPr>
            <w:noProof/>
            <w:webHidden/>
          </w:rPr>
          <w:fldChar w:fldCharType="begin"/>
        </w:r>
        <w:r w:rsidR="00EF4FB6">
          <w:rPr>
            <w:noProof/>
            <w:webHidden/>
          </w:rPr>
          <w:instrText xml:space="preserve"> PAGEREF _Toc65251796 \h </w:instrText>
        </w:r>
        <w:r w:rsidR="00EF4FB6">
          <w:rPr>
            <w:noProof/>
            <w:webHidden/>
          </w:rPr>
        </w:r>
        <w:r w:rsidR="00EF4FB6">
          <w:rPr>
            <w:noProof/>
            <w:webHidden/>
          </w:rPr>
          <w:fldChar w:fldCharType="separate"/>
        </w:r>
        <w:r w:rsidR="00EF4FB6">
          <w:rPr>
            <w:noProof/>
            <w:webHidden/>
          </w:rPr>
          <w:t>23</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7" w:history="1">
        <w:r w:rsidR="00EF4FB6" w:rsidRPr="00DA5144">
          <w:rPr>
            <w:rStyle w:val="Hyperlink"/>
            <w:noProof/>
          </w:rPr>
          <w:t>2.2.10</w:t>
        </w:r>
        <w:r w:rsidR="00EF4FB6">
          <w:rPr>
            <w:rFonts w:asciiTheme="minorHAnsi" w:hAnsiTheme="minorHAnsi"/>
            <w:noProof/>
            <w:szCs w:val="22"/>
            <w:lang w:val="en-AU" w:eastAsia="en-AU"/>
          </w:rPr>
          <w:tab/>
        </w:r>
        <w:r w:rsidR="00EF4FB6" w:rsidRPr="00DA5144">
          <w:rPr>
            <w:rStyle w:val="Hyperlink"/>
            <w:noProof/>
          </w:rPr>
          <w:t>Adding value to wider service system</w:t>
        </w:r>
        <w:r w:rsidR="00EF4FB6">
          <w:rPr>
            <w:noProof/>
            <w:webHidden/>
          </w:rPr>
          <w:tab/>
        </w:r>
        <w:r w:rsidR="00EF4FB6">
          <w:rPr>
            <w:noProof/>
            <w:webHidden/>
          </w:rPr>
          <w:fldChar w:fldCharType="begin"/>
        </w:r>
        <w:r w:rsidR="00EF4FB6">
          <w:rPr>
            <w:noProof/>
            <w:webHidden/>
          </w:rPr>
          <w:instrText xml:space="preserve"> PAGEREF _Toc65251797 \h </w:instrText>
        </w:r>
        <w:r w:rsidR="00EF4FB6">
          <w:rPr>
            <w:noProof/>
            <w:webHidden/>
          </w:rPr>
        </w:r>
        <w:r w:rsidR="00EF4FB6">
          <w:rPr>
            <w:noProof/>
            <w:webHidden/>
          </w:rPr>
          <w:fldChar w:fldCharType="separate"/>
        </w:r>
        <w:r w:rsidR="00EF4FB6">
          <w:rPr>
            <w:noProof/>
            <w:webHidden/>
          </w:rPr>
          <w:t>23</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8" w:history="1">
        <w:r w:rsidR="00EF4FB6" w:rsidRPr="00DA5144">
          <w:rPr>
            <w:rStyle w:val="Hyperlink"/>
            <w:noProof/>
          </w:rPr>
          <w:t>2.2.11</w:t>
        </w:r>
        <w:r w:rsidR="00EF4FB6">
          <w:rPr>
            <w:rFonts w:asciiTheme="minorHAnsi" w:hAnsiTheme="minorHAnsi"/>
            <w:noProof/>
            <w:szCs w:val="22"/>
            <w:lang w:val="en-AU" w:eastAsia="en-AU"/>
          </w:rPr>
          <w:tab/>
        </w:r>
        <w:r w:rsidR="00EF4FB6" w:rsidRPr="00DA5144">
          <w:rPr>
            <w:rStyle w:val="Hyperlink"/>
            <w:noProof/>
          </w:rPr>
          <w:t>Eligibility criteria</w:t>
        </w:r>
        <w:r w:rsidR="00EF4FB6">
          <w:rPr>
            <w:noProof/>
            <w:webHidden/>
          </w:rPr>
          <w:tab/>
        </w:r>
        <w:r w:rsidR="00EF4FB6">
          <w:rPr>
            <w:noProof/>
            <w:webHidden/>
          </w:rPr>
          <w:fldChar w:fldCharType="begin"/>
        </w:r>
        <w:r w:rsidR="00EF4FB6">
          <w:rPr>
            <w:noProof/>
            <w:webHidden/>
          </w:rPr>
          <w:instrText xml:space="preserve"> PAGEREF _Toc65251798 \h </w:instrText>
        </w:r>
        <w:r w:rsidR="00EF4FB6">
          <w:rPr>
            <w:noProof/>
            <w:webHidden/>
          </w:rPr>
        </w:r>
        <w:r w:rsidR="00EF4FB6">
          <w:rPr>
            <w:noProof/>
            <w:webHidden/>
          </w:rPr>
          <w:fldChar w:fldCharType="separate"/>
        </w:r>
        <w:r w:rsidR="00EF4FB6">
          <w:rPr>
            <w:noProof/>
            <w:webHidden/>
          </w:rPr>
          <w:t>24</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799" w:history="1">
        <w:r w:rsidR="00EF4FB6" w:rsidRPr="00DA5144">
          <w:rPr>
            <w:rStyle w:val="Hyperlink"/>
            <w:noProof/>
          </w:rPr>
          <w:t>2.2.12</w:t>
        </w:r>
        <w:r w:rsidR="00EF4FB6">
          <w:rPr>
            <w:rFonts w:asciiTheme="minorHAnsi" w:hAnsiTheme="minorHAnsi"/>
            <w:noProof/>
            <w:szCs w:val="22"/>
            <w:lang w:val="en-AU" w:eastAsia="en-AU"/>
          </w:rPr>
          <w:tab/>
        </w:r>
        <w:r w:rsidR="00EF4FB6" w:rsidRPr="00DA5144">
          <w:rPr>
            <w:rStyle w:val="Hyperlink"/>
            <w:noProof/>
          </w:rPr>
          <w:t>Service providers</w:t>
        </w:r>
        <w:r w:rsidR="00EF4FB6">
          <w:rPr>
            <w:noProof/>
            <w:webHidden/>
          </w:rPr>
          <w:tab/>
        </w:r>
        <w:r w:rsidR="00EF4FB6">
          <w:rPr>
            <w:noProof/>
            <w:webHidden/>
          </w:rPr>
          <w:fldChar w:fldCharType="begin"/>
        </w:r>
        <w:r w:rsidR="00EF4FB6">
          <w:rPr>
            <w:noProof/>
            <w:webHidden/>
          </w:rPr>
          <w:instrText xml:space="preserve"> PAGEREF _Toc65251799 \h </w:instrText>
        </w:r>
        <w:r w:rsidR="00EF4FB6">
          <w:rPr>
            <w:noProof/>
            <w:webHidden/>
          </w:rPr>
        </w:r>
        <w:r w:rsidR="00EF4FB6">
          <w:rPr>
            <w:noProof/>
            <w:webHidden/>
          </w:rPr>
          <w:fldChar w:fldCharType="separate"/>
        </w:r>
        <w:r w:rsidR="00EF4FB6">
          <w:rPr>
            <w:noProof/>
            <w:webHidden/>
          </w:rPr>
          <w:t>24</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00" w:history="1">
        <w:r w:rsidR="00EF4FB6" w:rsidRPr="00DA5144">
          <w:rPr>
            <w:rStyle w:val="Hyperlink"/>
            <w:noProof/>
          </w:rPr>
          <w:t>2.2.13</w:t>
        </w:r>
        <w:r w:rsidR="00EF4FB6">
          <w:rPr>
            <w:rFonts w:asciiTheme="minorHAnsi" w:hAnsiTheme="minorHAnsi"/>
            <w:noProof/>
            <w:szCs w:val="22"/>
            <w:lang w:val="en-AU" w:eastAsia="en-AU"/>
          </w:rPr>
          <w:tab/>
        </w:r>
        <w:r w:rsidR="00EF4FB6" w:rsidRPr="00DA5144">
          <w:rPr>
            <w:rStyle w:val="Hyperlink"/>
            <w:noProof/>
          </w:rPr>
          <w:t>Summary of strengths and weaknesses</w:t>
        </w:r>
        <w:r w:rsidR="00EF4FB6">
          <w:rPr>
            <w:noProof/>
            <w:webHidden/>
          </w:rPr>
          <w:tab/>
        </w:r>
        <w:r w:rsidR="00EF4FB6">
          <w:rPr>
            <w:noProof/>
            <w:webHidden/>
          </w:rPr>
          <w:fldChar w:fldCharType="begin"/>
        </w:r>
        <w:r w:rsidR="00EF4FB6">
          <w:rPr>
            <w:noProof/>
            <w:webHidden/>
          </w:rPr>
          <w:instrText xml:space="preserve"> PAGEREF _Toc65251800 \h </w:instrText>
        </w:r>
        <w:r w:rsidR="00EF4FB6">
          <w:rPr>
            <w:noProof/>
            <w:webHidden/>
          </w:rPr>
        </w:r>
        <w:r w:rsidR="00EF4FB6">
          <w:rPr>
            <w:noProof/>
            <w:webHidden/>
          </w:rPr>
          <w:fldChar w:fldCharType="separate"/>
        </w:r>
        <w:r w:rsidR="00EF4FB6">
          <w:rPr>
            <w:noProof/>
            <w:webHidden/>
          </w:rPr>
          <w:t>24</w:t>
        </w:r>
        <w:r w:rsidR="00EF4FB6">
          <w:rPr>
            <w:noProof/>
            <w:webHidden/>
          </w:rPr>
          <w:fldChar w:fldCharType="end"/>
        </w:r>
      </w:hyperlink>
    </w:p>
    <w:p w:rsidR="00EF4FB6" w:rsidRDefault="004B494E">
      <w:pPr>
        <w:pStyle w:val="TOC2"/>
        <w:tabs>
          <w:tab w:val="left" w:pos="660"/>
          <w:tab w:val="right" w:leader="dot" w:pos="9016"/>
        </w:tabs>
        <w:rPr>
          <w:rFonts w:asciiTheme="minorHAnsi" w:hAnsiTheme="minorHAnsi"/>
          <w:noProof/>
          <w:szCs w:val="22"/>
          <w:lang w:val="en-AU" w:eastAsia="en-AU"/>
        </w:rPr>
      </w:pPr>
      <w:hyperlink w:anchor="_Toc65251801" w:history="1">
        <w:r w:rsidR="00EF4FB6" w:rsidRPr="00DA5144">
          <w:rPr>
            <w:rStyle w:val="Hyperlink"/>
            <w:noProof/>
          </w:rPr>
          <w:t>3.</w:t>
        </w:r>
        <w:r w:rsidR="00EF4FB6">
          <w:rPr>
            <w:rFonts w:asciiTheme="minorHAnsi" w:hAnsiTheme="minorHAnsi"/>
            <w:noProof/>
            <w:szCs w:val="22"/>
            <w:lang w:val="en-AU" w:eastAsia="en-AU"/>
          </w:rPr>
          <w:tab/>
        </w:r>
        <w:r w:rsidR="00EF4FB6" w:rsidRPr="00DA5144">
          <w:rPr>
            <w:rStyle w:val="Hyperlink"/>
            <w:noProof/>
          </w:rPr>
          <w:t>Conclusion</w:t>
        </w:r>
        <w:r w:rsidR="00EF4FB6">
          <w:rPr>
            <w:noProof/>
            <w:webHidden/>
          </w:rPr>
          <w:tab/>
        </w:r>
        <w:r w:rsidR="00EF4FB6">
          <w:rPr>
            <w:noProof/>
            <w:webHidden/>
          </w:rPr>
          <w:fldChar w:fldCharType="begin"/>
        </w:r>
        <w:r w:rsidR="00EF4FB6">
          <w:rPr>
            <w:noProof/>
            <w:webHidden/>
          </w:rPr>
          <w:instrText xml:space="preserve"> PAGEREF _Toc65251801 \h </w:instrText>
        </w:r>
        <w:r w:rsidR="00EF4FB6">
          <w:rPr>
            <w:noProof/>
            <w:webHidden/>
          </w:rPr>
        </w:r>
        <w:r w:rsidR="00EF4FB6">
          <w:rPr>
            <w:noProof/>
            <w:webHidden/>
          </w:rPr>
          <w:fldChar w:fldCharType="separate"/>
        </w:r>
        <w:r w:rsidR="00EF4FB6">
          <w:rPr>
            <w:noProof/>
            <w:webHidden/>
          </w:rPr>
          <w:t>26</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802" w:history="1">
        <w:r w:rsidR="00EF4FB6" w:rsidRPr="00DA5144">
          <w:rPr>
            <w:rStyle w:val="Hyperlink"/>
            <w:noProof/>
          </w:rPr>
          <w:t>3.1</w:t>
        </w:r>
        <w:r w:rsidR="00EF4FB6">
          <w:rPr>
            <w:rFonts w:asciiTheme="minorHAnsi" w:hAnsiTheme="minorHAnsi"/>
            <w:noProof/>
            <w:szCs w:val="22"/>
            <w:lang w:val="en-AU" w:eastAsia="en-AU"/>
          </w:rPr>
          <w:tab/>
        </w:r>
        <w:r w:rsidR="00EF4FB6" w:rsidRPr="00DA5144">
          <w:rPr>
            <w:rStyle w:val="Hyperlink"/>
            <w:noProof/>
          </w:rPr>
          <w:t>Support Coordination equivalents</w:t>
        </w:r>
        <w:r w:rsidR="00EF4FB6">
          <w:rPr>
            <w:noProof/>
            <w:webHidden/>
          </w:rPr>
          <w:tab/>
        </w:r>
        <w:r w:rsidR="00EF4FB6">
          <w:rPr>
            <w:noProof/>
            <w:webHidden/>
          </w:rPr>
          <w:fldChar w:fldCharType="begin"/>
        </w:r>
        <w:r w:rsidR="00EF4FB6">
          <w:rPr>
            <w:noProof/>
            <w:webHidden/>
          </w:rPr>
          <w:instrText xml:space="preserve"> PAGEREF _Toc65251802 \h </w:instrText>
        </w:r>
        <w:r w:rsidR="00EF4FB6">
          <w:rPr>
            <w:noProof/>
            <w:webHidden/>
          </w:rPr>
        </w:r>
        <w:r w:rsidR="00EF4FB6">
          <w:rPr>
            <w:noProof/>
            <w:webHidden/>
          </w:rPr>
          <w:fldChar w:fldCharType="separate"/>
        </w:r>
        <w:r w:rsidR="00EF4FB6">
          <w:rPr>
            <w:noProof/>
            <w:webHidden/>
          </w:rPr>
          <w:t>26</w:t>
        </w:r>
        <w:r w:rsidR="00EF4FB6">
          <w:rPr>
            <w:noProof/>
            <w:webHidden/>
          </w:rPr>
          <w:fldChar w:fldCharType="end"/>
        </w:r>
      </w:hyperlink>
    </w:p>
    <w:p w:rsidR="00EF4FB6" w:rsidRDefault="004B494E">
      <w:pPr>
        <w:pStyle w:val="TOC3"/>
        <w:tabs>
          <w:tab w:val="left" w:pos="1100"/>
          <w:tab w:val="right" w:leader="dot" w:pos="9016"/>
        </w:tabs>
        <w:rPr>
          <w:rFonts w:asciiTheme="minorHAnsi" w:hAnsiTheme="minorHAnsi"/>
          <w:noProof/>
          <w:szCs w:val="22"/>
          <w:lang w:val="en-AU" w:eastAsia="en-AU"/>
        </w:rPr>
      </w:pPr>
      <w:hyperlink w:anchor="_Toc65251803" w:history="1">
        <w:r w:rsidR="00EF4FB6" w:rsidRPr="00DA5144">
          <w:rPr>
            <w:rStyle w:val="Hyperlink"/>
            <w:noProof/>
          </w:rPr>
          <w:t>3.2</w:t>
        </w:r>
        <w:r w:rsidR="00EF4FB6">
          <w:rPr>
            <w:rFonts w:asciiTheme="minorHAnsi" w:hAnsiTheme="minorHAnsi"/>
            <w:noProof/>
            <w:szCs w:val="22"/>
            <w:lang w:val="en-AU" w:eastAsia="en-AU"/>
          </w:rPr>
          <w:tab/>
        </w:r>
        <w:r w:rsidR="00EF4FB6" w:rsidRPr="00DA5144">
          <w:rPr>
            <w:rStyle w:val="Hyperlink"/>
            <w:noProof/>
          </w:rPr>
          <w:t>Local Area Coordination</w:t>
        </w:r>
        <w:r w:rsidR="00EF4FB6">
          <w:rPr>
            <w:noProof/>
            <w:webHidden/>
          </w:rPr>
          <w:tab/>
        </w:r>
        <w:r w:rsidR="00EF4FB6">
          <w:rPr>
            <w:noProof/>
            <w:webHidden/>
          </w:rPr>
          <w:fldChar w:fldCharType="begin"/>
        </w:r>
        <w:r w:rsidR="00EF4FB6">
          <w:rPr>
            <w:noProof/>
            <w:webHidden/>
          </w:rPr>
          <w:instrText xml:space="preserve"> PAGEREF _Toc65251803 \h </w:instrText>
        </w:r>
        <w:r w:rsidR="00EF4FB6">
          <w:rPr>
            <w:noProof/>
            <w:webHidden/>
          </w:rPr>
        </w:r>
        <w:r w:rsidR="00EF4FB6">
          <w:rPr>
            <w:noProof/>
            <w:webHidden/>
          </w:rPr>
          <w:fldChar w:fldCharType="separate"/>
        </w:r>
        <w:r w:rsidR="00EF4FB6">
          <w:rPr>
            <w:noProof/>
            <w:webHidden/>
          </w:rPr>
          <w:t>27</w:t>
        </w:r>
        <w:r w:rsidR="00EF4FB6">
          <w:rPr>
            <w:noProof/>
            <w:webHidden/>
          </w:rPr>
          <w:fldChar w:fldCharType="end"/>
        </w:r>
      </w:hyperlink>
    </w:p>
    <w:p w:rsidR="00EF4FB6" w:rsidRDefault="004B494E">
      <w:pPr>
        <w:pStyle w:val="TOC2"/>
        <w:tabs>
          <w:tab w:val="left" w:pos="660"/>
          <w:tab w:val="right" w:leader="dot" w:pos="9016"/>
        </w:tabs>
        <w:rPr>
          <w:rFonts w:asciiTheme="minorHAnsi" w:hAnsiTheme="minorHAnsi"/>
          <w:noProof/>
          <w:szCs w:val="22"/>
          <w:lang w:val="en-AU" w:eastAsia="en-AU"/>
        </w:rPr>
      </w:pPr>
      <w:hyperlink w:anchor="_Toc65251804" w:history="1">
        <w:r w:rsidR="00EF4FB6" w:rsidRPr="00DA5144">
          <w:rPr>
            <w:rStyle w:val="Hyperlink"/>
            <w:noProof/>
          </w:rPr>
          <w:t>4.</w:t>
        </w:r>
        <w:r w:rsidR="00EF4FB6">
          <w:rPr>
            <w:rFonts w:asciiTheme="minorHAnsi" w:hAnsiTheme="minorHAnsi"/>
            <w:noProof/>
            <w:szCs w:val="22"/>
            <w:lang w:val="en-AU" w:eastAsia="en-AU"/>
          </w:rPr>
          <w:tab/>
        </w:r>
        <w:r w:rsidR="00EF4FB6" w:rsidRPr="00DA5144">
          <w:rPr>
            <w:rStyle w:val="Hyperlink"/>
            <w:noProof/>
          </w:rPr>
          <w:t>References</w:t>
        </w:r>
        <w:r w:rsidR="00EF4FB6">
          <w:rPr>
            <w:noProof/>
            <w:webHidden/>
          </w:rPr>
          <w:tab/>
        </w:r>
        <w:r w:rsidR="00EF4FB6">
          <w:rPr>
            <w:noProof/>
            <w:webHidden/>
          </w:rPr>
          <w:fldChar w:fldCharType="begin"/>
        </w:r>
        <w:r w:rsidR="00EF4FB6">
          <w:rPr>
            <w:noProof/>
            <w:webHidden/>
          </w:rPr>
          <w:instrText xml:space="preserve"> PAGEREF _Toc65251804 \h </w:instrText>
        </w:r>
        <w:r w:rsidR="00EF4FB6">
          <w:rPr>
            <w:noProof/>
            <w:webHidden/>
          </w:rPr>
        </w:r>
        <w:r w:rsidR="00EF4FB6">
          <w:rPr>
            <w:noProof/>
            <w:webHidden/>
          </w:rPr>
          <w:fldChar w:fldCharType="separate"/>
        </w:r>
        <w:r w:rsidR="00EF4FB6">
          <w:rPr>
            <w:noProof/>
            <w:webHidden/>
          </w:rPr>
          <w:t>29</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805" w:history="1">
        <w:r w:rsidR="00EF4FB6" w:rsidRPr="00DA5144">
          <w:rPr>
            <w:rStyle w:val="Hyperlink"/>
            <w:noProof/>
          </w:rPr>
          <w:t>Appendices</w:t>
        </w:r>
        <w:r w:rsidR="00EF4FB6">
          <w:rPr>
            <w:noProof/>
            <w:webHidden/>
          </w:rPr>
          <w:tab/>
        </w:r>
        <w:r w:rsidR="00EF4FB6">
          <w:rPr>
            <w:noProof/>
            <w:webHidden/>
          </w:rPr>
          <w:fldChar w:fldCharType="begin"/>
        </w:r>
        <w:r w:rsidR="00EF4FB6">
          <w:rPr>
            <w:noProof/>
            <w:webHidden/>
          </w:rPr>
          <w:instrText xml:space="preserve"> PAGEREF _Toc65251805 \h </w:instrText>
        </w:r>
        <w:r w:rsidR="00EF4FB6">
          <w:rPr>
            <w:noProof/>
            <w:webHidden/>
          </w:rPr>
        </w:r>
        <w:r w:rsidR="00EF4FB6">
          <w:rPr>
            <w:noProof/>
            <w:webHidden/>
          </w:rPr>
          <w:fldChar w:fldCharType="separate"/>
        </w:r>
        <w:r w:rsidR="00EF4FB6">
          <w:rPr>
            <w:noProof/>
            <w:webHidden/>
          </w:rPr>
          <w:t>32</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806" w:history="1">
        <w:r w:rsidR="00EF4FB6" w:rsidRPr="00DA5144">
          <w:rPr>
            <w:rStyle w:val="Hyperlink"/>
            <w:noProof/>
          </w:rPr>
          <w:t>Appendix 1 Review Methodology</w:t>
        </w:r>
        <w:r w:rsidR="00EF4FB6">
          <w:rPr>
            <w:noProof/>
            <w:webHidden/>
          </w:rPr>
          <w:tab/>
        </w:r>
        <w:r w:rsidR="00EF4FB6">
          <w:rPr>
            <w:noProof/>
            <w:webHidden/>
          </w:rPr>
          <w:fldChar w:fldCharType="begin"/>
        </w:r>
        <w:r w:rsidR="00EF4FB6">
          <w:rPr>
            <w:noProof/>
            <w:webHidden/>
          </w:rPr>
          <w:instrText xml:space="preserve"> PAGEREF _Toc65251806 \h </w:instrText>
        </w:r>
        <w:r w:rsidR="00EF4FB6">
          <w:rPr>
            <w:noProof/>
            <w:webHidden/>
          </w:rPr>
        </w:r>
        <w:r w:rsidR="00EF4FB6">
          <w:rPr>
            <w:noProof/>
            <w:webHidden/>
          </w:rPr>
          <w:fldChar w:fldCharType="separate"/>
        </w:r>
        <w:r w:rsidR="00EF4FB6">
          <w:rPr>
            <w:noProof/>
            <w:webHidden/>
          </w:rPr>
          <w:t>32</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07" w:history="1">
        <w:r w:rsidR="00EF4FB6" w:rsidRPr="00DA5144">
          <w:rPr>
            <w:rStyle w:val="Hyperlink"/>
            <w:noProof/>
          </w:rPr>
          <w:t>1.1.1</w:t>
        </w:r>
        <w:r w:rsidR="00EF4FB6">
          <w:rPr>
            <w:rFonts w:asciiTheme="minorHAnsi" w:hAnsiTheme="minorHAnsi"/>
            <w:noProof/>
            <w:szCs w:val="22"/>
            <w:lang w:val="en-AU" w:eastAsia="en-AU"/>
          </w:rPr>
          <w:tab/>
        </w:r>
        <w:r w:rsidR="00EF4FB6" w:rsidRPr="00DA5144">
          <w:rPr>
            <w:rStyle w:val="Hyperlink"/>
            <w:noProof/>
          </w:rPr>
          <w:t>Review protocol</w:t>
        </w:r>
        <w:r w:rsidR="00EF4FB6">
          <w:rPr>
            <w:noProof/>
            <w:webHidden/>
          </w:rPr>
          <w:tab/>
        </w:r>
        <w:r w:rsidR="00EF4FB6">
          <w:rPr>
            <w:noProof/>
            <w:webHidden/>
          </w:rPr>
          <w:fldChar w:fldCharType="begin"/>
        </w:r>
        <w:r w:rsidR="00EF4FB6">
          <w:rPr>
            <w:noProof/>
            <w:webHidden/>
          </w:rPr>
          <w:instrText xml:space="preserve"> PAGEREF _Toc65251807 \h </w:instrText>
        </w:r>
        <w:r w:rsidR="00EF4FB6">
          <w:rPr>
            <w:noProof/>
            <w:webHidden/>
          </w:rPr>
        </w:r>
        <w:r w:rsidR="00EF4FB6">
          <w:rPr>
            <w:noProof/>
            <w:webHidden/>
          </w:rPr>
          <w:fldChar w:fldCharType="separate"/>
        </w:r>
        <w:r w:rsidR="00EF4FB6">
          <w:rPr>
            <w:noProof/>
            <w:webHidden/>
          </w:rPr>
          <w:t>32</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08" w:history="1">
        <w:r w:rsidR="00EF4FB6" w:rsidRPr="00DA5144">
          <w:rPr>
            <w:rStyle w:val="Hyperlink"/>
            <w:noProof/>
          </w:rPr>
          <w:t>1.1.2</w:t>
        </w:r>
        <w:r w:rsidR="00EF4FB6">
          <w:rPr>
            <w:rFonts w:asciiTheme="minorHAnsi" w:hAnsiTheme="minorHAnsi"/>
            <w:noProof/>
            <w:szCs w:val="22"/>
            <w:lang w:val="en-AU" w:eastAsia="en-AU"/>
          </w:rPr>
          <w:tab/>
        </w:r>
        <w:r w:rsidR="00EF4FB6" w:rsidRPr="00DA5144">
          <w:rPr>
            <w:rStyle w:val="Hyperlink"/>
            <w:noProof/>
          </w:rPr>
          <w:t>Database search</w:t>
        </w:r>
        <w:r w:rsidR="00EF4FB6">
          <w:rPr>
            <w:noProof/>
            <w:webHidden/>
          </w:rPr>
          <w:tab/>
        </w:r>
        <w:r w:rsidR="00EF4FB6">
          <w:rPr>
            <w:noProof/>
            <w:webHidden/>
          </w:rPr>
          <w:fldChar w:fldCharType="begin"/>
        </w:r>
        <w:r w:rsidR="00EF4FB6">
          <w:rPr>
            <w:noProof/>
            <w:webHidden/>
          </w:rPr>
          <w:instrText xml:space="preserve"> PAGEREF _Toc65251808 \h </w:instrText>
        </w:r>
        <w:r w:rsidR="00EF4FB6">
          <w:rPr>
            <w:noProof/>
            <w:webHidden/>
          </w:rPr>
        </w:r>
        <w:r w:rsidR="00EF4FB6">
          <w:rPr>
            <w:noProof/>
            <w:webHidden/>
          </w:rPr>
          <w:fldChar w:fldCharType="separate"/>
        </w:r>
        <w:r w:rsidR="00EF4FB6">
          <w:rPr>
            <w:noProof/>
            <w:webHidden/>
          </w:rPr>
          <w:t>32</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09" w:history="1">
        <w:r w:rsidR="00EF4FB6" w:rsidRPr="00DA5144">
          <w:rPr>
            <w:rStyle w:val="Hyperlink"/>
            <w:noProof/>
          </w:rPr>
          <w:t>1.1.3</w:t>
        </w:r>
        <w:r w:rsidR="00EF4FB6">
          <w:rPr>
            <w:rFonts w:asciiTheme="minorHAnsi" w:hAnsiTheme="minorHAnsi"/>
            <w:noProof/>
            <w:szCs w:val="22"/>
            <w:lang w:val="en-AU" w:eastAsia="en-AU"/>
          </w:rPr>
          <w:tab/>
        </w:r>
        <w:r w:rsidR="00EF4FB6" w:rsidRPr="00DA5144">
          <w:rPr>
            <w:rStyle w:val="Hyperlink"/>
            <w:noProof/>
          </w:rPr>
          <w:t>Search strategy</w:t>
        </w:r>
        <w:r w:rsidR="00EF4FB6">
          <w:rPr>
            <w:noProof/>
            <w:webHidden/>
          </w:rPr>
          <w:tab/>
        </w:r>
        <w:r w:rsidR="00EF4FB6">
          <w:rPr>
            <w:noProof/>
            <w:webHidden/>
          </w:rPr>
          <w:fldChar w:fldCharType="begin"/>
        </w:r>
        <w:r w:rsidR="00EF4FB6">
          <w:rPr>
            <w:noProof/>
            <w:webHidden/>
          </w:rPr>
          <w:instrText xml:space="preserve"> PAGEREF _Toc65251809 \h </w:instrText>
        </w:r>
        <w:r w:rsidR="00EF4FB6">
          <w:rPr>
            <w:noProof/>
            <w:webHidden/>
          </w:rPr>
        </w:r>
        <w:r w:rsidR="00EF4FB6">
          <w:rPr>
            <w:noProof/>
            <w:webHidden/>
          </w:rPr>
          <w:fldChar w:fldCharType="separate"/>
        </w:r>
        <w:r w:rsidR="00EF4FB6">
          <w:rPr>
            <w:noProof/>
            <w:webHidden/>
          </w:rPr>
          <w:t>33</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10" w:history="1">
        <w:r w:rsidR="00EF4FB6" w:rsidRPr="00DA5144">
          <w:rPr>
            <w:rStyle w:val="Hyperlink"/>
            <w:noProof/>
          </w:rPr>
          <w:t>1.1.4</w:t>
        </w:r>
        <w:r w:rsidR="00EF4FB6">
          <w:rPr>
            <w:rFonts w:asciiTheme="minorHAnsi" w:hAnsiTheme="minorHAnsi"/>
            <w:noProof/>
            <w:szCs w:val="22"/>
            <w:lang w:val="en-AU" w:eastAsia="en-AU"/>
          </w:rPr>
          <w:tab/>
        </w:r>
        <w:r w:rsidR="00EF4FB6" w:rsidRPr="00DA5144">
          <w:rPr>
            <w:rStyle w:val="Hyperlink"/>
            <w:noProof/>
          </w:rPr>
          <w:t>Reference screening</w:t>
        </w:r>
        <w:r w:rsidR="00EF4FB6">
          <w:rPr>
            <w:noProof/>
            <w:webHidden/>
          </w:rPr>
          <w:tab/>
        </w:r>
        <w:r w:rsidR="00EF4FB6">
          <w:rPr>
            <w:noProof/>
            <w:webHidden/>
          </w:rPr>
          <w:fldChar w:fldCharType="begin"/>
        </w:r>
        <w:r w:rsidR="00EF4FB6">
          <w:rPr>
            <w:noProof/>
            <w:webHidden/>
          </w:rPr>
          <w:instrText xml:space="preserve"> PAGEREF _Toc65251810 \h </w:instrText>
        </w:r>
        <w:r w:rsidR="00EF4FB6">
          <w:rPr>
            <w:noProof/>
            <w:webHidden/>
          </w:rPr>
        </w:r>
        <w:r w:rsidR="00EF4FB6">
          <w:rPr>
            <w:noProof/>
            <w:webHidden/>
          </w:rPr>
          <w:fldChar w:fldCharType="separate"/>
        </w:r>
        <w:r w:rsidR="00EF4FB6">
          <w:rPr>
            <w:noProof/>
            <w:webHidden/>
          </w:rPr>
          <w:t>33</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11" w:history="1">
        <w:r w:rsidR="00EF4FB6" w:rsidRPr="00DA5144">
          <w:rPr>
            <w:rStyle w:val="Hyperlink"/>
            <w:noProof/>
          </w:rPr>
          <w:t>1.1.5</w:t>
        </w:r>
        <w:r w:rsidR="00EF4FB6">
          <w:rPr>
            <w:rFonts w:asciiTheme="minorHAnsi" w:hAnsiTheme="minorHAnsi"/>
            <w:noProof/>
            <w:szCs w:val="22"/>
            <w:lang w:val="en-AU" w:eastAsia="en-AU"/>
          </w:rPr>
          <w:tab/>
        </w:r>
        <w:r w:rsidR="00EF4FB6" w:rsidRPr="00DA5144">
          <w:rPr>
            <w:rStyle w:val="Hyperlink"/>
            <w:noProof/>
          </w:rPr>
          <w:t>Data extraction</w:t>
        </w:r>
        <w:r w:rsidR="00EF4FB6">
          <w:rPr>
            <w:noProof/>
            <w:webHidden/>
          </w:rPr>
          <w:tab/>
        </w:r>
        <w:r w:rsidR="00EF4FB6">
          <w:rPr>
            <w:noProof/>
            <w:webHidden/>
          </w:rPr>
          <w:fldChar w:fldCharType="begin"/>
        </w:r>
        <w:r w:rsidR="00EF4FB6">
          <w:rPr>
            <w:noProof/>
            <w:webHidden/>
          </w:rPr>
          <w:instrText xml:space="preserve"> PAGEREF _Toc65251811 \h </w:instrText>
        </w:r>
        <w:r w:rsidR="00EF4FB6">
          <w:rPr>
            <w:noProof/>
            <w:webHidden/>
          </w:rPr>
        </w:r>
        <w:r w:rsidR="00EF4FB6">
          <w:rPr>
            <w:noProof/>
            <w:webHidden/>
          </w:rPr>
          <w:fldChar w:fldCharType="separate"/>
        </w:r>
        <w:r w:rsidR="00EF4FB6">
          <w:rPr>
            <w:noProof/>
            <w:webHidden/>
          </w:rPr>
          <w:t>34</w:t>
        </w:r>
        <w:r w:rsidR="00EF4FB6">
          <w:rPr>
            <w:noProof/>
            <w:webHidden/>
          </w:rPr>
          <w:fldChar w:fldCharType="end"/>
        </w:r>
      </w:hyperlink>
    </w:p>
    <w:p w:rsidR="00EF4FB6" w:rsidRDefault="004B494E">
      <w:pPr>
        <w:pStyle w:val="TOC4"/>
        <w:tabs>
          <w:tab w:val="left" w:pos="1540"/>
          <w:tab w:val="right" w:leader="dot" w:pos="9016"/>
        </w:tabs>
        <w:rPr>
          <w:rFonts w:asciiTheme="minorHAnsi" w:hAnsiTheme="minorHAnsi"/>
          <w:noProof/>
          <w:szCs w:val="22"/>
          <w:lang w:val="en-AU" w:eastAsia="en-AU"/>
        </w:rPr>
      </w:pPr>
      <w:hyperlink w:anchor="_Toc65251812" w:history="1">
        <w:r w:rsidR="00EF4FB6" w:rsidRPr="00DA5144">
          <w:rPr>
            <w:rStyle w:val="Hyperlink"/>
            <w:noProof/>
          </w:rPr>
          <w:t>1.1.6</w:t>
        </w:r>
        <w:r w:rsidR="00EF4FB6">
          <w:rPr>
            <w:rFonts w:asciiTheme="minorHAnsi" w:hAnsiTheme="minorHAnsi"/>
            <w:noProof/>
            <w:szCs w:val="22"/>
            <w:lang w:val="en-AU" w:eastAsia="en-AU"/>
          </w:rPr>
          <w:tab/>
        </w:r>
        <w:r w:rsidR="00EF4FB6" w:rsidRPr="00DA5144">
          <w:rPr>
            <w:rStyle w:val="Hyperlink"/>
            <w:noProof/>
          </w:rPr>
          <w:t>Data synthesis</w:t>
        </w:r>
        <w:r w:rsidR="00EF4FB6">
          <w:rPr>
            <w:noProof/>
            <w:webHidden/>
          </w:rPr>
          <w:tab/>
        </w:r>
        <w:r w:rsidR="00EF4FB6">
          <w:rPr>
            <w:noProof/>
            <w:webHidden/>
          </w:rPr>
          <w:fldChar w:fldCharType="begin"/>
        </w:r>
        <w:r w:rsidR="00EF4FB6">
          <w:rPr>
            <w:noProof/>
            <w:webHidden/>
          </w:rPr>
          <w:instrText xml:space="preserve"> PAGEREF _Toc65251812 \h </w:instrText>
        </w:r>
        <w:r w:rsidR="00EF4FB6">
          <w:rPr>
            <w:noProof/>
            <w:webHidden/>
          </w:rPr>
        </w:r>
        <w:r w:rsidR="00EF4FB6">
          <w:rPr>
            <w:noProof/>
            <w:webHidden/>
          </w:rPr>
          <w:fldChar w:fldCharType="separate"/>
        </w:r>
        <w:r w:rsidR="00EF4FB6">
          <w:rPr>
            <w:noProof/>
            <w:webHidden/>
          </w:rPr>
          <w:t>34</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813" w:history="1">
        <w:r w:rsidR="00EF4FB6" w:rsidRPr="00DA5144">
          <w:rPr>
            <w:rStyle w:val="Hyperlink"/>
            <w:noProof/>
          </w:rPr>
          <w:t>Appendix 2: Support Coordination equivalent models</w:t>
        </w:r>
        <w:r w:rsidR="00EF4FB6">
          <w:rPr>
            <w:noProof/>
            <w:webHidden/>
          </w:rPr>
          <w:tab/>
        </w:r>
        <w:r w:rsidR="00EF4FB6">
          <w:rPr>
            <w:noProof/>
            <w:webHidden/>
          </w:rPr>
          <w:fldChar w:fldCharType="begin"/>
        </w:r>
        <w:r w:rsidR="00EF4FB6">
          <w:rPr>
            <w:noProof/>
            <w:webHidden/>
          </w:rPr>
          <w:instrText xml:space="preserve"> PAGEREF _Toc65251813 \h </w:instrText>
        </w:r>
        <w:r w:rsidR="00EF4FB6">
          <w:rPr>
            <w:noProof/>
            <w:webHidden/>
          </w:rPr>
        </w:r>
        <w:r w:rsidR="00EF4FB6">
          <w:rPr>
            <w:noProof/>
            <w:webHidden/>
          </w:rPr>
          <w:fldChar w:fldCharType="separate"/>
        </w:r>
        <w:r w:rsidR="00EF4FB6">
          <w:rPr>
            <w:noProof/>
            <w:webHidden/>
          </w:rPr>
          <w:t>35</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814" w:history="1">
        <w:r w:rsidR="00EF4FB6" w:rsidRPr="00DA5144">
          <w:rPr>
            <w:rStyle w:val="Hyperlink"/>
            <w:noProof/>
          </w:rPr>
          <w:t>Appendix 3 : LAC Models</w:t>
        </w:r>
        <w:r w:rsidR="00EF4FB6">
          <w:rPr>
            <w:noProof/>
            <w:webHidden/>
          </w:rPr>
          <w:tab/>
        </w:r>
        <w:r w:rsidR="00EF4FB6">
          <w:rPr>
            <w:noProof/>
            <w:webHidden/>
          </w:rPr>
          <w:fldChar w:fldCharType="begin"/>
        </w:r>
        <w:r w:rsidR="00EF4FB6">
          <w:rPr>
            <w:noProof/>
            <w:webHidden/>
          </w:rPr>
          <w:instrText xml:space="preserve"> PAGEREF _Toc65251814 \h </w:instrText>
        </w:r>
        <w:r w:rsidR="00EF4FB6">
          <w:rPr>
            <w:noProof/>
            <w:webHidden/>
          </w:rPr>
        </w:r>
        <w:r w:rsidR="00EF4FB6">
          <w:rPr>
            <w:noProof/>
            <w:webHidden/>
          </w:rPr>
          <w:fldChar w:fldCharType="separate"/>
        </w:r>
        <w:r w:rsidR="00EF4FB6">
          <w:rPr>
            <w:noProof/>
            <w:webHidden/>
          </w:rPr>
          <w:t>38</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815" w:history="1">
        <w:r w:rsidR="00EF4FB6" w:rsidRPr="00DA5144">
          <w:rPr>
            <w:rStyle w:val="Hyperlink"/>
            <w:noProof/>
          </w:rPr>
          <w:t>Appendix 4: LAC Elements</w:t>
        </w:r>
        <w:r w:rsidR="00EF4FB6">
          <w:rPr>
            <w:noProof/>
            <w:webHidden/>
          </w:rPr>
          <w:tab/>
        </w:r>
        <w:r w:rsidR="00EF4FB6">
          <w:rPr>
            <w:noProof/>
            <w:webHidden/>
          </w:rPr>
          <w:fldChar w:fldCharType="begin"/>
        </w:r>
        <w:r w:rsidR="00EF4FB6">
          <w:rPr>
            <w:noProof/>
            <w:webHidden/>
          </w:rPr>
          <w:instrText xml:space="preserve"> PAGEREF _Toc65251815 \h </w:instrText>
        </w:r>
        <w:r w:rsidR="00EF4FB6">
          <w:rPr>
            <w:noProof/>
            <w:webHidden/>
          </w:rPr>
        </w:r>
        <w:r w:rsidR="00EF4FB6">
          <w:rPr>
            <w:noProof/>
            <w:webHidden/>
          </w:rPr>
          <w:fldChar w:fldCharType="separate"/>
        </w:r>
        <w:r w:rsidR="00EF4FB6">
          <w:rPr>
            <w:noProof/>
            <w:webHidden/>
          </w:rPr>
          <w:t>56</w:t>
        </w:r>
        <w:r w:rsidR="00EF4FB6">
          <w:rPr>
            <w:noProof/>
            <w:webHidden/>
          </w:rPr>
          <w:fldChar w:fldCharType="end"/>
        </w:r>
      </w:hyperlink>
    </w:p>
    <w:p w:rsidR="00EF4FB6" w:rsidRDefault="004B494E">
      <w:pPr>
        <w:pStyle w:val="TOC3"/>
        <w:tabs>
          <w:tab w:val="right" w:leader="dot" w:pos="9016"/>
        </w:tabs>
        <w:rPr>
          <w:rFonts w:asciiTheme="minorHAnsi" w:hAnsiTheme="minorHAnsi"/>
          <w:noProof/>
          <w:szCs w:val="22"/>
          <w:lang w:val="en-AU" w:eastAsia="en-AU"/>
        </w:rPr>
      </w:pPr>
      <w:hyperlink w:anchor="_Toc65251816" w:history="1">
        <w:r w:rsidR="00EF4FB6" w:rsidRPr="00DA5144">
          <w:rPr>
            <w:rStyle w:val="Hyperlink"/>
            <w:rFonts w:eastAsia="Calibri"/>
            <w:noProof/>
            <w:lang w:val="en-AU" w:eastAsia="en-US"/>
          </w:rPr>
          <w:t>Appendix 5: Characteristics of included studies for Support Coordination</w:t>
        </w:r>
        <w:r w:rsidR="00EF4FB6">
          <w:rPr>
            <w:noProof/>
            <w:webHidden/>
          </w:rPr>
          <w:tab/>
        </w:r>
        <w:r w:rsidR="00EF4FB6">
          <w:rPr>
            <w:noProof/>
            <w:webHidden/>
          </w:rPr>
          <w:fldChar w:fldCharType="begin"/>
        </w:r>
        <w:r w:rsidR="00EF4FB6">
          <w:rPr>
            <w:noProof/>
            <w:webHidden/>
          </w:rPr>
          <w:instrText xml:space="preserve"> PAGEREF _Toc65251816 \h </w:instrText>
        </w:r>
        <w:r w:rsidR="00EF4FB6">
          <w:rPr>
            <w:noProof/>
            <w:webHidden/>
          </w:rPr>
        </w:r>
        <w:r w:rsidR="00EF4FB6">
          <w:rPr>
            <w:noProof/>
            <w:webHidden/>
          </w:rPr>
          <w:fldChar w:fldCharType="separate"/>
        </w:r>
        <w:r w:rsidR="00EF4FB6">
          <w:rPr>
            <w:noProof/>
            <w:webHidden/>
          </w:rPr>
          <w:t>63</w:t>
        </w:r>
        <w:r w:rsidR="00EF4FB6">
          <w:rPr>
            <w:noProof/>
            <w:webHidden/>
          </w:rPr>
          <w:fldChar w:fldCharType="end"/>
        </w:r>
      </w:hyperlink>
    </w:p>
    <w:p w:rsidR="004D32B5" w:rsidRDefault="0040062A" w:rsidP="004D32B5">
      <w:r>
        <w:fldChar w:fldCharType="end"/>
      </w:r>
    </w:p>
    <w:p w:rsidR="004D32B5" w:rsidRDefault="004D32B5">
      <w:pPr>
        <w:spacing w:line="276" w:lineRule="auto"/>
      </w:pPr>
    </w:p>
    <w:p w:rsidR="00F9484F" w:rsidRDefault="00F9484F" w:rsidP="009F29E7">
      <w:pPr>
        <w:pStyle w:val="TOC1"/>
        <w:rPr>
          <w:noProof/>
        </w:rPr>
      </w:pPr>
      <w:r w:rsidRPr="00F9484F">
        <w:rPr>
          <w:noProof/>
        </w:rPr>
        <w:t>LIST OF TABLES</w:t>
      </w:r>
    </w:p>
    <w:p w:rsidR="00C759B8" w:rsidRDefault="00DE7444">
      <w:pPr>
        <w:pStyle w:val="TableofFigures"/>
        <w:tabs>
          <w:tab w:val="right" w:leader="dot" w:pos="9016"/>
        </w:tabs>
        <w:rPr>
          <w:rFonts w:asciiTheme="minorHAnsi" w:hAnsiTheme="minorHAnsi"/>
          <w:noProof/>
          <w:szCs w:val="22"/>
          <w:lang w:val="en-AU" w:eastAsia="en-AU"/>
        </w:rPr>
      </w:pPr>
      <w:r>
        <w:fldChar w:fldCharType="begin"/>
      </w:r>
      <w:r>
        <w:instrText xml:space="preserve"> TOC \h \z \c "Table" </w:instrText>
      </w:r>
      <w:r>
        <w:fldChar w:fldCharType="separate"/>
      </w:r>
      <w:hyperlink w:anchor="_Toc64536331" w:history="1">
        <w:r w:rsidR="00C759B8" w:rsidRPr="00D96444">
          <w:rPr>
            <w:rStyle w:val="Hyperlink"/>
            <w:noProof/>
          </w:rPr>
          <w:t>Table 1: Summary of Evidence, Intermediary Services</w:t>
        </w:r>
        <w:r w:rsidR="00C759B8">
          <w:rPr>
            <w:noProof/>
            <w:webHidden/>
          </w:rPr>
          <w:tab/>
        </w:r>
        <w:r w:rsidR="00C759B8">
          <w:rPr>
            <w:noProof/>
            <w:webHidden/>
          </w:rPr>
          <w:fldChar w:fldCharType="begin"/>
        </w:r>
        <w:r w:rsidR="00C759B8">
          <w:rPr>
            <w:noProof/>
            <w:webHidden/>
          </w:rPr>
          <w:instrText xml:space="preserve"> PAGEREF _Toc64536331 \h </w:instrText>
        </w:r>
        <w:r w:rsidR="00C759B8">
          <w:rPr>
            <w:noProof/>
            <w:webHidden/>
          </w:rPr>
        </w:r>
        <w:r w:rsidR="00C759B8">
          <w:rPr>
            <w:noProof/>
            <w:webHidden/>
          </w:rPr>
          <w:fldChar w:fldCharType="separate"/>
        </w:r>
        <w:r w:rsidR="00C759B8">
          <w:rPr>
            <w:noProof/>
            <w:webHidden/>
          </w:rPr>
          <w:t>20</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32" w:history="1">
        <w:r w:rsidR="00C759B8" w:rsidRPr="00D96444">
          <w:rPr>
            <w:rStyle w:val="Hyperlink"/>
            <w:noProof/>
          </w:rPr>
          <w:t>Table 2: Reasons for accessing LAC</w:t>
        </w:r>
        <w:r w:rsidR="00C759B8">
          <w:rPr>
            <w:noProof/>
            <w:webHidden/>
          </w:rPr>
          <w:tab/>
        </w:r>
        <w:r w:rsidR="00C759B8">
          <w:rPr>
            <w:noProof/>
            <w:webHidden/>
          </w:rPr>
          <w:fldChar w:fldCharType="begin"/>
        </w:r>
        <w:r w:rsidR="00C759B8">
          <w:rPr>
            <w:noProof/>
            <w:webHidden/>
          </w:rPr>
          <w:instrText xml:space="preserve"> PAGEREF _Toc64536332 \h </w:instrText>
        </w:r>
        <w:r w:rsidR="00C759B8">
          <w:rPr>
            <w:noProof/>
            <w:webHidden/>
          </w:rPr>
        </w:r>
        <w:r w:rsidR="00C759B8">
          <w:rPr>
            <w:noProof/>
            <w:webHidden/>
          </w:rPr>
          <w:fldChar w:fldCharType="separate"/>
        </w:r>
        <w:r w:rsidR="00C759B8">
          <w:rPr>
            <w:noProof/>
            <w:webHidden/>
          </w:rPr>
          <w:t>24</w:t>
        </w:r>
        <w:r w:rsidR="00C759B8">
          <w:rPr>
            <w:noProof/>
            <w:webHidden/>
          </w:rPr>
          <w:fldChar w:fldCharType="end"/>
        </w:r>
      </w:hyperlink>
    </w:p>
    <w:p w:rsidR="00DE7444" w:rsidRPr="00DE7444" w:rsidRDefault="00DE7444" w:rsidP="00DE7444">
      <w:r>
        <w:fldChar w:fldCharType="end"/>
      </w:r>
    </w:p>
    <w:p w:rsidR="00F9484F" w:rsidRDefault="00F9484F" w:rsidP="009F29E7">
      <w:pPr>
        <w:pStyle w:val="TOC1"/>
        <w:rPr>
          <w:noProof/>
        </w:rPr>
      </w:pPr>
      <w:r>
        <w:rPr>
          <w:noProof/>
        </w:rPr>
        <w:lastRenderedPageBreak/>
        <w:t>LIST OF FIGURES</w:t>
      </w:r>
    </w:p>
    <w:p w:rsidR="00C759B8" w:rsidRDefault="00192692">
      <w:pPr>
        <w:pStyle w:val="TableofFigures"/>
        <w:tabs>
          <w:tab w:val="right" w:leader="dot" w:pos="9016"/>
        </w:tabs>
        <w:rPr>
          <w:rFonts w:asciiTheme="minorHAnsi" w:hAnsiTheme="minorHAnsi"/>
          <w:noProof/>
          <w:szCs w:val="22"/>
          <w:lang w:val="en-AU" w:eastAsia="en-AU"/>
        </w:rPr>
      </w:pPr>
      <w:r>
        <w:fldChar w:fldCharType="begin"/>
      </w:r>
      <w:r>
        <w:instrText xml:space="preserve"> TOC \h \z \c "Figure" </w:instrText>
      </w:r>
      <w:r>
        <w:fldChar w:fldCharType="separate"/>
      </w:r>
      <w:hyperlink w:anchor="_Toc64536334" w:history="1">
        <w:r w:rsidR="00C759B8" w:rsidRPr="00B47D33">
          <w:rPr>
            <w:rStyle w:val="Hyperlink"/>
            <w:noProof/>
          </w:rPr>
          <w:t>Figure 1: Overall Project Methodology</w:t>
        </w:r>
        <w:r w:rsidR="00C759B8">
          <w:rPr>
            <w:noProof/>
            <w:webHidden/>
          </w:rPr>
          <w:tab/>
        </w:r>
        <w:r w:rsidR="00C759B8">
          <w:rPr>
            <w:noProof/>
            <w:webHidden/>
          </w:rPr>
          <w:fldChar w:fldCharType="begin"/>
        </w:r>
        <w:r w:rsidR="00C759B8">
          <w:rPr>
            <w:noProof/>
            <w:webHidden/>
          </w:rPr>
          <w:instrText xml:space="preserve"> PAGEREF _Toc64536334 \h </w:instrText>
        </w:r>
        <w:r w:rsidR="00C759B8">
          <w:rPr>
            <w:noProof/>
            <w:webHidden/>
          </w:rPr>
        </w:r>
        <w:r w:rsidR="00C759B8">
          <w:rPr>
            <w:noProof/>
            <w:webHidden/>
          </w:rPr>
          <w:fldChar w:fldCharType="separate"/>
        </w:r>
        <w:r w:rsidR="00C759B8">
          <w:rPr>
            <w:noProof/>
            <w:webHidden/>
          </w:rPr>
          <w:t>16</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35" w:history="1">
        <w:r w:rsidR="00C759B8" w:rsidRPr="00B47D33">
          <w:rPr>
            <w:rStyle w:val="Hyperlink"/>
            <w:noProof/>
          </w:rPr>
          <w:t>Figure 2: PRISMA Flowchart</w:t>
        </w:r>
        <w:r w:rsidR="00C759B8">
          <w:rPr>
            <w:noProof/>
            <w:webHidden/>
          </w:rPr>
          <w:tab/>
        </w:r>
        <w:r w:rsidR="00C759B8">
          <w:rPr>
            <w:noProof/>
            <w:webHidden/>
          </w:rPr>
          <w:fldChar w:fldCharType="begin"/>
        </w:r>
        <w:r w:rsidR="00C759B8">
          <w:rPr>
            <w:noProof/>
            <w:webHidden/>
          </w:rPr>
          <w:instrText xml:space="preserve"> PAGEREF _Toc64536335 \h </w:instrText>
        </w:r>
        <w:r w:rsidR="00C759B8">
          <w:rPr>
            <w:noProof/>
            <w:webHidden/>
          </w:rPr>
        </w:r>
        <w:r w:rsidR="00C759B8">
          <w:rPr>
            <w:noProof/>
            <w:webHidden/>
          </w:rPr>
          <w:fldChar w:fldCharType="separate"/>
        </w:r>
        <w:r w:rsidR="00C759B8">
          <w:rPr>
            <w:noProof/>
            <w:webHidden/>
          </w:rPr>
          <w:t>17</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36" w:history="1">
        <w:r w:rsidR="00C759B8" w:rsidRPr="00B47D33">
          <w:rPr>
            <w:rStyle w:val="Hyperlink"/>
            <w:noProof/>
          </w:rPr>
          <w:t>Figure 3: Number of studies per country</w:t>
        </w:r>
        <w:r w:rsidR="00C759B8">
          <w:rPr>
            <w:noProof/>
            <w:webHidden/>
          </w:rPr>
          <w:tab/>
        </w:r>
        <w:r w:rsidR="00C759B8">
          <w:rPr>
            <w:noProof/>
            <w:webHidden/>
          </w:rPr>
          <w:fldChar w:fldCharType="begin"/>
        </w:r>
        <w:r w:rsidR="00C759B8">
          <w:rPr>
            <w:noProof/>
            <w:webHidden/>
          </w:rPr>
          <w:instrText xml:space="preserve"> PAGEREF _Toc64536336 \h </w:instrText>
        </w:r>
        <w:r w:rsidR="00C759B8">
          <w:rPr>
            <w:noProof/>
            <w:webHidden/>
          </w:rPr>
        </w:r>
        <w:r w:rsidR="00C759B8">
          <w:rPr>
            <w:noProof/>
            <w:webHidden/>
          </w:rPr>
          <w:fldChar w:fldCharType="separate"/>
        </w:r>
        <w:r w:rsidR="00C759B8">
          <w:rPr>
            <w:noProof/>
            <w:webHidden/>
          </w:rPr>
          <w:t>18</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37" w:history="1">
        <w:r w:rsidR="00C759B8" w:rsidRPr="00B47D33">
          <w:rPr>
            <w:rStyle w:val="Hyperlink"/>
            <w:noProof/>
          </w:rPr>
          <w:t>Figure 4: LAC support levels</w:t>
        </w:r>
        <w:r w:rsidR="00C759B8">
          <w:rPr>
            <w:noProof/>
            <w:webHidden/>
          </w:rPr>
          <w:tab/>
        </w:r>
        <w:r w:rsidR="00C759B8">
          <w:rPr>
            <w:noProof/>
            <w:webHidden/>
          </w:rPr>
          <w:fldChar w:fldCharType="begin"/>
        </w:r>
        <w:r w:rsidR="00C759B8">
          <w:rPr>
            <w:noProof/>
            <w:webHidden/>
          </w:rPr>
          <w:instrText xml:space="preserve"> PAGEREF _Toc64536337 \h </w:instrText>
        </w:r>
        <w:r w:rsidR="00C759B8">
          <w:rPr>
            <w:noProof/>
            <w:webHidden/>
          </w:rPr>
        </w:r>
        <w:r w:rsidR="00C759B8">
          <w:rPr>
            <w:noProof/>
            <w:webHidden/>
          </w:rPr>
          <w:fldChar w:fldCharType="separate"/>
        </w:r>
        <w:r w:rsidR="00C759B8">
          <w:rPr>
            <w:noProof/>
            <w:webHidden/>
          </w:rPr>
          <w:t>22</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38" w:history="1">
        <w:r w:rsidR="00C759B8" w:rsidRPr="00B47D33">
          <w:rPr>
            <w:rStyle w:val="Hyperlink"/>
            <w:noProof/>
          </w:rPr>
          <w:t>Figure 5: LAC Methods of introduction</w:t>
        </w:r>
        <w:r w:rsidR="00C759B8">
          <w:rPr>
            <w:noProof/>
            <w:webHidden/>
          </w:rPr>
          <w:tab/>
        </w:r>
        <w:r w:rsidR="00C759B8">
          <w:rPr>
            <w:noProof/>
            <w:webHidden/>
          </w:rPr>
          <w:fldChar w:fldCharType="begin"/>
        </w:r>
        <w:r w:rsidR="00C759B8">
          <w:rPr>
            <w:noProof/>
            <w:webHidden/>
          </w:rPr>
          <w:instrText xml:space="preserve"> PAGEREF _Toc64536338 \h </w:instrText>
        </w:r>
        <w:r w:rsidR="00C759B8">
          <w:rPr>
            <w:noProof/>
            <w:webHidden/>
          </w:rPr>
        </w:r>
        <w:r w:rsidR="00C759B8">
          <w:rPr>
            <w:noProof/>
            <w:webHidden/>
          </w:rPr>
          <w:fldChar w:fldCharType="separate"/>
        </w:r>
        <w:r w:rsidR="00C759B8">
          <w:rPr>
            <w:noProof/>
            <w:webHidden/>
          </w:rPr>
          <w:t>23</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39" w:history="1">
        <w:r w:rsidR="00C759B8" w:rsidRPr="00B47D33">
          <w:rPr>
            <w:rStyle w:val="Hyperlink"/>
            <w:noProof/>
          </w:rPr>
          <w:t>Figure 6: LAC Role</w:t>
        </w:r>
        <w:r w:rsidR="00C759B8">
          <w:rPr>
            <w:noProof/>
            <w:webHidden/>
          </w:rPr>
          <w:tab/>
        </w:r>
        <w:r w:rsidR="00C759B8">
          <w:rPr>
            <w:noProof/>
            <w:webHidden/>
          </w:rPr>
          <w:fldChar w:fldCharType="begin"/>
        </w:r>
        <w:r w:rsidR="00C759B8">
          <w:rPr>
            <w:noProof/>
            <w:webHidden/>
          </w:rPr>
          <w:instrText xml:space="preserve"> PAGEREF _Toc64536339 \h </w:instrText>
        </w:r>
        <w:r w:rsidR="00C759B8">
          <w:rPr>
            <w:noProof/>
            <w:webHidden/>
          </w:rPr>
        </w:r>
        <w:r w:rsidR="00C759B8">
          <w:rPr>
            <w:noProof/>
            <w:webHidden/>
          </w:rPr>
          <w:fldChar w:fldCharType="separate"/>
        </w:r>
        <w:r w:rsidR="00C759B8">
          <w:rPr>
            <w:noProof/>
            <w:webHidden/>
          </w:rPr>
          <w:t>25</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40" w:history="1">
        <w:r w:rsidR="00C759B8" w:rsidRPr="00B47D33">
          <w:rPr>
            <w:rStyle w:val="Hyperlink"/>
            <w:noProof/>
          </w:rPr>
          <w:t>Figure 7: LAC Funding</w:t>
        </w:r>
        <w:r w:rsidR="00C759B8">
          <w:rPr>
            <w:noProof/>
            <w:webHidden/>
          </w:rPr>
          <w:tab/>
        </w:r>
        <w:r w:rsidR="00C759B8">
          <w:rPr>
            <w:noProof/>
            <w:webHidden/>
          </w:rPr>
          <w:fldChar w:fldCharType="begin"/>
        </w:r>
        <w:r w:rsidR="00C759B8">
          <w:rPr>
            <w:noProof/>
            <w:webHidden/>
          </w:rPr>
          <w:instrText xml:space="preserve"> PAGEREF _Toc64536340 \h </w:instrText>
        </w:r>
        <w:r w:rsidR="00C759B8">
          <w:rPr>
            <w:noProof/>
            <w:webHidden/>
          </w:rPr>
        </w:r>
        <w:r w:rsidR="00C759B8">
          <w:rPr>
            <w:noProof/>
            <w:webHidden/>
          </w:rPr>
          <w:fldChar w:fldCharType="separate"/>
        </w:r>
        <w:r w:rsidR="00C759B8">
          <w:rPr>
            <w:noProof/>
            <w:webHidden/>
          </w:rPr>
          <w:t>26</w:t>
        </w:r>
        <w:r w:rsidR="00C759B8">
          <w:rPr>
            <w:noProof/>
            <w:webHidden/>
          </w:rPr>
          <w:fldChar w:fldCharType="end"/>
        </w:r>
      </w:hyperlink>
    </w:p>
    <w:p w:rsidR="00C759B8" w:rsidRDefault="004B494E">
      <w:pPr>
        <w:pStyle w:val="TableofFigures"/>
        <w:tabs>
          <w:tab w:val="right" w:leader="dot" w:pos="9016"/>
        </w:tabs>
        <w:rPr>
          <w:rFonts w:asciiTheme="minorHAnsi" w:hAnsiTheme="minorHAnsi"/>
          <w:noProof/>
          <w:szCs w:val="22"/>
          <w:lang w:val="en-AU" w:eastAsia="en-AU"/>
        </w:rPr>
      </w:pPr>
      <w:hyperlink w:anchor="_Toc64536341" w:history="1">
        <w:r w:rsidR="00C759B8" w:rsidRPr="00B47D33">
          <w:rPr>
            <w:rStyle w:val="Hyperlink"/>
            <w:noProof/>
          </w:rPr>
          <w:t>Figure 8: LAC cost-effectiveness</w:t>
        </w:r>
        <w:r w:rsidR="00C759B8">
          <w:rPr>
            <w:noProof/>
            <w:webHidden/>
          </w:rPr>
          <w:tab/>
        </w:r>
        <w:r w:rsidR="00C759B8">
          <w:rPr>
            <w:noProof/>
            <w:webHidden/>
          </w:rPr>
          <w:fldChar w:fldCharType="begin"/>
        </w:r>
        <w:r w:rsidR="00C759B8">
          <w:rPr>
            <w:noProof/>
            <w:webHidden/>
          </w:rPr>
          <w:instrText xml:space="preserve"> PAGEREF _Toc64536341 \h </w:instrText>
        </w:r>
        <w:r w:rsidR="00C759B8">
          <w:rPr>
            <w:noProof/>
            <w:webHidden/>
          </w:rPr>
        </w:r>
        <w:r w:rsidR="00C759B8">
          <w:rPr>
            <w:noProof/>
            <w:webHidden/>
          </w:rPr>
          <w:fldChar w:fldCharType="separate"/>
        </w:r>
        <w:r w:rsidR="00C759B8">
          <w:rPr>
            <w:noProof/>
            <w:webHidden/>
          </w:rPr>
          <w:t>27</w:t>
        </w:r>
        <w:r w:rsidR="00C759B8">
          <w:rPr>
            <w:noProof/>
            <w:webHidden/>
          </w:rPr>
          <w:fldChar w:fldCharType="end"/>
        </w:r>
      </w:hyperlink>
    </w:p>
    <w:p w:rsidR="00F9484F" w:rsidRPr="00F9484F" w:rsidRDefault="00192692" w:rsidP="00296D0C">
      <w:r>
        <w:fldChar w:fldCharType="end"/>
      </w:r>
    </w:p>
    <w:p w:rsidR="00F9484F" w:rsidRDefault="00F9484F">
      <w:pPr>
        <w:spacing w:line="276" w:lineRule="auto"/>
        <w:rPr>
          <w:rFonts w:eastAsiaTheme="majorEastAsia" w:cstheme="majorBidi"/>
          <w:b/>
          <w:bCs/>
          <w:color w:val="6A2875"/>
          <w:sz w:val="44"/>
          <w:szCs w:val="26"/>
        </w:rPr>
      </w:pPr>
      <w:r>
        <w:br w:type="page"/>
      </w:r>
    </w:p>
    <w:p w:rsidR="004D32B5" w:rsidRDefault="004D32B5" w:rsidP="008808FE">
      <w:pPr>
        <w:pStyle w:val="Heading2"/>
        <w:numPr>
          <w:ilvl w:val="0"/>
          <w:numId w:val="0"/>
        </w:numPr>
      </w:pPr>
      <w:bookmarkStart w:id="32" w:name="_Toc65251772"/>
      <w:r>
        <w:lastRenderedPageBreak/>
        <w:t>Executive summary</w:t>
      </w:r>
      <w:bookmarkEnd w:id="32"/>
      <w:r>
        <w:t xml:space="preserve"> </w:t>
      </w:r>
    </w:p>
    <w:p w:rsidR="00F9484F" w:rsidRDefault="00F9484F" w:rsidP="00E90557">
      <w:pPr>
        <w:pStyle w:val="Heading3"/>
        <w:numPr>
          <w:ilvl w:val="0"/>
          <w:numId w:val="0"/>
        </w:numPr>
        <w:rPr>
          <w:lang w:val="en-AU" w:eastAsia="en-AU"/>
        </w:rPr>
      </w:pPr>
      <w:bookmarkStart w:id="33" w:name="_Toc65251773"/>
      <w:r w:rsidRPr="002F6A24">
        <w:rPr>
          <w:lang w:val="en-AU" w:eastAsia="en-AU"/>
        </w:rPr>
        <w:t>The Problem:</w:t>
      </w:r>
      <w:bookmarkEnd w:id="33"/>
      <w:r w:rsidRPr="002F6A24">
        <w:rPr>
          <w:lang w:val="en-AU" w:eastAsia="en-AU"/>
        </w:rPr>
        <w:t xml:space="preserve"> </w:t>
      </w:r>
    </w:p>
    <w:p w:rsidR="00F9484F" w:rsidRPr="002F6A24" w:rsidRDefault="00F9484F" w:rsidP="00F9484F">
      <w:pPr>
        <w:rPr>
          <w:rFonts w:cs="Arial"/>
        </w:rPr>
      </w:pPr>
      <w:r w:rsidRPr="002F6A24">
        <w:rPr>
          <w:color w:val="000000" w:themeColor="text1"/>
          <w:kern w:val="24"/>
          <w:lang w:val="en-AU" w:eastAsia="en-AU"/>
        </w:rPr>
        <w:t xml:space="preserve">Support Coordination (SC) is an intervention funded by NDIS as an intermediary service to assist participants to understand and implement their plan, connect them to community or mainstream services, </w:t>
      </w:r>
      <w:r>
        <w:rPr>
          <w:color w:val="000000" w:themeColor="text1"/>
          <w:kern w:val="24"/>
          <w:lang w:val="en-AU" w:eastAsia="en-AU"/>
        </w:rPr>
        <w:t xml:space="preserve">anticipate, </w:t>
      </w:r>
      <w:r w:rsidRPr="004B3407">
        <w:rPr>
          <w:color w:val="000000" w:themeColor="text1"/>
          <w:kern w:val="24"/>
          <w:lang w:val="en-AU" w:eastAsia="en-AU"/>
        </w:rPr>
        <w:t>mitigat</w:t>
      </w:r>
      <w:r>
        <w:rPr>
          <w:color w:val="000000" w:themeColor="text1"/>
          <w:kern w:val="24"/>
          <w:lang w:val="en-AU" w:eastAsia="en-AU"/>
        </w:rPr>
        <w:t>e</w:t>
      </w:r>
      <w:r w:rsidRPr="004B3407">
        <w:rPr>
          <w:color w:val="000000" w:themeColor="text1"/>
          <w:kern w:val="24"/>
          <w:lang w:val="en-AU" w:eastAsia="en-AU"/>
        </w:rPr>
        <w:t xml:space="preserve"> </w:t>
      </w:r>
      <w:r>
        <w:rPr>
          <w:color w:val="000000" w:themeColor="text1"/>
          <w:kern w:val="24"/>
          <w:lang w:val="en-AU" w:eastAsia="en-AU"/>
        </w:rPr>
        <w:t xml:space="preserve">and manage crises, </w:t>
      </w:r>
      <w:r w:rsidRPr="002F6A24">
        <w:rPr>
          <w:color w:val="000000" w:themeColor="text1"/>
          <w:kern w:val="24"/>
          <w:lang w:val="en-AU" w:eastAsia="en-AU"/>
        </w:rPr>
        <w:t>and build the participant’s capacity for self-</w:t>
      </w:r>
      <w:r>
        <w:rPr>
          <w:color w:val="000000" w:themeColor="text1"/>
          <w:kern w:val="24"/>
          <w:lang w:val="en-AU" w:eastAsia="en-AU"/>
        </w:rPr>
        <w:t>direction</w:t>
      </w:r>
      <w:r w:rsidRPr="002F6A24">
        <w:rPr>
          <w:color w:val="000000" w:themeColor="text1"/>
          <w:kern w:val="24"/>
          <w:lang w:val="en-AU" w:eastAsia="en-AU"/>
        </w:rPr>
        <w:t xml:space="preserve">. It is currently funded at 3 levels (Support connection, Coordination of supports, and Specialist support Coordination) depending on the intensity of support </w:t>
      </w:r>
      <w:r>
        <w:rPr>
          <w:color w:val="000000" w:themeColor="text1"/>
          <w:kern w:val="24"/>
          <w:lang w:val="en-AU" w:eastAsia="en-AU"/>
        </w:rPr>
        <w:t xml:space="preserve">and </w:t>
      </w:r>
      <w:r w:rsidRPr="002F6A24">
        <w:rPr>
          <w:color w:val="000000" w:themeColor="text1"/>
          <w:kern w:val="24"/>
          <w:lang w:val="en-AU" w:eastAsia="en-AU"/>
        </w:rPr>
        <w:t>expertise the participant requires.</w:t>
      </w:r>
    </w:p>
    <w:p w:rsidR="00F9484F" w:rsidRPr="002F6A24" w:rsidRDefault="00F9484F" w:rsidP="00F9484F">
      <w:pPr>
        <w:rPr>
          <w:rFonts w:cs="Arial"/>
        </w:rPr>
      </w:pPr>
      <w:r w:rsidRPr="002F6A24">
        <w:rPr>
          <w:color w:val="000000" w:themeColor="text1"/>
          <w:kern w:val="24"/>
          <w:lang w:val="en-AU" w:eastAsia="en-AU"/>
        </w:rPr>
        <w:t>It is</w:t>
      </w:r>
      <w:r w:rsidRPr="002F6A24">
        <w:rPr>
          <w:b/>
          <w:color w:val="000000" w:themeColor="text1"/>
          <w:kern w:val="24"/>
          <w:lang w:val="en-AU" w:eastAsia="en-AU"/>
        </w:rPr>
        <w:t xml:space="preserve"> </w:t>
      </w:r>
      <w:r w:rsidRPr="002F6A24">
        <w:rPr>
          <w:color w:val="000000" w:themeColor="text1"/>
          <w:kern w:val="24"/>
          <w:lang w:val="en-AU" w:eastAsia="en-AU"/>
        </w:rPr>
        <w:t xml:space="preserve">unclear if this 3-level model is ‘fit for purpose’ to facilitate intended plan implementation outcomes for NDIS participants. Critical </w:t>
      </w:r>
      <w:r w:rsidRPr="002F6A24">
        <w:rPr>
          <w:color w:val="000000" w:themeColor="text1"/>
          <w:kern w:val="24"/>
          <w:lang w:eastAsia="en-AU"/>
        </w:rPr>
        <w:t xml:space="preserve">issues include: </w:t>
      </w:r>
    </w:p>
    <w:p w:rsidR="00F9484F" w:rsidRPr="002F6A24" w:rsidRDefault="00F9484F" w:rsidP="00FB1D92">
      <w:pPr>
        <w:pStyle w:val="ListParagraph"/>
        <w:numPr>
          <w:ilvl w:val="1"/>
          <w:numId w:val="3"/>
        </w:numPr>
        <w:ind w:left="720"/>
        <w:rPr>
          <w:rFonts w:cs="Arial"/>
        </w:rPr>
      </w:pPr>
      <w:r>
        <w:rPr>
          <w:color w:val="000000" w:themeColor="text1"/>
          <w:kern w:val="24"/>
          <w:lang w:eastAsia="en-AU"/>
        </w:rPr>
        <w:t xml:space="preserve">inconsistent application of “reasonable and necessary” criteria when including SC in plans; </w:t>
      </w:r>
    </w:p>
    <w:p w:rsidR="00F9484F" w:rsidRPr="002F6A24" w:rsidRDefault="00F9484F" w:rsidP="00FB1D92">
      <w:pPr>
        <w:pStyle w:val="ListParagraph"/>
        <w:numPr>
          <w:ilvl w:val="1"/>
          <w:numId w:val="3"/>
        </w:numPr>
        <w:ind w:left="720"/>
        <w:rPr>
          <w:rFonts w:cs="Arial"/>
          <w:szCs w:val="22"/>
        </w:rPr>
      </w:pPr>
      <w:r w:rsidRPr="002F6A24">
        <w:rPr>
          <w:rFonts w:cs="Arial"/>
          <w:color w:val="000000" w:themeColor="text1"/>
          <w:kern w:val="24"/>
          <w:szCs w:val="22"/>
        </w:rPr>
        <w:t>unclear guidelines for determining what level</w:t>
      </w:r>
      <w:r>
        <w:rPr>
          <w:rFonts w:cs="Arial"/>
          <w:color w:val="000000" w:themeColor="text1"/>
          <w:kern w:val="24"/>
          <w:szCs w:val="22"/>
        </w:rPr>
        <w:t xml:space="preserve"> of SC is required;</w:t>
      </w:r>
    </w:p>
    <w:p w:rsidR="00F9484F" w:rsidRPr="002F6A24" w:rsidRDefault="00F9484F" w:rsidP="00FB1D92">
      <w:pPr>
        <w:pStyle w:val="ListParagraph"/>
        <w:numPr>
          <w:ilvl w:val="1"/>
          <w:numId w:val="3"/>
        </w:numPr>
        <w:ind w:left="720"/>
        <w:rPr>
          <w:rFonts w:cs="Arial"/>
        </w:rPr>
      </w:pPr>
      <w:r>
        <w:rPr>
          <w:color w:val="000000" w:themeColor="text1"/>
          <w:kern w:val="24"/>
          <w:lang w:eastAsia="en-AU"/>
        </w:rPr>
        <w:t xml:space="preserve">conflicts of interest where providers of other funded services also provide SC; and </w:t>
      </w:r>
    </w:p>
    <w:p w:rsidR="00F9484F" w:rsidRPr="002F6A24" w:rsidRDefault="00F9484F" w:rsidP="00FB1D92">
      <w:pPr>
        <w:pStyle w:val="ListParagraph"/>
        <w:numPr>
          <w:ilvl w:val="1"/>
          <w:numId w:val="3"/>
        </w:numPr>
        <w:ind w:left="720"/>
        <w:rPr>
          <w:rFonts w:cs="Arial"/>
        </w:rPr>
      </w:pPr>
      <w:r>
        <w:rPr>
          <w:color w:val="000000" w:themeColor="text1"/>
          <w:kern w:val="24"/>
          <w:lang w:eastAsia="en-AU"/>
        </w:rPr>
        <w:t xml:space="preserve">service duplication particularly for level one (Support connection) which overlaps considerably with Local Area Coordination (LAC) roles.  </w:t>
      </w:r>
    </w:p>
    <w:p w:rsidR="00F9484F" w:rsidRDefault="00F9484F" w:rsidP="00F9484F">
      <w:pPr>
        <w:pStyle w:val="Heading4"/>
        <w:numPr>
          <w:ilvl w:val="0"/>
          <w:numId w:val="0"/>
        </w:numPr>
        <w:ind w:left="709" w:hanging="709"/>
      </w:pPr>
      <w:bookmarkStart w:id="34" w:name="_Toc65251774"/>
      <w:r>
        <w:t>Our methods</w:t>
      </w:r>
      <w:r w:rsidRPr="002F6A24">
        <w:t>:</w:t>
      </w:r>
      <w:bookmarkEnd w:id="34"/>
      <w:r w:rsidRPr="00482468">
        <w:t xml:space="preserve"> </w:t>
      </w:r>
    </w:p>
    <w:p w:rsidR="00F9484F" w:rsidRPr="00482468" w:rsidRDefault="00F9484F" w:rsidP="00F9484F">
      <w:r>
        <w:t xml:space="preserve">We undertook a rapid evidence review using systematic methods to retrieve and critically appraise published reports of </w:t>
      </w:r>
      <w:r w:rsidRPr="002F6A24">
        <w:rPr>
          <w:lang w:val="en-AU"/>
        </w:rPr>
        <w:t xml:space="preserve">contemporary (2010-) </w:t>
      </w:r>
      <w:r>
        <w:t xml:space="preserve">SC and LAC models. </w:t>
      </w:r>
    </w:p>
    <w:p w:rsidR="00F9484F" w:rsidRDefault="00F9484F" w:rsidP="00F9484F">
      <w:pPr>
        <w:rPr>
          <w:color w:val="000000" w:themeColor="text1"/>
          <w:kern w:val="24"/>
          <w:lang w:val="en-AU" w:eastAsia="en-AU"/>
        </w:rPr>
      </w:pPr>
      <w:r>
        <w:rPr>
          <w:lang w:val="en-AU"/>
        </w:rPr>
        <w:t>W</w:t>
      </w:r>
      <w:r w:rsidRPr="000570EC">
        <w:rPr>
          <w:lang w:val="en-AU"/>
        </w:rPr>
        <w:t>e</w:t>
      </w:r>
      <w:r w:rsidRPr="00556584">
        <w:t xml:space="preserve"> </w:t>
      </w:r>
      <w:r>
        <w:t xml:space="preserve">also sought published </w:t>
      </w:r>
      <w:r w:rsidRPr="000570EC">
        <w:rPr>
          <w:color w:val="000000" w:themeColor="text1"/>
          <w:kern w:val="24"/>
          <w:lang w:val="en-AU" w:eastAsia="en-AU"/>
        </w:rPr>
        <w:t>data comparing the effectiveness and cost-effectiveness of different SC-equivalent interventions</w:t>
      </w:r>
      <w:r>
        <w:rPr>
          <w:color w:val="000000" w:themeColor="text1"/>
          <w:kern w:val="24"/>
          <w:lang w:val="en-AU" w:eastAsia="en-AU"/>
        </w:rPr>
        <w:t>.</w:t>
      </w:r>
      <w:r w:rsidRPr="000570EC">
        <w:rPr>
          <w:color w:val="000000" w:themeColor="text1"/>
          <w:kern w:val="24"/>
          <w:lang w:val="en-AU" w:eastAsia="en-AU"/>
        </w:rPr>
        <w:t xml:space="preserve"> </w:t>
      </w:r>
    </w:p>
    <w:p w:rsidR="00F9484F" w:rsidRDefault="00F9484F" w:rsidP="00F9484F">
      <w:pPr>
        <w:pStyle w:val="Heading4"/>
        <w:numPr>
          <w:ilvl w:val="0"/>
          <w:numId w:val="0"/>
        </w:numPr>
        <w:ind w:left="709" w:hanging="709"/>
        <w:rPr>
          <w:lang w:val="en-AU" w:eastAsia="en-AU"/>
        </w:rPr>
      </w:pPr>
      <w:bookmarkStart w:id="35" w:name="_Toc65251775"/>
      <w:r w:rsidRPr="00F36290">
        <w:rPr>
          <w:lang w:val="en-AU" w:eastAsia="en-AU"/>
        </w:rPr>
        <w:t>Key Findings:</w:t>
      </w:r>
      <w:bookmarkEnd w:id="35"/>
      <w:r w:rsidRPr="00F36290">
        <w:t xml:space="preserve"> </w:t>
      </w:r>
    </w:p>
    <w:p w:rsidR="00F9484F" w:rsidRDefault="00F9484F" w:rsidP="00F9484F">
      <w:pPr>
        <w:rPr>
          <w:lang w:val="en-AU"/>
        </w:rPr>
      </w:pPr>
      <w:r>
        <w:rPr>
          <w:color w:val="000000" w:themeColor="text1"/>
          <w:kern w:val="24"/>
          <w:lang w:val="en-AU" w:eastAsia="en-AU"/>
        </w:rPr>
        <w:t>K</w:t>
      </w:r>
      <w:r w:rsidRPr="002F6A24">
        <w:rPr>
          <w:lang w:val="en-AU"/>
        </w:rPr>
        <w:t xml:space="preserve">ey components of </w:t>
      </w:r>
      <w:r>
        <w:rPr>
          <w:lang w:val="en-AU"/>
        </w:rPr>
        <w:t xml:space="preserve">SC </w:t>
      </w:r>
      <w:r w:rsidRPr="002F6A24">
        <w:rPr>
          <w:lang w:val="en-AU"/>
        </w:rPr>
        <w:t>models</w:t>
      </w:r>
      <w:r>
        <w:rPr>
          <w:lang w:val="en-AU"/>
        </w:rPr>
        <w:t xml:space="preserve"> (as described in published journal articles) are summarised in Appendix</w:t>
      </w:r>
      <w:r w:rsidRPr="002F6A24">
        <w:rPr>
          <w:lang w:val="en-AU"/>
        </w:rPr>
        <w:t xml:space="preserve"> </w:t>
      </w:r>
      <w:r>
        <w:rPr>
          <w:lang w:val="en-AU"/>
        </w:rPr>
        <w:t>2.</w:t>
      </w:r>
    </w:p>
    <w:p w:rsidR="00F9484F" w:rsidRDefault="00F9484F" w:rsidP="00F9484F">
      <w:pPr>
        <w:rPr>
          <w:color w:val="000000" w:themeColor="text1"/>
          <w:kern w:val="24"/>
          <w:lang w:val="en-AU" w:eastAsia="en-AU"/>
        </w:rPr>
      </w:pPr>
      <w:r>
        <w:rPr>
          <w:lang w:val="en-AU"/>
        </w:rPr>
        <w:t xml:space="preserve">Key components of LAC models (as described in published journal articles or reports to government) are summarised in Appendix 3. </w:t>
      </w:r>
    </w:p>
    <w:p w:rsidR="00F9484F" w:rsidRDefault="00F9484F" w:rsidP="00F9484F">
      <w:pPr>
        <w:rPr>
          <w:b/>
          <w:color w:val="000000" w:themeColor="text1"/>
          <w:kern w:val="24"/>
          <w:lang w:val="en-AU" w:eastAsia="en-AU"/>
        </w:rPr>
      </w:pPr>
      <w:r w:rsidRPr="002E49D2">
        <w:rPr>
          <w:b/>
          <w:color w:val="000000" w:themeColor="text1"/>
          <w:kern w:val="24"/>
          <w:lang w:val="en-AU" w:eastAsia="en-AU"/>
        </w:rPr>
        <w:t xml:space="preserve">What do we know about the effectiveness </w:t>
      </w:r>
      <w:r w:rsidR="00DE34C3">
        <w:rPr>
          <w:b/>
          <w:color w:val="000000" w:themeColor="text1"/>
          <w:kern w:val="24"/>
          <w:lang w:val="en-AU" w:eastAsia="en-AU"/>
        </w:rPr>
        <w:t>or cost-</w:t>
      </w:r>
      <w:r w:rsidR="00DE34C3" w:rsidRPr="002E49D2">
        <w:rPr>
          <w:b/>
          <w:color w:val="000000" w:themeColor="text1"/>
          <w:kern w:val="24"/>
          <w:lang w:val="en-AU" w:eastAsia="en-AU"/>
        </w:rPr>
        <w:t xml:space="preserve">effectiveness </w:t>
      </w:r>
      <w:r w:rsidRPr="002E49D2">
        <w:rPr>
          <w:b/>
          <w:color w:val="000000" w:themeColor="text1"/>
          <w:kern w:val="24"/>
          <w:lang w:val="en-AU" w:eastAsia="en-AU"/>
        </w:rPr>
        <w:t xml:space="preserve">of </w:t>
      </w:r>
      <w:r>
        <w:rPr>
          <w:b/>
          <w:color w:val="000000" w:themeColor="text1"/>
          <w:kern w:val="24"/>
          <w:lang w:val="en-AU" w:eastAsia="en-AU"/>
        </w:rPr>
        <w:t>SC</w:t>
      </w:r>
      <w:r w:rsidRPr="002E49D2">
        <w:rPr>
          <w:b/>
          <w:color w:val="000000" w:themeColor="text1"/>
          <w:kern w:val="24"/>
          <w:lang w:val="en-AU" w:eastAsia="en-AU"/>
        </w:rPr>
        <w:t xml:space="preserve"> </w:t>
      </w:r>
      <w:r>
        <w:rPr>
          <w:b/>
          <w:color w:val="000000" w:themeColor="text1"/>
          <w:kern w:val="24"/>
          <w:lang w:val="en-AU" w:eastAsia="en-AU"/>
        </w:rPr>
        <w:t>interventions</w:t>
      </w:r>
      <w:r w:rsidRPr="002E49D2">
        <w:rPr>
          <w:b/>
          <w:color w:val="000000" w:themeColor="text1"/>
          <w:kern w:val="24"/>
          <w:lang w:val="en-AU" w:eastAsia="en-AU"/>
        </w:rPr>
        <w:t xml:space="preserve">? </w:t>
      </w:r>
    </w:p>
    <w:p w:rsidR="00F9484F" w:rsidRPr="00772D42" w:rsidRDefault="00F9484F" w:rsidP="00F9484F">
      <w:pPr>
        <w:rPr>
          <w:lang w:val="en-AU"/>
        </w:rPr>
      </w:pPr>
      <w:r>
        <w:rPr>
          <w:color w:val="000000" w:themeColor="text1"/>
          <w:kern w:val="24"/>
          <w:lang w:val="en-AU" w:eastAsia="en-AU"/>
        </w:rPr>
        <w:t>T</w:t>
      </w:r>
      <w:r w:rsidRPr="00482468">
        <w:rPr>
          <w:color w:val="000000" w:themeColor="text1"/>
          <w:kern w:val="24"/>
          <w:lang w:val="en-AU" w:eastAsia="en-AU"/>
        </w:rPr>
        <w:t xml:space="preserve">here </w:t>
      </w:r>
      <w:r>
        <w:rPr>
          <w:color w:val="000000" w:themeColor="text1"/>
          <w:kern w:val="24"/>
          <w:lang w:val="en-AU" w:eastAsia="en-AU"/>
        </w:rPr>
        <w:t xml:space="preserve">were </w:t>
      </w:r>
      <w:r>
        <w:rPr>
          <w:lang w:val="en-AU"/>
        </w:rPr>
        <w:t xml:space="preserve">no studies directly comparing SC-equivalent intervention/s </w:t>
      </w:r>
      <w:r w:rsidRPr="00772D42">
        <w:rPr>
          <w:lang w:val="en-AU"/>
        </w:rPr>
        <w:t>to “no ser</w:t>
      </w:r>
      <w:r>
        <w:rPr>
          <w:lang w:val="en-AU"/>
        </w:rPr>
        <w:t xml:space="preserve">vice” or an alternative model, thus the effectiveness (and cost-effectiveness) of these interventions is uncertain. </w:t>
      </w:r>
    </w:p>
    <w:p w:rsidR="00F9484F" w:rsidRDefault="00F9484F" w:rsidP="00F9484F">
      <w:r>
        <w:rPr>
          <w:color w:val="000000" w:themeColor="text1"/>
          <w:kern w:val="24"/>
          <w:lang w:val="en-AU" w:eastAsia="en-AU"/>
        </w:rPr>
        <w:lastRenderedPageBreak/>
        <w:t>There is</w:t>
      </w:r>
      <w:r w:rsidRPr="00482468">
        <w:rPr>
          <w:color w:val="000000" w:themeColor="text1"/>
          <w:kern w:val="24"/>
          <w:lang w:val="en-AU" w:eastAsia="en-AU"/>
        </w:rPr>
        <w:t xml:space="preserve"> qualitative evidence</w:t>
      </w:r>
      <w:r>
        <w:rPr>
          <w:color w:val="000000" w:themeColor="text1"/>
          <w:kern w:val="24"/>
          <w:lang w:val="en-AU" w:eastAsia="en-AU"/>
        </w:rPr>
        <w:t xml:space="preserve"> from the perspective of </w:t>
      </w:r>
      <w:r>
        <w:t xml:space="preserve">disability planners and workers </w:t>
      </w:r>
      <w:r>
        <w:rPr>
          <w:color w:val="000000" w:themeColor="text1"/>
          <w:kern w:val="24"/>
          <w:lang w:val="en-AU" w:eastAsia="en-AU"/>
        </w:rPr>
        <w:t xml:space="preserve">that </w:t>
      </w:r>
      <w:r>
        <w:t xml:space="preserve">SC-equivalent interventions are important enablers of </w:t>
      </w:r>
      <w:r w:rsidRPr="00482468">
        <w:t>successful plan implementation</w:t>
      </w:r>
      <w:r>
        <w:t xml:space="preserve">. This is likely to be particularly important </w:t>
      </w:r>
      <w:r w:rsidRPr="00482468">
        <w:t xml:space="preserve">for people with </w:t>
      </w:r>
      <w:r w:rsidRPr="007B0226">
        <w:t>more complex needs, circumstances or support environments</w:t>
      </w:r>
      <w:r>
        <w:t>.</w:t>
      </w:r>
    </w:p>
    <w:p w:rsidR="00F9484F" w:rsidRDefault="00F9484F" w:rsidP="00F9484F">
      <w:r>
        <w:t xml:space="preserve">There is also qualitative evidence from the perspective of consumers and their families </w:t>
      </w:r>
      <w:r w:rsidRPr="00F97102">
        <w:t>that</w:t>
      </w:r>
      <w:r>
        <w:t>:</w:t>
      </w:r>
    </w:p>
    <w:p w:rsidR="00F9484F" w:rsidRDefault="00F9484F" w:rsidP="00FB1D92">
      <w:pPr>
        <w:pStyle w:val="ListParagraph"/>
        <w:numPr>
          <w:ilvl w:val="0"/>
          <w:numId w:val="4"/>
        </w:numPr>
        <w:rPr>
          <w:color w:val="000000"/>
        </w:rPr>
      </w:pPr>
      <w:r w:rsidRPr="006525DC">
        <w:rPr>
          <w:color w:val="000000"/>
        </w:rPr>
        <w:t>external support is required to successfully navigate self-directed systems</w:t>
      </w:r>
      <w:r>
        <w:rPr>
          <w:color w:val="000000"/>
        </w:rPr>
        <w:t xml:space="preserve">; </w:t>
      </w:r>
      <w:r w:rsidRPr="006525DC">
        <w:rPr>
          <w:color w:val="000000"/>
        </w:rPr>
        <w:t xml:space="preserve">and </w:t>
      </w:r>
    </w:p>
    <w:p w:rsidR="00F9484F" w:rsidRPr="006525DC" w:rsidRDefault="00F9484F" w:rsidP="00FB1D92">
      <w:pPr>
        <w:pStyle w:val="ListParagraph"/>
        <w:numPr>
          <w:ilvl w:val="0"/>
          <w:numId w:val="4"/>
        </w:numPr>
        <w:rPr>
          <w:color w:val="000000"/>
        </w:rPr>
      </w:pPr>
      <w:bookmarkStart w:id="36" w:name="_GoBack"/>
      <w:bookmarkEnd w:id="36"/>
      <w:r w:rsidRPr="006525DC">
        <w:rPr>
          <w:color w:val="000000"/>
        </w:rPr>
        <w:t xml:space="preserve">strong, trusting and collaborative relationships with both paid and unpaid individuals in the person's support network were facilitators of successful plan implementation.  </w:t>
      </w:r>
    </w:p>
    <w:p w:rsidR="00F9484F" w:rsidRDefault="00F9484F" w:rsidP="00F9484F">
      <w:pPr>
        <w:rPr>
          <w:b/>
          <w:color w:val="000000" w:themeColor="text1"/>
          <w:kern w:val="24"/>
          <w:lang w:val="en-AU" w:eastAsia="en-AU"/>
        </w:rPr>
      </w:pPr>
      <w:r>
        <w:rPr>
          <w:color w:val="000000"/>
        </w:rPr>
        <w:t xml:space="preserve">There was evidence of </w:t>
      </w:r>
      <w:r w:rsidRPr="006C3202">
        <w:rPr>
          <w:color w:val="000000"/>
        </w:rPr>
        <w:t>disabling practices and attitudes among some support agencies</w:t>
      </w:r>
      <w:r>
        <w:rPr>
          <w:color w:val="000000"/>
        </w:rPr>
        <w:t>, evidenced</w:t>
      </w:r>
      <w:r w:rsidRPr="006C3202">
        <w:rPr>
          <w:color w:val="000000"/>
        </w:rPr>
        <w:t xml:space="preserve"> </w:t>
      </w:r>
      <w:r>
        <w:rPr>
          <w:color w:val="000000"/>
        </w:rPr>
        <w:t xml:space="preserve">by </w:t>
      </w:r>
      <w:r w:rsidRPr="006C3202">
        <w:rPr>
          <w:color w:val="000000"/>
        </w:rPr>
        <w:t>staff be</w:t>
      </w:r>
      <w:r>
        <w:rPr>
          <w:color w:val="000000"/>
        </w:rPr>
        <w:t>ing</w:t>
      </w:r>
      <w:r w:rsidRPr="006C3202">
        <w:rPr>
          <w:color w:val="000000"/>
        </w:rPr>
        <w:t xml:space="preserve"> very risk averse in order to safeguard their clients.</w:t>
      </w:r>
      <w:r>
        <w:rPr>
          <w:color w:val="000000"/>
        </w:rPr>
        <w:t xml:space="preserve"> </w:t>
      </w:r>
    </w:p>
    <w:p w:rsidR="00F9484F" w:rsidRPr="002E49D2" w:rsidRDefault="00F9484F" w:rsidP="00F9484F">
      <w:pPr>
        <w:rPr>
          <w:b/>
          <w:color w:val="000000" w:themeColor="text1"/>
          <w:kern w:val="24"/>
          <w:lang w:val="en-AU" w:eastAsia="en-AU"/>
        </w:rPr>
      </w:pPr>
      <w:r w:rsidRPr="002E49D2">
        <w:rPr>
          <w:b/>
          <w:color w:val="000000" w:themeColor="text1"/>
          <w:kern w:val="24"/>
          <w:lang w:val="en-AU" w:eastAsia="en-AU"/>
        </w:rPr>
        <w:t xml:space="preserve">What do we know about the </w:t>
      </w:r>
      <w:r>
        <w:rPr>
          <w:b/>
          <w:color w:val="000000" w:themeColor="text1"/>
          <w:kern w:val="24"/>
          <w:lang w:val="en-AU" w:eastAsia="en-AU"/>
        </w:rPr>
        <w:t>effectiveness or cost-</w:t>
      </w:r>
      <w:r w:rsidRPr="002E49D2">
        <w:rPr>
          <w:b/>
          <w:color w:val="000000" w:themeColor="text1"/>
          <w:kern w:val="24"/>
          <w:lang w:val="en-AU" w:eastAsia="en-AU"/>
        </w:rPr>
        <w:t xml:space="preserve">effectiveness of </w:t>
      </w:r>
      <w:r>
        <w:rPr>
          <w:b/>
          <w:color w:val="000000" w:themeColor="text1"/>
          <w:kern w:val="24"/>
          <w:lang w:val="en-AU" w:eastAsia="en-AU"/>
        </w:rPr>
        <w:t>LAC</w:t>
      </w:r>
      <w:r w:rsidRPr="002E49D2">
        <w:rPr>
          <w:b/>
          <w:color w:val="000000" w:themeColor="text1"/>
          <w:kern w:val="24"/>
          <w:lang w:val="en-AU" w:eastAsia="en-AU"/>
        </w:rPr>
        <w:t xml:space="preserve"> services? </w:t>
      </w:r>
    </w:p>
    <w:p w:rsidR="00F9484F" w:rsidRPr="00275433" w:rsidRDefault="00F9484F" w:rsidP="00F9484F">
      <w:pPr>
        <w:rPr>
          <w:lang w:val="en-AU"/>
        </w:rPr>
      </w:pPr>
      <w:r>
        <w:rPr>
          <w:color w:val="000000" w:themeColor="text1"/>
          <w:kern w:val="24"/>
          <w:lang w:val="en-AU" w:eastAsia="en-AU"/>
        </w:rPr>
        <w:t xml:space="preserve">There were no reports </w:t>
      </w:r>
      <w:r w:rsidRPr="00E8032B">
        <w:rPr>
          <w:color w:val="000000" w:themeColor="text1"/>
          <w:kern w:val="24"/>
          <w:lang w:val="en-AU" w:eastAsia="en-AU"/>
        </w:rPr>
        <w:t xml:space="preserve">directly comparing </w:t>
      </w:r>
      <w:r>
        <w:rPr>
          <w:color w:val="000000" w:themeColor="text1"/>
          <w:kern w:val="24"/>
          <w:lang w:val="en-AU" w:eastAsia="en-AU"/>
        </w:rPr>
        <w:t>interventions delivered by LAC</w:t>
      </w:r>
      <w:r w:rsidRPr="00E8032B">
        <w:rPr>
          <w:color w:val="000000" w:themeColor="text1"/>
          <w:kern w:val="24"/>
          <w:lang w:val="en-AU" w:eastAsia="en-AU"/>
        </w:rPr>
        <w:t xml:space="preserve"> to “no service” or an alternative </w:t>
      </w:r>
      <w:r>
        <w:rPr>
          <w:color w:val="000000" w:themeColor="text1"/>
          <w:kern w:val="24"/>
          <w:lang w:val="en-AU" w:eastAsia="en-AU"/>
        </w:rPr>
        <w:t xml:space="preserve">service </w:t>
      </w:r>
      <w:r w:rsidRPr="00E8032B">
        <w:rPr>
          <w:color w:val="000000" w:themeColor="text1"/>
          <w:kern w:val="24"/>
          <w:lang w:val="en-AU" w:eastAsia="en-AU"/>
        </w:rPr>
        <w:t>model, thus the</w:t>
      </w:r>
      <w:r>
        <w:rPr>
          <w:color w:val="000000" w:themeColor="text1"/>
          <w:kern w:val="24"/>
          <w:lang w:val="en-AU" w:eastAsia="en-AU"/>
        </w:rPr>
        <w:t>ir</w:t>
      </w:r>
      <w:r w:rsidRPr="00E8032B">
        <w:rPr>
          <w:color w:val="000000" w:themeColor="text1"/>
          <w:kern w:val="24"/>
          <w:lang w:val="en-AU" w:eastAsia="en-AU"/>
        </w:rPr>
        <w:t xml:space="preserve"> effectiveness</w:t>
      </w:r>
      <w:r>
        <w:rPr>
          <w:color w:val="000000" w:themeColor="text1"/>
          <w:kern w:val="24"/>
          <w:lang w:val="en-AU" w:eastAsia="en-AU"/>
        </w:rPr>
        <w:t xml:space="preserve"> is uncertain. Several</w:t>
      </w:r>
      <w:r>
        <w:rPr>
          <w:lang w:val="en-AU"/>
        </w:rPr>
        <w:t xml:space="preserve"> reports attempted to estimate the cost-effectiveness of LAC using </w:t>
      </w:r>
      <w:r>
        <w:t xml:space="preserve">the Social Return on Investment (SROI) method which attempts to quantify </w:t>
      </w:r>
      <w:r>
        <w:rPr>
          <w:rStyle w:val="e24kjd"/>
        </w:rPr>
        <w:t>extra-financial values like social or environmental impacts which are not reflected in conventional financial accounts</w:t>
      </w:r>
      <w:r>
        <w:rPr>
          <w:lang w:val="en-AU"/>
        </w:rPr>
        <w:t xml:space="preserve">. The accepted estimate was that </w:t>
      </w:r>
      <w:r w:rsidRPr="00E8032B">
        <w:t xml:space="preserve">for each </w:t>
      </w:r>
      <w:r>
        <w:t>unit</w:t>
      </w:r>
      <w:r w:rsidRPr="00E8032B">
        <w:t xml:space="preserve"> invested there was a </w:t>
      </w:r>
      <w:r>
        <w:t>four-fold</w:t>
      </w:r>
      <w:r w:rsidRPr="00E8032B">
        <w:t xml:space="preserve"> return into the local system</w:t>
      </w:r>
      <w:r>
        <w:t>.</w:t>
      </w:r>
    </w:p>
    <w:p w:rsidR="00F9484F" w:rsidRDefault="00F9484F" w:rsidP="00F9484F">
      <w:pPr>
        <w:pStyle w:val="Heading4"/>
        <w:numPr>
          <w:ilvl w:val="0"/>
          <w:numId w:val="0"/>
        </w:numPr>
        <w:ind w:left="709" w:hanging="709"/>
      </w:pPr>
      <w:bookmarkStart w:id="37" w:name="_Toc65251776"/>
      <w:r w:rsidRPr="00F36290">
        <w:t>Where to next:</w:t>
      </w:r>
      <w:bookmarkEnd w:id="37"/>
      <w:r w:rsidRPr="00F36290">
        <w:t xml:space="preserve">  </w:t>
      </w:r>
    </w:p>
    <w:p w:rsidR="00F9484F" w:rsidRDefault="00F9484F" w:rsidP="00F9484F">
      <w:pPr>
        <w:spacing w:beforeAutospacing="1" w:afterAutospacing="1"/>
        <w:rPr>
          <w:color w:val="000000"/>
        </w:rPr>
      </w:pPr>
      <w:r>
        <w:rPr>
          <w:color w:val="000000"/>
        </w:rPr>
        <w:t>For Support Coordination:</w:t>
      </w:r>
    </w:p>
    <w:p w:rsidR="00F9484F" w:rsidRPr="00494888" w:rsidRDefault="00F9484F" w:rsidP="00FB1D92">
      <w:pPr>
        <w:pStyle w:val="ListParagraph"/>
        <w:numPr>
          <w:ilvl w:val="0"/>
          <w:numId w:val="5"/>
        </w:numPr>
        <w:spacing w:beforeAutospacing="1" w:afterAutospacing="1"/>
        <w:rPr>
          <w:color w:val="000000"/>
        </w:rPr>
      </w:pPr>
      <w:r w:rsidRPr="00494888">
        <w:rPr>
          <w:color w:val="000000"/>
        </w:rPr>
        <w:t xml:space="preserve">SC interventions are implemented differently internationally but seldom described in detail or evaluated. Although they have not been tested experimentally, extensive qualitative research suggests they are valued by consumers and are a major facilitator of successful plan implementation, providing support agencies avoid overly risk-averse attitudes. </w:t>
      </w:r>
    </w:p>
    <w:p w:rsidR="00F9484F" w:rsidRPr="00494888" w:rsidRDefault="00F9484F" w:rsidP="00FB1D92">
      <w:pPr>
        <w:pStyle w:val="ListParagraph"/>
        <w:numPr>
          <w:ilvl w:val="0"/>
          <w:numId w:val="5"/>
        </w:numPr>
        <w:spacing w:beforeAutospacing="1" w:afterAutospacing="1"/>
        <w:rPr>
          <w:lang w:val="en-AU"/>
        </w:rPr>
      </w:pPr>
      <w:r>
        <w:t xml:space="preserve">They are likely to be crucial for people with complex needs </w:t>
      </w:r>
      <w:r w:rsidRPr="00482468">
        <w:t>i.e. those with a range of different, often interrelated, needs that are serious, intense, severe</w:t>
      </w:r>
      <w:r>
        <w:t>,</w:t>
      </w:r>
      <w:r w:rsidRPr="00482468">
        <w:t xml:space="preserve"> or profound and likely to require support from different services, such as social, health and housing services. </w:t>
      </w:r>
      <w:r>
        <w:t>P</w:t>
      </w:r>
      <w:r w:rsidRPr="00482468">
        <w:t xml:space="preserve">opulations who experience </w:t>
      </w:r>
      <w:r w:rsidRPr="00494888">
        <w:rPr>
          <w:lang w:val="en-AU"/>
        </w:rPr>
        <w:t xml:space="preserve">difficulty accessing information and recruiting personal assistance workers are also likely to benefit from SC. </w:t>
      </w:r>
    </w:p>
    <w:p w:rsidR="00F9484F" w:rsidRDefault="00F9484F" w:rsidP="00FB1D92">
      <w:pPr>
        <w:pStyle w:val="ListParagraph"/>
        <w:numPr>
          <w:ilvl w:val="0"/>
          <w:numId w:val="5"/>
        </w:numPr>
        <w:spacing w:beforeAutospacing="1" w:afterAutospacing="1"/>
        <w:rPr>
          <w:lang w:val="en-AU"/>
        </w:rPr>
      </w:pPr>
      <w:r w:rsidRPr="00494888">
        <w:rPr>
          <w:lang w:val="en-AU"/>
        </w:rPr>
        <w:t xml:space="preserve">Eligibility criteria and levels of service for proposed new models should be developed in consultation with groups representing those with complex needs and LACs to ensure clarity of provider roles/scope and service priorities. </w:t>
      </w:r>
    </w:p>
    <w:p w:rsidR="00DE34C3" w:rsidRDefault="00DE34C3" w:rsidP="00FB1D92">
      <w:pPr>
        <w:pStyle w:val="ListParagraph"/>
        <w:numPr>
          <w:ilvl w:val="0"/>
          <w:numId w:val="5"/>
        </w:numPr>
        <w:spacing w:beforeAutospacing="1" w:afterAutospacing="1"/>
        <w:rPr>
          <w:lang w:val="en-AU"/>
        </w:rPr>
      </w:pPr>
      <w:r w:rsidRPr="00A74222">
        <w:rPr>
          <w:lang w:val="en-AU"/>
        </w:rPr>
        <w:t>A website similar to the “Connect to Support” platform used in the United Kingdom is recommended to provide participants with information and advice</w:t>
      </w:r>
      <w:r w:rsidR="00A74222" w:rsidRPr="00A74222">
        <w:rPr>
          <w:lang w:val="en-AU"/>
        </w:rPr>
        <w:t xml:space="preserve"> </w:t>
      </w:r>
      <w:r w:rsidRPr="00A74222">
        <w:rPr>
          <w:lang w:val="en-AU"/>
        </w:rPr>
        <w:t xml:space="preserve">tailored to reflect </w:t>
      </w:r>
      <w:r w:rsidRPr="00A74222">
        <w:rPr>
          <w:lang w:val="en-AU"/>
        </w:rPr>
        <w:lastRenderedPageBreak/>
        <w:t>the local area</w:t>
      </w:r>
      <w:r w:rsidR="00A74222" w:rsidRPr="00A74222">
        <w:rPr>
          <w:lang w:val="en-AU"/>
        </w:rPr>
        <w:t>’</w:t>
      </w:r>
      <w:r w:rsidRPr="00A74222">
        <w:rPr>
          <w:lang w:val="en-AU"/>
        </w:rPr>
        <w:t>s service market</w:t>
      </w:r>
      <w:r w:rsidR="00A74222" w:rsidRPr="00A74222">
        <w:rPr>
          <w:lang w:val="en-AU"/>
        </w:rPr>
        <w:t xml:space="preserve"> including links related to education, health or</w:t>
      </w:r>
      <w:r w:rsidR="00A74222">
        <w:rPr>
          <w:lang w:val="en-AU"/>
        </w:rPr>
        <w:t xml:space="preserve"> </w:t>
      </w:r>
      <w:r w:rsidR="00A74222" w:rsidRPr="00A74222">
        <w:rPr>
          <w:lang w:val="en-AU"/>
        </w:rPr>
        <w:t>social care, mental wellbeing, or logistical support</w:t>
      </w:r>
      <w:r w:rsidR="00A74222">
        <w:rPr>
          <w:lang w:val="en-AU"/>
        </w:rPr>
        <w:t>.</w:t>
      </w:r>
      <w:r w:rsidRPr="00A74222">
        <w:rPr>
          <w:lang w:val="en-AU"/>
        </w:rPr>
        <w:t xml:space="preserve"> </w:t>
      </w:r>
    </w:p>
    <w:p w:rsidR="00C407D5" w:rsidRPr="00C407D5" w:rsidRDefault="00C407D5" w:rsidP="00FB1D92">
      <w:pPr>
        <w:pStyle w:val="ListParagraph"/>
        <w:numPr>
          <w:ilvl w:val="0"/>
          <w:numId w:val="5"/>
        </w:numPr>
        <w:spacing w:beforeAutospacing="1" w:afterAutospacing="1"/>
        <w:rPr>
          <w:lang w:val="en-AU"/>
        </w:rPr>
      </w:pPr>
      <w:r w:rsidRPr="00C407D5">
        <w:rPr>
          <w:lang w:val="en-AU"/>
        </w:rPr>
        <w:t xml:space="preserve">Advice and information should remain independent of service providers as well as the initial assessment process. Core characteristics of conflict-free intermediary services have been articulated by the Centers for Medicare and Medicaid Services (USA) and might be a useful </w:t>
      </w:r>
      <w:r>
        <w:rPr>
          <w:lang w:val="en-AU"/>
        </w:rPr>
        <w:t>template for future NDIS models.</w:t>
      </w:r>
      <w:r w:rsidRPr="00C407D5">
        <w:rPr>
          <w:lang w:val="en-AU"/>
        </w:rPr>
        <w:t xml:space="preserve"> </w:t>
      </w:r>
    </w:p>
    <w:p w:rsidR="00F9484F" w:rsidRDefault="00F9484F" w:rsidP="00FB1D92">
      <w:pPr>
        <w:pStyle w:val="ListParagraph"/>
        <w:numPr>
          <w:ilvl w:val="0"/>
          <w:numId w:val="5"/>
        </w:numPr>
        <w:spacing w:beforeAutospacing="1" w:afterAutospacing="1"/>
        <w:rPr>
          <w:lang w:val="en-AU"/>
        </w:rPr>
      </w:pPr>
      <w:r>
        <w:rPr>
          <w:lang w:val="en-AU"/>
        </w:rPr>
        <w:t xml:space="preserve">Testing of proposed models may be </w:t>
      </w:r>
      <w:r>
        <w:rPr>
          <w:color w:val="000000"/>
        </w:rPr>
        <w:t xml:space="preserve">unethical or unfeasible using randomised trial designs, but </w:t>
      </w:r>
      <w:r>
        <w:rPr>
          <w:lang w:val="en-AU"/>
        </w:rPr>
        <w:t xml:space="preserve">is possible using </w:t>
      </w:r>
      <w:r w:rsidRPr="00FB5C93">
        <w:rPr>
          <w:lang w:val="en-AU"/>
        </w:rPr>
        <w:t>Comparative Effectiveness Research (CER)</w:t>
      </w:r>
      <w:r>
        <w:rPr>
          <w:lang w:val="en-AU"/>
        </w:rPr>
        <w:t xml:space="preserve"> or Realist Evaluation methods </w:t>
      </w:r>
      <w:r w:rsidRPr="00FB5C93">
        <w:rPr>
          <w:lang w:val="en-AU"/>
        </w:rPr>
        <w:t>which allow for real world evaluations of complex interventions within complex system</w:t>
      </w:r>
      <w:r>
        <w:rPr>
          <w:lang w:val="en-AU"/>
        </w:rPr>
        <w:t>s.</w:t>
      </w:r>
    </w:p>
    <w:p w:rsidR="00F9484F" w:rsidRDefault="00F9484F" w:rsidP="00F9484F">
      <w:pPr>
        <w:spacing w:beforeAutospacing="1" w:afterAutospacing="1"/>
        <w:rPr>
          <w:lang w:val="en-AU"/>
        </w:rPr>
      </w:pPr>
      <w:r>
        <w:rPr>
          <w:lang w:val="en-AU"/>
        </w:rPr>
        <w:t>For Local Area Coordination:</w:t>
      </w:r>
    </w:p>
    <w:p w:rsidR="00F9484F" w:rsidRDefault="00F9484F" w:rsidP="00FB1D92">
      <w:pPr>
        <w:pStyle w:val="ListParagraph"/>
        <w:numPr>
          <w:ilvl w:val="0"/>
          <w:numId w:val="6"/>
        </w:numPr>
        <w:spacing w:beforeAutospacing="1" w:afterAutospacing="1"/>
        <w:rPr>
          <w:lang w:val="en-AU"/>
        </w:rPr>
      </w:pPr>
      <w:r>
        <w:rPr>
          <w:lang w:val="en-AU"/>
        </w:rPr>
        <w:t>International models of LAC deliver positive outcomes for participants from all walks of life and their families, providing a sense of agency and control over their health, and supporting their vision of ‘good life.’ Socially isolated, older people, and people with disabilities are likely to benefit from LAC service.</w:t>
      </w:r>
    </w:p>
    <w:p w:rsidR="00F9484F" w:rsidRPr="00F9484F" w:rsidRDefault="00F9484F" w:rsidP="00FB1D92">
      <w:pPr>
        <w:pStyle w:val="ListParagraph"/>
        <w:numPr>
          <w:ilvl w:val="0"/>
          <w:numId w:val="6"/>
        </w:numPr>
        <w:spacing w:beforeAutospacing="1" w:afterAutospacing="1"/>
      </w:pPr>
      <w:r w:rsidRPr="00F9484F">
        <w:rPr>
          <w:lang w:val="en-AU"/>
        </w:rPr>
        <w:t>LAC services act as a social glue for the communities they work with. Communities are supported to become more accepting of marginalised people and people with disabilities, and have higher rates of volunteering.</w:t>
      </w:r>
    </w:p>
    <w:p w:rsidR="00F9484F" w:rsidRPr="00F9484F" w:rsidRDefault="00F9484F" w:rsidP="00FB1D92">
      <w:pPr>
        <w:pStyle w:val="ListParagraph"/>
        <w:numPr>
          <w:ilvl w:val="0"/>
          <w:numId w:val="6"/>
        </w:numPr>
        <w:spacing w:beforeAutospacing="1" w:afterAutospacing="1"/>
      </w:pPr>
      <w:r w:rsidRPr="00F9484F">
        <w:rPr>
          <w:lang w:val="en-AU"/>
        </w:rPr>
        <w:t>Communities should be involved in the recruitment process because that increases community’s ownership of LAC service, gives them agency, embeds Coordinators in the community and decreases staff turnover.</w:t>
      </w:r>
    </w:p>
    <w:p w:rsidR="00F9484F" w:rsidRDefault="00F9484F">
      <w:pPr>
        <w:spacing w:line="276" w:lineRule="auto"/>
      </w:pPr>
      <w:r>
        <w:br w:type="page"/>
      </w:r>
    </w:p>
    <w:p w:rsidR="004D32B5" w:rsidRPr="004D32B5" w:rsidRDefault="00F9484F" w:rsidP="00F9484F">
      <w:pPr>
        <w:pStyle w:val="Heading2"/>
      </w:pPr>
      <w:bookmarkStart w:id="38" w:name="_Toc40185451"/>
      <w:bookmarkStart w:id="39" w:name="_Toc65251777"/>
      <w:r w:rsidRPr="00BE632A">
        <w:lastRenderedPageBreak/>
        <w:t>Introduction</w:t>
      </w:r>
      <w:bookmarkEnd w:id="38"/>
      <w:bookmarkEnd w:id="39"/>
    </w:p>
    <w:p w:rsidR="00F9484F" w:rsidRDefault="00F9484F" w:rsidP="00F9484F">
      <w:r w:rsidRPr="00680C69">
        <w:t>Individualised plans aim to facilitate empowerment, independence, and self</w:t>
      </w:r>
      <w:r w:rsidRPr="00680C69">
        <w:rPr>
          <w:rFonts w:ascii="Cambria Math" w:hAnsi="Cambria Math" w:cs="Cambria Math"/>
        </w:rPr>
        <w:t>‐</w:t>
      </w:r>
      <w:r w:rsidRPr="00680C69">
        <w:t xml:space="preserve">determination by providing access for people with disabilities to services and equipment that increase independence, participation and quality of life. Some </w:t>
      </w:r>
      <w:r>
        <w:t>individuals</w:t>
      </w:r>
      <w:r w:rsidRPr="00680C69">
        <w:t xml:space="preserve"> may require an intermediary service to assist them to understand and implement their plan, connect them to community or mainstream services, and build their capacity for self-</w:t>
      </w:r>
      <w:r>
        <w:t>direction</w:t>
      </w:r>
      <w:r w:rsidRPr="00680C69">
        <w:t xml:space="preserve"> and independence. </w:t>
      </w:r>
    </w:p>
    <w:p w:rsidR="00F9484F" w:rsidRDefault="00F9484F" w:rsidP="00F9484F">
      <w:r w:rsidRPr="00680C69">
        <w:t>It is currently unclear which populations are likely to benefit most from this type of intervention, and whether any evidence exists regarding its effectiveness.</w:t>
      </w:r>
      <w:r>
        <w:t xml:space="preserve"> It is also unclear how to best structure this service in a way that avoids conflicts of interest with providers of other funded services and service duplication with services such as Local Area Coordination (LAC). </w:t>
      </w:r>
    </w:p>
    <w:p w:rsidR="00FF5B90" w:rsidRPr="00680C69" w:rsidRDefault="00FF5B90" w:rsidP="00F9484F"/>
    <w:p w:rsidR="00F9484F" w:rsidRPr="00F9484F" w:rsidRDefault="00F9484F" w:rsidP="00F9484F">
      <w:pPr>
        <w:pStyle w:val="Heading3"/>
      </w:pPr>
      <w:bookmarkStart w:id="40" w:name="_Toc40185452"/>
      <w:bookmarkStart w:id="41" w:name="_Toc65251778"/>
      <w:r w:rsidRPr="00256D8E">
        <w:t>Objectives</w:t>
      </w:r>
      <w:r>
        <w:t xml:space="preserve"> and Research Questions:</w:t>
      </w:r>
      <w:bookmarkEnd w:id="40"/>
      <w:bookmarkEnd w:id="41"/>
    </w:p>
    <w:p w:rsidR="00F9484F" w:rsidRDefault="00F9484F" w:rsidP="00F9484F">
      <w:r>
        <w:t>This report aims to</w:t>
      </w:r>
      <w:r w:rsidRPr="00256D8E">
        <w:t xml:space="preserve"> locate and critically summarise </w:t>
      </w:r>
      <w:r>
        <w:t xml:space="preserve">international </w:t>
      </w:r>
      <w:r w:rsidRPr="00256D8E">
        <w:t xml:space="preserve">contemporary models of Support Coordination (SC) and Local Area Coordination (LAC). </w:t>
      </w:r>
    </w:p>
    <w:p w:rsidR="00F9484F" w:rsidRDefault="00F9484F" w:rsidP="00F9484F">
      <w:r>
        <w:t>Our questions were:</w:t>
      </w:r>
    </w:p>
    <w:p w:rsidR="00F9484F" w:rsidRPr="00B241E6" w:rsidRDefault="00F9484F" w:rsidP="00FB1D92">
      <w:pPr>
        <w:numPr>
          <w:ilvl w:val="0"/>
          <w:numId w:val="8"/>
        </w:numPr>
        <w:contextualSpacing/>
      </w:pPr>
      <w:r w:rsidRPr="00B241E6">
        <w:t>How are equivalent support coordination and local area coordination services provided elsewhere?</w:t>
      </w:r>
    </w:p>
    <w:p w:rsidR="00F9484F" w:rsidRPr="00B241E6" w:rsidRDefault="00F9484F" w:rsidP="00FB1D92">
      <w:pPr>
        <w:numPr>
          <w:ilvl w:val="0"/>
          <w:numId w:val="8"/>
        </w:numPr>
        <w:contextualSpacing/>
      </w:pPr>
      <w:r w:rsidRPr="00B241E6">
        <w:t>What evidence exists regarding the effectiveness and cost-effectiveness of these service models?</w:t>
      </w:r>
    </w:p>
    <w:p w:rsidR="00F9484F" w:rsidRDefault="00F9484F" w:rsidP="00F9484F"/>
    <w:p w:rsidR="00F9484F" w:rsidRPr="00B241E6" w:rsidRDefault="00F9484F" w:rsidP="00F9484F">
      <w:r w:rsidRPr="00B241E6">
        <w:t>Specifically:</w:t>
      </w:r>
    </w:p>
    <w:p w:rsidR="00F9484F" w:rsidRPr="00B241E6" w:rsidRDefault="00F9484F" w:rsidP="00FB1D92">
      <w:pPr>
        <w:numPr>
          <w:ilvl w:val="0"/>
          <w:numId w:val="7"/>
        </w:numPr>
        <w:contextualSpacing/>
      </w:pPr>
      <w:r w:rsidRPr="00B241E6">
        <w:t>What support coordination/LAC models are currently under development, have been implemented or evaluated in other countries?</w:t>
      </w:r>
    </w:p>
    <w:p w:rsidR="00F9484F" w:rsidRPr="00B241E6" w:rsidRDefault="00F9484F" w:rsidP="00FB1D92">
      <w:pPr>
        <w:numPr>
          <w:ilvl w:val="0"/>
          <w:numId w:val="7"/>
        </w:numPr>
        <w:contextualSpacing/>
      </w:pPr>
      <w:r w:rsidRPr="00B241E6">
        <w:t>How are these funded, and how is eligibility determined?</w:t>
      </w:r>
    </w:p>
    <w:p w:rsidR="00F9484F" w:rsidRPr="00B241E6" w:rsidRDefault="00F9484F" w:rsidP="00FB1D92">
      <w:pPr>
        <w:numPr>
          <w:ilvl w:val="0"/>
          <w:numId w:val="7"/>
        </w:numPr>
        <w:contextualSpacing/>
      </w:pPr>
      <w:r w:rsidRPr="00B241E6">
        <w:t>What is known about the effectiveness of these in terms of outcomes for people with disabilities? These may include Quality of Life, Client Satisfaction, Independent Living or participation scales, goal achievement</w:t>
      </w:r>
    </w:p>
    <w:p w:rsidR="00F9484F" w:rsidRPr="00B241E6" w:rsidRDefault="00F9484F" w:rsidP="00FB1D92">
      <w:pPr>
        <w:numPr>
          <w:ilvl w:val="0"/>
          <w:numId w:val="7"/>
        </w:numPr>
        <w:contextualSpacing/>
      </w:pPr>
      <w:r w:rsidRPr="00B241E6">
        <w:t>What is known about process outcomes such as reach, access, connection to services?</w:t>
      </w:r>
    </w:p>
    <w:p w:rsidR="00F9484F" w:rsidRPr="00B241E6" w:rsidRDefault="00F9484F" w:rsidP="00FB1D92">
      <w:pPr>
        <w:numPr>
          <w:ilvl w:val="0"/>
          <w:numId w:val="7"/>
        </w:numPr>
        <w:contextualSpacing/>
      </w:pPr>
      <w:r w:rsidRPr="00B241E6">
        <w:t>What is known about system outcomes such as resource use, redirection/reallocation of services or funding?</w:t>
      </w:r>
    </w:p>
    <w:p w:rsidR="00F9484F" w:rsidRDefault="00F9484F" w:rsidP="00FB1D92">
      <w:pPr>
        <w:numPr>
          <w:ilvl w:val="0"/>
          <w:numId w:val="7"/>
        </w:numPr>
        <w:contextualSpacing/>
      </w:pPr>
      <w:r w:rsidRPr="00B241E6">
        <w:t>What is known about their cost-effectiveness in comparison to other models?</w:t>
      </w:r>
    </w:p>
    <w:p w:rsidR="00FF5B90" w:rsidRDefault="00FF5B90" w:rsidP="00F9484F">
      <w:pPr>
        <w:ind w:left="720"/>
        <w:contextualSpacing/>
      </w:pPr>
    </w:p>
    <w:p w:rsidR="00FF5B90" w:rsidRDefault="00FF5B90" w:rsidP="00F9484F">
      <w:pPr>
        <w:ind w:left="720"/>
        <w:contextualSpacing/>
      </w:pPr>
    </w:p>
    <w:p w:rsidR="008A66F8" w:rsidRDefault="008A66F8">
      <w:pPr>
        <w:spacing w:line="276" w:lineRule="auto"/>
      </w:pPr>
      <w:r>
        <w:br w:type="page"/>
      </w:r>
    </w:p>
    <w:p w:rsidR="00FF5B90" w:rsidRDefault="00F9484F" w:rsidP="00FF5B90">
      <w:pPr>
        <w:pStyle w:val="Heading3"/>
      </w:pPr>
      <w:bookmarkStart w:id="42" w:name="_Toc40185453"/>
      <w:bookmarkStart w:id="43" w:name="_Toc65251779"/>
      <w:r>
        <w:lastRenderedPageBreak/>
        <w:t>Methods:</w:t>
      </w:r>
      <w:bookmarkEnd w:id="42"/>
      <w:bookmarkEnd w:id="43"/>
      <w:r>
        <w:t xml:space="preserve"> </w:t>
      </w:r>
    </w:p>
    <w:p w:rsidR="00FF5B90" w:rsidRDefault="00FF5B90" w:rsidP="00FF5B90">
      <w:r>
        <w:t>We undertook a rapid evidence review using systematic methods to retrieve and critically appraise published reports of contemporary SC and LAC models. R</w:t>
      </w:r>
      <w:r w:rsidRPr="00256D8E">
        <w:t>apid review</w:t>
      </w:r>
      <w:r>
        <w:t>s use</w:t>
      </w:r>
      <w:r w:rsidRPr="00256D8E">
        <w:t xml:space="preserve"> the same methods used </w:t>
      </w:r>
      <w:r>
        <w:t>for</w:t>
      </w:r>
      <w:r w:rsidRPr="00256D8E">
        <w:t xml:space="preserve"> systematic review</w:t>
      </w:r>
      <w:r>
        <w:t>s, but with</w:t>
      </w:r>
      <w:r w:rsidRPr="00256D8E">
        <w:t xml:space="preserve"> </w:t>
      </w:r>
      <w:r>
        <w:t xml:space="preserve">simplified </w:t>
      </w:r>
      <w:r w:rsidRPr="00256D8E">
        <w:t>process</w:t>
      </w:r>
      <w:r>
        <w:t>es</w:t>
      </w:r>
      <w:r w:rsidRPr="00256D8E">
        <w:t xml:space="preserve"> to produce information in a timely manner (Tricco et al., 2015.). </w:t>
      </w:r>
      <w:r>
        <w:t>Our project</w:t>
      </w:r>
      <w:r w:rsidRPr="00570064">
        <w:t xml:space="preserve"> methodology</w:t>
      </w:r>
      <w:r>
        <w:t xml:space="preserve"> is summarised in Figure 1.</w:t>
      </w:r>
      <w:r w:rsidRPr="00256D8E">
        <w:t xml:space="preserve"> </w:t>
      </w:r>
    </w:p>
    <w:p w:rsidR="00FF5B90" w:rsidRDefault="00FF5B90" w:rsidP="00FF5B90">
      <w:r w:rsidRPr="00E91069">
        <w:rPr>
          <w:noProof/>
          <w:lang w:val="en-AU" w:eastAsia="en-AU"/>
        </w:rPr>
        <w:drawing>
          <wp:inline distT="0" distB="0" distL="0" distR="0" wp14:anchorId="2B8E20AD" wp14:editId="06885828">
            <wp:extent cx="5731086" cy="4453054"/>
            <wp:effectExtent l="0" t="0" r="3175" b="5080"/>
            <wp:docPr id="4" name="Picture 4" descr="Diagram showing systemmatic methods &#10;fo rapid revidenc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dj\AppData\Local\Temp\Simple List Mind Ma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382" cy="4461054"/>
                    </a:xfrm>
                    <a:prstGeom prst="rect">
                      <a:avLst/>
                    </a:prstGeom>
                    <a:noFill/>
                    <a:ln>
                      <a:noFill/>
                    </a:ln>
                  </pic:spPr>
                </pic:pic>
              </a:graphicData>
            </a:graphic>
          </wp:inline>
        </w:drawing>
      </w:r>
    </w:p>
    <w:p w:rsidR="008A66F8" w:rsidRDefault="00192692" w:rsidP="00192692">
      <w:pPr>
        <w:pStyle w:val="Caption"/>
      </w:pPr>
      <w:bookmarkStart w:id="44" w:name="_Toc64536334"/>
      <w:r>
        <w:t xml:space="preserve">Figure </w:t>
      </w:r>
      <w:r>
        <w:fldChar w:fldCharType="begin"/>
      </w:r>
      <w:r>
        <w:instrText xml:space="preserve"> SEQ Figure \* ARABIC </w:instrText>
      </w:r>
      <w:r>
        <w:fldChar w:fldCharType="separate"/>
      </w:r>
      <w:r>
        <w:rPr>
          <w:noProof/>
        </w:rPr>
        <w:t>1</w:t>
      </w:r>
      <w:r>
        <w:fldChar w:fldCharType="end"/>
      </w:r>
      <w:r w:rsidRPr="007E74FD">
        <w:rPr>
          <w:noProof/>
        </w:rPr>
        <w:t xml:space="preserve">: </w:t>
      </w:r>
      <w:r w:rsidRPr="00192692">
        <w:t>Overall Project Methodology</w:t>
      </w:r>
      <w:bookmarkEnd w:id="44"/>
    </w:p>
    <w:p w:rsidR="00DE7444" w:rsidRPr="00DE7444" w:rsidRDefault="00DE7444" w:rsidP="00DE7444"/>
    <w:p w:rsidR="00FF5B90" w:rsidRDefault="00FF5B90" w:rsidP="00FF5B90">
      <w:pPr>
        <w:pStyle w:val="Heading3"/>
        <w:rPr>
          <w:noProof/>
        </w:rPr>
      </w:pPr>
      <w:bookmarkStart w:id="45" w:name="_Toc65251780"/>
      <w:r w:rsidRPr="00FF5B90">
        <w:t>Limitations</w:t>
      </w:r>
      <w:r>
        <w:t>:</w:t>
      </w:r>
      <w:bookmarkEnd w:id="45"/>
    </w:p>
    <w:p w:rsidR="00FF5B90" w:rsidRDefault="00FF5B90" w:rsidP="00FF5B90">
      <w:r>
        <w:t xml:space="preserve">As the results of this rapid evidence review were required within three weeks, we restricted our search to records published in English between 2010 and March 2020, and only one person screened titles and abstracts, which may have resulted in the omission of some key </w:t>
      </w:r>
      <w:r>
        <w:lastRenderedPageBreak/>
        <w:t>evidence.</w:t>
      </w:r>
      <w:r w:rsidRPr="003E0DF2">
        <w:t xml:space="preserve"> </w:t>
      </w:r>
      <w:r>
        <w:t>Rapid reviews, by their nature, can lack the detail that traditional systematic reviews and a more comprehensive review might yield differing results.</w:t>
      </w:r>
    </w:p>
    <w:p w:rsidR="00F9484F" w:rsidRDefault="00F9484F" w:rsidP="00F9484F">
      <w:pPr>
        <w:spacing w:line="276" w:lineRule="auto"/>
      </w:pPr>
    </w:p>
    <w:p w:rsidR="00F9484F" w:rsidRDefault="00F9484F" w:rsidP="00FF5B90">
      <w:pPr>
        <w:pStyle w:val="Heading3"/>
      </w:pPr>
      <w:bookmarkStart w:id="46" w:name="_Toc40185454"/>
      <w:bookmarkStart w:id="47" w:name="_Toc65251781"/>
      <w:r>
        <w:t>Flowchart</w:t>
      </w:r>
      <w:bookmarkEnd w:id="46"/>
      <w:r w:rsidR="00805AF9">
        <w:t xml:space="preserve"> for finding key evidence</w:t>
      </w:r>
      <w:bookmarkEnd w:id="47"/>
    </w:p>
    <w:p w:rsidR="00135DE9" w:rsidRDefault="007B3C60" w:rsidP="00243DCB">
      <w:r>
        <w:t>The process used is presented in the preferred Reporting Items for Systematic Reviews and Meta Analysis(PRISMA) format.</w:t>
      </w:r>
    </w:p>
    <w:tbl>
      <w:tblPr>
        <w:tblStyle w:val="TableGrid"/>
        <w:tblpPr w:leftFromText="180" w:rightFromText="180" w:vertAnchor="text" w:horzAnchor="margin" w:tblpY="5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summarising the steps in retrieval and analysis of relevant evidence "/>
      </w:tblPr>
      <w:tblGrid>
        <w:gridCol w:w="4815"/>
      </w:tblGrid>
      <w:tr w:rsidR="005C4031" w:rsidTr="00243DCB">
        <w:trPr>
          <w:trHeight w:val="295"/>
          <w:tblHeader/>
        </w:trPr>
        <w:tc>
          <w:tcPr>
            <w:tcW w:w="4815" w:type="dxa"/>
          </w:tcPr>
          <w:p w:rsidR="005C4031" w:rsidRDefault="005C4031" w:rsidP="005C4031">
            <w:r>
              <w:t>Steps in retrieval and analysis of relevant evidence are summarized below and in Figure 2.</w:t>
            </w:r>
          </w:p>
        </w:tc>
      </w:tr>
      <w:tr w:rsidR="005C4031" w:rsidTr="00243DCB">
        <w:trPr>
          <w:trHeight w:val="295"/>
        </w:trPr>
        <w:tc>
          <w:tcPr>
            <w:tcW w:w="4815" w:type="dxa"/>
          </w:tcPr>
          <w:p w:rsidR="005C4031" w:rsidRDefault="005C4031" w:rsidP="005C4031"/>
        </w:tc>
      </w:tr>
      <w:tr w:rsidR="005C4031" w:rsidTr="00243DCB">
        <w:trPr>
          <w:trHeight w:val="295"/>
        </w:trPr>
        <w:tc>
          <w:tcPr>
            <w:tcW w:w="4815" w:type="dxa"/>
          </w:tcPr>
          <w:p w:rsidR="005C4031" w:rsidRDefault="005C4031" w:rsidP="005C4031">
            <w:r>
              <w:t>Step 1:. Relevant documents</w:t>
            </w:r>
            <w:r w:rsidR="0059251A">
              <w:t xml:space="preserve"> were located via academic data</w:t>
            </w:r>
            <w:r>
              <w:t>bases as well as grey literature</w:t>
            </w:r>
            <w:r w:rsidR="0059251A">
              <w:t>,</w:t>
            </w:r>
          </w:p>
        </w:tc>
      </w:tr>
      <w:tr w:rsidR="005C4031" w:rsidTr="00243DCB">
        <w:trPr>
          <w:trHeight w:val="295"/>
        </w:trPr>
        <w:tc>
          <w:tcPr>
            <w:tcW w:w="4815" w:type="dxa"/>
          </w:tcPr>
          <w:p w:rsidR="005C4031" w:rsidRDefault="0059251A" w:rsidP="0059251A">
            <w:r>
              <w:t>search engines and websites</w:t>
            </w:r>
          </w:p>
        </w:tc>
      </w:tr>
      <w:tr w:rsidR="005C4031" w:rsidTr="00243DCB">
        <w:trPr>
          <w:trHeight w:val="295"/>
        </w:trPr>
        <w:tc>
          <w:tcPr>
            <w:tcW w:w="4815" w:type="dxa"/>
          </w:tcPr>
          <w:p w:rsidR="005C4031" w:rsidRDefault="005C4031" w:rsidP="005C4031">
            <w:pPr>
              <w:jc w:val="right"/>
            </w:pPr>
          </w:p>
        </w:tc>
      </w:tr>
      <w:tr w:rsidR="005C4031" w:rsidTr="00243DCB">
        <w:trPr>
          <w:trHeight w:val="295"/>
        </w:trPr>
        <w:tc>
          <w:tcPr>
            <w:tcW w:w="4815" w:type="dxa"/>
          </w:tcPr>
          <w:p w:rsidR="005C4031" w:rsidRDefault="005C4031" w:rsidP="005C4031">
            <w:r>
              <w:t xml:space="preserve">Step 2: Documents were uploaded to Covidence, an online platform for streamlining systematic reviews, which identified and removed duplicates  </w:t>
            </w:r>
          </w:p>
        </w:tc>
      </w:tr>
      <w:tr w:rsidR="005C4031" w:rsidTr="00243DCB">
        <w:trPr>
          <w:trHeight w:val="634"/>
        </w:trPr>
        <w:tc>
          <w:tcPr>
            <w:tcW w:w="4815" w:type="dxa"/>
          </w:tcPr>
          <w:p w:rsidR="005C4031" w:rsidRDefault="005C4031" w:rsidP="005C4031">
            <w:r>
              <w:t>Step 3: One reviewer screened titles and abstracts against inclusion/exclusion criteria</w:t>
            </w:r>
          </w:p>
        </w:tc>
      </w:tr>
      <w:tr w:rsidR="005C4031" w:rsidTr="00243DCB">
        <w:trPr>
          <w:trHeight w:val="295"/>
        </w:trPr>
        <w:tc>
          <w:tcPr>
            <w:tcW w:w="4815" w:type="dxa"/>
          </w:tcPr>
          <w:p w:rsidR="005C4031" w:rsidRDefault="005C4031" w:rsidP="005C4031">
            <w:pPr>
              <w:jc w:val="right"/>
            </w:pPr>
          </w:p>
        </w:tc>
      </w:tr>
      <w:tr w:rsidR="005C4031" w:rsidTr="00243DCB">
        <w:trPr>
          <w:trHeight w:val="295"/>
        </w:trPr>
        <w:tc>
          <w:tcPr>
            <w:tcW w:w="4815" w:type="dxa"/>
          </w:tcPr>
          <w:p w:rsidR="005C4031" w:rsidRDefault="005C4031" w:rsidP="005C4031">
            <w:pPr>
              <w:jc w:val="right"/>
            </w:pPr>
          </w:p>
        </w:tc>
      </w:tr>
      <w:tr w:rsidR="005C4031" w:rsidTr="00243DCB">
        <w:trPr>
          <w:trHeight w:val="295"/>
        </w:trPr>
        <w:tc>
          <w:tcPr>
            <w:tcW w:w="4815" w:type="dxa"/>
          </w:tcPr>
          <w:p w:rsidR="005C4031" w:rsidRDefault="005C4031" w:rsidP="005C4031">
            <w:r>
              <w:t>Step 4: Two reviewers conducted full text review and excluded ineligible documents</w:t>
            </w:r>
          </w:p>
        </w:tc>
      </w:tr>
      <w:tr w:rsidR="005C4031" w:rsidTr="00243DCB">
        <w:trPr>
          <w:trHeight w:val="295"/>
        </w:trPr>
        <w:tc>
          <w:tcPr>
            <w:tcW w:w="4815" w:type="dxa"/>
          </w:tcPr>
          <w:p w:rsidR="005C4031" w:rsidRDefault="005C4031" w:rsidP="005C4031">
            <w:pPr>
              <w:jc w:val="right"/>
            </w:pPr>
          </w:p>
        </w:tc>
      </w:tr>
      <w:tr w:rsidR="005C4031" w:rsidTr="00243DCB">
        <w:trPr>
          <w:trHeight w:val="295"/>
        </w:trPr>
        <w:tc>
          <w:tcPr>
            <w:tcW w:w="4815" w:type="dxa"/>
          </w:tcPr>
          <w:p w:rsidR="005C4031" w:rsidRDefault="005C4031" w:rsidP="005C4031">
            <w:pPr>
              <w:jc w:val="right"/>
            </w:pPr>
          </w:p>
        </w:tc>
      </w:tr>
      <w:tr w:rsidR="005C4031" w:rsidTr="00243DCB">
        <w:trPr>
          <w:trHeight w:val="295"/>
        </w:trPr>
        <w:tc>
          <w:tcPr>
            <w:tcW w:w="4815" w:type="dxa"/>
          </w:tcPr>
          <w:p w:rsidR="005C4031" w:rsidRDefault="005C4031" w:rsidP="00243DCB">
            <w:r>
              <w:t>Step 5: With 22 included documents, reviewers extracted data separately for SC (2 systematic reviews</w:t>
            </w:r>
            <w:r w:rsidRPr="00CF3111">
              <w:t xml:space="preserve"> </w:t>
            </w:r>
            <w:r w:rsidRPr="000B328B">
              <w:t>of quantitative and qualitative studies</w:t>
            </w:r>
            <w:r>
              <w:t>, 4 studies with original data) and LAC (</w:t>
            </w:r>
            <w:r w:rsidRPr="000B328B">
              <w:t>15 evaluation reports</w:t>
            </w:r>
            <w:r>
              <w:t xml:space="preserve"> </w:t>
            </w:r>
            <w:r w:rsidRPr="000B328B">
              <w:t>and 1 evidence review</w:t>
            </w:r>
            <w:r>
              <w:t>) and summarised the results separately</w:t>
            </w:r>
          </w:p>
        </w:tc>
      </w:tr>
    </w:tbl>
    <w:p w:rsidR="00805AF9" w:rsidRDefault="00D51CE0" w:rsidP="00135DE9">
      <w:r w:rsidRPr="00D51CE0">
        <w:rPr>
          <w:rFonts w:ascii="Calibri" w:hAnsi="Calibri" w:cs="Calibri"/>
          <w:noProof/>
          <w:bdr w:val="single" w:sz="4" w:space="0" w:color="auto"/>
          <w:lang w:eastAsia="en-AU"/>
        </w:rPr>
        <w:t xml:space="preserve"> </w:t>
      </w:r>
      <w:r w:rsidRPr="00B404EC">
        <w:rPr>
          <w:rFonts w:ascii="Calibri" w:hAnsi="Calibri" w:cs="Calibri"/>
          <w:noProof/>
          <w:bdr w:val="single" w:sz="4" w:space="0" w:color="auto"/>
          <w:lang w:val="en-AU" w:eastAsia="en-AU"/>
        </w:rPr>
        <w:drawing>
          <wp:inline distT="0" distB="0" distL="0" distR="0" wp14:anchorId="70B7713B" wp14:editId="487FCCCF">
            <wp:extent cx="2514846" cy="4415988"/>
            <wp:effectExtent l="0" t="0" r="0" b="3810"/>
            <wp:docPr id="16" name="Picture 16" descr="This diagram showing the PRISMA decision mak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3820" cy="4501985"/>
                    </a:xfrm>
                    <a:prstGeom prst="rect">
                      <a:avLst/>
                    </a:prstGeom>
                    <a:noFill/>
                    <a:ln>
                      <a:noFill/>
                    </a:ln>
                  </pic:spPr>
                </pic:pic>
              </a:graphicData>
            </a:graphic>
          </wp:inline>
        </w:drawing>
      </w:r>
    </w:p>
    <w:p w:rsidR="00F9484F" w:rsidRDefault="00F9484F" w:rsidP="00F9484F"/>
    <w:p w:rsidR="00F9484F" w:rsidRDefault="00F9484F" w:rsidP="00F9484F">
      <w:pPr>
        <w:spacing w:after="0"/>
      </w:pPr>
      <w:r>
        <w:t>.</w:t>
      </w:r>
      <w:r w:rsidRPr="000B328B">
        <w:t xml:space="preserve"> </w:t>
      </w:r>
    </w:p>
    <w:p w:rsidR="00FF5B90" w:rsidRPr="00192692" w:rsidRDefault="00192692" w:rsidP="00192692">
      <w:pPr>
        <w:pStyle w:val="Caption"/>
        <w:ind w:left="5040" w:firstLine="720"/>
      </w:pPr>
      <w:bookmarkStart w:id="48" w:name="_Toc64536335"/>
      <w:r w:rsidRPr="00192692">
        <w:t xml:space="preserve">Figure </w:t>
      </w:r>
      <w:r w:rsidRPr="00192692">
        <w:fldChar w:fldCharType="begin"/>
      </w:r>
      <w:r w:rsidRPr="00192692">
        <w:instrText xml:space="preserve"> SEQ Figure \* ARABIC </w:instrText>
      </w:r>
      <w:r w:rsidRPr="00192692">
        <w:fldChar w:fldCharType="separate"/>
      </w:r>
      <w:r w:rsidRPr="00192692">
        <w:t>2</w:t>
      </w:r>
      <w:r w:rsidRPr="00192692">
        <w:fldChar w:fldCharType="end"/>
      </w:r>
      <w:r w:rsidRPr="00192692">
        <w:t>: PRISMA Flowchart</w:t>
      </w:r>
      <w:bookmarkEnd w:id="48"/>
    </w:p>
    <w:p w:rsidR="00192692" w:rsidRDefault="00192692" w:rsidP="00F9484F">
      <w:pPr>
        <w:rPr>
          <w:sz w:val="20"/>
          <w:szCs w:val="20"/>
        </w:rPr>
      </w:pPr>
    </w:p>
    <w:p w:rsidR="00F9484F" w:rsidRPr="00FF5B90" w:rsidRDefault="00F9484F" w:rsidP="00F9484F">
      <w:pPr>
        <w:rPr>
          <w:sz w:val="20"/>
          <w:szCs w:val="20"/>
        </w:rPr>
      </w:pPr>
      <w:r w:rsidRPr="00FF5B90">
        <w:rPr>
          <w:sz w:val="20"/>
          <w:szCs w:val="20"/>
        </w:rPr>
        <w:t>For a full description of methodology please refer to th</w:t>
      </w:r>
      <w:r w:rsidR="003D3421">
        <w:rPr>
          <w:sz w:val="20"/>
          <w:szCs w:val="20"/>
        </w:rPr>
        <w:t>e Appendix 1 Review Methodology</w:t>
      </w:r>
    </w:p>
    <w:p w:rsidR="00F9484F" w:rsidRDefault="00F9484F" w:rsidP="00F9484F"/>
    <w:p w:rsidR="00F9484F" w:rsidRDefault="00F9484F" w:rsidP="00FF5B90">
      <w:pPr>
        <w:pStyle w:val="Heading3"/>
        <w:numPr>
          <w:ilvl w:val="0"/>
          <w:numId w:val="0"/>
        </w:numPr>
      </w:pPr>
    </w:p>
    <w:p w:rsidR="00F9484F" w:rsidRDefault="00F9484F" w:rsidP="008A66F8">
      <w:pPr>
        <w:pStyle w:val="Heading2"/>
      </w:pPr>
      <w:bookmarkStart w:id="49" w:name="_Toc40185456"/>
      <w:bookmarkStart w:id="50" w:name="_Toc65251782"/>
      <w:r>
        <w:t>Findings</w:t>
      </w:r>
      <w:bookmarkEnd w:id="49"/>
      <w:bookmarkEnd w:id="50"/>
    </w:p>
    <w:p w:rsidR="00F9484F" w:rsidRDefault="00F9484F" w:rsidP="00F9484F">
      <w:r>
        <w:t xml:space="preserve">Excluding the three reviews, the location of  SC or LAC models described in included records was mostly England (15), United States (2), Australia (1) and New Zealand (1) (Figure 3: Number of reports/studies per country).  </w:t>
      </w:r>
    </w:p>
    <w:p w:rsidR="00F9484F" w:rsidRDefault="00F9484F" w:rsidP="00F9484F">
      <w:r>
        <w:rPr>
          <w:noProof/>
          <w:lang w:val="en-AU" w:eastAsia="en-AU"/>
        </w:rPr>
        <w:drawing>
          <wp:inline distT="0" distB="0" distL="0" distR="0" wp14:anchorId="6C0236A3" wp14:editId="2BF6F218">
            <wp:extent cx="5760000" cy="3065720"/>
            <wp:effectExtent l="0" t="0" r="0" b="1905"/>
            <wp:docPr id="2" name="Picture 2" descr="Figure shwoing number of studies per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3065720"/>
                    </a:xfrm>
                    <a:prstGeom prst="rect">
                      <a:avLst/>
                    </a:prstGeom>
                    <a:noFill/>
                  </pic:spPr>
                </pic:pic>
              </a:graphicData>
            </a:graphic>
          </wp:inline>
        </w:drawing>
      </w:r>
    </w:p>
    <w:p w:rsidR="00F9484F" w:rsidRDefault="00192692" w:rsidP="00192692">
      <w:pPr>
        <w:pStyle w:val="Caption"/>
        <w:jc w:val="center"/>
      </w:pPr>
      <w:bookmarkStart w:id="51" w:name="_Toc64536336"/>
      <w:r>
        <w:t xml:space="preserve">Figure </w:t>
      </w:r>
      <w:r>
        <w:fldChar w:fldCharType="begin"/>
      </w:r>
      <w:r>
        <w:instrText xml:space="preserve"> SEQ Figure \* ARABIC </w:instrText>
      </w:r>
      <w:r>
        <w:fldChar w:fldCharType="separate"/>
      </w:r>
      <w:r>
        <w:rPr>
          <w:noProof/>
        </w:rPr>
        <w:t>3</w:t>
      </w:r>
      <w:r>
        <w:fldChar w:fldCharType="end"/>
      </w:r>
      <w:r>
        <w:t xml:space="preserve">: </w:t>
      </w:r>
      <w:r w:rsidRPr="002E6459">
        <w:t>Number of studies per country</w:t>
      </w:r>
      <w:bookmarkEnd w:id="51"/>
    </w:p>
    <w:p w:rsidR="00F9484F" w:rsidRDefault="00F9484F" w:rsidP="00F9484F">
      <w:r>
        <w:t xml:space="preserve">As all LAC records were mostly descriptive of their service model (i.e. did not include any outcome or effectiveness data) we have presented our findings in summary tables and a narrative review.  </w:t>
      </w:r>
    </w:p>
    <w:p w:rsidR="00F9484F" w:rsidRDefault="00F9484F" w:rsidP="00F9484F">
      <w:r>
        <w:t>Records relating to Support Coordination-equivalent interventions provided some data regarding perceived benefits and harms from the perspective of consumers and disability planners / coordinators, so were included in a separate rapid systematic review report.</w:t>
      </w:r>
    </w:p>
    <w:p w:rsidR="00F9484F" w:rsidRDefault="00F9484F" w:rsidP="00F9484F"/>
    <w:p w:rsidR="00DE7444" w:rsidRPr="007633DF" w:rsidRDefault="00DE7444" w:rsidP="00F9484F"/>
    <w:p w:rsidR="00F9484F" w:rsidRDefault="00F9484F" w:rsidP="008A66F8">
      <w:pPr>
        <w:pStyle w:val="Heading3"/>
      </w:pPr>
      <w:bookmarkStart w:id="52" w:name="_Toc40185457"/>
      <w:bookmarkStart w:id="53" w:name="_Toc65251783"/>
      <w:r>
        <w:t>Support Coordination (Intermediary) Models</w:t>
      </w:r>
      <w:bookmarkEnd w:id="52"/>
      <w:bookmarkEnd w:id="53"/>
      <w:r>
        <w:t xml:space="preserve"> </w:t>
      </w:r>
    </w:p>
    <w:p w:rsidR="00F9484F" w:rsidRDefault="00F9484F" w:rsidP="008808FE">
      <w:pPr>
        <w:pStyle w:val="Heading4"/>
      </w:pPr>
      <w:bookmarkStart w:id="54" w:name="_Toc65251784"/>
      <w:r>
        <w:lastRenderedPageBreak/>
        <w:t>Key components of equivalent models</w:t>
      </w:r>
      <w:bookmarkEnd w:id="54"/>
    </w:p>
    <w:p w:rsidR="00AB0D06" w:rsidRDefault="00F9484F" w:rsidP="00F9484F">
      <w:r w:rsidRPr="007633DF">
        <w:t xml:space="preserve">Of the six </w:t>
      </w:r>
      <w:r>
        <w:t>records</w:t>
      </w:r>
      <w:r w:rsidRPr="0039137A">
        <w:t xml:space="preserve"> relevant to SC, four peer reviewed </w:t>
      </w:r>
      <w:r>
        <w:t>studies</w:t>
      </w:r>
      <w:r w:rsidRPr="0039137A">
        <w:t xml:space="preserve"> described either the structure of models or the key activities performed by SC-equivalent services (</w:t>
      </w:r>
      <w:r w:rsidRPr="00E25FD6">
        <w:t>described as “intermediary” services in the international literature)</w:t>
      </w:r>
      <w:r w:rsidRPr="00E47413">
        <w:t xml:space="preserve"> which</w:t>
      </w:r>
      <w:r w:rsidRPr="007633DF">
        <w:t xml:space="preserve"> provided useful insights into how they had been implemented. </w:t>
      </w:r>
      <w:r w:rsidR="00437886">
        <w:t xml:space="preserve">Of these, </w:t>
      </w:r>
      <w:r w:rsidR="00437886" w:rsidRPr="00437886">
        <w:t>two</w:t>
      </w:r>
      <w:r w:rsidR="00437886">
        <w:t xml:space="preserve"> (Harry et al. 2017; Mahoney et al. 2019)</w:t>
      </w:r>
      <w:r w:rsidR="00437886" w:rsidRPr="00437886">
        <w:t xml:space="preserve"> described the US ‘Cash and Counse</w:t>
      </w:r>
      <w:r w:rsidR="00437886">
        <w:t>ling’ model</w:t>
      </w:r>
      <w:r w:rsidR="00437886" w:rsidRPr="00437886">
        <w:t xml:space="preserve">, one </w:t>
      </w:r>
      <w:r w:rsidR="00437886">
        <w:t xml:space="preserve">(Bogenschutz et al. 2019) </w:t>
      </w:r>
      <w:r w:rsidR="00437886" w:rsidRPr="00437886">
        <w:t xml:space="preserve">described Case Management services for people with intellectual and developmental disabilities, and one </w:t>
      </w:r>
      <w:r w:rsidR="00437886">
        <w:t xml:space="preserve">(Collings et al. 2018) </w:t>
      </w:r>
      <w:r w:rsidR="00437886" w:rsidRPr="00437886">
        <w:t>explored planning supports for people with complex support needs across disability, mental health, alcohol and other drugs, hous</w:t>
      </w:r>
      <w:r w:rsidR="00437886">
        <w:t>ing and criminal justice</w:t>
      </w:r>
      <w:r w:rsidR="00437886" w:rsidRPr="00437886">
        <w:t xml:space="preserve">.  </w:t>
      </w:r>
    </w:p>
    <w:p w:rsidR="00AB0D06" w:rsidRDefault="00AB0D06" w:rsidP="00AB0D06">
      <w:r>
        <w:t xml:space="preserve">Common to all models was the provision of information about how to manage the self-directed plan, and referral or direct linkage to services in the community. All highlighted the need for the intermediary to know about or find the </w:t>
      </w:r>
      <w:r w:rsidRPr="00AB0D06">
        <w:rPr>
          <w:i/>
        </w:rPr>
        <w:t>right</w:t>
      </w:r>
      <w:r>
        <w:t xml:space="preserve"> service, as people with complex needs may have had negative past experiences when attempting to access services. All except one (Collings et al. 2018) specifically included ongoing monitoring as part of the role. Assistance with financial management was not mentioned in two of the studies, but was explicit in the ‘Cash and Counseling’ studies. This model includes services delivered by a Fiscal intermediary who helped manage the budget, wrote checks for hired support workers, and took responsibility for other payroll duties, such as withholding taxes. </w:t>
      </w:r>
    </w:p>
    <w:p w:rsidR="00F9484F" w:rsidRPr="00670FD3" w:rsidRDefault="00AB0D06" w:rsidP="00AB0D06">
      <w:r>
        <w:t xml:space="preserve">The manner in which intermediary services were delivered was most important, with participants in one of the Cash and Counseling studies (Mahoney et al. 2019) valuing familiarity, proactivity, cultural friendliness, responsiveness, and supportive relationships with their broker. This was echoed from the provider’s perspective, with building rapport, avoiding shortcuts and rushed approaches to decision making, and supporting the person to learn being key priorities (Collings et al. 2018).  </w:t>
      </w:r>
      <w:r w:rsidR="00F9484F" w:rsidRPr="00670FD3">
        <w:t xml:space="preserve">Appendix 2 (Support Coordination equivalent models) presents summary data regarding </w:t>
      </w:r>
      <w:r w:rsidR="00F9484F">
        <w:t>each model.</w:t>
      </w:r>
    </w:p>
    <w:p w:rsidR="00F9484F" w:rsidRPr="00E25FD6" w:rsidRDefault="00F9484F" w:rsidP="00F9484F">
      <w:r w:rsidRPr="007633DF">
        <w:t>Two systematic reviews, one focusing on facilitators of service users’ engagement and choice-making</w:t>
      </w:r>
      <w:r>
        <w:rPr>
          <w:b/>
        </w:rPr>
        <w:t>,</w:t>
      </w:r>
      <w:r w:rsidRPr="007633DF">
        <w:t xml:space="preserve"> and the other on the effectiveness of individualised funding interventions (but not specifically </w:t>
      </w:r>
      <w:r w:rsidRPr="009F7C53">
        <w:t>intermediary services)</w:t>
      </w:r>
      <w:r w:rsidRPr="0039137A">
        <w:t xml:space="preserve"> were included as both provided syntheses of qualitative data relating to either consumer/family and/or staff perspectives of </w:t>
      </w:r>
      <w:r>
        <w:t>intermediary</w:t>
      </w:r>
      <w:r w:rsidRPr="0039137A">
        <w:t xml:space="preserve"> services. </w:t>
      </w:r>
    </w:p>
    <w:p w:rsidR="00F9484F" w:rsidRDefault="00F9484F" w:rsidP="00F9484F">
      <w:r w:rsidRPr="00E25FD6">
        <w:t>We found no studies that directly</w:t>
      </w:r>
      <w:r w:rsidRPr="007633DF">
        <w:t xml:space="preserve"> compared “consumer-directed plan plus intermediary services” to “consumer-directed plan with no/alternative intermediary”, and we found no comparative studies published after the</w:t>
      </w:r>
      <w:r>
        <w:rPr>
          <w:b/>
        </w:rPr>
        <w:t xml:space="preserve"> </w:t>
      </w:r>
      <w:r w:rsidRPr="0039137A">
        <w:t>included</w:t>
      </w:r>
      <w:r w:rsidRPr="007633DF">
        <w:t xml:space="preserve"> reviews. </w:t>
      </w:r>
    </w:p>
    <w:p w:rsidR="00437886" w:rsidRPr="00CF3111" w:rsidRDefault="00437886" w:rsidP="00F9484F"/>
    <w:p w:rsidR="00F9484F" w:rsidRDefault="00F9484F" w:rsidP="00F9484F">
      <w:pPr>
        <w:pStyle w:val="Heading4"/>
      </w:pPr>
      <w:bookmarkStart w:id="55" w:name="_Toc65251785"/>
      <w:r>
        <w:t>Quality of the evidence</w:t>
      </w:r>
      <w:bookmarkEnd w:id="55"/>
    </w:p>
    <w:p w:rsidR="00F9484F" w:rsidRDefault="00F9484F" w:rsidP="00F9484F">
      <w:r w:rsidRPr="00CF3111">
        <w:lastRenderedPageBreak/>
        <w:t>One of the two systematic reviews by Fleming et al (2019) was exceptionally rigorous</w:t>
      </w:r>
      <w:r>
        <w:t xml:space="preserve"> and comprehensive</w:t>
      </w:r>
      <w:r w:rsidRPr="00CF3111">
        <w:t xml:space="preserve">. The review by Lakhani (2019) however had a weaker and narrower search strategy and unclear assessment of the quality of included articles. </w:t>
      </w:r>
    </w:p>
    <w:p w:rsidR="00F9484F" w:rsidRDefault="00F9484F" w:rsidP="00F9484F">
      <w:r w:rsidRPr="00CF3111">
        <w:t>The one randomised controlled trial by Harry (2017) presented secondary data analysis of data collected between 1999 to 2003 during the Cash and Counseling Demonstration and Evaluation (CCDE) randomized control trial in the USA which compared “Cash and Counseling” to “agency-based care as usual”. They specifically focused on a subgroup of participants aged between 18 and 30 years, however there were significant dropouts in the intervention group (25% in one state) which was not explained and no blinding of data collectors. The qualitative studies included were generally of good quality, although none provided clear statements regarding the relationship between researcher and participants.</w:t>
      </w:r>
    </w:p>
    <w:p w:rsidR="006610D5" w:rsidRDefault="006610D5" w:rsidP="00F9484F">
      <w:r w:rsidRPr="006610D5">
        <w:t xml:space="preserve">Tables describing the </w:t>
      </w:r>
      <w:r w:rsidR="00791094">
        <w:t>c</w:t>
      </w:r>
      <w:r w:rsidRPr="006610D5">
        <w:t xml:space="preserve">haracteristics and </w:t>
      </w:r>
      <w:r w:rsidR="00791094">
        <w:t>q</w:t>
      </w:r>
      <w:r w:rsidRPr="006610D5">
        <w:t xml:space="preserve">uality </w:t>
      </w:r>
      <w:r w:rsidR="00791094">
        <w:t>a</w:t>
      </w:r>
      <w:r w:rsidRPr="006610D5">
        <w:t xml:space="preserve">ppraisal of </w:t>
      </w:r>
      <w:r w:rsidR="00791094">
        <w:t>i</w:t>
      </w:r>
      <w:r w:rsidRPr="006610D5">
        <w:t>ncluded studies for this part of the revi</w:t>
      </w:r>
      <w:r>
        <w:t>ew are included</w:t>
      </w:r>
      <w:r w:rsidRPr="006610D5">
        <w:t xml:space="preserve"> in</w:t>
      </w:r>
      <w:r w:rsidRPr="006610D5">
        <w:rPr>
          <w:u w:val="single"/>
        </w:rPr>
        <w:t xml:space="preserve"> </w:t>
      </w:r>
      <w:r w:rsidRPr="006610D5">
        <w:rPr>
          <w:color w:val="7030A0"/>
          <w:u w:val="single"/>
        </w:rPr>
        <w:fldChar w:fldCharType="begin"/>
      </w:r>
      <w:r w:rsidRPr="006610D5">
        <w:rPr>
          <w:color w:val="7030A0"/>
          <w:u w:val="single"/>
        </w:rPr>
        <w:instrText xml:space="preserve"> REF _Ref40699064 \h </w:instrText>
      </w:r>
      <w:r w:rsidRPr="006610D5">
        <w:rPr>
          <w:color w:val="7030A0"/>
          <w:u w:val="single"/>
        </w:rPr>
      </w:r>
      <w:r w:rsidRPr="006610D5">
        <w:rPr>
          <w:color w:val="7030A0"/>
          <w:u w:val="single"/>
        </w:rPr>
        <w:fldChar w:fldCharType="separate"/>
      </w:r>
      <w:r w:rsidRPr="006610D5">
        <w:rPr>
          <w:rFonts w:eastAsia="Calibri"/>
          <w:color w:val="7030A0"/>
          <w:u w:val="single"/>
          <w:lang w:val="en-AU" w:eastAsia="en-US"/>
        </w:rPr>
        <w:t>Appendix 5: Characteristics and Quality Appraisal of included studies for Support Coordination Systematic Review</w:t>
      </w:r>
      <w:r w:rsidRPr="006610D5">
        <w:rPr>
          <w:color w:val="7030A0"/>
          <w:u w:val="single"/>
        </w:rPr>
        <w:fldChar w:fldCharType="end"/>
      </w:r>
    </w:p>
    <w:p w:rsidR="006610D5" w:rsidRPr="00E93E8C" w:rsidRDefault="00E93E8C" w:rsidP="00E93E8C">
      <w:pPr>
        <w:ind w:left="720"/>
        <w:rPr>
          <w:b/>
          <w:color w:val="7030A0"/>
        </w:rPr>
      </w:pPr>
      <w:r>
        <w:rPr>
          <w:b/>
          <w:color w:val="7030A0"/>
        </w:rPr>
        <w:t xml:space="preserve">NB </w:t>
      </w:r>
      <w:r w:rsidR="006610D5" w:rsidRPr="00E93E8C">
        <w:rPr>
          <w:b/>
          <w:color w:val="7030A0"/>
        </w:rPr>
        <w:t>A full draft manuscript: “</w:t>
      </w:r>
      <w:r w:rsidR="006610D5" w:rsidRPr="00E93E8C">
        <w:rPr>
          <w:b/>
          <w:i/>
          <w:color w:val="7030A0"/>
        </w:rPr>
        <w:t>Intermediary services to assist people with disabilities to implement individualised funding plans: A rapid systematic review</w:t>
      </w:r>
      <w:r w:rsidR="006610D5" w:rsidRPr="00E93E8C">
        <w:rPr>
          <w:b/>
          <w:color w:val="7030A0"/>
        </w:rPr>
        <w:t>” is available on request</w:t>
      </w:r>
    </w:p>
    <w:p w:rsidR="00F9484F" w:rsidRDefault="00F9484F" w:rsidP="00F9484F">
      <w:r>
        <w:t xml:space="preserve"> </w:t>
      </w:r>
    </w:p>
    <w:p w:rsidR="00F9484F" w:rsidRDefault="00F9484F" w:rsidP="00F9484F">
      <w:pPr>
        <w:pStyle w:val="Heading4"/>
      </w:pPr>
      <w:bookmarkStart w:id="56" w:name="_Toc65251786"/>
      <w:r>
        <w:t>Effectiveness of Intermediary Models</w:t>
      </w:r>
      <w:bookmarkEnd w:id="56"/>
    </w:p>
    <w:p w:rsidR="00C407D5" w:rsidRDefault="00C407D5" w:rsidP="00C407D5">
      <w:pPr>
        <w:pStyle w:val="Caption"/>
        <w:keepNext/>
      </w:pPr>
      <w:bookmarkStart w:id="57" w:name="_Toc64536331"/>
      <w:r>
        <w:t xml:space="preserve">Table </w:t>
      </w:r>
      <w:r>
        <w:fldChar w:fldCharType="begin"/>
      </w:r>
      <w:r>
        <w:instrText xml:space="preserve"> SEQ Table \* ARABIC </w:instrText>
      </w:r>
      <w:r>
        <w:fldChar w:fldCharType="separate"/>
      </w:r>
      <w:r>
        <w:rPr>
          <w:noProof/>
        </w:rPr>
        <w:t>1</w:t>
      </w:r>
      <w:r>
        <w:fldChar w:fldCharType="end"/>
      </w:r>
      <w:r>
        <w:t>: Summary of Evidence, Intermediary Services</w:t>
      </w:r>
      <w:bookmarkEnd w:id="57"/>
    </w:p>
    <w:tbl>
      <w:tblPr>
        <w:tblStyle w:val="GridTable1Light"/>
        <w:tblW w:w="5000" w:type="pct"/>
        <w:tblLook w:val="0420" w:firstRow="1" w:lastRow="0" w:firstColumn="0" w:lastColumn="0" w:noHBand="0" w:noVBand="1"/>
        <w:tblDescription w:val="Table showing summary of evidence, intermediary services"/>
      </w:tblPr>
      <w:tblGrid>
        <w:gridCol w:w="1543"/>
        <w:gridCol w:w="1170"/>
        <w:gridCol w:w="6303"/>
      </w:tblGrid>
      <w:tr w:rsidR="007934F4" w:rsidRPr="0039137A" w:rsidTr="00F96E05">
        <w:trPr>
          <w:cnfStyle w:val="100000000000" w:firstRow="1" w:lastRow="0" w:firstColumn="0" w:lastColumn="0" w:oddVBand="0" w:evenVBand="0" w:oddHBand="0" w:evenHBand="0" w:firstRowFirstColumn="0" w:firstRowLastColumn="0" w:lastRowFirstColumn="0" w:lastRowLastColumn="0"/>
          <w:trHeight w:val="510"/>
          <w:tblHeader/>
        </w:trPr>
        <w:tc>
          <w:tcPr>
            <w:tcW w:w="856" w:type="pct"/>
          </w:tcPr>
          <w:p w:rsidR="007934F4" w:rsidRPr="007934F4" w:rsidRDefault="007934F4" w:rsidP="00250529">
            <w:pPr>
              <w:rPr>
                <w:bCs w:val="0"/>
                <w:lang w:val="en-AU"/>
              </w:rPr>
            </w:pPr>
            <w:r>
              <w:rPr>
                <w:bCs w:val="0"/>
                <w:lang w:val="en-AU"/>
              </w:rPr>
              <w:t>Types of findings</w:t>
            </w:r>
          </w:p>
        </w:tc>
        <w:tc>
          <w:tcPr>
            <w:tcW w:w="629" w:type="pct"/>
          </w:tcPr>
          <w:p w:rsidR="007934F4" w:rsidRPr="007934F4" w:rsidRDefault="00F96E05" w:rsidP="00250529">
            <w:pPr>
              <w:rPr>
                <w:lang w:val="en-AU"/>
              </w:rPr>
            </w:pPr>
            <w:r>
              <w:rPr>
                <w:lang w:val="en-AU"/>
              </w:rPr>
              <w:t>Direction</w:t>
            </w:r>
            <w:r w:rsidR="007934F4">
              <w:rPr>
                <w:lang w:val="en-AU"/>
              </w:rPr>
              <w:t xml:space="preserve"> of Effect</w:t>
            </w:r>
          </w:p>
        </w:tc>
        <w:tc>
          <w:tcPr>
            <w:tcW w:w="3515" w:type="pct"/>
          </w:tcPr>
          <w:p w:rsidR="007934F4" w:rsidRDefault="007934F4" w:rsidP="00250529">
            <w:pPr>
              <w:rPr>
                <w:rFonts w:cs="Arial"/>
                <w:color w:val="000000" w:themeColor="text1"/>
                <w:kern w:val="24"/>
              </w:rPr>
            </w:pPr>
            <w:r>
              <w:rPr>
                <w:rFonts w:cs="Arial"/>
                <w:color w:val="000000" w:themeColor="text1"/>
                <w:kern w:val="24"/>
              </w:rPr>
              <w:t>Comment</w:t>
            </w:r>
          </w:p>
        </w:tc>
      </w:tr>
      <w:tr w:rsidR="00F96E05" w:rsidRPr="0039137A" w:rsidTr="00F96E05">
        <w:trPr>
          <w:trHeight w:val="1284"/>
        </w:trPr>
        <w:tc>
          <w:tcPr>
            <w:tcW w:w="856" w:type="pct"/>
          </w:tcPr>
          <w:p w:rsidR="00F96E05" w:rsidRPr="00E7281F" w:rsidRDefault="00F96E05" w:rsidP="00F96E05">
            <w:r w:rsidRPr="00E7281F">
              <w:t>Effectiveness</w:t>
            </w:r>
          </w:p>
        </w:tc>
        <w:tc>
          <w:tcPr>
            <w:tcW w:w="629" w:type="pct"/>
          </w:tcPr>
          <w:p w:rsidR="00F96E05" w:rsidRPr="00E7281F" w:rsidRDefault="00F96E05" w:rsidP="00F96E05">
            <w:r w:rsidRPr="00E7281F">
              <w:t>Unknown</w:t>
            </w:r>
          </w:p>
        </w:tc>
        <w:tc>
          <w:tcPr>
            <w:tcW w:w="3515" w:type="pct"/>
          </w:tcPr>
          <w:p w:rsidR="00F96E05" w:rsidRDefault="00F96E05" w:rsidP="00F96E05">
            <w:r w:rsidRPr="00E7281F">
              <w:t>No studies provided quantitative data that compared an SC-equivalent intervention to “no service” or an alternative model.</w:t>
            </w:r>
          </w:p>
        </w:tc>
      </w:tr>
      <w:tr w:rsidR="007934F4" w:rsidRPr="0039137A" w:rsidTr="00F96E05">
        <w:trPr>
          <w:trHeight w:val="1284"/>
        </w:trPr>
        <w:tc>
          <w:tcPr>
            <w:tcW w:w="856" w:type="pct"/>
            <w:hideMark/>
          </w:tcPr>
          <w:p w:rsidR="00C407D5" w:rsidRPr="00F96E05" w:rsidRDefault="00C407D5" w:rsidP="00250529">
            <w:pPr>
              <w:rPr>
                <w:lang w:val="en-AU"/>
              </w:rPr>
            </w:pPr>
            <w:r w:rsidRPr="00F96E05">
              <w:rPr>
                <w:bCs/>
                <w:lang w:val="en-AU"/>
              </w:rPr>
              <w:t xml:space="preserve">Perceived </w:t>
            </w:r>
            <w:r w:rsidRPr="00F96E05">
              <w:rPr>
                <w:bCs/>
                <w:lang w:val="en-AU"/>
              </w:rPr>
              <w:br/>
              <w:t>benefits</w:t>
            </w:r>
          </w:p>
        </w:tc>
        <w:tc>
          <w:tcPr>
            <w:tcW w:w="629" w:type="pct"/>
            <w:hideMark/>
          </w:tcPr>
          <w:p w:rsidR="00C407D5" w:rsidRPr="0039137A" w:rsidRDefault="007934F4" w:rsidP="00250529">
            <w:pPr>
              <w:rPr>
                <w:lang w:val="en-AU"/>
              </w:rPr>
            </w:pPr>
            <w:r>
              <w:rPr>
                <w:lang w:val="en-AU"/>
              </w:rPr>
              <w:t>Postive</w:t>
            </w:r>
          </w:p>
        </w:tc>
        <w:tc>
          <w:tcPr>
            <w:tcW w:w="3515" w:type="pct"/>
            <w:hideMark/>
          </w:tcPr>
          <w:p w:rsidR="00C407D5" w:rsidRPr="0039137A" w:rsidRDefault="00C407D5" w:rsidP="00250529">
            <w:pPr>
              <w:rPr>
                <w:lang w:val="en-AU"/>
              </w:rPr>
            </w:pPr>
            <w:r>
              <w:rPr>
                <w:rFonts w:cs="Arial"/>
                <w:color w:val="000000" w:themeColor="text1"/>
                <w:kern w:val="24"/>
              </w:rPr>
              <w:t>There is qualitative data from the perspective of disability planners and workers that the provision of support and other human resources (including intermediary services, community integration, and innovative/creative supporters) was a facilitator of successful plan implementation (Fleming et al 2019 – review of 66 qualitative and 3 mixed methods papers).</w:t>
            </w:r>
          </w:p>
        </w:tc>
      </w:tr>
      <w:tr w:rsidR="007934F4" w:rsidRPr="0039137A" w:rsidTr="00F96E05">
        <w:trPr>
          <w:trHeight w:val="598"/>
        </w:trPr>
        <w:tc>
          <w:tcPr>
            <w:tcW w:w="856" w:type="pct"/>
            <w:hideMark/>
          </w:tcPr>
          <w:p w:rsidR="00C407D5" w:rsidRPr="00F96E05" w:rsidRDefault="00C407D5" w:rsidP="00250529">
            <w:pPr>
              <w:rPr>
                <w:lang w:val="en-AU"/>
              </w:rPr>
            </w:pPr>
            <w:r w:rsidRPr="00F96E05">
              <w:rPr>
                <w:bCs/>
                <w:lang w:val="en-AU"/>
              </w:rPr>
              <w:t>Harms</w:t>
            </w:r>
          </w:p>
        </w:tc>
        <w:tc>
          <w:tcPr>
            <w:tcW w:w="629" w:type="pct"/>
            <w:hideMark/>
          </w:tcPr>
          <w:p w:rsidR="00C407D5" w:rsidRPr="0039137A" w:rsidRDefault="007934F4" w:rsidP="00250529">
            <w:pPr>
              <w:rPr>
                <w:lang w:val="en-AU"/>
              </w:rPr>
            </w:pPr>
            <w:r>
              <w:rPr>
                <w:lang w:val="en-AU"/>
              </w:rPr>
              <w:t>Negative</w:t>
            </w:r>
          </w:p>
        </w:tc>
        <w:tc>
          <w:tcPr>
            <w:tcW w:w="3515" w:type="pct"/>
            <w:hideMark/>
          </w:tcPr>
          <w:p w:rsidR="00C407D5" w:rsidRPr="0039137A" w:rsidRDefault="00C407D5" w:rsidP="00250529">
            <w:pPr>
              <w:rPr>
                <w:lang w:val="en-AU"/>
              </w:rPr>
            </w:pPr>
            <w:r>
              <w:rPr>
                <w:rFonts w:cs="Arial"/>
                <w:color w:val="000000" w:themeColor="text1"/>
                <w:kern w:val="24"/>
              </w:rPr>
              <w:t>There was evidence of disabling practices and attitudes among some funding bodies and support agencies, resulting in planners/coordinators being very risk averse in order to safeguard their clients.</w:t>
            </w:r>
          </w:p>
        </w:tc>
      </w:tr>
      <w:tr w:rsidR="007934F4" w:rsidRPr="0039137A" w:rsidTr="00F96E05">
        <w:trPr>
          <w:trHeight w:val="457"/>
        </w:trPr>
        <w:tc>
          <w:tcPr>
            <w:tcW w:w="856" w:type="pct"/>
            <w:hideMark/>
          </w:tcPr>
          <w:p w:rsidR="00C407D5" w:rsidRPr="00F96E05" w:rsidRDefault="00C407D5" w:rsidP="00250529">
            <w:pPr>
              <w:rPr>
                <w:lang w:val="en-AU"/>
              </w:rPr>
            </w:pPr>
            <w:r w:rsidRPr="00F96E05">
              <w:rPr>
                <w:bCs/>
                <w:lang w:val="en-AU"/>
              </w:rPr>
              <w:lastRenderedPageBreak/>
              <w:t>Costs and cost-effectiveness</w:t>
            </w:r>
          </w:p>
        </w:tc>
        <w:tc>
          <w:tcPr>
            <w:tcW w:w="629" w:type="pct"/>
            <w:hideMark/>
          </w:tcPr>
          <w:p w:rsidR="00C407D5" w:rsidRPr="0039137A" w:rsidRDefault="007934F4" w:rsidP="00250529">
            <w:pPr>
              <w:rPr>
                <w:lang w:val="en-AU"/>
              </w:rPr>
            </w:pPr>
            <w:r>
              <w:rPr>
                <w:lang w:val="en-AU"/>
              </w:rPr>
              <w:t>Unknown</w:t>
            </w:r>
          </w:p>
        </w:tc>
        <w:tc>
          <w:tcPr>
            <w:tcW w:w="3515" w:type="pct"/>
            <w:hideMark/>
          </w:tcPr>
          <w:p w:rsidR="00C407D5" w:rsidRPr="0039137A" w:rsidRDefault="00C407D5" w:rsidP="00250529">
            <w:pPr>
              <w:rPr>
                <w:lang w:val="en-AU"/>
              </w:rPr>
            </w:pPr>
            <w:r>
              <w:rPr>
                <w:rFonts w:cs="Arial"/>
                <w:color w:val="000000" w:themeColor="dark1"/>
                <w:kern w:val="24"/>
              </w:rPr>
              <w:t>Our search retrieved no published data regarding costs or cost-effectiveness of support coordination.</w:t>
            </w:r>
          </w:p>
        </w:tc>
      </w:tr>
      <w:tr w:rsidR="007934F4" w:rsidRPr="0039137A" w:rsidTr="00F96E05">
        <w:trPr>
          <w:trHeight w:val="457"/>
        </w:trPr>
        <w:tc>
          <w:tcPr>
            <w:tcW w:w="856" w:type="pct"/>
            <w:hideMark/>
          </w:tcPr>
          <w:p w:rsidR="00C407D5" w:rsidRPr="00F96E05" w:rsidRDefault="00C407D5" w:rsidP="00250529">
            <w:pPr>
              <w:rPr>
                <w:lang w:val="en-AU"/>
              </w:rPr>
            </w:pPr>
            <w:r w:rsidRPr="00F96E05">
              <w:rPr>
                <w:bCs/>
                <w:lang w:val="en-AU"/>
              </w:rPr>
              <w:t>Stakeholders' views and experiences</w:t>
            </w:r>
          </w:p>
        </w:tc>
        <w:tc>
          <w:tcPr>
            <w:tcW w:w="629" w:type="pct"/>
            <w:hideMark/>
          </w:tcPr>
          <w:p w:rsidR="00C407D5" w:rsidRPr="0039137A" w:rsidRDefault="007934F4" w:rsidP="00250529">
            <w:pPr>
              <w:rPr>
                <w:lang w:val="en-AU"/>
              </w:rPr>
            </w:pPr>
            <w:r>
              <w:rPr>
                <w:lang w:val="en-AU"/>
              </w:rPr>
              <w:t>Postive</w:t>
            </w:r>
          </w:p>
        </w:tc>
        <w:tc>
          <w:tcPr>
            <w:tcW w:w="3515" w:type="pct"/>
            <w:hideMark/>
          </w:tcPr>
          <w:p w:rsidR="00C407D5" w:rsidRPr="0039137A" w:rsidRDefault="00C407D5" w:rsidP="00250529">
            <w:pPr>
              <w:rPr>
                <w:lang w:val="en-AU"/>
              </w:rPr>
            </w:pPr>
            <w:r>
              <w:rPr>
                <w:rFonts w:cs="Arial"/>
                <w:color w:val="000000" w:themeColor="text1"/>
                <w:kern w:val="24"/>
              </w:rPr>
              <w:t>There is qualitative data from consumer and family perspectives that external support is required to successfully navigate self-directed systems and that strong, trusting and collaborative relationships with both paid and unpaid individuals in the person's support network were facilitators of successful plan implementation (Lakhani et al 2018 – review of 18 studies; Fleming et al 2019 – review of 66 qualitative and 3 mixed methods papers)</w:t>
            </w:r>
          </w:p>
        </w:tc>
      </w:tr>
    </w:tbl>
    <w:p w:rsidR="00C407D5" w:rsidRPr="00A74222" w:rsidRDefault="00C407D5" w:rsidP="00C407D5">
      <w:pPr>
        <w:rPr>
          <w:sz w:val="18"/>
          <w:szCs w:val="18"/>
        </w:rPr>
      </w:pPr>
    </w:p>
    <w:p w:rsidR="00C407D5" w:rsidRPr="00C407D5" w:rsidRDefault="00C407D5" w:rsidP="00C407D5"/>
    <w:p w:rsidR="00F9484F" w:rsidRDefault="00F9484F" w:rsidP="00C407D5">
      <w:pPr>
        <w:sectPr w:rsidR="00F9484F" w:rsidSect="00097BD3">
          <w:footerReference w:type="even" r:id="rId15"/>
          <w:footerReference w:type="default" r:id="rId16"/>
          <w:footerReference w:type="first" r:id="rId17"/>
          <w:pgSz w:w="11906" w:h="16838"/>
          <w:pgMar w:top="1440" w:right="1440" w:bottom="1440" w:left="1440" w:header="708" w:footer="0" w:gutter="0"/>
          <w:pgNumType w:start="1"/>
          <w:cols w:space="708"/>
          <w:docGrid w:linePitch="360"/>
        </w:sectPr>
      </w:pPr>
    </w:p>
    <w:p w:rsidR="00F9484F" w:rsidRDefault="00F9484F" w:rsidP="00831C18">
      <w:pPr>
        <w:pStyle w:val="Heading3"/>
      </w:pPr>
      <w:bookmarkStart w:id="58" w:name="_Toc40185458"/>
      <w:bookmarkStart w:id="59" w:name="_Toc65251787"/>
      <w:r>
        <w:lastRenderedPageBreak/>
        <w:t>Local Area Coordination models</w:t>
      </w:r>
      <w:bookmarkEnd w:id="58"/>
      <w:bookmarkEnd w:id="59"/>
    </w:p>
    <w:p w:rsidR="0026509A" w:rsidRDefault="0026509A" w:rsidP="0026509A">
      <w:r>
        <w:t xml:space="preserve">Data for Local Area Coordination models was extracted from 15 evaluation reports and one evidence review paper. To describe contemporary models and </w:t>
      </w:r>
      <w:r w:rsidRPr="00EE2A96">
        <w:t xml:space="preserve">report </w:t>
      </w:r>
      <w:r>
        <w:t>any evaluations</w:t>
      </w:r>
      <w:r w:rsidRPr="00EE2A96">
        <w:t xml:space="preserve"> effectiveness and</w:t>
      </w:r>
      <w:r>
        <w:t>/or</w:t>
      </w:r>
      <w:r w:rsidRPr="00EE2A96">
        <w:t xml:space="preserve"> cost-effectiveness</w:t>
      </w:r>
      <w:r>
        <w:t>,</w:t>
      </w:r>
      <w:r w:rsidRPr="00EE2A96">
        <w:t xml:space="preserve"> </w:t>
      </w:r>
      <w:r>
        <w:t xml:space="preserve">data were extracted under </w:t>
      </w:r>
      <w:bookmarkStart w:id="60" w:name="_Hlk39741267"/>
      <w:r>
        <w:t>12 categories (</w:t>
      </w:r>
      <w:r w:rsidRPr="00D420B9">
        <w:t>Name of the service, Key functions,</w:t>
      </w:r>
      <w:r>
        <w:t xml:space="preserve"> Participants engagement with LAC, Life events associated with accessing LAC, LAC role, Participants per LAC ratio, Admin tasks,</w:t>
      </w:r>
      <w:r w:rsidRPr="00D420B9">
        <w:t xml:space="preserve"> Service funding,</w:t>
      </w:r>
      <w:r>
        <w:t xml:space="preserve"> Cost-effectiveness,</w:t>
      </w:r>
      <w:r w:rsidRPr="00D420B9">
        <w:t xml:space="preserve"> Eligibility criteria, Service providers, and Summary of strengths and weaknesses</w:t>
      </w:r>
      <w:r>
        <w:t>).</w:t>
      </w:r>
      <w:bookmarkEnd w:id="60"/>
      <w:r>
        <w:t xml:space="preserve"> Not all reports addressed all categories (see Appendices 3 &amp; 4).</w:t>
      </w:r>
    </w:p>
    <w:p w:rsidR="0026509A" w:rsidRDefault="0026509A" w:rsidP="0026509A">
      <w:pPr>
        <w:pStyle w:val="Heading4"/>
      </w:pPr>
      <w:bookmarkStart w:id="61" w:name="_Toc65251788"/>
      <w:r>
        <w:t>Name of the service</w:t>
      </w:r>
      <w:bookmarkEnd w:id="61"/>
    </w:p>
    <w:p w:rsidR="0026509A" w:rsidRPr="00627A7B" w:rsidRDefault="0026509A" w:rsidP="0026509A">
      <w:r>
        <w:t>The most common name was Local Area Coordination service specified for a location. For instance, LAC New Zealand (</w:t>
      </w:r>
      <w:r w:rsidRPr="00E96C7C">
        <w:t>Pike et al. 2016</w:t>
      </w:r>
      <w:r>
        <w:t xml:space="preserve">), </w:t>
      </w:r>
      <w:r w:rsidRPr="00221722">
        <w:t>Waltham Forest</w:t>
      </w:r>
      <w:r>
        <w:t xml:space="preserve"> (</w:t>
      </w:r>
      <w:r w:rsidRPr="00E96C7C">
        <w:t>Gamsu &amp; Rippon 2018</w:t>
      </w:r>
      <w:r>
        <w:t xml:space="preserve">), </w:t>
      </w:r>
      <w:r w:rsidRPr="00526E6B">
        <w:t>Leicestershire</w:t>
      </w:r>
      <w:r>
        <w:t xml:space="preserve"> (</w:t>
      </w:r>
      <w:r w:rsidRPr="00E96C7C">
        <w:t>Forshaw et al. 2016</w:t>
      </w:r>
      <w:r>
        <w:t xml:space="preserve">;) </w:t>
      </w:r>
      <w:r w:rsidRPr="00526E6B">
        <w:t>Haringey</w:t>
      </w:r>
      <w:r>
        <w:t xml:space="preserve"> (</w:t>
      </w:r>
      <w:r w:rsidRPr="00E96C7C">
        <w:t>Gamsu &amp; Rippon 2019</w:t>
      </w:r>
      <w:r>
        <w:t>;) Derby</w:t>
      </w:r>
      <w:r>
        <w:rPr>
          <w:rStyle w:val="FootnoteReference"/>
        </w:rPr>
        <w:footnoteReference w:id="1"/>
      </w:r>
      <w:r>
        <w:t xml:space="preserve"> (Kingfishers 2016; Marsh 2016) City of York (Lunt &amp; Bainbridge 2019; Lunt et al. 2018) </w:t>
      </w:r>
      <w:r w:rsidRPr="00221722">
        <w:t>Isle of Wight</w:t>
      </w:r>
      <w:r>
        <w:t xml:space="preserve"> (Mason et al. 2019; Darnton et al. 2018; Oatley 2016) and Thurrock</w:t>
      </w:r>
      <w:r w:rsidRPr="00E3245B">
        <w:t xml:space="preserve"> </w:t>
      </w:r>
      <w:r>
        <w:t xml:space="preserve">(Sitch 2014; Kingfishers 2015; Kingfishers 2016). There were reports on LAC pilot programs in </w:t>
      </w:r>
      <w:r w:rsidRPr="008B27AD">
        <w:t>Suffolk</w:t>
      </w:r>
      <w:r>
        <w:t xml:space="preserve"> (</w:t>
      </w:r>
      <w:r w:rsidRPr="00DC3DF1">
        <w:t>Yannitell &amp; Chatsiou 2018</w:t>
      </w:r>
      <w:r>
        <w:t xml:space="preserve">) and </w:t>
      </w:r>
      <w:r w:rsidRPr="008B27AD">
        <w:t>Middlesbrough</w:t>
      </w:r>
      <w:r>
        <w:t xml:space="preserve"> (</w:t>
      </w:r>
      <w:r w:rsidRPr="00EC5DB7">
        <w:t>Peter Fletcher Associates Ltd 2011</w:t>
      </w:r>
      <w:r>
        <w:t xml:space="preserve">). One study reported on Local Area Coordination and </w:t>
      </w:r>
      <w:r w:rsidRPr="00CB361F">
        <w:t>Local Community Coordination (LCC)</w:t>
      </w:r>
      <w:r>
        <w:t xml:space="preserve"> as two separate services within the same locality, </w:t>
      </w:r>
      <w:r w:rsidRPr="00CB361F">
        <w:t>Western Bay, England</w:t>
      </w:r>
      <w:r>
        <w:t xml:space="preserve"> (</w:t>
      </w:r>
      <w:r w:rsidRPr="00602616">
        <w:t>Swansea University 2016</w:t>
      </w:r>
      <w:r>
        <w:t>).</w:t>
      </w:r>
    </w:p>
    <w:p w:rsidR="0026509A" w:rsidRDefault="0026509A" w:rsidP="0026509A">
      <w:pPr>
        <w:pStyle w:val="Heading4"/>
      </w:pPr>
      <w:bookmarkStart w:id="62" w:name="_Toc65251789"/>
      <w:r w:rsidRPr="00D420B9">
        <w:t>Key functions</w:t>
      </w:r>
      <w:bookmarkEnd w:id="62"/>
    </w:p>
    <w:p w:rsidR="0026509A" w:rsidRDefault="0026509A" w:rsidP="0026509A">
      <w:r>
        <w:t xml:space="preserve">Key functions of the LAC service were listed or described in all studies, but with varying quality of </w:t>
      </w:r>
      <w:r w:rsidRPr="00E65571">
        <w:t>reporting</w:t>
      </w:r>
      <w:r>
        <w:t>. Ten studies reported in depth about LAC services, including vision and levels of service (Yannitell &amp; Chatsiou 2018; Gamsu &amp; Rippon 2018; Peter Fletcher Associates Ltd 2011; Darnton et al. 2018; Sitch 2014;</w:t>
      </w:r>
      <w:r w:rsidRPr="00C96360">
        <w:t xml:space="preserve"> </w:t>
      </w:r>
      <w:r>
        <w:t>Oatley 2016; Forshaw et al. 2016; Kingfishers 2016</w:t>
      </w:r>
      <w:r w:rsidRPr="00C96360">
        <w:t xml:space="preserve"> </w:t>
      </w:r>
      <w:r>
        <w:t xml:space="preserve">Gamsu &amp; Rippon 2019;Lunt et al. 2018), however six reports lacked comprehensive elaboration of models. </w:t>
      </w:r>
    </w:p>
    <w:p w:rsidR="0026509A" w:rsidRDefault="0026509A" w:rsidP="0026509A">
      <w:r>
        <w:t xml:space="preserve">In England, LACs “walk alongside” individuals and families helping them build their strengths and develop resilience. LAC is available to anyone in the community, and the approach is person centered and tailored to individual needs. </w:t>
      </w:r>
    </w:p>
    <w:p w:rsidR="0026509A" w:rsidRDefault="0026509A" w:rsidP="0026509A">
      <w:r>
        <w:t>The majority of reports described two levels of support available through LAC (Figure 4: LAC support levels).</w:t>
      </w:r>
    </w:p>
    <w:p w:rsidR="0026509A" w:rsidRDefault="0026509A" w:rsidP="0026509A">
      <w:r>
        <w:t xml:space="preserve">Level 1 – anyone can access this level of support from LACs and there are no assessments or intake processes. This level offers provision of information, advice, or signposting to other services. Level 1 is defined as limited support however there was no data about the duration of this provision. </w:t>
      </w:r>
    </w:p>
    <w:p w:rsidR="0026509A" w:rsidRDefault="0026509A" w:rsidP="0026509A">
      <w:r>
        <w:lastRenderedPageBreak/>
        <w:t>Level 2 – is support for people, children and adults, who are vulnerable “</w:t>
      </w:r>
      <w:r w:rsidRPr="00F2620B">
        <w:t>due to physical, intellectual, cognitive and/or sensory disability, mental health needs, age or frailty</w:t>
      </w:r>
      <w:r>
        <w:t>” (</w:t>
      </w:r>
      <w:r w:rsidRPr="00531D0D">
        <w:t>Sitch 2014</w:t>
      </w:r>
      <w:r>
        <w:t>;</w:t>
      </w:r>
      <w:r w:rsidRPr="00531D0D">
        <w:t xml:space="preserve"> Oatley 201</w:t>
      </w:r>
      <w:r>
        <w:t xml:space="preserve">6; </w:t>
      </w:r>
      <w:r w:rsidRPr="00531D0D">
        <w:t>Gamsu &amp; Rippon 201</w:t>
      </w:r>
      <w:r>
        <w:t xml:space="preserve">9; </w:t>
      </w:r>
      <w:r w:rsidRPr="00531D0D">
        <w:t>Marsh 2016</w:t>
      </w:r>
      <w:r>
        <w:t xml:space="preserve">; </w:t>
      </w:r>
      <w:r w:rsidRPr="00531D0D">
        <w:t>Peter Fletcher Associates Ltd 2011</w:t>
      </w:r>
      <w:r>
        <w:t>). Level 2 participants require ongoing assistance to “</w:t>
      </w:r>
      <w:r w:rsidRPr="00F2620B">
        <w:t>to build relationships, nurture control, choice and self</w:t>
      </w:r>
      <w:r>
        <w:t>-</w:t>
      </w:r>
      <w:r w:rsidRPr="00F2620B">
        <w:t xml:space="preserve">sufficiency, plan for the future, </w:t>
      </w:r>
      <w:r>
        <w:t xml:space="preserve">and </w:t>
      </w:r>
      <w:r w:rsidRPr="00F2620B">
        <w:t>find practical solutions to problems</w:t>
      </w:r>
      <w:r>
        <w:t>” (</w:t>
      </w:r>
      <w:r w:rsidRPr="00AB08A8">
        <w:t>Sitch 2014;</w:t>
      </w:r>
      <w:r>
        <w:t xml:space="preserve"> </w:t>
      </w:r>
      <w:r w:rsidRPr="00531D0D">
        <w:t>Oatley 201</w:t>
      </w:r>
      <w:r>
        <w:t>6;</w:t>
      </w:r>
      <w:r w:rsidRPr="00AB08A8">
        <w:t xml:space="preserve"> Marsh 2016</w:t>
      </w:r>
      <w:r>
        <w:t xml:space="preserve">). This is a longer-term relationship, however there was no data about the duration of support. </w:t>
      </w:r>
    </w:p>
    <w:p w:rsidR="0026509A" w:rsidRDefault="0026509A" w:rsidP="0026509A">
      <w:r>
        <w:t>Another level of LAC support was reported in the City of York (</w:t>
      </w:r>
      <w:r w:rsidRPr="00C2446E">
        <w:t>Lunt &amp; Bainbridge 2019</w:t>
      </w:r>
      <w:r>
        <w:t>) and Derby (</w:t>
      </w:r>
      <w:r w:rsidRPr="00313FD1">
        <w:t>Marsh 2016</w:t>
      </w:r>
      <w:r>
        <w:t xml:space="preserve">) aimed at community groups. This level supports existing or new groups, and assistance can be brief or ongoing. Support includes connecting community groups, giving advice on funding, and identifying delivery locations. </w:t>
      </w:r>
    </w:p>
    <w:p w:rsidR="0026509A" w:rsidRDefault="0026509A" w:rsidP="0026509A">
      <w:pPr>
        <w:jc w:val="center"/>
      </w:pPr>
      <w:r>
        <w:rPr>
          <w:noProof/>
          <w:lang w:val="en-AU" w:eastAsia="en-AU"/>
        </w:rPr>
        <w:drawing>
          <wp:inline distT="0" distB="0" distL="0" distR="0" wp14:anchorId="54067780" wp14:editId="1723472A">
            <wp:extent cx="5760000" cy="4320319"/>
            <wp:effectExtent l="0" t="0" r="0" b="4445"/>
            <wp:docPr id="8" name="Picture 8" descr="Figure showing LAC support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00" cy="4320319"/>
                    </a:xfrm>
                    <a:prstGeom prst="rect">
                      <a:avLst/>
                    </a:prstGeom>
                    <a:noFill/>
                    <a:ln>
                      <a:noFill/>
                    </a:ln>
                  </pic:spPr>
                </pic:pic>
              </a:graphicData>
            </a:graphic>
          </wp:inline>
        </w:drawing>
      </w:r>
      <w:r w:rsidRPr="007C7533">
        <w:t xml:space="preserve"> </w:t>
      </w:r>
    </w:p>
    <w:p w:rsidR="0026509A" w:rsidRDefault="00192692" w:rsidP="00192692">
      <w:pPr>
        <w:pStyle w:val="Caption"/>
        <w:jc w:val="center"/>
      </w:pPr>
      <w:bookmarkStart w:id="63" w:name="_Toc64536337"/>
      <w:r>
        <w:t xml:space="preserve">Figure </w:t>
      </w:r>
      <w:r>
        <w:fldChar w:fldCharType="begin"/>
      </w:r>
      <w:r>
        <w:instrText xml:space="preserve"> SEQ Figure \* ARABIC </w:instrText>
      </w:r>
      <w:r>
        <w:fldChar w:fldCharType="separate"/>
      </w:r>
      <w:r>
        <w:rPr>
          <w:noProof/>
        </w:rPr>
        <w:t>4</w:t>
      </w:r>
      <w:r>
        <w:fldChar w:fldCharType="end"/>
      </w:r>
      <w:r>
        <w:t xml:space="preserve">: </w:t>
      </w:r>
      <w:r w:rsidRPr="002457E1">
        <w:t>LAC support levels</w:t>
      </w:r>
      <w:bookmarkEnd w:id="63"/>
    </w:p>
    <w:p w:rsidR="00192692" w:rsidRPr="00192692" w:rsidRDefault="00192692" w:rsidP="00192692"/>
    <w:p w:rsidR="0026509A" w:rsidRDefault="0026509A" w:rsidP="0026509A">
      <w:r>
        <w:t xml:space="preserve">Alongside LAC, another type of support was reported for </w:t>
      </w:r>
      <w:r w:rsidRPr="00A928DA">
        <w:t>Western Bay, England</w:t>
      </w:r>
      <w:r>
        <w:t xml:space="preserve"> (</w:t>
      </w:r>
      <w:r w:rsidRPr="00CE5123">
        <w:t>Swansea University 2016</w:t>
      </w:r>
      <w:r>
        <w:t>).</w:t>
      </w:r>
      <w:r w:rsidRPr="00A928DA">
        <w:t xml:space="preserve"> </w:t>
      </w:r>
      <w:r w:rsidRPr="008C3522">
        <w:t>Local Community Coordination</w:t>
      </w:r>
      <w:r>
        <w:t xml:space="preserve"> (LCC) was based on LAC components with </w:t>
      </w:r>
      <w:r>
        <w:lastRenderedPageBreak/>
        <w:t>an</w:t>
      </w:r>
      <w:r w:rsidRPr="00A928DA">
        <w:t xml:space="preserve"> emerging framework</w:t>
      </w:r>
      <w:r>
        <w:t xml:space="preserve"> build from the ground up. LCC is driven by the context in which it operates, does not have a dedicated leadership group, but instead allows Coordinator autonomy in shaping and developing the working model</w:t>
      </w:r>
      <w:r w:rsidRPr="00A928DA">
        <w:t>.</w:t>
      </w:r>
      <w:r>
        <w:t xml:space="preserve"> LCC offers the same levels of support as LAC. </w:t>
      </w:r>
    </w:p>
    <w:p w:rsidR="0026509A" w:rsidRDefault="0026509A" w:rsidP="0026509A">
      <w:r>
        <w:t xml:space="preserve">In New Zealand, LACs were trialed as part of </w:t>
      </w:r>
      <w:r w:rsidRPr="000D4E61">
        <w:t>Enhanced Individualised Funding</w:t>
      </w:r>
      <w:r>
        <w:t xml:space="preserve"> (</w:t>
      </w:r>
      <w:r w:rsidRPr="00CE5123">
        <w:t>Pike et al. 2016</w:t>
      </w:r>
      <w:r>
        <w:t>). The LAC supports people with disabilities, their families and/or carers to strengthen connections with communities they live in. The service also works with communities supporting them to become more inclusive of people with disabilities.</w:t>
      </w:r>
    </w:p>
    <w:p w:rsidR="0026509A" w:rsidRDefault="0026509A" w:rsidP="0026509A">
      <w:r>
        <w:t>In this model, the LAC offers two levels of support. For level 1, participants have initial contact with the LACs and they are provided with information they need. This is a limited support, however no data was found about the duration of provision. There is no formal intake process or assessment. Level 2 focuses on participants who meet the Ministry of Health’s definit</w:t>
      </w:r>
      <w:r w:rsidR="003D3421">
        <w:t>ion of people with disabilities</w:t>
      </w:r>
    </w:p>
    <w:p w:rsidR="0026509A" w:rsidRDefault="0026509A" w:rsidP="0026509A">
      <w:pPr>
        <w:pStyle w:val="Heading4"/>
      </w:pPr>
      <w:bookmarkStart w:id="64" w:name="_Toc65251790"/>
      <w:r>
        <w:t>Participants’ engagement with LAC</w:t>
      </w:r>
      <w:bookmarkEnd w:id="64"/>
    </w:p>
    <w:p w:rsidR="0026509A" w:rsidRDefault="0026509A" w:rsidP="0026509A">
      <w:r>
        <w:t xml:space="preserve">LAC does not work through referrals or waiting lists but rather utilizes the principle of ‘introductions’ to engage with participants (Marsh 2016).  The focus is on voluntary relationships and connecting with participants (Marsh 2016; </w:t>
      </w:r>
      <w:r w:rsidRPr="007C7060">
        <w:t>Lunt &amp; Bainbridge 2019</w:t>
      </w:r>
      <w:r>
        <w:t xml:space="preserve">). Data about introductions was extracted from ten studies </w:t>
      </w:r>
      <w:r w:rsidRPr="00D3238D">
        <w:t>(Mason et al. 2019; Yannitell &amp; Chatsiou 2018; Gamsu &amp; Rippon 2018; Darnton et al. 2018; Sitch 2014; Lunt &amp; Bainbridge 2019; Oatley 2016; Gamsu &amp; Rippon 2019; Marsh</w:t>
      </w:r>
      <w:r>
        <w:t xml:space="preserve"> 2016; Pike et al. 2016).  The majority of studies</w:t>
      </w:r>
      <w:r>
        <w:rPr>
          <w:rStyle w:val="CommentReference"/>
        </w:rPr>
        <w:t xml:space="preserve"> </w:t>
      </w:r>
      <w:r>
        <w:t>reported on ‘who introduces’ participants to LAC service. Figure 5 shows methods of introduction as reported in the studies</w:t>
      </w:r>
      <w:r>
        <w:rPr>
          <w:rStyle w:val="FootnoteReference"/>
        </w:rPr>
        <w:footnoteReference w:id="2"/>
      </w:r>
      <w:r>
        <w:t>.</w:t>
      </w:r>
    </w:p>
    <w:p w:rsidR="0026509A" w:rsidRDefault="0026509A" w:rsidP="0026509A">
      <w:bookmarkStart w:id="65" w:name="_Hlk39742105"/>
      <w:r>
        <w:rPr>
          <w:noProof/>
          <w:lang w:val="en-AU" w:eastAsia="en-AU"/>
        </w:rPr>
        <w:lastRenderedPageBreak/>
        <w:drawing>
          <wp:inline distT="0" distB="0" distL="0" distR="0" wp14:anchorId="3F6DCBAF" wp14:editId="722BBF9A">
            <wp:extent cx="5486400" cy="3200400"/>
            <wp:effectExtent l="0" t="0" r="0" b="0"/>
            <wp:docPr id="19" name="Chart 19" descr="Chart showing LAC methods of introduc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65"/>
    </w:p>
    <w:p w:rsidR="0026509A" w:rsidRDefault="00192692" w:rsidP="00192692">
      <w:pPr>
        <w:pStyle w:val="Caption"/>
        <w:jc w:val="center"/>
      </w:pPr>
      <w:bookmarkStart w:id="66" w:name="_Toc64536338"/>
      <w:r>
        <w:t xml:space="preserve">Figure </w:t>
      </w:r>
      <w:r>
        <w:fldChar w:fldCharType="begin"/>
      </w:r>
      <w:r>
        <w:instrText xml:space="preserve"> SEQ Figure \* ARABIC </w:instrText>
      </w:r>
      <w:r>
        <w:fldChar w:fldCharType="separate"/>
      </w:r>
      <w:r>
        <w:rPr>
          <w:noProof/>
        </w:rPr>
        <w:t>5</w:t>
      </w:r>
      <w:r>
        <w:fldChar w:fldCharType="end"/>
      </w:r>
      <w:r>
        <w:t xml:space="preserve">: </w:t>
      </w:r>
      <w:r w:rsidR="00DE7444">
        <w:t xml:space="preserve">LAC </w:t>
      </w:r>
      <w:r w:rsidRPr="002E0D51">
        <w:t>Methods of introduction</w:t>
      </w:r>
      <w:bookmarkEnd w:id="66"/>
    </w:p>
    <w:p w:rsidR="0026509A" w:rsidRDefault="0026509A" w:rsidP="0026509A">
      <w:pPr>
        <w:spacing w:line="276" w:lineRule="auto"/>
      </w:pPr>
      <w:r>
        <w:br w:type="page"/>
      </w:r>
    </w:p>
    <w:p w:rsidR="0026509A" w:rsidRDefault="0026509A" w:rsidP="0026509A">
      <w:pPr>
        <w:pStyle w:val="Heading4"/>
      </w:pPr>
      <w:bookmarkStart w:id="67" w:name="_Toc65251791"/>
      <w:r>
        <w:lastRenderedPageBreak/>
        <w:t>Life event associated with accessing LAC</w:t>
      </w:r>
      <w:bookmarkEnd w:id="67"/>
    </w:p>
    <w:p w:rsidR="0026509A" w:rsidRDefault="0026509A" w:rsidP="0026509A">
      <w:r>
        <w:t xml:space="preserve">Data on life events associated with accessing LAC could not be found in any report. However, proxy data that potentially might give the answer was found in </w:t>
      </w:r>
      <w:r w:rsidRPr="005678C4">
        <w:t>reasons for introductions</w:t>
      </w:r>
      <w:r>
        <w:t xml:space="preserve">. Of 18 studies, seven reported on reasons for introductions (Gamsu </w:t>
      </w:r>
      <w:r w:rsidRPr="00965166">
        <w:t>&amp; Rippon 2018; Darnton et al. 2018; Forshaw et al. 2016; Kingfishers 2016; Kingfishers 2015; Swansea University 2016; Marsh 2016).</w:t>
      </w:r>
      <w:r>
        <w:t xml:space="preserve"> </w:t>
      </w:r>
      <w:r w:rsidR="0081359C">
        <w:t>Table 2</w:t>
      </w:r>
      <w:r>
        <w:t xml:space="preserve"> illustrates the reasons for accessing LAC.</w:t>
      </w:r>
      <w:r w:rsidRPr="00965166">
        <w:t xml:space="preserve"> </w:t>
      </w:r>
    </w:p>
    <w:p w:rsidR="0075137F" w:rsidRDefault="0075137F" w:rsidP="0075137F">
      <w:pPr>
        <w:pStyle w:val="Heading5"/>
      </w:pPr>
    </w:p>
    <w:p w:rsidR="0081359C" w:rsidRDefault="00DE7444" w:rsidP="00DE7444">
      <w:pPr>
        <w:pStyle w:val="Caption"/>
      </w:pPr>
      <w:bookmarkStart w:id="68" w:name="_Toc64536332"/>
      <w:r>
        <w:t xml:space="preserve">Table </w:t>
      </w:r>
      <w:r>
        <w:fldChar w:fldCharType="begin"/>
      </w:r>
      <w:r>
        <w:instrText xml:space="preserve"> SEQ Table \* ARABIC </w:instrText>
      </w:r>
      <w:r>
        <w:fldChar w:fldCharType="separate"/>
      </w:r>
      <w:r>
        <w:rPr>
          <w:noProof/>
        </w:rPr>
        <w:t>2</w:t>
      </w:r>
      <w:r>
        <w:fldChar w:fldCharType="end"/>
      </w:r>
      <w:r>
        <w:t xml:space="preserve">: </w:t>
      </w:r>
      <w:r w:rsidRPr="007E47C8">
        <w:t>Reasons for accessing LAC</w:t>
      </w:r>
      <w:bookmarkEnd w:id="6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showing reason category and number of rows"/>
      </w:tblPr>
      <w:tblGrid>
        <w:gridCol w:w="704"/>
        <w:gridCol w:w="5528"/>
        <w:gridCol w:w="2132"/>
      </w:tblGrid>
      <w:tr w:rsidR="0081359C" w:rsidTr="007B406C">
        <w:trPr>
          <w:tblHeader/>
          <w:jc w:val="center"/>
        </w:trPr>
        <w:tc>
          <w:tcPr>
            <w:tcW w:w="704" w:type="dxa"/>
            <w:shd w:val="clear" w:color="auto" w:fill="660066"/>
          </w:tcPr>
          <w:p w:rsidR="0081359C" w:rsidRDefault="006439AC" w:rsidP="006610D5">
            <w:r>
              <w:t>#</w:t>
            </w:r>
          </w:p>
        </w:tc>
        <w:tc>
          <w:tcPr>
            <w:tcW w:w="5528" w:type="dxa"/>
            <w:shd w:val="clear" w:color="auto" w:fill="660066"/>
          </w:tcPr>
          <w:p w:rsidR="0081359C" w:rsidRDefault="0081359C" w:rsidP="0081359C">
            <w:r>
              <w:t xml:space="preserve">Reason category </w:t>
            </w:r>
          </w:p>
        </w:tc>
        <w:tc>
          <w:tcPr>
            <w:tcW w:w="2132" w:type="dxa"/>
            <w:shd w:val="clear" w:color="auto" w:fill="660066"/>
          </w:tcPr>
          <w:p w:rsidR="0081359C" w:rsidRDefault="0081359C" w:rsidP="006610D5">
            <w:pPr>
              <w:jc w:val="center"/>
            </w:pPr>
            <w:r>
              <w:t>Number of records</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Default="0081359C" w:rsidP="006610D5">
            <w:r>
              <w:t>S</w:t>
            </w:r>
            <w:r w:rsidRPr="00A538F7">
              <w:t>ocial  isolation</w:t>
            </w:r>
            <w:r>
              <w:t xml:space="preserve"> and/or loneliness</w:t>
            </w:r>
          </w:p>
        </w:tc>
        <w:tc>
          <w:tcPr>
            <w:tcW w:w="2132" w:type="dxa"/>
            <w:shd w:val="clear" w:color="auto" w:fill="F7EEF7"/>
          </w:tcPr>
          <w:p w:rsidR="0081359C" w:rsidRDefault="0081359C" w:rsidP="006610D5">
            <w:pPr>
              <w:jc w:val="center"/>
            </w:pPr>
            <w:r>
              <w:t>7</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Default="0081359C" w:rsidP="006610D5">
            <w:r>
              <w:t>M</w:t>
            </w:r>
            <w:r w:rsidRPr="0044512A">
              <w:t>ental  health</w:t>
            </w:r>
          </w:p>
        </w:tc>
        <w:tc>
          <w:tcPr>
            <w:tcW w:w="2132" w:type="dxa"/>
          </w:tcPr>
          <w:p w:rsidR="0081359C" w:rsidRDefault="0081359C" w:rsidP="006610D5">
            <w:pPr>
              <w:jc w:val="center"/>
            </w:pPr>
            <w:r>
              <w:t>7</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Default="0081359C" w:rsidP="006610D5">
            <w:r w:rsidRPr="00DC1F24">
              <w:t>Complex needs</w:t>
            </w:r>
          </w:p>
        </w:tc>
        <w:tc>
          <w:tcPr>
            <w:tcW w:w="2132" w:type="dxa"/>
            <w:shd w:val="clear" w:color="auto" w:fill="F7EEF7"/>
          </w:tcPr>
          <w:p w:rsidR="0081359C" w:rsidRDefault="0081359C" w:rsidP="006610D5">
            <w:pPr>
              <w:jc w:val="center"/>
            </w:pPr>
            <w:r>
              <w:t>4</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Default="0081359C" w:rsidP="006610D5">
            <w:r w:rsidRPr="00DC1F24">
              <w:t>Hoarding</w:t>
            </w:r>
          </w:p>
        </w:tc>
        <w:tc>
          <w:tcPr>
            <w:tcW w:w="2132" w:type="dxa"/>
          </w:tcPr>
          <w:p w:rsidR="0081359C" w:rsidRDefault="0081359C" w:rsidP="006610D5">
            <w:pPr>
              <w:jc w:val="center"/>
            </w:pPr>
            <w:r>
              <w:t>4</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Default="0081359C" w:rsidP="006610D5">
            <w:r>
              <w:t>Old age</w:t>
            </w:r>
          </w:p>
        </w:tc>
        <w:tc>
          <w:tcPr>
            <w:tcW w:w="2132" w:type="dxa"/>
            <w:shd w:val="clear" w:color="auto" w:fill="F7EEF7"/>
          </w:tcPr>
          <w:p w:rsidR="0081359C" w:rsidRDefault="0081359C" w:rsidP="006610D5">
            <w:pPr>
              <w:jc w:val="center"/>
            </w:pPr>
            <w:r>
              <w:t>3</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Default="0081359C" w:rsidP="006610D5">
            <w:r w:rsidRPr="000E6A6D">
              <w:t>Frequent  GP  visits</w:t>
            </w:r>
          </w:p>
        </w:tc>
        <w:tc>
          <w:tcPr>
            <w:tcW w:w="2132" w:type="dxa"/>
          </w:tcPr>
          <w:p w:rsidR="0081359C" w:rsidRDefault="0081359C" w:rsidP="006610D5">
            <w:pPr>
              <w:jc w:val="center"/>
            </w:pPr>
            <w:r>
              <w:t>3</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Default="0081359C" w:rsidP="006610D5">
            <w:r w:rsidRPr="000E6A6D">
              <w:t>Housing</w:t>
            </w:r>
          </w:p>
        </w:tc>
        <w:tc>
          <w:tcPr>
            <w:tcW w:w="2132" w:type="dxa"/>
            <w:shd w:val="clear" w:color="auto" w:fill="F7EEF7"/>
          </w:tcPr>
          <w:p w:rsidR="0081359C" w:rsidRDefault="0081359C" w:rsidP="006610D5">
            <w:pPr>
              <w:jc w:val="center"/>
            </w:pPr>
            <w:r>
              <w:t>3</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Pr="000E6A6D" w:rsidRDefault="0081359C" w:rsidP="006610D5">
            <w:r>
              <w:t>L</w:t>
            </w:r>
            <w:r w:rsidRPr="00FC52AA">
              <w:t>earning/health  disabilities</w:t>
            </w:r>
          </w:p>
        </w:tc>
        <w:tc>
          <w:tcPr>
            <w:tcW w:w="2132" w:type="dxa"/>
          </w:tcPr>
          <w:p w:rsidR="0081359C" w:rsidRDefault="0081359C" w:rsidP="006610D5">
            <w:pPr>
              <w:jc w:val="center"/>
            </w:pPr>
            <w:r>
              <w:t>2</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Pr="000E6A6D" w:rsidRDefault="0081359C" w:rsidP="006610D5">
            <w:r>
              <w:t>M</w:t>
            </w:r>
            <w:r w:rsidRPr="00FC52AA">
              <w:t>obility</w:t>
            </w:r>
          </w:p>
        </w:tc>
        <w:tc>
          <w:tcPr>
            <w:tcW w:w="2132" w:type="dxa"/>
            <w:shd w:val="clear" w:color="auto" w:fill="F7EEF7"/>
          </w:tcPr>
          <w:p w:rsidR="0081359C" w:rsidRDefault="0081359C" w:rsidP="006610D5">
            <w:pPr>
              <w:jc w:val="center"/>
            </w:pPr>
            <w:r>
              <w:t>2</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Pr="000E6A6D" w:rsidRDefault="0081359C" w:rsidP="006610D5">
            <w:r w:rsidRPr="00DC1F24">
              <w:t>Homelessness</w:t>
            </w:r>
          </w:p>
        </w:tc>
        <w:tc>
          <w:tcPr>
            <w:tcW w:w="2132" w:type="dxa"/>
          </w:tcPr>
          <w:p w:rsidR="0081359C" w:rsidRDefault="0081359C" w:rsidP="006610D5">
            <w:pPr>
              <w:jc w:val="center"/>
            </w:pPr>
            <w:r>
              <w:t>2</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Pr="000E6A6D" w:rsidRDefault="0081359C" w:rsidP="006610D5">
            <w:r>
              <w:t>Finances</w:t>
            </w:r>
          </w:p>
        </w:tc>
        <w:tc>
          <w:tcPr>
            <w:tcW w:w="2132" w:type="dxa"/>
            <w:shd w:val="clear" w:color="auto" w:fill="F7EEF7"/>
          </w:tcPr>
          <w:p w:rsidR="0081359C" w:rsidRDefault="0081359C" w:rsidP="006610D5">
            <w:pPr>
              <w:jc w:val="center"/>
            </w:pPr>
            <w:r>
              <w:t>2</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Pr="000E6A6D" w:rsidRDefault="0081359C" w:rsidP="006610D5">
            <w:r w:rsidRPr="000E6A6D">
              <w:t>Job, training, volunteering</w:t>
            </w:r>
          </w:p>
        </w:tc>
        <w:tc>
          <w:tcPr>
            <w:tcW w:w="2132" w:type="dxa"/>
          </w:tcPr>
          <w:p w:rsidR="0081359C" w:rsidRDefault="0081359C" w:rsidP="006610D5">
            <w:pPr>
              <w:jc w:val="center"/>
            </w:pPr>
            <w:r>
              <w:t>2</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Pr="000E6A6D" w:rsidRDefault="0081359C" w:rsidP="006610D5">
            <w:r w:rsidRPr="000E6A6D">
              <w:t>Child  protection/drugs/anger/school</w:t>
            </w:r>
          </w:p>
        </w:tc>
        <w:tc>
          <w:tcPr>
            <w:tcW w:w="2132" w:type="dxa"/>
            <w:shd w:val="clear" w:color="auto" w:fill="F7EEF7"/>
          </w:tcPr>
          <w:p w:rsidR="0081359C" w:rsidRDefault="0081359C" w:rsidP="006610D5">
            <w:pPr>
              <w:jc w:val="center"/>
            </w:pPr>
            <w:r>
              <w:t>1</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Pr="000E6A6D" w:rsidRDefault="0081359C" w:rsidP="006610D5">
            <w:r w:rsidRPr="000E6A6D">
              <w:t>Personal abuse</w:t>
            </w:r>
          </w:p>
        </w:tc>
        <w:tc>
          <w:tcPr>
            <w:tcW w:w="2132" w:type="dxa"/>
          </w:tcPr>
          <w:p w:rsidR="0081359C" w:rsidRDefault="0081359C" w:rsidP="006610D5">
            <w:pPr>
              <w:jc w:val="center"/>
            </w:pPr>
            <w:r>
              <w:t>1</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Pr="000E6A6D" w:rsidRDefault="0081359C" w:rsidP="006610D5">
            <w:r w:rsidRPr="0044512A">
              <w:t>Police  involvement</w:t>
            </w:r>
          </w:p>
        </w:tc>
        <w:tc>
          <w:tcPr>
            <w:tcW w:w="2132" w:type="dxa"/>
            <w:shd w:val="clear" w:color="auto" w:fill="F7EEF7"/>
          </w:tcPr>
          <w:p w:rsidR="0081359C" w:rsidRDefault="0081359C" w:rsidP="006610D5">
            <w:pPr>
              <w:jc w:val="center"/>
            </w:pPr>
            <w:r>
              <w:t>1</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Pr="0044512A" w:rsidRDefault="0081359C" w:rsidP="006610D5">
            <w:r w:rsidRPr="0044512A">
              <w:t>Not  managing  at  home</w:t>
            </w:r>
            <w:r>
              <w:t>/separation</w:t>
            </w:r>
          </w:p>
        </w:tc>
        <w:tc>
          <w:tcPr>
            <w:tcW w:w="2132" w:type="dxa"/>
          </w:tcPr>
          <w:p w:rsidR="0081359C" w:rsidRDefault="0081359C" w:rsidP="006610D5">
            <w:pPr>
              <w:jc w:val="center"/>
            </w:pPr>
            <w:r>
              <w:t>1</w:t>
            </w:r>
          </w:p>
        </w:tc>
      </w:tr>
      <w:tr w:rsidR="0081359C" w:rsidTr="006610D5">
        <w:trPr>
          <w:jc w:val="center"/>
        </w:trPr>
        <w:tc>
          <w:tcPr>
            <w:tcW w:w="704" w:type="dxa"/>
            <w:shd w:val="clear" w:color="auto" w:fill="F7EEF7"/>
          </w:tcPr>
          <w:p w:rsidR="0081359C" w:rsidRDefault="0081359C" w:rsidP="00FB1D92">
            <w:pPr>
              <w:pStyle w:val="ListParagraph"/>
              <w:numPr>
                <w:ilvl w:val="0"/>
                <w:numId w:val="26"/>
              </w:numPr>
              <w:spacing w:line="240" w:lineRule="auto"/>
              <w:jc w:val="center"/>
            </w:pPr>
          </w:p>
        </w:tc>
        <w:tc>
          <w:tcPr>
            <w:tcW w:w="5528" w:type="dxa"/>
            <w:shd w:val="clear" w:color="auto" w:fill="F7EEF7"/>
          </w:tcPr>
          <w:p w:rsidR="0081359C" w:rsidRPr="0044512A" w:rsidRDefault="0081359C" w:rsidP="006610D5">
            <w:r>
              <w:t>H</w:t>
            </w:r>
            <w:r w:rsidRPr="004179B9">
              <w:t>ome adaptations</w:t>
            </w:r>
          </w:p>
        </w:tc>
        <w:tc>
          <w:tcPr>
            <w:tcW w:w="2132" w:type="dxa"/>
            <w:shd w:val="clear" w:color="auto" w:fill="F7EEF7"/>
          </w:tcPr>
          <w:p w:rsidR="0081359C" w:rsidRDefault="0081359C" w:rsidP="006610D5">
            <w:pPr>
              <w:jc w:val="center"/>
            </w:pPr>
            <w:r>
              <w:t>1</w:t>
            </w:r>
          </w:p>
        </w:tc>
      </w:tr>
      <w:tr w:rsidR="0081359C" w:rsidTr="006610D5">
        <w:trPr>
          <w:jc w:val="center"/>
        </w:trPr>
        <w:tc>
          <w:tcPr>
            <w:tcW w:w="704" w:type="dxa"/>
          </w:tcPr>
          <w:p w:rsidR="0081359C" w:rsidRDefault="0081359C" w:rsidP="00FB1D92">
            <w:pPr>
              <w:pStyle w:val="ListParagraph"/>
              <w:numPr>
                <w:ilvl w:val="0"/>
                <w:numId w:val="26"/>
              </w:numPr>
              <w:spacing w:line="240" w:lineRule="auto"/>
              <w:jc w:val="center"/>
            </w:pPr>
          </w:p>
        </w:tc>
        <w:tc>
          <w:tcPr>
            <w:tcW w:w="5528" w:type="dxa"/>
          </w:tcPr>
          <w:p w:rsidR="0081359C" w:rsidRPr="0044512A" w:rsidRDefault="0081359C" w:rsidP="006610D5">
            <w:r w:rsidRPr="00DC1F24">
              <w:t>Carer struggling and respite</w:t>
            </w:r>
          </w:p>
        </w:tc>
        <w:tc>
          <w:tcPr>
            <w:tcW w:w="2132" w:type="dxa"/>
          </w:tcPr>
          <w:p w:rsidR="0081359C" w:rsidRDefault="0081359C" w:rsidP="006610D5">
            <w:pPr>
              <w:jc w:val="center"/>
            </w:pPr>
            <w:r>
              <w:t>1</w:t>
            </w:r>
          </w:p>
        </w:tc>
      </w:tr>
    </w:tbl>
    <w:p w:rsidR="0081359C" w:rsidRDefault="0081359C" w:rsidP="0026509A"/>
    <w:p w:rsidR="0026509A" w:rsidRDefault="0026509A" w:rsidP="0026509A">
      <w:pPr>
        <w:jc w:val="center"/>
      </w:pPr>
      <w:bookmarkStart w:id="69" w:name="_Hlk39829143"/>
      <w:bookmarkStart w:id="70" w:name="_Toc39734290"/>
    </w:p>
    <w:p w:rsidR="0026509A" w:rsidRDefault="0026509A" w:rsidP="0026509A">
      <w:pPr>
        <w:pStyle w:val="Heading4"/>
      </w:pPr>
      <w:bookmarkStart w:id="71" w:name="_Toc65251792"/>
      <w:bookmarkEnd w:id="69"/>
      <w:bookmarkEnd w:id="70"/>
      <w:r>
        <w:t>LAC role</w:t>
      </w:r>
      <w:bookmarkEnd w:id="71"/>
      <w:r>
        <w:tab/>
      </w:r>
    </w:p>
    <w:p w:rsidR="0026509A" w:rsidRDefault="0026509A" w:rsidP="0026509A">
      <w:r>
        <w:t>Reports acknowledge that the role of Coordinators is at the heart of the LAC</w:t>
      </w:r>
      <w:r w:rsidRPr="00257F57">
        <w:t xml:space="preserve"> approach </w:t>
      </w:r>
      <w:r>
        <w:t xml:space="preserve">(Lunt &amp; Bainbridge 2019). </w:t>
      </w:r>
      <w:r w:rsidRPr="00257F57">
        <w:t xml:space="preserve"> </w:t>
      </w:r>
      <w:r>
        <w:t>LACs walk alongside people of all ages and their families, respecting their different lived experiences in regard to disability, mental health, and caring (Oatley 2016). Lunt et al. (2018) argue that “</w:t>
      </w:r>
      <w:r w:rsidRPr="00DD6B38">
        <w:t>Local Area Coordination is as strong as the Local Area</w:t>
      </w:r>
      <w:r>
        <w:t xml:space="preserve"> </w:t>
      </w:r>
      <w:r w:rsidRPr="00DD6B38">
        <w:t>Coordinators appointed.</w:t>
      </w:r>
      <w:r>
        <w:t xml:space="preserve">” </w:t>
      </w:r>
    </w:p>
    <w:p w:rsidR="0026509A" w:rsidRDefault="0026509A" w:rsidP="0026509A">
      <w:r>
        <w:lastRenderedPageBreak/>
        <w:t xml:space="preserve">Several </w:t>
      </w:r>
      <w:r w:rsidRPr="00C0205C">
        <w:t>characteristics</w:t>
      </w:r>
      <w:r>
        <w:rPr>
          <w:u w:val="single"/>
        </w:rPr>
        <w:t xml:space="preserve"> </w:t>
      </w:r>
      <w:r>
        <w:t xml:space="preserve">were deemed as important for the LAC role - traits and skills of coordinator, knowledge of local community, time, and involvement of community in recruitment of LACs. The skills deemed most important are illustrated in Figure </w:t>
      </w:r>
      <w:r w:rsidR="00192692">
        <w:t>6</w:t>
      </w:r>
      <w:r>
        <w:t xml:space="preserve">: LAC role. </w:t>
      </w:r>
    </w:p>
    <w:p w:rsidR="0026509A" w:rsidRDefault="0026509A" w:rsidP="0026509A">
      <w:pPr>
        <w:jc w:val="center"/>
      </w:pPr>
      <w:r>
        <w:rPr>
          <w:noProof/>
          <w:lang w:val="en-AU" w:eastAsia="en-AU"/>
        </w:rPr>
        <w:drawing>
          <wp:inline distT="0" distB="0" distL="0" distR="0" wp14:anchorId="76F964A5" wp14:editId="5896FD82">
            <wp:extent cx="5760000" cy="3368828"/>
            <wp:effectExtent l="0" t="0" r="0" b="3175"/>
            <wp:docPr id="5" name="Picture 5" descr="Figure shwoing LAC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000" cy="3368828"/>
                    </a:xfrm>
                    <a:prstGeom prst="rect">
                      <a:avLst/>
                    </a:prstGeom>
                  </pic:spPr>
                </pic:pic>
              </a:graphicData>
            </a:graphic>
          </wp:inline>
        </w:drawing>
      </w:r>
    </w:p>
    <w:p w:rsidR="0026509A" w:rsidRDefault="00192692" w:rsidP="00192692">
      <w:pPr>
        <w:pStyle w:val="Caption"/>
        <w:jc w:val="center"/>
      </w:pPr>
      <w:bookmarkStart w:id="72" w:name="_Toc64536339"/>
      <w:r>
        <w:t xml:space="preserve">Figure </w:t>
      </w:r>
      <w:r>
        <w:fldChar w:fldCharType="begin"/>
      </w:r>
      <w:r>
        <w:instrText xml:space="preserve"> SEQ Figure \* ARABIC </w:instrText>
      </w:r>
      <w:r>
        <w:fldChar w:fldCharType="separate"/>
      </w:r>
      <w:r>
        <w:rPr>
          <w:noProof/>
        </w:rPr>
        <w:t>6</w:t>
      </w:r>
      <w:r>
        <w:fldChar w:fldCharType="end"/>
      </w:r>
      <w:r>
        <w:t xml:space="preserve">: </w:t>
      </w:r>
      <w:r w:rsidR="00DE7444">
        <w:t>LAC</w:t>
      </w:r>
      <w:r w:rsidRPr="009819DA">
        <w:t xml:space="preserve"> </w:t>
      </w:r>
      <w:r w:rsidR="00DE7444" w:rsidRPr="00DE7444">
        <w:t>Role</w:t>
      </w:r>
      <w:bookmarkEnd w:id="72"/>
    </w:p>
    <w:p w:rsidR="0026509A" w:rsidRDefault="0026509A" w:rsidP="0026509A">
      <w:r>
        <w:t xml:space="preserve">Listening and developing trust were listed as the most important skills for the LAC role. Coordinators were seen as someone who has the ability to </w:t>
      </w:r>
      <w:r w:rsidRPr="00E16541">
        <w:t xml:space="preserve"> </w:t>
      </w:r>
      <w:r>
        <w:t>listen to those who are often left on the margins of society, understand their needs, and provide a platform for achieving outcomes for a ‘good life’(</w:t>
      </w:r>
      <w:r w:rsidRPr="005521E0">
        <w:t>Mason et al. 2019</w:t>
      </w:r>
      <w:r>
        <w:t xml:space="preserve">). Nurturing trust and developing positive relationships with participants and their families was seen to help </w:t>
      </w:r>
      <w:r w:rsidRPr="00DF676F">
        <w:t xml:space="preserve">build </w:t>
      </w:r>
      <w:r>
        <w:t>resilience</w:t>
      </w:r>
      <w:r w:rsidRPr="00DF676F">
        <w:t xml:space="preserve"> and supportive connections to reduce the risk of future crisis</w:t>
      </w:r>
      <w:r>
        <w:t xml:space="preserve"> (</w:t>
      </w:r>
      <w:r w:rsidRPr="00DF676F">
        <w:t>Swansea University 2016</w:t>
      </w:r>
      <w:r>
        <w:t xml:space="preserve">). </w:t>
      </w:r>
    </w:p>
    <w:p w:rsidR="0026509A" w:rsidRDefault="0026509A" w:rsidP="0026509A">
      <w:r>
        <w:t>Several studies emphasised the importance of knowledge about local community and services available (</w:t>
      </w:r>
      <w:r w:rsidRPr="004307B9">
        <w:t>Kingfishers 2016</w:t>
      </w:r>
      <w:r>
        <w:t>;</w:t>
      </w:r>
      <w:r w:rsidRPr="00204541">
        <w:t xml:space="preserve"> </w:t>
      </w:r>
      <w:r w:rsidRPr="004307B9">
        <w:t>G</w:t>
      </w:r>
      <w:r>
        <w:t>a</w:t>
      </w:r>
      <w:r w:rsidRPr="004307B9">
        <w:t>msu and Rippon 2018</w:t>
      </w:r>
      <w:r>
        <w:t>;</w:t>
      </w:r>
      <w:r w:rsidRPr="008C3411">
        <w:t xml:space="preserve"> </w:t>
      </w:r>
      <w:r w:rsidRPr="004307B9">
        <w:t>Gamsu and Rippon 201</w:t>
      </w:r>
      <w:r>
        <w:t xml:space="preserve">9; </w:t>
      </w:r>
      <w:r w:rsidRPr="005C044D">
        <w:t>Mason et al. 2019</w:t>
      </w:r>
      <w:r>
        <w:t xml:space="preserve">). Coordinators formed connections with local libraries, community clubs, </w:t>
      </w:r>
      <w:r w:rsidRPr="004307B9">
        <w:t>sector professionals</w:t>
      </w:r>
      <w:r>
        <w:t>,</w:t>
      </w:r>
      <w:r w:rsidRPr="004307B9">
        <w:t xml:space="preserve"> </w:t>
      </w:r>
      <w:r>
        <w:t xml:space="preserve">other </w:t>
      </w:r>
      <w:r w:rsidRPr="004307B9">
        <w:t xml:space="preserve">agencies including health, social care, housing and community </w:t>
      </w:r>
      <w:r>
        <w:t xml:space="preserve">policing.  They were also present </w:t>
      </w:r>
      <w:r w:rsidRPr="008304E4">
        <w:t>at local events and activities</w:t>
      </w:r>
      <w:r w:rsidRPr="004307B9">
        <w:t xml:space="preserve"> </w:t>
      </w:r>
      <w:r>
        <w:t>(</w:t>
      </w:r>
      <w:r w:rsidRPr="004307B9">
        <w:t>G</w:t>
      </w:r>
      <w:r>
        <w:t>a</w:t>
      </w:r>
      <w:r w:rsidRPr="004307B9">
        <w:t>msu and Rippon 2018</w:t>
      </w:r>
      <w:r>
        <w:t>;</w:t>
      </w:r>
      <w:r w:rsidRPr="008C3411">
        <w:t xml:space="preserve"> </w:t>
      </w:r>
      <w:r w:rsidRPr="005C044D">
        <w:t>Mason et al. 2019</w:t>
      </w:r>
      <w:r>
        <w:t>).  By making themselves visible, LACs were seen as a ‘familiar face’ in the community encouraging ‘harder to reach’ residents to approach them (</w:t>
      </w:r>
      <w:r w:rsidRPr="004307B9">
        <w:t>Gamsu and Rippon 201</w:t>
      </w:r>
      <w:r>
        <w:t>9).</w:t>
      </w:r>
    </w:p>
    <w:p w:rsidR="0026509A" w:rsidRDefault="0026509A" w:rsidP="0026509A">
      <w:r>
        <w:t xml:space="preserve">Mason et al. (2019) argue that </w:t>
      </w:r>
      <w:r w:rsidRPr="008C3411">
        <w:t xml:space="preserve">the time </w:t>
      </w:r>
      <w:r>
        <w:t xml:space="preserve">that Coordinators spend with each participant </w:t>
      </w:r>
      <w:r w:rsidRPr="008C3411">
        <w:t>is the most</w:t>
      </w:r>
      <w:r>
        <w:t xml:space="preserve"> </w:t>
      </w:r>
      <w:r w:rsidRPr="008C3411">
        <w:t xml:space="preserve">important </w:t>
      </w:r>
      <w:r>
        <w:t>element of the service.</w:t>
      </w:r>
      <w:r w:rsidRPr="00D559FF">
        <w:t xml:space="preserve"> </w:t>
      </w:r>
      <w:r>
        <w:t xml:space="preserve">LACs take time to get to know each participant, </w:t>
      </w:r>
      <w:r>
        <w:lastRenderedPageBreak/>
        <w:t xml:space="preserve">understand their problems and their vision of a better life, and support them with local based solutions (Oatley 2016). This allowed participants to </w:t>
      </w:r>
      <w:r w:rsidRPr="00D559FF">
        <w:t>build resilience</w:t>
      </w:r>
      <w:r>
        <w:t xml:space="preserve"> and </w:t>
      </w:r>
      <w:r w:rsidRPr="00D559FF">
        <w:t xml:space="preserve">stay </w:t>
      </w:r>
      <w:r>
        <w:t>focused on</w:t>
      </w:r>
      <w:r w:rsidRPr="00D559FF">
        <w:t xml:space="preserve"> the future.</w:t>
      </w:r>
    </w:p>
    <w:p w:rsidR="0026509A" w:rsidRPr="00295811" w:rsidRDefault="0026509A" w:rsidP="0026509A">
      <w:r>
        <w:t xml:space="preserve">Involvement of the community in recruitment was another important mechanism. Sitch (2014) reported that LACs in Thurrock were recruited by local communities through an inclusive process.  Oatley (2016) </w:t>
      </w:r>
      <w:r>
        <w:rPr>
          <w:rFonts w:cs="Arial"/>
        </w:rPr>
        <w:t xml:space="preserve">argues that recruitment by the community </w:t>
      </w:r>
      <w:r w:rsidRPr="00DB42ED">
        <w:rPr>
          <w:rFonts w:cs="Arial"/>
        </w:rPr>
        <w:t>increase</w:t>
      </w:r>
      <w:r>
        <w:rPr>
          <w:rFonts w:cs="Arial"/>
        </w:rPr>
        <w:t xml:space="preserve">s </w:t>
      </w:r>
      <w:r w:rsidRPr="00DB42ED">
        <w:rPr>
          <w:rFonts w:cs="Arial"/>
        </w:rPr>
        <w:t>community</w:t>
      </w:r>
      <w:r>
        <w:rPr>
          <w:rFonts w:cs="Arial"/>
        </w:rPr>
        <w:t xml:space="preserve"> </w:t>
      </w:r>
      <w:r w:rsidRPr="00DB42ED">
        <w:rPr>
          <w:rFonts w:cs="Arial"/>
        </w:rPr>
        <w:t>ownership</w:t>
      </w:r>
      <w:r>
        <w:rPr>
          <w:rFonts w:cs="Arial"/>
        </w:rPr>
        <w:t xml:space="preserve"> </w:t>
      </w:r>
      <w:r w:rsidRPr="00DB42ED">
        <w:rPr>
          <w:rFonts w:cs="Arial"/>
        </w:rPr>
        <w:t>of</w:t>
      </w:r>
      <w:r>
        <w:rPr>
          <w:rFonts w:cs="Arial"/>
        </w:rPr>
        <w:t xml:space="preserve"> the LAC service, but also makes LACs accountable to communities they work with.</w:t>
      </w:r>
      <w:r>
        <w:t xml:space="preserve"> </w:t>
      </w:r>
      <w:r w:rsidRPr="00CD7E0A">
        <w:t xml:space="preserve">Darnton et al </w:t>
      </w:r>
      <w:r>
        <w:t xml:space="preserve">(2018) reported that embedding a new LAC in the community through inclusive recruitment process contributed to low staff turnover.  </w:t>
      </w:r>
    </w:p>
    <w:p w:rsidR="0026509A" w:rsidRDefault="0026509A" w:rsidP="0026509A">
      <w:pPr>
        <w:pStyle w:val="Heading4"/>
      </w:pPr>
      <w:bookmarkStart w:id="73" w:name="_Toc65251793"/>
      <w:r>
        <w:t>Participants per LAC ratio</w:t>
      </w:r>
      <w:bookmarkEnd w:id="73"/>
    </w:p>
    <w:p w:rsidR="0026509A" w:rsidRDefault="0026509A" w:rsidP="0026509A">
      <w:r>
        <w:t>We found no data to support the optimal ratio of participants to LAC. One study stated that each LAC should support a given number of participants drawing on an example from Australia where the reported ratio was 60:1 (</w:t>
      </w:r>
      <w:r w:rsidRPr="00C44045">
        <w:t>Peter Fletcher Associates Ltd 2011</w:t>
      </w:r>
      <w:r>
        <w:t xml:space="preserve">). However, there was no reference to the original study or explanation about how that number was determined. </w:t>
      </w:r>
    </w:p>
    <w:p w:rsidR="0026509A" w:rsidRDefault="0026509A" w:rsidP="0026509A">
      <w:r>
        <w:t>Studies reported a growing concern over increased caseload (</w:t>
      </w:r>
      <w:r w:rsidRPr="00C44045">
        <w:t>Lunt &amp; Bainbridge 2019</w:t>
      </w:r>
      <w:r>
        <w:t xml:space="preserve">) and the need for mapping and maintaining </w:t>
      </w:r>
      <w:r w:rsidRPr="008D3794">
        <w:t>‘human sized units’</w:t>
      </w:r>
      <w:r>
        <w:t xml:space="preserve"> </w:t>
      </w:r>
      <w:r w:rsidRPr="008D3794">
        <w:t>(Oatley 2016).</w:t>
      </w:r>
      <w:r>
        <w:t xml:space="preserve"> One of the recommendations was to avoid program overstretching and working across large areas or supporting too many people </w:t>
      </w:r>
      <w:r w:rsidRPr="00447620">
        <w:t>(Oatley 2016).</w:t>
      </w:r>
    </w:p>
    <w:p w:rsidR="0026509A" w:rsidRDefault="0026509A" w:rsidP="0026509A">
      <w:pPr>
        <w:pStyle w:val="Heading4"/>
      </w:pPr>
      <w:bookmarkStart w:id="74" w:name="_Toc65251794"/>
      <w:r>
        <w:t>Admin tasks</w:t>
      </w:r>
      <w:bookmarkEnd w:id="74"/>
      <w:r>
        <w:t xml:space="preserve"> </w:t>
      </w:r>
    </w:p>
    <w:p w:rsidR="0026509A" w:rsidRPr="00ED26CD" w:rsidRDefault="0026509A" w:rsidP="0026509A">
      <w:r>
        <w:t>There was no data found about administrative tasks burdening LACs. One report stated that the growth of caseload might cause difficulties in data collection and management. The authors recommended developing software and/or smart device “Apps” to allow LACs to log visits in an easy and timely fashion (</w:t>
      </w:r>
      <w:r w:rsidRPr="00D82B58">
        <w:t>Oatley 2016</w:t>
      </w:r>
      <w:r>
        <w:t xml:space="preserve">). </w:t>
      </w:r>
    </w:p>
    <w:p w:rsidR="0026509A" w:rsidRDefault="0026509A" w:rsidP="0026509A">
      <w:pPr>
        <w:pStyle w:val="Heading4"/>
      </w:pPr>
      <w:bookmarkStart w:id="75" w:name="_Toc65251795"/>
      <w:r w:rsidRPr="00D420B9">
        <w:t>Service funding</w:t>
      </w:r>
      <w:bookmarkEnd w:id="75"/>
    </w:p>
    <w:p w:rsidR="003A3C74" w:rsidRDefault="0026509A" w:rsidP="0026509A">
      <w:r>
        <w:t xml:space="preserve">LAC service funding was only reported in 11 reports. Figure </w:t>
      </w:r>
      <w:r w:rsidR="00192692">
        <w:t>7</w:t>
      </w:r>
      <w:r>
        <w:t xml:space="preserve"> illustrates LAC funding source</w:t>
      </w:r>
      <w:r w:rsidR="003A3C74">
        <w:t>.</w:t>
      </w:r>
    </w:p>
    <w:p w:rsidR="0026509A" w:rsidRDefault="0026509A" w:rsidP="0026509A">
      <w:r>
        <w:t xml:space="preserve"> </w:t>
      </w:r>
    </w:p>
    <w:p w:rsidR="0075137F" w:rsidRDefault="0075137F" w:rsidP="0026509A">
      <w:r>
        <w:rPr>
          <w:noProof/>
          <w:lang w:val="en-AU" w:eastAsia="en-AU"/>
        </w:rPr>
        <w:lastRenderedPageBreak/>
        <w:drawing>
          <wp:inline distT="0" distB="0" distL="0" distR="0" wp14:anchorId="0DF6EC90" wp14:editId="067E4115">
            <wp:extent cx="5731510" cy="3313786"/>
            <wp:effectExtent l="0" t="0" r="2540" b="1270"/>
            <wp:docPr id="11" name="Chart 11" descr="Figure shwoing PAC service fund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6509A" w:rsidRPr="00DE7444" w:rsidRDefault="00192692" w:rsidP="00DE7444">
      <w:pPr>
        <w:pStyle w:val="Caption"/>
        <w:jc w:val="center"/>
      </w:pPr>
      <w:bookmarkStart w:id="76" w:name="_Toc64536340"/>
      <w:r w:rsidRPr="00DE7444">
        <w:t xml:space="preserve">Figure </w:t>
      </w:r>
      <w:r w:rsidRPr="00DE7444">
        <w:fldChar w:fldCharType="begin"/>
      </w:r>
      <w:r w:rsidRPr="00DE7444">
        <w:instrText xml:space="preserve"> SEQ Figure \* ARABIC </w:instrText>
      </w:r>
      <w:r w:rsidRPr="00DE7444">
        <w:fldChar w:fldCharType="separate"/>
      </w:r>
      <w:r w:rsidRPr="00DE7444">
        <w:t>7</w:t>
      </w:r>
      <w:r w:rsidRPr="00DE7444">
        <w:fldChar w:fldCharType="end"/>
      </w:r>
      <w:r w:rsidRPr="00DE7444">
        <w:t xml:space="preserve">: </w:t>
      </w:r>
      <w:r w:rsidR="00DE7444" w:rsidRPr="00DE7444">
        <w:t>LAC</w:t>
      </w:r>
      <w:r w:rsidRPr="00DE7444">
        <w:t xml:space="preserve"> </w:t>
      </w:r>
      <w:r w:rsidR="00DE7444" w:rsidRPr="00DE7444">
        <w:t>Funding</w:t>
      </w:r>
      <w:bookmarkEnd w:id="76"/>
    </w:p>
    <w:p w:rsidR="00192692" w:rsidRPr="00192692" w:rsidRDefault="00192692" w:rsidP="00192692"/>
    <w:p w:rsidR="0026509A" w:rsidRDefault="0026509A" w:rsidP="0026509A">
      <w:pPr>
        <w:pStyle w:val="Heading4"/>
      </w:pPr>
      <w:bookmarkStart w:id="77" w:name="_Toc65251796"/>
      <w:r>
        <w:t>Cost-effectiveness</w:t>
      </w:r>
      <w:bookmarkEnd w:id="77"/>
    </w:p>
    <w:p w:rsidR="0026509A" w:rsidRDefault="0026509A" w:rsidP="0026509A">
      <w:r>
        <w:t>Data of cost-effectiveness was reported in nine reports (</w:t>
      </w:r>
      <w:r w:rsidRPr="00765967">
        <w:t>Gamsu &amp; Rippon 2018</w:t>
      </w:r>
      <w:r>
        <w:t xml:space="preserve">; </w:t>
      </w:r>
      <w:r w:rsidRPr="00765967">
        <w:t>Peter Fletcher Associates Ltd 2011</w:t>
      </w:r>
      <w:r>
        <w:t xml:space="preserve">; </w:t>
      </w:r>
      <w:r w:rsidRPr="00765967">
        <w:t>Sitch 2014</w:t>
      </w:r>
      <w:r>
        <w:t xml:space="preserve">; </w:t>
      </w:r>
      <w:r w:rsidRPr="00765967">
        <w:t>Forshaw et al. 2016</w:t>
      </w:r>
      <w:r>
        <w:t xml:space="preserve">; </w:t>
      </w:r>
      <w:bookmarkStart w:id="78" w:name="_Hlk39500087"/>
      <w:r w:rsidRPr="001C209A">
        <w:t xml:space="preserve">Kingfishers </w:t>
      </w:r>
      <w:r>
        <w:t xml:space="preserve">2015; </w:t>
      </w:r>
      <w:r w:rsidRPr="00765967">
        <w:t>Kingfishers</w:t>
      </w:r>
      <w:bookmarkEnd w:id="78"/>
      <w:r w:rsidRPr="00765967">
        <w:t xml:space="preserve"> 2016</w:t>
      </w:r>
      <w:r>
        <w:t xml:space="preserve">; </w:t>
      </w:r>
      <w:r w:rsidRPr="00765967">
        <w:t>Swansea University 2016</w:t>
      </w:r>
      <w:r>
        <w:t xml:space="preserve">; </w:t>
      </w:r>
      <w:r w:rsidRPr="00765967">
        <w:t>Gamsu &amp; Rippon 2019</w:t>
      </w:r>
      <w:r>
        <w:t xml:space="preserve">; </w:t>
      </w:r>
      <w:r w:rsidRPr="005F3998">
        <w:t>Marsh 2016</w:t>
      </w:r>
      <w:r>
        <w:t xml:space="preserve">). </w:t>
      </w:r>
    </w:p>
    <w:p w:rsidR="0026509A" w:rsidRDefault="0026509A" w:rsidP="0026509A">
      <w:r>
        <w:t xml:space="preserve">Eight reports utilised the Social Return on Investment (SROI), a method used to help organisations measure and quantify </w:t>
      </w:r>
      <w:r>
        <w:rPr>
          <w:rStyle w:val="e24kjd"/>
        </w:rPr>
        <w:t xml:space="preserve">extra-financial values, like social or environmental value they are creating, but which are not reflected in conventional financial accounts (Social Change 2020; Investopedia 2019). They showed a consistent benefit attached to LAC, concluding that for each </w:t>
      </w:r>
      <w:r w:rsidRPr="00A039E0">
        <w:t>£1</w:t>
      </w:r>
      <w:r>
        <w:t xml:space="preserve"> invested there was a </w:t>
      </w:r>
      <w:r w:rsidRPr="005F0E57">
        <w:t>£4 return into the local system</w:t>
      </w:r>
      <w:r>
        <w:t xml:space="preserve"> (Sitch 2014; Forshaw et al. 2016; Kingfishers 2015; Kingfishers 2016; Swansea University 2016; Gamsu &amp; Rippon 2019; Marsh 2016;</w:t>
      </w:r>
      <w:r w:rsidRPr="00F94B82">
        <w:t xml:space="preserve"> Peter Fletcher Associates Ltd 2011</w:t>
      </w:r>
      <w:r>
        <w:t xml:space="preserve">) (Figure </w:t>
      </w:r>
      <w:r w:rsidR="00192692">
        <w:t>8</w:t>
      </w:r>
      <w:r w:rsidRPr="00515CBC">
        <w:t xml:space="preserve">: </w:t>
      </w:r>
      <w:r>
        <w:t>LAC</w:t>
      </w:r>
      <w:r w:rsidRPr="00515CBC">
        <w:t xml:space="preserve"> cost-effectiveness</w:t>
      </w:r>
      <w:r>
        <w:t>). The highest returns were seen in the local authority system and local health economy (</w:t>
      </w:r>
      <w:r w:rsidRPr="004F2217">
        <w:t xml:space="preserve">Gamsu </w:t>
      </w:r>
      <w:r>
        <w:t xml:space="preserve">&amp; </w:t>
      </w:r>
      <w:r w:rsidRPr="004F2217">
        <w:t>Rippon</w:t>
      </w:r>
      <w:r>
        <w:t xml:space="preserve"> 2018). Gamsu and Rippon (2018) reported that the scope of their evaluation and resources available did not allow them to perform a full financial and cost-benefit analysis. </w:t>
      </w:r>
    </w:p>
    <w:p w:rsidR="0026509A" w:rsidRDefault="0026509A" w:rsidP="0026509A">
      <w:r>
        <w:rPr>
          <w:noProof/>
          <w:lang w:val="en-AU" w:eastAsia="en-AU"/>
        </w:rPr>
        <w:lastRenderedPageBreak/>
        <w:drawing>
          <wp:inline distT="0" distB="0" distL="0" distR="0" wp14:anchorId="0AC54734" wp14:editId="4D494A31">
            <wp:extent cx="5760000" cy="3200400"/>
            <wp:effectExtent l="0" t="0" r="12700" b="0"/>
            <wp:docPr id="6" name="Diagram 6" descr="Figure shwoing LAC cost effectiven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6509A" w:rsidRDefault="00192692" w:rsidP="00192692">
      <w:pPr>
        <w:pStyle w:val="Caption"/>
        <w:jc w:val="center"/>
      </w:pPr>
      <w:bookmarkStart w:id="79" w:name="_Toc64536341"/>
      <w:r>
        <w:t xml:space="preserve">Figure </w:t>
      </w:r>
      <w:r>
        <w:fldChar w:fldCharType="begin"/>
      </w:r>
      <w:r>
        <w:instrText xml:space="preserve"> SEQ Figure \* ARABIC </w:instrText>
      </w:r>
      <w:r>
        <w:fldChar w:fldCharType="separate"/>
      </w:r>
      <w:r>
        <w:rPr>
          <w:noProof/>
        </w:rPr>
        <w:t>8</w:t>
      </w:r>
      <w:r>
        <w:fldChar w:fldCharType="end"/>
      </w:r>
      <w:r>
        <w:t>: LAC</w:t>
      </w:r>
      <w:r w:rsidRPr="00BB2A4D">
        <w:t xml:space="preserve"> cost-effectiveness</w:t>
      </w:r>
      <w:bookmarkEnd w:id="79"/>
    </w:p>
    <w:p w:rsidR="00192692" w:rsidRPr="00192692" w:rsidRDefault="00192692" w:rsidP="00192692"/>
    <w:p w:rsidR="00250529" w:rsidRDefault="00250529" w:rsidP="0026509A">
      <w:pPr>
        <w:pStyle w:val="Heading4"/>
      </w:pPr>
      <w:bookmarkStart w:id="80" w:name="_Toc65251797"/>
      <w:r>
        <w:t>Adding value to wider service system</w:t>
      </w:r>
      <w:bookmarkEnd w:id="80"/>
    </w:p>
    <w:p w:rsidR="00250529" w:rsidRDefault="00250529" w:rsidP="00250529">
      <w:r>
        <w:t xml:space="preserve">The reports noted that aside of providing service to local community LACs were also adding a value to the local service system. That was seen on two levels – by addressing participants’ underlying issues and  by collaborating with other services. </w:t>
      </w:r>
    </w:p>
    <w:p w:rsidR="00250529" w:rsidRDefault="00250529" w:rsidP="00250529">
      <w:r>
        <w:t>LACs were addressing participants’ underlying ongoing issues, such as loneliness, isolation, hoarding, and living in unsafe houses by helping them to participate in skills sharing and finding volunteering opportunities. By doing so</w:t>
      </w:r>
      <w:r w:rsidR="006754FF">
        <w:t>,</w:t>
      </w:r>
      <w:r>
        <w:t xml:space="preserve"> LACs were acting as prevention which relieved other services, notably GPs, fire brigade, mental health services, employment services, local non profit organisations or services like local libraries (</w:t>
      </w:r>
      <w:r>
        <w:rPr>
          <w:rFonts w:cs="Arial"/>
        </w:rPr>
        <w:t xml:space="preserve">Oatley 2016; </w:t>
      </w:r>
      <w:r w:rsidRPr="00F14E93">
        <w:rPr>
          <w:rFonts w:cs="Arial"/>
        </w:rPr>
        <w:t>Marsh 2016</w:t>
      </w:r>
      <w:r>
        <w:t xml:space="preserve">). </w:t>
      </w:r>
    </w:p>
    <w:p w:rsidR="00250529" w:rsidRPr="00692354" w:rsidRDefault="00250529" w:rsidP="00250529">
      <w:pPr>
        <w:rPr>
          <w:szCs w:val="22"/>
        </w:rPr>
      </w:pPr>
      <w:r>
        <w:t>Through collaboration with other services, helping participants navigate local councils and services, making timely referrals to avoid crises, and bringing in volunteers (</w:t>
      </w:r>
      <w:r>
        <w:rPr>
          <w:rFonts w:cs="Arial"/>
        </w:rPr>
        <w:t xml:space="preserve">Oatley 2016; </w:t>
      </w:r>
      <w:r w:rsidRPr="00F14E93">
        <w:rPr>
          <w:rFonts w:cs="Arial"/>
        </w:rPr>
        <w:t>Marsh 2016</w:t>
      </w:r>
      <w:r>
        <w:rPr>
          <w:rFonts w:cs="Arial"/>
        </w:rPr>
        <w:t>)</w:t>
      </w:r>
      <w:r>
        <w:t xml:space="preserve"> LACs were reducing demands on other services. Oatley (2016) also reports that </w:t>
      </w:r>
      <w:r w:rsidRPr="00692354">
        <w:t xml:space="preserve">LAC </w:t>
      </w:r>
      <w:r>
        <w:t>were</w:t>
      </w:r>
      <w:r w:rsidRPr="00692354">
        <w:t xml:space="preserve"> working   with   a   range   of   partners   including children’s services, housing providers, police, GPs and District Nursing</w:t>
      </w:r>
      <w:r>
        <w:t xml:space="preserve"> to help address participants’ needs</w:t>
      </w:r>
      <w:r w:rsidRPr="00692354">
        <w:t xml:space="preserve">. </w:t>
      </w:r>
      <w:r>
        <w:t xml:space="preserve">A report by </w:t>
      </w:r>
      <w:r w:rsidRPr="00692354">
        <w:t xml:space="preserve">Yannitell </w:t>
      </w:r>
      <w:r>
        <w:rPr>
          <w:rFonts w:eastAsia="Calibri" w:cs="Arial"/>
          <w:szCs w:val="22"/>
          <w:lang w:val="en-AU" w:eastAsia="en-US"/>
        </w:rPr>
        <w:t>Reinhardt and Chatsiou (</w:t>
      </w:r>
      <w:r w:rsidRPr="00692354">
        <w:rPr>
          <w:rFonts w:eastAsia="Calibri" w:cs="Arial"/>
          <w:szCs w:val="22"/>
          <w:lang w:val="en-AU" w:eastAsia="en-US"/>
        </w:rPr>
        <w:t>2018</w:t>
      </w:r>
      <w:r>
        <w:rPr>
          <w:rFonts w:eastAsia="Calibri" w:cs="Arial"/>
          <w:szCs w:val="22"/>
          <w:lang w:val="en-AU" w:eastAsia="en-US"/>
        </w:rPr>
        <w:t xml:space="preserve">) stated that </w:t>
      </w:r>
      <w:r w:rsidRPr="00692354">
        <w:rPr>
          <w:rFonts w:eastAsia="Calibri" w:cs="Arial"/>
          <w:szCs w:val="22"/>
          <w:lang w:val="en-AU" w:eastAsia="en-US"/>
        </w:rPr>
        <w:t xml:space="preserve">5% of participants </w:t>
      </w:r>
      <w:r>
        <w:rPr>
          <w:rFonts w:eastAsia="Calibri" w:cs="Arial"/>
          <w:szCs w:val="22"/>
          <w:lang w:val="en-AU" w:eastAsia="en-US"/>
        </w:rPr>
        <w:t>had</w:t>
      </w:r>
      <w:r w:rsidRPr="00692354">
        <w:rPr>
          <w:rFonts w:eastAsia="Calibri" w:cs="Arial"/>
          <w:szCs w:val="22"/>
          <w:lang w:val="en-AU" w:eastAsia="en-US"/>
        </w:rPr>
        <w:t xml:space="preserve"> reduced inappropriate visits to GP or other health teams due to the LAC program.</w:t>
      </w:r>
    </w:p>
    <w:p w:rsidR="0026509A" w:rsidRDefault="0026509A" w:rsidP="0026509A">
      <w:pPr>
        <w:pStyle w:val="Heading4"/>
      </w:pPr>
      <w:bookmarkStart w:id="81" w:name="_Toc65251798"/>
      <w:r>
        <w:lastRenderedPageBreak/>
        <w:t>Eligibility criteria</w:t>
      </w:r>
      <w:bookmarkEnd w:id="81"/>
    </w:p>
    <w:p w:rsidR="0026509A" w:rsidRDefault="0026509A" w:rsidP="0026509A">
      <w:r>
        <w:t>Eligibility criteria were stated in five reports. As a service embedded in the community, LAC is available to anyone for the Level 1 support (</w:t>
      </w:r>
      <w:r w:rsidRPr="004661C0">
        <w:t>Gamsu &amp; Rippon 2018</w:t>
      </w:r>
      <w:r>
        <w:t xml:space="preserve">; </w:t>
      </w:r>
      <w:r w:rsidRPr="004661C0">
        <w:t>Peter Fletcher Associates Ltd 2011</w:t>
      </w:r>
      <w:r>
        <w:t>). Level 2 support is an ongoing support available to vulnerable individuals and their families (</w:t>
      </w:r>
      <w:r w:rsidRPr="004661C0">
        <w:t>Gamsu &amp; Rippon 2018</w:t>
      </w:r>
      <w:r>
        <w:t xml:space="preserve">; </w:t>
      </w:r>
      <w:r w:rsidRPr="004661C0">
        <w:t>Peter Fletcher Associates Ltd 2011</w:t>
      </w:r>
      <w:r>
        <w:t xml:space="preserve">; </w:t>
      </w:r>
      <w:r w:rsidRPr="004661C0">
        <w:t>Oatley 2016</w:t>
      </w:r>
      <w:r>
        <w:t>;</w:t>
      </w:r>
      <w:r w:rsidRPr="004661C0">
        <w:t xml:space="preserve"> Gamsu &amp; Rippon 2019</w:t>
      </w:r>
      <w:r>
        <w:t>;</w:t>
      </w:r>
      <w:r w:rsidRPr="004661C0">
        <w:t xml:space="preserve"> Pike et al. 2016</w:t>
      </w:r>
      <w:r>
        <w:t xml:space="preserve">). </w:t>
      </w:r>
    </w:p>
    <w:p w:rsidR="0026509A" w:rsidRPr="00544B80" w:rsidRDefault="0026509A" w:rsidP="0026509A">
      <w:r>
        <w:t xml:space="preserve">A report regarding the </w:t>
      </w:r>
      <w:bookmarkStart w:id="82" w:name="_Hlk38892401"/>
      <w:r w:rsidRPr="00FB717B">
        <w:rPr>
          <w:rFonts w:cs="Arial"/>
        </w:rPr>
        <w:t>Middleborough</w:t>
      </w:r>
      <w:r>
        <w:rPr>
          <w:rFonts w:cs="Arial"/>
        </w:rPr>
        <w:t xml:space="preserve"> </w:t>
      </w:r>
      <w:bookmarkEnd w:id="82"/>
      <w:r>
        <w:rPr>
          <w:rFonts w:cs="Arial"/>
        </w:rPr>
        <w:t>LAC pilot (</w:t>
      </w:r>
      <w:r w:rsidRPr="00955F0C">
        <w:rPr>
          <w:rFonts w:cs="Arial"/>
        </w:rPr>
        <w:t>Peter Fletcher Associates Ltd 2011</w:t>
      </w:r>
      <w:r>
        <w:rPr>
          <w:rFonts w:cs="Arial"/>
        </w:rPr>
        <w:t xml:space="preserve">) stated that opened eligibility criteria enables the service to work with people who have low-level needs. This means that participants can receive support before their problem escalates (Level 1 support).  </w:t>
      </w:r>
      <w:r>
        <w:t>The authors point out that LACs are supporting</w:t>
      </w:r>
      <w:r w:rsidRPr="00F357A8">
        <w:t xml:space="preserve"> individuals, their families and carers through direct contact and not via a third party.</w:t>
      </w:r>
      <w:r>
        <w:t xml:space="preserve"> In addition, </w:t>
      </w:r>
      <w:r w:rsidRPr="000A75DA">
        <w:t>Middleborough</w:t>
      </w:r>
      <w:r>
        <w:t xml:space="preserve"> LAC works with people who might ‘slip through the net’ because they do not meet criteria of statutory services.</w:t>
      </w:r>
    </w:p>
    <w:p w:rsidR="0026509A" w:rsidRPr="00A92663" w:rsidRDefault="0026509A" w:rsidP="0026509A">
      <w:pPr>
        <w:rPr>
          <w:szCs w:val="22"/>
        </w:rPr>
      </w:pPr>
      <w:r w:rsidRPr="00A92663">
        <w:rPr>
          <w:rFonts w:eastAsia="Calibri" w:cs="Arial"/>
          <w:szCs w:val="22"/>
          <w:lang w:val="en-AU" w:eastAsia="en-US"/>
        </w:rPr>
        <w:t>In New Zealand</w:t>
      </w:r>
      <w:r>
        <w:rPr>
          <w:rFonts w:eastAsia="Calibri" w:cs="Arial"/>
          <w:szCs w:val="22"/>
          <w:lang w:val="en-AU" w:eastAsia="en-US"/>
        </w:rPr>
        <w:t xml:space="preserve"> </w:t>
      </w:r>
      <w:r w:rsidRPr="00A92663">
        <w:rPr>
          <w:rFonts w:eastAsia="Calibri" w:cs="Arial"/>
          <w:szCs w:val="22"/>
          <w:lang w:val="en-AU" w:eastAsia="en-US"/>
        </w:rPr>
        <w:t>(</w:t>
      </w:r>
      <w:r w:rsidRPr="00FB2A3D">
        <w:rPr>
          <w:rFonts w:eastAsia="Calibri" w:cs="Arial"/>
          <w:szCs w:val="22"/>
          <w:lang w:val="en-AU" w:eastAsia="en-US"/>
        </w:rPr>
        <w:t>Pike et al. 2016</w:t>
      </w:r>
      <w:r w:rsidRPr="00A92663">
        <w:rPr>
          <w:rFonts w:eastAsia="Calibri" w:cs="Arial"/>
          <w:szCs w:val="22"/>
          <w:lang w:val="en-AU" w:eastAsia="en-US"/>
        </w:rPr>
        <w:t>), Level 1 support is open to everyone in the community. Level 2 is for the people who meet the Ministry of Health’s definition of people with disabilities. They may choose to receive ongoing support from a LAC, even if they are receiving other support funded by Disability Support Services in the Ministry.</w:t>
      </w:r>
    </w:p>
    <w:p w:rsidR="0026509A" w:rsidRDefault="0026509A" w:rsidP="0026509A">
      <w:pPr>
        <w:pStyle w:val="Heading4"/>
      </w:pPr>
      <w:bookmarkStart w:id="83" w:name="_Toc65251799"/>
      <w:r>
        <w:t>Service providers</w:t>
      </w:r>
      <w:bookmarkEnd w:id="83"/>
    </w:p>
    <w:p w:rsidR="0026509A" w:rsidRPr="009F4260" w:rsidRDefault="0026509A" w:rsidP="0026509A">
      <w:r>
        <w:t>Service providers were addressed in nine reports, however there was no extensive data. Six reports stated that LAC is a part of Local Authority – in Suffolk (</w:t>
      </w:r>
      <w:r w:rsidRPr="00E87C8D">
        <w:t>Yannitell &amp; Chatsiou 2018</w:t>
      </w:r>
      <w:r>
        <w:t xml:space="preserve">), </w:t>
      </w:r>
      <w:r w:rsidRPr="00EE4775">
        <w:t>London</w:t>
      </w:r>
      <w:r>
        <w:t>’s</w:t>
      </w:r>
      <w:r w:rsidRPr="00EE4775">
        <w:t xml:space="preserve"> Borough of Waltham Forest</w:t>
      </w:r>
      <w:r>
        <w:t xml:space="preserve"> (</w:t>
      </w:r>
      <w:r w:rsidRPr="00E87C8D">
        <w:t>Gamsu &amp; Rippon 2018</w:t>
      </w:r>
      <w:r>
        <w:t>), City of York (</w:t>
      </w:r>
      <w:r w:rsidRPr="00E87C8D">
        <w:t>Lunt et al. 2018</w:t>
      </w:r>
      <w:r>
        <w:t>;</w:t>
      </w:r>
      <w:r w:rsidRPr="00E87C8D">
        <w:t xml:space="preserve"> Lunt &amp; Bainbridge 2019</w:t>
      </w:r>
      <w:r>
        <w:t>), Western Bay (Swansea University 2016) and City of Derby (</w:t>
      </w:r>
      <w:r w:rsidRPr="00AE3A5E">
        <w:t>Marsh 2016</w:t>
      </w:r>
      <w:r>
        <w:t xml:space="preserve">). Two reports stated that LAC is embedded in the </w:t>
      </w:r>
      <w:r w:rsidRPr="00EE4775">
        <w:t>Clinical Commissioning Group</w:t>
      </w:r>
      <w:r>
        <w:t xml:space="preserve"> however both were referring to the Isle of Wight (</w:t>
      </w:r>
      <w:r w:rsidRPr="0039719A">
        <w:t>Oatley 2016</w:t>
      </w:r>
      <w:r>
        <w:t xml:space="preserve">; </w:t>
      </w:r>
      <w:r w:rsidRPr="0039719A">
        <w:t>Darnton et al. 2018</w:t>
      </w:r>
      <w:r>
        <w:t>). Lastly, one study referred to the New Zealand Government as a service provider (</w:t>
      </w:r>
      <w:r w:rsidRPr="006B3411">
        <w:t>Pike et al. 2016</w:t>
      </w:r>
      <w:r>
        <w:t>).</w:t>
      </w:r>
    </w:p>
    <w:p w:rsidR="0026509A" w:rsidRDefault="0026509A" w:rsidP="0026509A">
      <w:pPr>
        <w:pStyle w:val="Heading4"/>
      </w:pPr>
      <w:bookmarkStart w:id="84" w:name="_Toc65251800"/>
      <w:r>
        <w:t>Summary of strengths and weaknesses</w:t>
      </w:r>
      <w:bookmarkEnd w:id="84"/>
    </w:p>
    <w:p w:rsidR="0026509A" w:rsidRDefault="0026509A" w:rsidP="0026509A">
      <w:r>
        <w:t>Reports selected for this part of the review showed that participants were the primary beneficiaries of LAC services. Participants were supported to overcome social isolation and build new relationships or re-connect with their community, family, and friends. Participants were supported to leave their homes and undertake tasks outside which led to an increased sense of independence. Further, participants reported increased social capital and were feeling self-reliant, more connected and willing to share their knowledge with the community through volunteering (</w:t>
      </w:r>
      <w:r w:rsidRPr="00127E25">
        <w:t>Darnton et al. 2018</w:t>
      </w:r>
      <w:r>
        <w:t>;</w:t>
      </w:r>
      <w:r w:rsidRPr="00127E25">
        <w:t xml:space="preserve"> Kingfishers 2015</w:t>
      </w:r>
      <w:r>
        <w:t xml:space="preserve">;  </w:t>
      </w:r>
      <w:r w:rsidRPr="00127E25">
        <w:t>Kingfishers 2016</w:t>
      </w:r>
      <w:r>
        <w:t>;</w:t>
      </w:r>
      <w:r w:rsidRPr="00127E25">
        <w:t xml:space="preserve"> Lunt &amp; Bainbridge  2019</w:t>
      </w:r>
      <w:r>
        <w:t xml:space="preserve">; </w:t>
      </w:r>
      <w:r w:rsidRPr="00DA3CFA">
        <w:t>Mason et al. 2019</w:t>
      </w:r>
      <w:r>
        <w:t xml:space="preserve">; </w:t>
      </w:r>
      <w:r>
        <w:rPr>
          <w:rFonts w:cs="Arial"/>
        </w:rPr>
        <w:t xml:space="preserve">Oatley 2016; </w:t>
      </w:r>
      <w:r>
        <w:t xml:space="preserve"> </w:t>
      </w:r>
      <w:r w:rsidRPr="00523C50">
        <w:t>Marsh 2016).</w:t>
      </w:r>
    </w:p>
    <w:p w:rsidR="0026509A" w:rsidRDefault="0026509A" w:rsidP="0026509A">
      <w:r>
        <w:lastRenderedPageBreak/>
        <w:t>LAC have supported participants through providing information and advocacy, helping them navigate local councils and other social services, take control of their life and work towards the fulfilment of their idea of good life (</w:t>
      </w:r>
      <w:r w:rsidRPr="00046035">
        <w:t>Marsh 2016</w:t>
      </w:r>
      <w:r>
        <w:t xml:space="preserve">; </w:t>
      </w:r>
      <w:r w:rsidRPr="00046035">
        <w:t>Kingfishers 2015</w:t>
      </w:r>
      <w:r>
        <w:t xml:space="preserve">; </w:t>
      </w:r>
      <w:r w:rsidRPr="00BF7846">
        <w:rPr>
          <w:rFonts w:cs="Arial"/>
        </w:rPr>
        <w:t>Darnton et al. 2018</w:t>
      </w:r>
      <w:r>
        <w:rPr>
          <w:rFonts w:cs="Arial"/>
        </w:rPr>
        <w:t>; Oatley 2016</w:t>
      </w:r>
      <w:r>
        <w:t xml:space="preserve">). Participants reported that engaging with LAC made them feel more in control.  </w:t>
      </w:r>
    </w:p>
    <w:p w:rsidR="0026509A" w:rsidRDefault="0026509A" w:rsidP="0026509A">
      <w:r>
        <w:t>Further, participants were supported in managing their health, overcoming crises, or acting before crises emerged (</w:t>
      </w:r>
      <w:r w:rsidRPr="00F95C56">
        <w:rPr>
          <w:rFonts w:cs="Arial"/>
        </w:rPr>
        <w:t>Peter Fletcher Associates Ltd 2011</w:t>
      </w:r>
      <w:r>
        <w:rPr>
          <w:rFonts w:cs="Arial"/>
        </w:rPr>
        <w:t xml:space="preserve">; </w:t>
      </w:r>
      <w:bookmarkStart w:id="85" w:name="_Hlk39736110"/>
      <w:r w:rsidRPr="00BF7846">
        <w:rPr>
          <w:rFonts w:cs="Arial"/>
        </w:rPr>
        <w:t>Darnton et al. 2018</w:t>
      </w:r>
      <w:bookmarkEnd w:id="85"/>
      <w:r>
        <w:rPr>
          <w:rFonts w:cs="Arial"/>
        </w:rPr>
        <w:t>;</w:t>
      </w:r>
      <w:r w:rsidRPr="006214E8">
        <w:t xml:space="preserve"> </w:t>
      </w:r>
      <w:r w:rsidRPr="006214E8">
        <w:rPr>
          <w:rFonts w:cs="Arial"/>
        </w:rPr>
        <w:t>Kingfishers 2016</w:t>
      </w:r>
      <w:r>
        <w:t>). LAC had helped with connecting participants with the right services in the right moment while reducing demand on health care sector, police, education and council supports (</w:t>
      </w:r>
      <w:r w:rsidRPr="003C4BF4">
        <w:t>Yannitell &amp; Chatsiou 2018</w:t>
      </w:r>
      <w:r>
        <w:t xml:space="preserve">). </w:t>
      </w:r>
    </w:p>
    <w:p w:rsidR="0026509A" w:rsidRDefault="0026509A" w:rsidP="0026509A">
      <w:r>
        <w:t>Other areas of life where participants have benefited from engaging with LAC were employment, training, financial advice, housing, fire hazards, and hoarding.</w:t>
      </w:r>
    </w:p>
    <w:p w:rsidR="0026509A" w:rsidRDefault="0026509A" w:rsidP="0026509A">
      <w:r>
        <w:t>Communities benefited from the work of LACs through preventative interventions, building resilience and increasing social capital. LAC supported community and community organisations through engaging participants in volunteering and skill sharing, and by bringing attendees to events (</w:t>
      </w:r>
      <w:bookmarkStart w:id="86" w:name="_Hlk39736143"/>
      <w:r>
        <w:rPr>
          <w:rFonts w:cs="Arial"/>
        </w:rPr>
        <w:t>Oatley 2016</w:t>
      </w:r>
      <w:bookmarkEnd w:id="86"/>
      <w:r>
        <w:rPr>
          <w:rFonts w:cs="Arial"/>
        </w:rPr>
        <w:t xml:space="preserve">; </w:t>
      </w:r>
      <w:r w:rsidRPr="00F14E93">
        <w:rPr>
          <w:rFonts w:cs="Arial"/>
        </w:rPr>
        <w:t>Marsh 2016</w:t>
      </w:r>
      <w:r>
        <w:t xml:space="preserve">). LAC was also supporting families in navigating complex needs and </w:t>
      </w:r>
      <w:r w:rsidRPr="00376894">
        <w:rPr>
          <w:rFonts w:cs="Arial"/>
        </w:rPr>
        <w:t>challenging circumstances</w:t>
      </w:r>
      <w:r>
        <w:rPr>
          <w:rFonts w:cs="Arial"/>
        </w:rPr>
        <w:t xml:space="preserve"> (</w:t>
      </w:r>
      <w:r w:rsidRPr="00067C6E">
        <w:rPr>
          <w:rFonts w:cs="Arial"/>
        </w:rPr>
        <w:t>Lunt &amp; Bainbridge 2019</w:t>
      </w:r>
      <w:r>
        <w:rPr>
          <w:rFonts w:cs="Arial"/>
        </w:rPr>
        <w:t>).</w:t>
      </w:r>
      <w:r>
        <w:t xml:space="preserve">  </w:t>
      </w:r>
    </w:p>
    <w:p w:rsidR="0026509A" w:rsidRPr="00D413AF" w:rsidRDefault="0026509A" w:rsidP="0026509A">
      <w:pPr>
        <w:rPr>
          <w:rFonts w:cs="Arial"/>
        </w:rPr>
      </w:pPr>
      <w:r>
        <w:t>Lastly, LACs provided positive outcomes for other services through good collaboration, facilitation of access to services, timely referrals to avoid crises, and reducing demands on other services (</w:t>
      </w:r>
      <w:bookmarkStart w:id="87" w:name="_Hlk39736308"/>
      <w:r w:rsidRPr="00F14E93">
        <w:rPr>
          <w:rFonts w:cs="Arial"/>
        </w:rPr>
        <w:t>Marsh 2016</w:t>
      </w:r>
      <w:bookmarkEnd w:id="87"/>
      <w:r>
        <w:rPr>
          <w:rFonts w:cs="Arial"/>
        </w:rPr>
        <w:t xml:space="preserve">; </w:t>
      </w:r>
      <w:r w:rsidRPr="009B6182">
        <w:rPr>
          <w:rFonts w:cs="Arial"/>
        </w:rPr>
        <w:t>Swansea University 2016</w:t>
      </w:r>
      <w:r>
        <w:t>;).</w:t>
      </w:r>
    </w:p>
    <w:p w:rsidR="0026509A" w:rsidRDefault="0026509A" w:rsidP="0026509A">
      <w:r>
        <w:t>Few reports identified weaknesses of LAC services. The most prominent unintended negative outcome was participants’ dependency on LAC services. Marsh (2016) reported that about 5% Level 2 participants were dependent on LACs. Kingfisher’s report for Thurrock and Derby (2016) reported that dependency was found in both LAC services. Dependency occurred in a small number of cases and was seen as a product of the close relationship that LACs build with participants. Recommendations for improvement accentuated sharing knowledge and skills between LACs on mitigating dependency and increasing the number of LACs per area to avoid strong personal relationships while still maintaining trust (</w:t>
      </w:r>
      <w:r w:rsidRPr="00D378DA">
        <w:rPr>
          <w:rFonts w:cs="Arial"/>
        </w:rPr>
        <w:t>Kingfishers 2016</w:t>
      </w:r>
      <w:r>
        <w:rPr>
          <w:rFonts w:cs="Arial"/>
        </w:rPr>
        <w:t xml:space="preserve">; </w:t>
      </w:r>
      <w:r w:rsidRPr="00D378DA">
        <w:rPr>
          <w:rFonts w:cs="Arial"/>
        </w:rPr>
        <w:t>Kingfishers 201</w:t>
      </w:r>
      <w:r>
        <w:rPr>
          <w:rFonts w:cs="Arial"/>
        </w:rPr>
        <w:t xml:space="preserve">5). </w:t>
      </w:r>
      <w:r>
        <w:t xml:space="preserve"> </w:t>
      </w:r>
    </w:p>
    <w:p w:rsidR="0026509A" w:rsidRDefault="0026509A" w:rsidP="0026509A">
      <w:pPr>
        <w:rPr>
          <w:rFonts w:cs="Arial"/>
        </w:rPr>
      </w:pPr>
      <w:r>
        <w:t xml:space="preserve">Reports highlighted the need to focus on certain groups of participants that were not getting enough attention. </w:t>
      </w:r>
      <w:bookmarkStart w:id="88" w:name="_Hlk39579321"/>
      <w:r w:rsidRPr="00D378DA">
        <w:rPr>
          <w:rFonts w:cs="Arial"/>
        </w:rPr>
        <w:t xml:space="preserve">Kingfishers </w:t>
      </w:r>
      <w:r>
        <w:rPr>
          <w:rFonts w:cs="Arial"/>
        </w:rPr>
        <w:t>(</w:t>
      </w:r>
      <w:r w:rsidRPr="00D378DA">
        <w:rPr>
          <w:rFonts w:cs="Arial"/>
        </w:rPr>
        <w:t>2016</w:t>
      </w:r>
      <w:bookmarkEnd w:id="88"/>
      <w:r>
        <w:rPr>
          <w:rFonts w:cs="Arial"/>
        </w:rPr>
        <w:t xml:space="preserve">) argue that LACs should try and engage </w:t>
      </w:r>
      <w:r w:rsidRPr="00BF6BC9">
        <w:rPr>
          <w:rFonts w:cs="Arial"/>
        </w:rPr>
        <w:t>young people</w:t>
      </w:r>
      <w:r>
        <w:rPr>
          <w:rFonts w:cs="Arial"/>
        </w:rPr>
        <w:t>, especially those</w:t>
      </w:r>
      <w:r w:rsidRPr="00BF6BC9">
        <w:rPr>
          <w:rFonts w:cs="Arial"/>
        </w:rPr>
        <w:t xml:space="preserve"> with learning disabilities</w:t>
      </w:r>
      <w:r>
        <w:rPr>
          <w:rFonts w:cs="Arial"/>
        </w:rPr>
        <w:t>,</w:t>
      </w:r>
      <w:r w:rsidRPr="00BF6BC9">
        <w:rPr>
          <w:rFonts w:cs="Arial"/>
        </w:rPr>
        <w:t xml:space="preserve"> to aid</w:t>
      </w:r>
      <w:r>
        <w:rPr>
          <w:rFonts w:cs="Arial"/>
        </w:rPr>
        <w:t xml:space="preserve"> </w:t>
      </w:r>
      <w:r w:rsidRPr="00BF6BC9">
        <w:rPr>
          <w:rFonts w:cs="Arial"/>
        </w:rPr>
        <w:t>their</w:t>
      </w:r>
      <w:r>
        <w:rPr>
          <w:rFonts w:cs="Arial"/>
        </w:rPr>
        <w:t xml:space="preserve"> </w:t>
      </w:r>
      <w:r w:rsidRPr="00BF6BC9">
        <w:rPr>
          <w:rFonts w:cs="Arial"/>
        </w:rPr>
        <w:t>transition into adulthood</w:t>
      </w:r>
      <w:r>
        <w:rPr>
          <w:rFonts w:cs="Arial"/>
        </w:rPr>
        <w:t xml:space="preserve">, as well as people looking to return to work. Similarly, </w:t>
      </w:r>
      <w:bookmarkStart w:id="89" w:name="_Hlk39568708"/>
      <w:r w:rsidRPr="00300535">
        <w:rPr>
          <w:rFonts w:cs="Arial"/>
        </w:rPr>
        <w:t xml:space="preserve">Mason et al. </w:t>
      </w:r>
      <w:r>
        <w:rPr>
          <w:rFonts w:cs="Arial"/>
        </w:rPr>
        <w:t>(</w:t>
      </w:r>
      <w:r w:rsidRPr="00300535">
        <w:rPr>
          <w:rFonts w:cs="Arial"/>
        </w:rPr>
        <w:t>2019</w:t>
      </w:r>
      <w:bookmarkEnd w:id="89"/>
      <w:r>
        <w:rPr>
          <w:rFonts w:cs="Arial"/>
        </w:rPr>
        <w:t xml:space="preserve">) emphasized the need for LACs to try and engage more with young people. </w:t>
      </w:r>
    </w:p>
    <w:p w:rsidR="0026509A" w:rsidRDefault="0026509A" w:rsidP="0026509A">
      <w:pPr>
        <w:rPr>
          <w:rFonts w:cs="Arial"/>
        </w:rPr>
      </w:pPr>
      <w:r>
        <w:rPr>
          <w:rFonts w:cs="Arial"/>
        </w:rPr>
        <w:t>There was evidence of LAC’s limited availability. Two reports recommended a rescoping of LAC service boundaries, due to requests that were just outside an LAC area or restricted availability to only a few wards (</w:t>
      </w:r>
      <w:r w:rsidRPr="009B6182">
        <w:rPr>
          <w:rFonts w:cs="Arial"/>
        </w:rPr>
        <w:t>Swansea University 2016</w:t>
      </w:r>
      <w:r>
        <w:rPr>
          <w:rFonts w:cs="Arial"/>
        </w:rPr>
        <w:t xml:space="preserve">; </w:t>
      </w:r>
      <w:r w:rsidRPr="00F95C56">
        <w:rPr>
          <w:rFonts w:cs="Arial"/>
        </w:rPr>
        <w:t xml:space="preserve">Peter Fletcher Associates Ltd </w:t>
      </w:r>
      <w:r w:rsidRPr="00F95C56">
        <w:rPr>
          <w:rFonts w:cs="Arial"/>
        </w:rPr>
        <w:lastRenderedPageBreak/>
        <w:t>2011</w:t>
      </w:r>
      <w:r>
        <w:rPr>
          <w:rFonts w:cs="Arial"/>
        </w:rPr>
        <w:t xml:space="preserve">).  The report from </w:t>
      </w:r>
      <w:r w:rsidRPr="009B6182">
        <w:rPr>
          <w:rFonts w:cs="Arial"/>
        </w:rPr>
        <w:t>Swansea University</w:t>
      </w:r>
      <w:r>
        <w:rPr>
          <w:rFonts w:cs="Arial"/>
        </w:rPr>
        <w:t xml:space="preserve"> (</w:t>
      </w:r>
      <w:r w:rsidRPr="009B6182">
        <w:rPr>
          <w:rFonts w:cs="Arial"/>
        </w:rPr>
        <w:t>2016</w:t>
      </w:r>
      <w:r>
        <w:rPr>
          <w:rFonts w:cs="Arial"/>
        </w:rPr>
        <w:t>) argued for scoping of LAC areas based on need assessment.</w:t>
      </w:r>
    </w:p>
    <w:p w:rsidR="0026509A" w:rsidRDefault="0026509A" w:rsidP="0026509A">
      <w:pPr>
        <w:spacing w:after="160" w:line="259" w:lineRule="auto"/>
      </w:pPr>
      <w:r>
        <w:t>Another concern was a future growth of LAC service and need to maintain ‘human sized units’ to avoid overstretching of the service (</w:t>
      </w:r>
      <w:r w:rsidRPr="006C62A1">
        <w:rPr>
          <w:rFonts w:cs="Arial"/>
        </w:rPr>
        <w:t>Oatley 2016</w:t>
      </w:r>
      <w:r>
        <w:rPr>
          <w:rFonts w:cs="Arial"/>
        </w:rPr>
        <w:t>)</w:t>
      </w:r>
      <w:r>
        <w:t>. In relation to this concern, the need to better manage caseloads was voiced (</w:t>
      </w:r>
      <w:r w:rsidRPr="003961DC">
        <w:rPr>
          <w:rFonts w:cs="Arial"/>
        </w:rPr>
        <w:t>Lunt &amp; Bainbridge 2019</w:t>
      </w:r>
      <w:r>
        <w:rPr>
          <w:rFonts w:cs="Arial"/>
          <w:szCs w:val="22"/>
        </w:rPr>
        <w:t>;</w:t>
      </w:r>
      <w:bookmarkStart w:id="90" w:name="_Hlk39567726"/>
      <w:r w:rsidRPr="00F50E14">
        <w:rPr>
          <w:rFonts w:cs="Arial"/>
        </w:rPr>
        <w:t xml:space="preserve"> </w:t>
      </w:r>
      <w:r w:rsidRPr="000E7450">
        <w:rPr>
          <w:rFonts w:cs="Arial"/>
        </w:rPr>
        <w:t>Gamsu &amp; Rippon 2019</w:t>
      </w:r>
      <w:bookmarkEnd w:id="90"/>
      <w:r>
        <w:t>).</w:t>
      </w:r>
    </w:p>
    <w:p w:rsidR="0026509A" w:rsidRPr="007A57D3" w:rsidRDefault="0026509A" w:rsidP="0026509A">
      <w:pPr>
        <w:spacing w:after="160" w:line="259" w:lineRule="auto"/>
      </w:pPr>
      <w:r>
        <w:t>Evaluations have reported on need for LAC’s purpose and role in the community to be understood by other services (</w:t>
      </w:r>
      <w:r w:rsidRPr="007A57D3">
        <w:t xml:space="preserve">Gamsu &amp; Rippon 2018; Lunt &amp; Bainbridge 2019; Forshaw et al. 2016). Gamsu &amp; Rippon (2018) argue that it should not be assumed that other services understand or readily accept the approach endorsed by LACs. This is because LAC works in a way that is significantly different to other services and some work should be done to assure alignment and cooperation. </w:t>
      </w:r>
    </w:p>
    <w:p w:rsidR="0026509A" w:rsidRPr="0020075F" w:rsidRDefault="0026509A" w:rsidP="0026509A">
      <w:r>
        <w:t xml:space="preserve">Lastly, </w:t>
      </w:r>
      <w:r w:rsidRPr="00F95C56">
        <w:rPr>
          <w:rFonts w:cs="Arial"/>
        </w:rPr>
        <w:t xml:space="preserve">Peter Fletcher Associates Ltd </w:t>
      </w:r>
      <w:r>
        <w:rPr>
          <w:rFonts w:cs="Arial"/>
        </w:rPr>
        <w:t>(</w:t>
      </w:r>
      <w:r w:rsidRPr="00F95C56">
        <w:rPr>
          <w:rFonts w:cs="Arial"/>
        </w:rPr>
        <w:t>2011</w:t>
      </w:r>
      <w:r>
        <w:rPr>
          <w:rFonts w:cs="Arial"/>
        </w:rPr>
        <w:t xml:space="preserve">) argued that LACs in </w:t>
      </w:r>
      <w:r w:rsidRPr="000F7502">
        <w:rPr>
          <w:rFonts w:cs="Arial"/>
        </w:rPr>
        <w:t>Middlesbrough</w:t>
      </w:r>
      <w:r>
        <w:rPr>
          <w:rFonts w:cs="Arial"/>
        </w:rPr>
        <w:t xml:space="preserve"> need to do more work on building communities and developing their abilities to be more inclusive and supportive of people with disabilities and vulnerable members of community.</w:t>
      </w:r>
    </w:p>
    <w:p w:rsidR="0026509A" w:rsidRPr="0020075F" w:rsidRDefault="0026509A" w:rsidP="0026509A"/>
    <w:p w:rsidR="0026509A" w:rsidRDefault="0026509A" w:rsidP="0026509A">
      <w:pPr>
        <w:pStyle w:val="Heading2"/>
      </w:pPr>
      <w:bookmarkStart w:id="91" w:name="_Toc40185459"/>
      <w:bookmarkStart w:id="92" w:name="_Toc65251801"/>
      <w:r>
        <w:t>Conclusion</w:t>
      </w:r>
      <w:bookmarkEnd w:id="91"/>
      <w:bookmarkEnd w:id="92"/>
    </w:p>
    <w:p w:rsidR="007A57D3" w:rsidRDefault="007A57D3" w:rsidP="007A57D3">
      <w:pPr>
        <w:pStyle w:val="Heading3"/>
      </w:pPr>
      <w:bookmarkStart w:id="93" w:name="_Toc65251802"/>
      <w:r>
        <w:t>Support Coordination equivalents</w:t>
      </w:r>
      <w:bookmarkEnd w:id="93"/>
    </w:p>
    <w:p w:rsidR="002822AC" w:rsidRDefault="0026509A" w:rsidP="0026509A">
      <w:pPr>
        <w:spacing w:beforeAutospacing="1" w:afterAutospacing="1"/>
        <w:rPr>
          <w:color w:val="000000"/>
        </w:rPr>
      </w:pPr>
      <w:r>
        <w:rPr>
          <w:color w:val="000000"/>
        </w:rPr>
        <w:t xml:space="preserve">Intermediary </w:t>
      </w:r>
      <w:r w:rsidRPr="00707729">
        <w:rPr>
          <w:color w:val="000000"/>
        </w:rPr>
        <w:t xml:space="preserve">interventions </w:t>
      </w:r>
      <w:r>
        <w:rPr>
          <w:color w:val="000000"/>
        </w:rPr>
        <w:t xml:space="preserve">equivalent to NDIS’s Support Coordination </w:t>
      </w:r>
      <w:r w:rsidRPr="00707729">
        <w:rPr>
          <w:color w:val="000000"/>
        </w:rPr>
        <w:t xml:space="preserve">are implemented differently internationally but </w:t>
      </w:r>
      <w:r>
        <w:rPr>
          <w:color w:val="000000"/>
        </w:rPr>
        <w:t>rarely</w:t>
      </w:r>
      <w:r w:rsidRPr="00707729">
        <w:rPr>
          <w:color w:val="000000"/>
        </w:rPr>
        <w:t xml:space="preserve"> described in detail</w:t>
      </w:r>
      <w:r w:rsidR="002822AC">
        <w:rPr>
          <w:color w:val="000000"/>
        </w:rPr>
        <w:t xml:space="preserve">. </w:t>
      </w:r>
      <w:r w:rsidR="002822AC" w:rsidRPr="002822AC">
        <w:rPr>
          <w:color w:val="000000"/>
        </w:rPr>
        <w:t xml:space="preserve">Common to all models </w:t>
      </w:r>
      <w:r w:rsidR="002822AC">
        <w:rPr>
          <w:color w:val="000000"/>
        </w:rPr>
        <w:t xml:space="preserve">included in this review </w:t>
      </w:r>
      <w:r w:rsidR="002822AC" w:rsidRPr="002822AC">
        <w:rPr>
          <w:color w:val="000000"/>
        </w:rPr>
        <w:t xml:space="preserve">was the provision of information about how to manage the self-directed plan, and referral or direct linkage to services in the community. </w:t>
      </w:r>
      <w:r w:rsidR="002822AC">
        <w:rPr>
          <w:color w:val="000000"/>
        </w:rPr>
        <w:t>Many p</w:t>
      </w:r>
      <w:r w:rsidR="002822AC" w:rsidRPr="002822AC">
        <w:rPr>
          <w:color w:val="000000"/>
        </w:rPr>
        <w:t>eople with complex needs have had negative past experiences when attempting to access services</w:t>
      </w:r>
      <w:r w:rsidR="002822AC">
        <w:rPr>
          <w:color w:val="000000"/>
        </w:rPr>
        <w:t>, and</w:t>
      </w:r>
      <w:r w:rsidR="002822AC" w:rsidRPr="002822AC">
        <w:rPr>
          <w:color w:val="000000"/>
        </w:rPr>
        <w:t xml:space="preserve"> the intermediary </w:t>
      </w:r>
      <w:r w:rsidR="00C407D5">
        <w:rPr>
          <w:color w:val="000000"/>
        </w:rPr>
        <w:t>must</w:t>
      </w:r>
      <w:r w:rsidR="002822AC">
        <w:rPr>
          <w:color w:val="000000"/>
        </w:rPr>
        <w:t xml:space="preserve"> be able to link participants to</w:t>
      </w:r>
      <w:r w:rsidR="002822AC" w:rsidRPr="002822AC">
        <w:rPr>
          <w:color w:val="000000"/>
        </w:rPr>
        <w:t xml:space="preserve"> the </w:t>
      </w:r>
      <w:r w:rsidR="002822AC" w:rsidRPr="002822AC">
        <w:rPr>
          <w:i/>
          <w:color w:val="000000"/>
        </w:rPr>
        <w:t>right</w:t>
      </w:r>
      <w:r w:rsidR="002822AC">
        <w:rPr>
          <w:color w:val="000000"/>
        </w:rPr>
        <w:t xml:space="preserve"> service</w:t>
      </w:r>
      <w:r w:rsidR="002822AC" w:rsidRPr="002822AC">
        <w:rPr>
          <w:color w:val="000000"/>
        </w:rPr>
        <w:t>.</w:t>
      </w:r>
    </w:p>
    <w:p w:rsidR="0026509A" w:rsidRDefault="002822AC" w:rsidP="0026509A">
      <w:pPr>
        <w:spacing w:beforeAutospacing="1" w:afterAutospacing="1"/>
        <w:rPr>
          <w:color w:val="000000"/>
        </w:rPr>
      </w:pPr>
      <w:r w:rsidRPr="002822AC">
        <w:rPr>
          <w:color w:val="000000"/>
        </w:rPr>
        <w:t xml:space="preserve">This review has highlighted the lack of robust effectiveness data on what is a complex social intervention. This is due to the inherent ethical and logistical challenges associated with collecting quantitative data via controlled comparative methods. </w:t>
      </w:r>
      <w:r w:rsidR="0026509A">
        <w:rPr>
          <w:color w:val="000000"/>
        </w:rPr>
        <w:t>There is, however,</w:t>
      </w:r>
      <w:r w:rsidR="0026509A" w:rsidRPr="00707729">
        <w:rPr>
          <w:color w:val="000000"/>
        </w:rPr>
        <w:t xml:space="preserve"> extensive qualitative </w:t>
      </w:r>
      <w:r w:rsidR="0026509A">
        <w:rPr>
          <w:color w:val="000000"/>
        </w:rPr>
        <w:t>evidence that</w:t>
      </w:r>
      <w:r w:rsidR="0026509A" w:rsidRPr="00707729">
        <w:rPr>
          <w:color w:val="000000"/>
        </w:rPr>
        <w:t xml:space="preserve"> they are valued by consumers and are </w:t>
      </w:r>
      <w:r w:rsidR="0026509A">
        <w:rPr>
          <w:color w:val="000000"/>
        </w:rPr>
        <w:t>seen by planners and consumers as a</w:t>
      </w:r>
      <w:r w:rsidR="0026509A" w:rsidRPr="00707729">
        <w:rPr>
          <w:color w:val="000000"/>
        </w:rPr>
        <w:t xml:space="preserve"> major facilitator of successful plan implementation</w:t>
      </w:r>
      <w:r w:rsidR="0026509A">
        <w:rPr>
          <w:color w:val="000000"/>
        </w:rPr>
        <w:t>. There is the risk of harm if providers of intermediary services</w:t>
      </w:r>
      <w:r w:rsidR="0026509A" w:rsidRPr="00707729">
        <w:rPr>
          <w:color w:val="000000"/>
        </w:rPr>
        <w:t xml:space="preserve"> </w:t>
      </w:r>
      <w:r w:rsidR="0026509A">
        <w:rPr>
          <w:color w:val="000000"/>
        </w:rPr>
        <w:t>hold</w:t>
      </w:r>
      <w:r w:rsidR="0026509A" w:rsidRPr="00707729">
        <w:rPr>
          <w:color w:val="000000"/>
        </w:rPr>
        <w:t xml:space="preserve"> overly risk-averse attitudes</w:t>
      </w:r>
      <w:r w:rsidR="0026509A">
        <w:rPr>
          <w:color w:val="000000"/>
        </w:rPr>
        <w:t xml:space="preserve"> which constrain consumers’ choice and control.</w:t>
      </w:r>
    </w:p>
    <w:p w:rsidR="0026509A" w:rsidRDefault="0026509A" w:rsidP="0026509A">
      <w:pPr>
        <w:spacing w:beforeAutospacing="1" w:afterAutospacing="1"/>
      </w:pPr>
      <w:r w:rsidRPr="00707729">
        <w:rPr>
          <w:color w:val="000000"/>
        </w:rPr>
        <w:t xml:space="preserve">Whilst some individuals may be “consummate consumers”, others will need greater assistance in implementing their plan due to isolation from their local community, lack of </w:t>
      </w:r>
      <w:r w:rsidRPr="00707729">
        <w:rPr>
          <w:color w:val="000000"/>
        </w:rPr>
        <w:lastRenderedPageBreak/>
        <w:t>experience in navigating the funding system, or the ability to effectively procure and manage their own services. Ideally, the level of support provided should be flexible</w:t>
      </w:r>
      <w:r>
        <w:rPr>
          <w:color w:val="000000"/>
        </w:rPr>
        <w:t xml:space="preserve"> and</w:t>
      </w:r>
      <w:r w:rsidRPr="00707729">
        <w:rPr>
          <w:color w:val="000000"/>
        </w:rPr>
        <w:t xml:space="preserve"> informed by the consumer’s current needs and access to family or peer support</w:t>
      </w:r>
      <w:r>
        <w:rPr>
          <w:color w:val="000000"/>
        </w:rPr>
        <w:t xml:space="preserve">. </w:t>
      </w:r>
      <w:r>
        <w:t xml:space="preserve">They are likely to be crucial for people with complex needs </w:t>
      </w:r>
      <w:r w:rsidRPr="00482468">
        <w:t>i.e. those with a range of different, often interrelated, needs that are serious, intense, severe</w:t>
      </w:r>
      <w:r>
        <w:t>,</w:t>
      </w:r>
      <w:r w:rsidRPr="00482468">
        <w:t xml:space="preserve"> or profound and likely to require support from different services, such as social, health and housing services. </w:t>
      </w:r>
    </w:p>
    <w:p w:rsidR="0026509A" w:rsidRDefault="0026509A" w:rsidP="0026509A">
      <w:pPr>
        <w:spacing w:beforeAutospacing="1" w:afterAutospacing="1"/>
        <w:rPr>
          <w:lang w:val="en-AU"/>
        </w:rPr>
      </w:pPr>
      <w:r w:rsidRPr="00494888">
        <w:rPr>
          <w:lang w:val="en-AU"/>
        </w:rPr>
        <w:t xml:space="preserve">Eligibility criteria and levels of service for proposed new models should be developed in consultation with groups representing those with complex needs and LACs to ensure clarity of provider roles/scope and service priorities. </w:t>
      </w:r>
    </w:p>
    <w:p w:rsidR="00C407D5" w:rsidRDefault="0026509A" w:rsidP="00C407D5">
      <w:pPr>
        <w:spacing w:beforeAutospacing="1" w:afterAutospacing="1"/>
      </w:pPr>
      <w:r w:rsidRPr="00707729">
        <w:t xml:space="preserve">A clearer understanding of their effectiveness for different populations would require carefully planned and </w:t>
      </w:r>
      <w:r>
        <w:t>methodologically</w:t>
      </w:r>
      <w:r w:rsidRPr="00707729">
        <w:t xml:space="preserve"> robust comparative trial designs, clear description and consistent delivery of interventions, and</w:t>
      </w:r>
      <w:r w:rsidR="003D3421">
        <w:t xml:space="preserve"> long-term evaluation of impact</w:t>
      </w:r>
    </w:p>
    <w:p w:rsidR="00C407D5" w:rsidRDefault="00C407D5" w:rsidP="00C407D5">
      <w:r>
        <w:t>Finally, advice and information should remain independent of service providers as well as the initial assessment process. In the USA, the Centers for Medicare and Medicaid Services  have articulated the following core characteristics of conflict-free intermediary services</w:t>
      </w:r>
      <w:r w:rsidR="00FB1D92">
        <w:rPr>
          <w:rStyle w:val="FootnoteReference"/>
        </w:rPr>
        <w:footnoteReference w:id="3"/>
      </w:r>
      <w:r>
        <w:t xml:space="preserve"> (referred to as case management):</w:t>
      </w:r>
    </w:p>
    <w:p w:rsidR="00C407D5" w:rsidRDefault="00C407D5" w:rsidP="00FB1D92">
      <w:pPr>
        <w:pStyle w:val="ListParagraph"/>
        <w:numPr>
          <w:ilvl w:val="0"/>
          <w:numId w:val="7"/>
        </w:numPr>
      </w:pPr>
      <w:r>
        <w:t>Responsibility for providing case management services is separated from responsibility for the provision of direct services and supports;</w:t>
      </w:r>
    </w:p>
    <w:p w:rsidR="00C407D5" w:rsidRDefault="00C407D5" w:rsidP="00FB1D92">
      <w:pPr>
        <w:pStyle w:val="ListParagraph"/>
        <w:numPr>
          <w:ilvl w:val="0"/>
          <w:numId w:val="7"/>
        </w:numPr>
      </w:pPr>
      <w:r>
        <w:t>Case managers are not employed by an entity providing services;</w:t>
      </w:r>
    </w:p>
    <w:p w:rsidR="00C407D5" w:rsidRDefault="00C407D5" w:rsidP="00FB1D92">
      <w:pPr>
        <w:pStyle w:val="ListParagraph"/>
        <w:numPr>
          <w:ilvl w:val="0"/>
          <w:numId w:val="7"/>
        </w:numPr>
        <w:spacing w:beforeAutospacing="1" w:afterAutospacing="1"/>
      </w:pPr>
      <w:r>
        <w:t>Case managers are not responsible for determining individual funding levels</w:t>
      </w:r>
    </w:p>
    <w:p w:rsidR="007A57D3" w:rsidRDefault="007A57D3" w:rsidP="007A57D3">
      <w:pPr>
        <w:pStyle w:val="Heading3"/>
      </w:pPr>
      <w:bookmarkStart w:id="94" w:name="_Toc65251803"/>
      <w:r>
        <w:t>Local Area Coordination</w:t>
      </w:r>
      <w:bookmarkEnd w:id="94"/>
      <w:r>
        <w:t xml:space="preserve"> </w:t>
      </w:r>
    </w:p>
    <w:p w:rsidR="0026509A" w:rsidRDefault="0026509A" w:rsidP="0026509A">
      <w:pPr>
        <w:spacing w:beforeAutospacing="1" w:afterAutospacing="1"/>
      </w:pPr>
      <w:r>
        <w:t>Local Area Coordination is applied different</w:t>
      </w:r>
      <w:r w:rsidR="007A57D3">
        <w:t>ly</w:t>
      </w:r>
      <w:r>
        <w:t xml:space="preserve"> in </w:t>
      </w:r>
      <w:r w:rsidR="007A57D3">
        <w:t xml:space="preserve">the NDIS than it is </w:t>
      </w:r>
      <w:r>
        <w:t>international</w:t>
      </w:r>
      <w:r w:rsidR="007A57D3">
        <w:t>ly.</w:t>
      </w:r>
      <w:r>
        <w:t xml:space="preserve"> In England, the service is available to anyone in the community, and people from all walks of life can access Level 1 support.  Level 2 support is aimed </w:t>
      </w:r>
      <w:r w:rsidR="007A57D3">
        <w:t>at</w:t>
      </w:r>
      <w:r>
        <w:t xml:space="preserve"> people with complex needs. </w:t>
      </w:r>
      <w:r w:rsidR="007A57D3">
        <w:t>E</w:t>
      </w:r>
      <w:r>
        <w:t xml:space="preserve">ligibility criteria </w:t>
      </w:r>
      <w:r w:rsidR="007A57D3">
        <w:t>are</w:t>
      </w:r>
      <w:r>
        <w:t xml:space="preserve"> loosely defined</w:t>
      </w:r>
      <w:r w:rsidR="007A57D3">
        <w:t>,</w:t>
      </w:r>
      <w:r>
        <w:t xml:space="preserve"> allowing LAC</w:t>
      </w:r>
      <w:r w:rsidR="007A57D3">
        <w:t>s</w:t>
      </w:r>
      <w:r>
        <w:t xml:space="preserve"> to work with people who might not be eligible for other statutory services. In NZ</w:t>
      </w:r>
      <w:r w:rsidR="007A57D3">
        <w:t>,</w:t>
      </w:r>
      <w:r>
        <w:t xml:space="preserve"> while aimed at people with disabilities and their families, LAC</w:t>
      </w:r>
      <w:r w:rsidR="007A57D3">
        <w:t>s</w:t>
      </w:r>
      <w:r>
        <w:t xml:space="preserve"> also work with other people from the community through Level 1 support. Level 2 support is aimed </w:t>
      </w:r>
      <w:r w:rsidR="007A57D3">
        <w:t>at</w:t>
      </w:r>
      <w:r>
        <w:t xml:space="preserve"> people who meet Ministry of Health’s definition of disability.</w:t>
      </w:r>
    </w:p>
    <w:p w:rsidR="0026509A" w:rsidRDefault="0026509A" w:rsidP="0026509A">
      <w:pPr>
        <w:spacing w:beforeAutospacing="1" w:afterAutospacing="1"/>
      </w:pPr>
      <w:r>
        <w:t>LAC</w:t>
      </w:r>
      <w:r w:rsidR="007A57D3">
        <w:t>s</w:t>
      </w:r>
      <w:r>
        <w:t xml:space="preserve"> in both England and NZ work</w:t>
      </w:r>
      <w:r w:rsidRPr="00D67DC9">
        <w:t xml:space="preserve"> with communities to make t</w:t>
      </w:r>
      <w:r>
        <w:t>hem more accepting of marginalis</w:t>
      </w:r>
      <w:r w:rsidRPr="00D67DC9">
        <w:t xml:space="preserve">ed </w:t>
      </w:r>
      <w:r>
        <w:t>population</w:t>
      </w:r>
      <w:r w:rsidR="007A57D3">
        <w:t>s</w:t>
      </w:r>
      <w:r w:rsidRPr="00D67DC9">
        <w:t xml:space="preserve"> and people with disabilities.</w:t>
      </w:r>
      <w:r>
        <w:t xml:space="preserve"> In England, two evaluations reported </w:t>
      </w:r>
      <w:r>
        <w:lastRenderedPageBreak/>
        <w:t>on separate level</w:t>
      </w:r>
      <w:r w:rsidR="007A57D3">
        <w:t>s</w:t>
      </w:r>
      <w:r>
        <w:t xml:space="preserve"> aimed at community groups helping them to apply for funds, find new volunteers and identify</w:t>
      </w:r>
      <w:r w:rsidRPr="001666EF">
        <w:t xml:space="preserve"> delivery locations</w:t>
      </w:r>
      <w:r>
        <w:t>.</w:t>
      </w:r>
    </w:p>
    <w:p w:rsidR="0026509A" w:rsidRDefault="007A57D3" w:rsidP="0026509A">
      <w:pPr>
        <w:spacing w:beforeAutospacing="1" w:afterAutospacing="1"/>
      </w:pPr>
      <w:r>
        <w:t>The c</w:t>
      </w:r>
      <w:r w:rsidR="0026509A">
        <w:t>oordinator’s role is at the centre of the service with listening</w:t>
      </w:r>
      <w:r>
        <w:t>,</w:t>
      </w:r>
      <w:r w:rsidR="0026509A">
        <w:t xml:space="preserve"> trust, knowledge of local community, and time they spend with each participant </w:t>
      </w:r>
      <w:r>
        <w:t>considered the most</w:t>
      </w:r>
      <w:r w:rsidR="0026509A">
        <w:t xml:space="preserve"> valuable traits. Community participation in the recruitment process has proven to </w:t>
      </w:r>
      <w:r>
        <w:t>strengthen</w:t>
      </w:r>
      <w:r w:rsidR="0026509A">
        <w:t xml:space="preserve"> community ownership and </w:t>
      </w:r>
      <w:r>
        <w:t>the c</w:t>
      </w:r>
      <w:r w:rsidR="0026509A">
        <w:t xml:space="preserve">oordinator’s accountability to the community. </w:t>
      </w:r>
    </w:p>
    <w:p w:rsidR="0026509A" w:rsidRDefault="0026509A" w:rsidP="0026509A">
      <w:pPr>
        <w:spacing w:beforeAutospacing="1" w:afterAutospacing="1"/>
      </w:pPr>
      <w:r>
        <w:t xml:space="preserve">The </w:t>
      </w:r>
      <w:r w:rsidR="007A57D3">
        <w:t xml:space="preserve">included </w:t>
      </w:r>
      <w:r>
        <w:t>reports showed that participants</w:t>
      </w:r>
      <w:r w:rsidR="007A57D3">
        <w:t>,</w:t>
      </w:r>
      <w:r>
        <w:t xml:space="preserve"> and their idea of good life</w:t>
      </w:r>
      <w:r w:rsidR="007A57D3">
        <w:t>,</w:t>
      </w:r>
      <w:r>
        <w:t xml:space="preserve"> should be </w:t>
      </w:r>
      <w:r w:rsidR="007A57D3">
        <w:t>at</w:t>
      </w:r>
      <w:r>
        <w:t xml:space="preserve"> the centre of the LAC service. Further, sustainable funding, clear participant per </w:t>
      </w:r>
      <w:r w:rsidR="007A57D3">
        <w:t>c</w:t>
      </w:r>
      <w:r>
        <w:t>oordinator ratio</w:t>
      </w:r>
      <w:r w:rsidR="007A57D3">
        <w:t>s</w:t>
      </w:r>
      <w:r>
        <w:t xml:space="preserve">, and avoiding participant over-reliance on </w:t>
      </w:r>
      <w:r w:rsidR="007A57D3">
        <w:t>c</w:t>
      </w:r>
      <w:r>
        <w:t>oordinators are essential for functioning of LAC service.</w:t>
      </w:r>
    </w:p>
    <w:p w:rsidR="0026509A" w:rsidRDefault="0026509A" w:rsidP="0026509A">
      <w:pPr>
        <w:spacing w:beforeAutospacing="1" w:afterAutospacing="1"/>
      </w:pPr>
      <w:r>
        <w:t>While the effectiveness of the LAC service is clear when it comes to participants</w:t>
      </w:r>
      <w:r w:rsidR="007A57D3">
        <w:t>,</w:t>
      </w:r>
      <w:r>
        <w:t xml:space="preserve"> more rigorous data collection is needed to allow for </w:t>
      </w:r>
      <w:r w:rsidR="007A57D3">
        <w:t xml:space="preserve">an </w:t>
      </w:r>
      <w:r>
        <w:t xml:space="preserve">estimate of effectiveness for other stakeholders to be measured. However, we acknowledge that some LAC outputs and outcomes are less tangible and therefore harder to express through exact measures. SROI therefore seems like the most appropriate method to measure the effectiveness of LAC services for various stakeholders. </w:t>
      </w:r>
    </w:p>
    <w:p w:rsidR="0026509A" w:rsidRDefault="0026509A" w:rsidP="0026509A">
      <w:pPr>
        <w:spacing w:beforeAutospacing="1" w:afterAutospacing="1"/>
      </w:pPr>
    </w:p>
    <w:p w:rsidR="0026509A" w:rsidRDefault="0026509A" w:rsidP="00BE27FF">
      <w:pPr>
        <w:spacing w:beforeAutospacing="1" w:afterAutospacing="1"/>
      </w:pPr>
      <w:r>
        <w:br w:type="page"/>
      </w:r>
    </w:p>
    <w:p w:rsidR="0026509A" w:rsidRPr="006439AC" w:rsidRDefault="0026509A" w:rsidP="00D0183D">
      <w:pPr>
        <w:pStyle w:val="Heading2"/>
      </w:pPr>
      <w:bookmarkStart w:id="95" w:name="_Toc40185460"/>
      <w:bookmarkStart w:id="96" w:name="_Toc65251804"/>
      <w:r w:rsidRPr="006439AC">
        <w:lastRenderedPageBreak/>
        <w:t>References</w:t>
      </w:r>
      <w:bookmarkEnd w:id="95"/>
      <w:bookmarkEnd w:id="96"/>
    </w:p>
    <w:p w:rsidR="00E6710A" w:rsidRDefault="00E6710A" w:rsidP="004F3568">
      <w:pPr>
        <w:rPr>
          <w:rFonts w:eastAsiaTheme="minorHAnsi"/>
          <w:szCs w:val="22"/>
          <w:lang w:val="en-AU" w:eastAsia="en-US"/>
        </w:rPr>
      </w:pPr>
      <w:r>
        <w:t>Bogenschutz, M. D., Dinora, P. A., &amp; Johnson, K. R. (2019). Case Management Workforce Supporting People With Intellectual and Developmental Disabilities: Indications of a New Frontier of the Workforce Crisis. Intellectual and developmental disabilities, 57(6), 499-511.</w:t>
      </w:r>
    </w:p>
    <w:p w:rsidR="00E6710A" w:rsidRDefault="00E6710A" w:rsidP="00E6710A">
      <w:pPr>
        <w:rPr>
          <w:rFonts w:cs="Arial"/>
        </w:rPr>
      </w:pPr>
      <w:bookmarkStart w:id="97" w:name="_Toc63931237"/>
      <w:r>
        <w:rPr>
          <w:rFonts w:cs="Arial"/>
        </w:rPr>
        <w:t>Collings, S., Dew, A., &amp; Dowse, L. (2018). Unpacking the complexity of planning with persons with cognitive disability and complex support needs. Journal of Applied Research in Intellectual Disabilities, 31(1), 142-151.</w:t>
      </w:r>
      <w:bookmarkEnd w:id="97"/>
    </w:p>
    <w:p w:rsidR="00E6710A" w:rsidRDefault="00E6710A" w:rsidP="00E6710A">
      <w:pPr>
        <w:rPr>
          <w:rFonts w:cs="Arial"/>
        </w:rPr>
      </w:pPr>
      <w:bookmarkStart w:id="98" w:name="_Toc63931238"/>
      <w:r>
        <w:rPr>
          <w:rFonts w:cs="Arial"/>
        </w:rPr>
        <w:t xml:space="preserve">CQ University Library 2020 Rapid Review </w:t>
      </w:r>
      <w:hyperlink r:id="rId27" w:history="1">
        <w:r>
          <w:rPr>
            <w:rStyle w:val="Hyperlink"/>
          </w:rPr>
          <w:t>https://libguides.library.cqu.edu.au/c.php?g=849703&amp;p=6154326</w:t>
        </w:r>
      </w:hyperlink>
      <w:r>
        <w:rPr>
          <w:rFonts w:cs="Arial"/>
        </w:rPr>
        <w:t xml:space="preserve"> (last accessed 22/04/2020)</w:t>
      </w:r>
      <w:bookmarkEnd w:id="98"/>
      <w:r>
        <w:rPr>
          <w:rFonts w:cs="Arial"/>
        </w:rPr>
        <w:t xml:space="preserve"> </w:t>
      </w:r>
    </w:p>
    <w:p w:rsidR="00E6710A" w:rsidRDefault="00E6710A" w:rsidP="00E6710A">
      <w:pPr>
        <w:rPr>
          <w:rFonts w:cs="Arial"/>
        </w:rPr>
      </w:pPr>
      <w:bookmarkStart w:id="99" w:name="_Toc63931239"/>
      <w:r>
        <w:rPr>
          <w:rFonts w:cs="Arial"/>
        </w:rPr>
        <w:t xml:space="preserve">Darnton, P. Sladen, J. Liles, A. Sibley, A. Anstee, S. Brooks, C. &amp; Benson, T. (2018). LAC Network reports: Evaluation of the IoW Local Area Coordination Service  -February 20181Independent  Evaluation  of Local  Area  Coordination on the Isle of Wight: England, 2018. Retrieved from the LAC Network website: </w:t>
      </w:r>
      <w:hyperlink r:id="rId28" w:history="1">
        <w:r>
          <w:rPr>
            <w:rStyle w:val="Hyperlink"/>
          </w:rPr>
          <w:t>https://wessexahsn.org.uk/img/projects/IoW%20-%20Local%20Area%20Coordinator%20Evaluation%20Report%20FINAL.pdf</w:t>
        </w:r>
      </w:hyperlink>
      <w:bookmarkEnd w:id="99"/>
      <w:r>
        <w:rPr>
          <w:rFonts w:cs="Arial"/>
        </w:rPr>
        <w:t xml:space="preserve">  </w:t>
      </w:r>
    </w:p>
    <w:p w:rsidR="00E6710A" w:rsidRDefault="00E6710A" w:rsidP="00E6710A">
      <w:pPr>
        <w:rPr>
          <w:rFonts w:cs="Arial"/>
        </w:rPr>
      </w:pPr>
      <w:bookmarkStart w:id="100" w:name="_Toc63931240"/>
      <w:r>
        <w:rPr>
          <w:rFonts w:cs="Arial"/>
        </w:rPr>
        <w:t>Fleming P, McGilloway S, Hernon M, et al. (2019) Individualised funding interventions to improve health and social care outcomes for people with a disability: a mixed-methods systematic review. Campbell Systematic Reviews; 3</w:t>
      </w:r>
      <w:bookmarkEnd w:id="100"/>
    </w:p>
    <w:p w:rsidR="00E6710A" w:rsidRDefault="00E6710A" w:rsidP="00E6710A">
      <w:pPr>
        <w:rPr>
          <w:rFonts w:cs="Arial"/>
        </w:rPr>
      </w:pPr>
      <w:bookmarkStart w:id="101" w:name="_Toc63931241"/>
      <w:r>
        <w:rPr>
          <w:rFonts w:cs="Arial"/>
        </w:rPr>
        <w:t xml:space="preserve">Forshaw, A. Uddin, J. Danaila, D. Pocock, R. &amp; Jesson, J. (2016). LAC Network reports: Evaluation of Leicestershire Local Area Coordination: England, 2016. Retrieved from the LAC Network website: </w:t>
      </w:r>
      <w:hyperlink r:id="rId29" w:history="1">
        <w:r>
          <w:rPr>
            <w:rStyle w:val="Hyperlink"/>
          </w:rPr>
          <w:t>https://lacnetwork.org/wp-content/uploads/2018/02/Leicestershire-LAC-Evaluation-Final-Report.pdf</w:t>
        </w:r>
      </w:hyperlink>
      <w:bookmarkEnd w:id="101"/>
      <w:r>
        <w:rPr>
          <w:rFonts w:cs="Arial"/>
        </w:rPr>
        <w:t xml:space="preserve">  </w:t>
      </w:r>
    </w:p>
    <w:p w:rsidR="00E6710A" w:rsidRDefault="00E6710A" w:rsidP="00E6710A">
      <w:pPr>
        <w:rPr>
          <w:rFonts w:cs="Arial"/>
        </w:rPr>
      </w:pPr>
      <w:bookmarkStart w:id="102" w:name="_Toc63931242"/>
      <w:r>
        <w:rPr>
          <w:rFonts w:cs="Arial"/>
        </w:rPr>
        <w:t xml:space="preserve">Gamsu, M. &amp; Rippon, S. (2018). LAC Network reports: Local Area Co-ordination in Waltham Forest - A Formative Evaluation: England, 2018. Retrieved from the LAC Network website: </w:t>
      </w:r>
      <w:hyperlink r:id="rId30" w:history="1">
        <w:r>
          <w:rPr>
            <w:rStyle w:val="Hyperlink"/>
          </w:rPr>
          <w:t>https://lacnetwork.org/wp-content/uploads/2018/10/WF-LAC-Evaluation-2018-FINAL-version.pdf</w:t>
        </w:r>
      </w:hyperlink>
      <w:bookmarkEnd w:id="102"/>
      <w:r>
        <w:rPr>
          <w:rFonts w:cs="Arial"/>
        </w:rPr>
        <w:t xml:space="preserve">  </w:t>
      </w:r>
    </w:p>
    <w:p w:rsidR="00E6710A" w:rsidRDefault="00E6710A" w:rsidP="00E6710A">
      <w:pPr>
        <w:rPr>
          <w:rFonts w:cs="Arial"/>
        </w:rPr>
      </w:pPr>
      <w:bookmarkStart w:id="103" w:name="_Toc63931243"/>
      <w:r>
        <w:rPr>
          <w:rFonts w:cs="Arial"/>
        </w:rPr>
        <w:t xml:space="preserve">Gamsu, M. &amp; Rippon, S. (2019). LAC Network reports: Haringey Local Area Coordination Programme –A Formative Evaluation of Implementation: England, 2019. Retrieved from the LAC Network website: </w:t>
      </w:r>
      <w:hyperlink r:id="rId31" w:history="1">
        <w:r>
          <w:rPr>
            <w:rStyle w:val="Hyperlink"/>
          </w:rPr>
          <w:t>https://lacnetwork.org/wp-content/uploads/2019/06/June-2019-Haringey-formative-evaluation.pdf</w:t>
        </w:r>
        <w:bookmarkEnd w:id="103"/>
      </w:hyperlink>
      <w:r>
        <w:rPr>
          <w:rFonts w:cs="Arial"/>
        </w:rPr>
        <w:t xml:space="preserve"> </w:t>
      </w:r>
    </w:p>
    <w:p w:rsidR="00E6710A" w:rsidRDefault="00E6710A" w:rsidP="00E6710A">
      <w:pPr>
        <w:rPr>
          <w:rFonts w:cs="Arial"/>
        </w:rPr>
      </w:pPr>
      <w:bookmarkStart w:id="104" w:name="_Toc63931244"/>
      <w:r>
        <w:rPr>
          <w:rFonts w:cs="Arial"/>
        </w:rPr>
        <w:t>Harry, M. L., Mahoney, K. J., Mahoney, E. K., &amp; Shen, C. (2017). The Cash and Counseling model of self-directed long-term care: Effectiveness with young adults with disabilities. Disability and health journal, 10(4), 492-501.</w:t>
      </w:r>
      <w:bookmarkEnd w:id="104"/>
    </w:p>
    <w:p w:rsidR="00E6710A" w:rsidRDefault="00E6710A" w:rsidP="00E6710A">
      <w:pPr>
        <w:rPr>
          <w:rFonts w:cs="Arial"/>
        </w:rPr>
      </w:pPr>
      <w:bookmarkStart w:id="105" w:name="_Toc63931245"/>
      <w:r>
        <w:rPr>
          <w:rFonts w:cs="Arial"/>
        </w:rPr>
        <w:lastRenderedPageBreak/>
        <w:t xml:space="preserve">Investopedia. (2019). What Factors Go Into Calculating Social Return on Investment (SROI)?: New York, NY, 2019. Retrieved from Investopedia website: </w:t>
      </w:r>
      <w:hyperlink r:id="rId32" w:history="1">
        <w:r>
          <w:rPr>
            <w:rStyle w:val="Hyperlink"/>
          </w:rPr>
          <w:t>https://www.investopedia.com/ask/answers/070314/what-factors-go-calculating-social-return-investment-sroi.asp</w:t>
        </w:r>
        <w:bookmarkEnd w:id="105"/>
      </w:hyperlink>
      <w:r>
        <w:rPr>
          <w:rFonts w:cs="Arial"/>
        </w:rPr>
        <w:t xml:space="preserve"> </w:t>
      </w:r>
    </w:p>
    <w:p w:rsidR="00E6710A" w:rsidRDefault="00E6710A" w:rsidP="00E6710A">
      <w:pPr>
        <w:rPr>
          <w:rFonts w:cs="Arial"/>
        </w:rPr>
      </w:pPr>
      <w:bookmarkStart w:id="106" w:name="_Toc63931246"/>
      <w:r>
        <w:rPr>
          <w:rFonts w:cs="Arial"/>
        </w:rPr>
        <w:t xml:space="preserve">Kingfishers. (2016). LAC Network reports: Social Value of Local Area Coordination. Learning Outcomes from Thurrock Council and Derby City Council SROI Analyses: England, 2016. Retrieved from: </w:t>
      </w:r>
      <w:hyperlink r:id="rId33" w:history="1">
        <w:r>
          <w:rPr>
            <w:rStyle w:val="Hyperlink"/>
          </w:rPr>
          <w:t>https://lacnetwork.org/wp-content/uploads/2018/02/Learning_Outcomes_for_Thurrock_and_Derby_March_2016.pdf</w:t>
        </w:r>
      </w:hyperlink>
      <w:bookmarkEnd w:id="106"/>
      <w:r>
        <w:rPr>
          <w:rFonts w:cs="Arial"/>
        </w:rPr>
        <w:t xml:space="preserve">  </w:t>
      </w:r>
    </w:p>
    <w:p w:rsidR="00E6710A" w:rsidRDefault="00E6710A" w:rsidP="00E6710A">
      <w:pPr>
        <w:rPr>
          <w:rStyle w:val="Hyperlink"/>
        </w:rPr>
      </w:pPr>
      <w:bookmarkStart w:id="107" w:name="_Toc63931247"/>
      <w:r>
        <w:rPr>
          <w:rFonts w:cs="Arial"/>
        </w:rPr>
        <w:t xml:space="preserve">Kingfishers. (2015). LAC Network reports: Social Value of Local Area Coordination in Thurrock. A forecast Social Return on Investment Analysis for Adult Social Care, Thurrock Council. Summary Report: England, 2015. Retrieved from: </w:t>
      </w:r>
      <w:hyperlink r:id="rId34" w:history="1">
        <w:r>
          <w:rPr>
            <w:rStyle w:val="Hyperlink"/>
          </w:rPr>
          <w:t>https://lacnetwork.org/wp-content/uploads/2015/12/Assured-Final-SROI-Local-Area-Coordination-in-Thurrock-Summary-Report-23....pdf</w:t>
        </w:r>
        <w:bookmarkEnd w:id="107"/>
        <w:r>
          <w:rPr>
            <w:rStyle w:val="Hyperlink"/>
          </w:rPr>
          <w:t xml:space="preserve"> </w:t>
        </w:r>
      </w:hyperlink>
    </w:p>
    <w:p w:rsidR="00E6710A" w:rsidRDefault="00E6710A" w:rsidP="00E6710A">
      <w:bookmarkStart w:id="108" w:name="_Toc63931248"/>
      <w:r>
        <w:rPr>
          <w:rFonts w:cs="Arial"/>
        </w:rPr>
        <w:t>Lakhani A, McDonald D, Zeeman H (2018). Perspectives of self</w:t>
      </w:r>
      <w:r>
        <w:rPr>
          <w:rFonts w:ascii="Cambria Math" w:hAnsi="Cambria Math" w:cs="Cambria Math"/>
        </w:rPr>
        <w:t>‐</w:t>
      </w:r>
      <w:r>
        <w:rPr>
          <w:rFonts w:cs="Arial"/>
        </w:rPr>
        <w:t>direction: a systematic review of key areas contributing to service users’ engagement and choice</w:t>
      </w:r>
      <w:r>
        <w:rPr>
          <w:rFonts w:ascii="Cambria Math" w:hAnsi="Cambria Math" w:cs="Cambria Math"/>
        </w:rPr>
        <w:t>‐</w:t>
      </w:r>
      <w:r>
        <w:rPr>
          <w:rFonts w:cs="Arial"/>
        </w:rPr>
        <w:t>making in self</w:t>
      </w:r>
      <w:r>
        <w:rPr>
          <w:rFonts w:ascii="Cambria Math" w:hAnsi="Cambria Math" w:cs="Cambria Math"/>
        </w:rPr>
        <w:t>‐</w:t>
      </w:r>
      <w:r>
        <w:rPr>
          <w:rFonts w:cs="Arial"/>
        </w:rPr>
        <w:t>directed disability services and supports. Health &amp; social care in the community 26(3): 295-313.</w:t>
      </w:r>
      <w:bookmarkEnd w:id="108"/>
    </w:p>
    <w:p w:rsidR="00E6710A" w:rsidRDefault="00E6710A" w:rsidP="00E6710A">
      <w:pPr>
        <w:rPr>
          <w:rFonts w:cs="Arial"/>
        </w:rPr>
      </w:pPr>
      <w:bookmarkStart w:id="109" w:name="_Toc63931249"/>
      <w:r>
        <w:rPr>
          <w:rFonts w:cs="Arial"/>
        </w:rPr>
        <w:t xml:space="preserve">Lunt, N., &amp; Bainbridge, L. (2019). LAC Network reports: Local Area Coordination Summative Evaluation: England, 2019. Retrieved from the LAC Network website: </w:t>
      </w:r>
      <w:hyperlink r:id="rId35" w:history="1">
        <w:r>
          <w:rPr>
            <w:rStyle w:val="Hyperlink"/>
          </w:rPr>
          <w:t>https://lacnetwork.org/wp-content/uploads/2019/04/190415-Local-Area-Coordination-Summative-Report-15_-4_19FINAL.pdf</w:t>
        </w:r>
      </w:hyperlink>
      <w:bookmarkEnd w:id="109"/>
      <w:r>
        <w:rPr>
          <w:rFonts w:cs="Arial"/>
        </w:rPr>
        <w:t xml:space="preserve">  </w:t>
      </w:r>
    </w:p>
    <w:p w:rsidR="00E6710A" w:rsidRDefault="00E6710A" w:rsidP="00E6710A">
      <w:pPr>
        <w:rPr>
          <w:rFonts w:cs="Arial"/>
        </w:rPr>
      </w:pPr>
      <w:bookmarkStart w:id="110" w:name="_Toc63931250"/>
      <w:r>
        <w:rPr>
          <w:rFonts w:cs="Arial"/>
        </w:rPr>
        <w:t>Mahoney E, Oh G, Morano C, Mahoney K, DeVellis A. (2019) The Tasks and Characteristics of Supportive Support Brokers. Journal of gerontological social work; 62(2): 216-35</w:t>
      </w:r>
      <w:bookmarkEnd w:id="110"/>
    </w:p>
    <w:p w:rsidR="00E6710A" w:rsidRDefault="00E6710A" w:rsidP="00E6710A">
      <w:pPr>
        <w:rPr>
          <w:rFonts w:cs="Arial"/>
        </w:rPr>
      </w:pPr>
      <w:bookmarkStart w:id="111" w:name="_Toc63931251"/>
      <w:r>
        <w:rPr>
          <w:rFonts w:cs="Arial"/>
        </w:rPr>
        <w:t xml:space="preserve">Marsh, H. (2016). LAC Network reports: Social Value of Local Area Coordination. A forecast Social Return on Investment Analysis for Derby City Council: England, 2016. Retrieved from  the LAC Network website: </w:t>
      </w:r>
      <w:hyperlink r:id="rId36" w:history="1">
        <w:r>
          <w:rPr>
            <w:rStyle w:val="Hyperlink"/>
          </w:rPr>
          <w:t>https://www.thinklocalactpersonal.org.uk/_assets/Resources/BCC/Assured-SROI-Report-for-Local-Area-Coordination-in-Derby-March-2016.pdf</w:t>
        </w:r>
      </w:hyperlink>
      <w:bookmarkEnd w:id="111"/>
      <w:r>
        <w:rPr>
          <w:rFonts w:cs="Arial"/>
        </w:rPr>
        <w:t xml:space="preserve"> </w:t>
      </w:r>
    </w:p>
    <w:p w:rsidR="00E6710A" w:rsidRDefault="00E6710A" w:rsidP="00E6710A">
      <w:pPr>
        <w:rPr>
          <w:rFonts w:cs="Arial"/>
        </w:rPr>
      </w:pPr>
      <w:bookmarkStart w:id="112" w:name="_Toc63931252"/>
      <w:r>
        <w:rPr>
          <w:rFonts w:cs="Arial"/>
        </w:rPr>
        <w:t xml:space="preserve">Mason, J., Harris, K., &amp; Ryan, L. (2019). LAC Network reports: Local Area Coordination (IOW) Evaluation Report “What is it about Local Area Coordination that makes it work for end users, under what circumstances, how and why?”: England, 2018. Retrieved from the LAC Network website: </w:t>
      </w:r>
      <w:hyperlink r:id="rId37" w:history="1">
        <w:r>
          <w:rPr>
            <w:rStyle w:val="Hyperlink"/>
          </w:rPr>
          <w:t>https://lacnetwork.org/wp-content/uploads/2019/06/LAC-Evaluation-of-IOW-Full-version.pdf</w:t>
        </w:r>
      </w:hyperlink>
      <w:bookmarkEnd w:id="112"/>
      <w:r>
        <w:rPr>
          <w:rFonts w:cs="Arial"/>
        </w:rPr>
        <w:t xml:space="preserve">  </w:t>
      </w:r>
    </w:p>
    <w:p w:rsidR="00E6710A" w:rsidRDefault="00E6710A" w:rsidP="00E6710A">
      <w:pPr>
        <w:rPr>
          <w:rFonts w:cs="Arial"/>
        </w:rPr>
      </w:pPr>
      <w:bookmarkStart w:id="113" w:name="_Toc63931253"/>
      <w:r>
        <w:rPr>
          <w:rFonts w:cs="Arial"/>
        </w:rPr>
        <w:t xml:space="preserve">Oatley, C. (2016). LAC Network reports: Local Area Coordination Formative Evaluation: Understanding the praxis and impact of the Local Area Coordination approach on the Isle of </w:t>
      </w:r>
      <w:r>
        <w:rPr>
          <w:rFonts w:cs="Arial"/>
        </w:rPr>
        <w:lastRenderedPageBreak/>
        <w:t xml:space="preserve">Wight: England, 2016. Retrieved from the LAC Network website: </w:t>
      </w:r>
      <w:hyperlink r:id="rId38" w:history="1">
        <w:r>
          <w:rPr>
            <w:rStyle w:val="Hyperlink"/>
          </w:rPr>
          <w:t>https://lacnetwork.org/wp-content/uploads/2016/07/Local-Area-Coordination-Evaluation-Report-.pdf</w:t>
        </w:r>
      </w:hyperlink>
      <w:bookmarkEnd w:id="113"/>
      <w:r>
        <w:rPr>
          <w:rFonts w:cs="Arial"/>
        </w:rPr>
        <w:t xml:space="preserve"> </w:t>
      </w:r>
    </w:p>
    <w:p w:rsidR="00E6710A" w:rsidRDefault="00E6710A" w:rsidP="00E6710A">
      <w:pPr>
        <w:rPr>
          <w:rFonts w:cs="Arial"/>
        </w:rPr>
      </w:pPr>
      <w:bookmarkStart w:id="114" w:name="_Toc63931254"/>
      <w:r>
        <w:rPr>
          <w:rFonts w:cs="Arial"/>
        </w:rPr>
        <w:t xml:space="preserve">Peter Fletcher Associates Ltd. (2011). LAC Network reports:  Evaluation of Local Area Co-ordination in Middlesbrough: England, 2011. Retrieved from: </w:t>
      </w:r>
      <w:hyperlink r:id="rId39" w:history="1">
        <w:r>
          <w:rPr>
            <w:rStyle w:val="Hyperlink"/>
          </w:rPr>
          <w:t>https://lacnetwork.org/wp-content/uploads/2019/06/evaluation-of-local-area-coordination-1.pdf</w:t>
        </w:r>
      </w:hyperlink>
      <w:bookmarkEnd w:id="114"/>
      <w:r>
        <w:rPr>
          <w:rFonts w:cs="Arial"/>
        </w:rPr>
        <w:t xml:space="preserve">  </w:t>
      </w:r>
    </w:p>
    <w:p w:rsidR="00E6710A" w:rsidRDefault="00E6710A" w:rsidP="00E6710A">
      <w:pPr>
        <w:rPr>
          <w:rFonts w:cs="Arial"/>
        </w:rPr>
      </w:pPr>
      <w:bookmarkStart w:id="115" w:name="_Toc63931255"/>
      <w:r>
        <w:rPr>
          <w:rFonts w:cs="Arial"/>
        </w:rPr>
        <w:t>Pike, B., O'Nolan, G., &amp; Farragher, L. (2016). Individualised budgeting for social care services for people with a disability: International approaches and evidence on financial sustainability. 10.13140/RG.2.2.14905.06245.</w:t>
      </w:r>
      <w:bookmarkEnd w:id="115"/>
    </w:p>
    <w:p w:rsidR="00E6710A" w:rsidRDefault="00E6710A" w:rsidP="00E6710A">
      <w:pPr>
        <w:rPr>
          <w:rFonts w:cs="Arial"/>
        </w:rPr>
      </w:pPr>
      <w:bookmarkStart w:id="116" w:name="_Toc63931256"/>
      <w:r>
        <w:rPr>
          <w:rFonts w:cs="Arial"/>
        </w:rPr>
        <w:t xml:space="preserve">Social Change UK (2020). Social Return on Investment, United Kingdom, 2020. Retrieved from the Social Change UK website:  </w:t>
      </w:r>
      <w:hyperlink r:id="rId40" w:history="1">
        <w:r>
          <w:rPr>
            <w:rStyle w:val="Hyperlink"/>
          </w:rPr>
          <w:t>https://social-change.co.uk/sroi?utm_source=googleads&amp;utm_medium=responsive&amp;utm_campaign=sroi&amp;gclid=Cj0KCQjw17n1BRDEARIsAFDHFezNqqWEagbZ7hsQWI4iciNAZ0L208nsII7ZZdHiQojYW-C77-YKWHkaArZEEALw_wcB</w:t>
        </w:r>
        <w:bookmarkEnd w:id="116"/>
      </w:hyperlink>
      <w:r>
        <w:rPr>
          <w:rFonts w:cs="Arial"/>
        </w:rPr>
        <w:t xml:space="preserve"> </w:t>
      </w:r>
    </w:p>
    <w:p w:rsidR="00E6710A" w:rsidRDefault="00E6710A" w:rsidP="00E6710A">
      <w:pPr>
        <w:rPr>
          <w:rFonts w:cs="Arial"/>
        </w:rPr>
      </w:pPr>
      <w:bookmarkStart w:id="117" w:name="_Toc63931257"/>
      <w:r>
        <w:rPr>
          <w:rFonts w:cs="Arial"/>
        </w:rPr>
        <w:t xml:space="preserve">Sitch, T. (2014). LAC Network reports: Local Area Coordination. Fourteen month evaluation report: England, 2014. Retrieved from the LAC Network website: </w:t>
      </w:r>
      <w:hyperlink r:id="rId41" w:history="1">
        <w:r>
          <w:rPr>
            <w:rStyle w:val="Hyperlink"/>
          </w:rPr>
          <w:t>https://lacnetwork.org/wp-content/uploads/2014/11/Thurrock-141119-LAC-Final-Report-PDF.pdf</w:t>
        </w:r>
      </w:hyperlink>
      <w:bookmarkEnd w:id="117"/>
      <w:r>
        <w:rPr>
          <w:rFonts w:cs="Arial"/>
        </w:rPr>
        <w:t xml:space="preserve">  </w:t>
      </w:r>
    </w:p>
    <w:p w:rsidR="00E6710A" w:rsidRDefault="00E6710A" w:rsidP="00E6710A">
      <w:pPr>
        <w:rPr>
          <w:rFonts w:cs="Arial"/>
        </w:rPr>
      </w:pPr>
      <w:bookmarkStart w:id="118" w:name="_Toc63931258"/>
      <w:r>
        <w:rPr>
          <w:rFonts w:cs="Arial"/>
        </w:rPr>
        <w:t xml:space="preserve">Swansea University. (2016). LAC Network reports: Local Community Initiatives in Western Bay: England, 2016. Retrieved from: </w:t>
      </w:r>
      <w:hyperlink r:id="rId42" w:history="1">
        <w:r>
          <w:rPr>
            <w:rStyle w:val="Hyperlink"/>
          </w:rPr>
          <w:t>https://lacnetwork.org/wp-content/uploads/2017/04/FINAL-Local-Area-Coordination-Evaluation-Report-2017.pdf</w:t>
        </w:r>
        <w:bookmarkEnd w:id="118"/>
      </w:hyperlink>
    </w:p>
    <w:p w:rsidR="00E6710A" w:rsidRDefault="00E6710A" w:rsidP="00E6710A">
      <w:pPr>
        <w:rPr>
          <w:rFonts w:cs="Arial"/>
        </w:rPr>
      </w:pPr>
      <w:bookmarkStart w:id="119" w:name="_Toc63931259"/>
      <w:r>
        <w:rPr>
          <w:rFonts w:cs="Arial"/>
        </w:rPr>
        <w:t>Tricco, A. C., Antony, J., Zarin, W., Strifler, L., Ghassemi, M., Ivory, J., . . . Straus, S. E. (2015). A scoping review of rapid review methods. BMC Medicine, 13, 224. doi:10.1186/s12916-015-0465-6</w:t>
      </w:r>
      <w:bookmarkEnd w:id="119"/>
      <w:r>
        <w:rPr>
          <w:rFonts w:cs="Arial"/>
        </w:rPr>
        <w:t xml:space="preserve"> </w:t>
      </w:r>
    </w:p>
    <w:p w:rsidR="00E6710A" w:rsidRDefault="00E6710A" w:rsidP="00E6710A">
      <w:pPr>
        <w:rPr>
          <w:rFonts w:cs="Arial"/>
        </w:rPr>
      </w:pPr>
      <w:bookmarkStart w:id="120" w:name="_Toc63931260"/>
      <w:r>
        <w:rPr>
          <w:rFonts w:cs="Arial"/>
        </w:rPr>
        <w:t xml:space="preserve">Yannitell Reinhardt, G. &amp; Chatsiou, K. (2018). LAC Network reports: Evaluation Local Area Coordination in Suffolk Programme: England, 2018. Retrieved from the LAC Network website: </w:t>
      </w:r>
      <w:hyperlink r:id="rId43" w:history="1">
        <w:r>
          <w:rPr>
            <w:rStyle w:val="Hyperlink"/>
          </w:rPr>
          <w:t>https://lacnetwork.org/wp-content/uploads/2018/11/LAC-Evaluation-Report.pdf</w:t>
        </w:r>
      </w:hyperlink>
      <w:bookmarkEnd w:id="120"/>
      <w:r>
        <w:rPr>
          <w:rFonts w:cs="Arial"/>
        </w:rPr>
        <w:t xml:space="preserve"> </w:t>
      </w:r>
    </w:p>
    <w:p w:rsidR="00590F5F" w:rsidRPr="006439AC" w:rsidRDefault="0026509A" w:rsidP="00515E25">
      <w:pPr>
        <w:pStyle w:val="reference"/>
      </w:pPr>
      <w:r w:rsidRPr="00240B18">
        <w:br w:type="page"/>
      </w:r>
      <w:bookmarkStart w:id="121" w:name="_Toc40185461"/>
      <w:bookmarkStart w:id="122" w:name="_Toc65251805"/>
      <w:r w:rsidR="006439AC" w:rsidRPr="006439AC">
        <w:lastRenderedPageBreak/>
        <w:t>Appendic</w:t>
      </w:r>
      <w:r w:rsidR="00590F5F" w:rsidRPr="006439AC">
        <w:t>es</w:t>
      </w:r>
      <w:bookmarkEnd w:id="121"/>
      <w:bookmarkEnd w:id="122"/>
    </w:p>
    <w:p w:rsidR="00590F5F" w:rsidRPr="001D6765" w:rsidRDefault="00590F5F" w:rsidP="00590F5F">
      <w:pPr>
        <w:pStyle w:val="Heading3"/>
        <w:numPr>
          <w:ilvl w:val="0"/>
          <w:numId w:val="0"/>
        </w:numPr>
      </w:pPr>
      <w:bookmarkStart w:id="123" w:name="_Toc40185462"/>
      <w:bookmarkStart w:id="124" w:name="_Toc65251806"/>
      <w:r>
        <w:t>Appendix 1 Review Methodology</w:t>
      </w:r>
      <w:bookmarkEnd w:id="123"/>
      <w:bookmarkEnd w:id="124"/>
    </w:p>
    <w:p w:rsidR="00590F5F" w:rsidRDefault="00590F5F" w:rsidP="00FB1D92">
      <w:pPr>
        <w:pStyle w:val="Heading4"/>
        <w:numPr>
          <w:ilvl w:val="2"/>
          <w:numId w:val="25"/>
        </w:numPr>
      </w:pPr>
      <w:bookmarkStart w:id="125" w:name="_Toc65251807"/>
      <w:r>
        <w:t>Review protocol</w:t>
      </w:r>
      <w:bookmarkEnd w:id="125"/>
    </w:p>
    <w:p w:rsidR="00590F5F" w:rsidRDefault="00590F5F" w:rsidP="00590F5F">
      <w:r>
        <w:t xml:space="preserve">Prior to conducting the review we designed a rapid systematic review protocol (See Appendix B). This document was refined in consultation with three members of Research and Evaluation team A/Prof Claire Harris, Dr Rebecca Armstrong and Ms Marie Garrubba. In addition, the protocol was reviewed by stakeholders Hannah Simkin and Bridey Sanders and subsequently approved for further research. </w:t>
      </w:r>
    </w:p>
    <w:p w:rsidR="00590F5F" w:rsidRDefault="00590F5F" w:rsidP="00590F5F">
      <w:r>
        <w:t xml:space="preserve">The protocol defined </w:t>
      </w:r>
    </w:p>
    <w:p w:rsidR="00590F5F" w:rsidRDefault="00590F5F" w:rsidP="00FB1D92">
      <w:pPr>
        <w:pStyle w:val="ListParagraph"/>
        <w:numPr>
          <w:ilvl w:val="0"/>
          <w:numId w:val="9"/>
        </w:numPr>
      </w:pPr>
      <w:r w:rsidRPr="00DB3875">
        <w:rPr>
          <w:b/>
          <w:bCs/>
        </w:rPr>
        <w:t>Population</w:t>
      </w:r>
      <w:r>
        <w:t xml:space="preserve"> addressed in the search as  p</w:t>
      </w:r>
      <w:r w:rsidRPr="00DB3875">
        <w:t>eople with permanent and significant disability (physical, sensory, intellectual or developmental disability, mental health problems, psychosocial disability, disorder or illness, or dementia), residing in any country and any type of residential setting (own home, group home, residential care setting, nursing home, hospital, institution)</w:t>
      </w:r>
      <w:r>
        <w:t>.</w:t>
      </w:r>
    </w:p>
    <w:p w:rsidR="00590F5F" w:rsidRDefault="00590F5F" w:rsidP="00FB1D92">
      <w:pPr>
        <w:pStyle w:val="ListParagraph"/>
        <w:numPr>
          <w:ilvl w:val="0"/>
          <w:numId w:val="9"/>
        </w:numPr>
      </w:pPr>
      <w:r w:rsidRPr="00DB3875">
        <w:rPr>
          <w:b/>
          <w:bCs/>
        </w:rPr>
        <w:t>Intervention</w:t>
      </w:r>
      <w:r>
        <w:t xml:space="preserve"> </w:t>
      </w:r>
      <w:r w:rsidRPr="00DB3875">
        <w:t>Models of support coordination for individualised programs that include services and/or equipment to manage the disability</w:t>
      </w:r>
    </w:p>
    <w:p w:rsidR="00590F5F" w:rsidRPr="007633DF" w:rsidRDefault="00590F5F" w:rsidP="00FB1D92">
      <w:pPr>
        <w:pStyle w:val="ListParagraph"/>
        <w:numPr>
          <w:ilvl w:val="0"/>
          <w:numId w:val="9"/>
        </w:numPr>
        <w:rPr>
          <w:bCs/>
        </w:rPr>
      </w:pPr>
      <w:r w:rsidRPr="007633DF">
        <w:rPr>
          <w:b/>
          <w:bCs/>
        </w:rPr>
        <w:t>Outcomes</w:t>
      </w:r>
      <w:r w:rsidRPr="007633DF">
        <w:rPr>
          <w:bCs/>
        </w:rPr>
        <w:t xml:space="preserve"> This review was looking for observer-based outcome measures (OBOMs) and/or patient-reported outcome measures (PROMs). For effectiveness, the key outcomes are quality of life, client satisfaction and measures of independent living or participation. For cost-effectiveness, data that compares the specific model to any other model will be reported.</w:t>
      </w:r>
    </w:p>
    <w:p w:rsidR="00590F5F" w:rsidRPr="007633DF" w:rsidRDefault="00590F5F" w:rsidP="00FB1D92">
      <w:pPr>
        <w:pStyle w:val="ListParagraph"/>
        <w:numPr>
          <w:ilvl w:val="0"/>
          <w:numId w:val="9"/>
        </w:numPr>
        <w:rPr>
          <w:bCs/>
        </w:rPr>
      </w:pPr>
      <w:r w:rsidRPr="007633DF">
        <w:rPr>
          <w:b/>
          <w:bCs/>
        </w:rPr>
        <w:t>Context</w:t>
      </w:r>
      <w:r w:rsidRPr="007633DF">
        <w:rPr>
          <w:bCs/>
        </w:rPr>
        <w:t xml:space="preserve"> Disability system research. Individual plan coordination for people with a disability to support them to implement their plan or develop capacity</w:t>
      </w:r>
    </w:p>
    <w:p w:rsidR="00590F5F" w:rsidRDefault="00590F5F" w:rsidP="00FB1D92">
      <w:pPr>
        <w:pStyle w:val="ListParagraph"/>
        <w:numPr>
          <w:ilvl w:val="0"/>
          <w:numId w:val="9"/>
        </w:numPr>
      </w:pPr>
      <w:r w:rsidRPr="007633DF">
        <w:rPr>
          <w:b/>
          <w:bCs/>
        </w:rPr>
        <w:t>Study design</w:t>
      </w:r>
      <w:r w:rsidRPr="007633DF">
        <w:rPr>
          <w:bCs/>
        </w:rPr>
        <w:t xml:space="preserve"> We first searched for high quality systematic reviews published no</w:t>
      </w:r>
      <w:r>
        <w:t xml:space="preserve"> more than 2 years </w:t>
      </w:r>
      <w:r w:rsidRPr="00B03A96">
        <w:t>ago</w:t>
      </w:r>
      <w:r>
        <w:t xml:space="preserve">. Further we searched for </w:t>
      </w:r>
      <w:r w:rsidRPr="000F3340">
        <w:t>randomised controlled trials (RCTs)</w:t>
      </w:r>
      <w:r>
        <w:t>,</w:t>
      </w:r>
      <w:r w:rsidRPr="000F3340">
        <w:t xml:space="preserve"> quasi RCTs, controlled before and after studies, and well-designed cohort studies in which participant groups are comparable. All included studies must report quantitative </w:t>
      </w:r>
      <w:r>
        <w:t xml:space="preserve">or qualitative </w:t>
      </w:r>
      <w:r w:rsidRPr="000F3340">
        <w:t xml:space="preserve">data regarding outcomes or the effects (which can be positive and/or negative) of the use of </w:t>
      </w:r>
      <w:r>
        <w:t>support coordination/LAC service</w:t>
      </w:r>
      <w:r w:rsidRPr="000F3340">
        <w:t xml:space="preserve">. </w:t>
      </w:r>
      <w:r>
        <w:t>Lastly</w:t>
      </w:r>
      <w:r w:rsidRPr="00ED3D14">
        <w:t xml:space="preserve">, we searched for evaluation reports of LAC/SC models handsearching relevant websites. </w:t>
      </w:r>
    </w:p>
    <w:p w:rsidR="00590F5F" w:rsidRPr="00AF285A" w:rsidRDefault="00590F5F" w:rsidP="00FB1D92">
      <w:pPr>
        <w:pStyle w:val="ListParagraph"/>
        <w:numPr>
          <w:ilvl w:val="0"/>
          <w:numId w:val="10"/>
        </w:numPr>
        <w:rPr>
          <w:rFonts w:cs="Arial"/>
          <w:szCs w:val="22"/>
        </w:rPr>
      </w:pPr>
      <w:r w:rsidRPr="00AF285A">
        <w:rPr>
          <w:rFonts w:cs="Arial"/>
          <w:b/>
          <w:bCs/>
          <w:szCs w:val="22"/>
        </w:rPr>
        <w:t>Timeframe</w:t>
      </w:r>
      <w:r>
        <w:rPr>
          <w:rFonts w:cs="Arial"/>
          <w:szCs w:val="22"/>
        </w:rPr>
        <w:t xml:space="preserve"> </w:t>
      </w:r>
      <w:r>
        <w:t>2010-current</w:t>
      </w:r>
    </w:p>
    <w:p w:rsidR="00590F5F" w:rsidRPr="009F4468" w:rsidRDefault="00590F5F" w:rsidP="00FB1D92">
      <w:pPr>
        <w:pStyle w:val="ListParagraph"/>
        <w:numPr>
          <w:ilvl w:val="0"/>
          <w:numId w:val="10"/>
        </w:numPr>
        <w:rPr>
          <w:rFonts w:cs="Arial"/>
          <w:szCs w:val="22"/>
        </w:rPr>
      </w:pPr>
      <w:r w:rsidRPr="00AF285A">
        <w:rPr>
          <w:b/>
          <w:bCs/>
        </w:rPr>
        <w:t>Language</w:t>
      </w:r>
      <w:r>
        <w:t xml:space="preserve"> English</w:t>
      </w:r>
    </w:p>
    <w:p w:rsidR="00590F5F" w:rsidRDefault="00590F5F" w:rsidP="00FB1D92">
      <w:pPr>
        <w:pStyle w:val="Heading4"/>
        <w:numPr>
          <w:ilvl w:val="2"/>
          <w:numId w:val="25"/>
        </w:numPr>
      </w:pPr>
      <w:bookmarkStart w:id="126" w:name="_Toc65251808"/>
      <w:r>
        <w:t>Database search</w:t>
      </w:r>
      <w:bookmarkEnd w:id="126"/>
    </w:p>
    <w:p w:rsidR="00590F5F" w:rsidRDefault="00590F5F" w:rsidP="00590F5F">
      <w:r>
        <w:t>To l</w:t>
      </w:r>
      <w:r w:rsidRPr="00F47476">
        <w:t>ocat</w:t>
      </w:r>
      <w:r>
        <w:t>e</w:t>
      </w:r>
      <w:r w:rsidRPr="00F47476">
        <w:t xml:space="preserve"> </w:t>
      </w:r>
      <w:r>
        <w:t xml:space="preserve">relevant </w:t>
      </w:r>
      <w:r w:rsidRPr="00F47476">
        <w:t>studies,</w:t>
      </w:r>
      <w:r>
        <w:t xml:space="preserve"> we searched six academic databases -</w:t>
      </w:r>
      <w:r w:rsidRPr="00F47476">
        <w:t xml:space="preserve"> </w:t>
      </w:r>
      <w:r>
        <w:t xml:space="preserve">the Campbell Collaboration, Social Systems Evidence, ASSIA (Applied Social Sciences Index and </w:t>
      </w:r>
      <w:r>
        <w:lastRenderedPageBreak/>
        <w:t>Abstracts) EmBase, PubMed, PsychInfo. We also searched Google Scholar data base and LAC Network</w:t>
      </w:r>
      <w:r>
        <w:rPr>
          <w:rStyle w:val="FootnoteReference"/>
        </w:rPr>
        <w:footnoteReference w:id="4"/>
      </w:r>
      <w:r>
        <w:t xml:space="preserve"> evidence repository for grey literature. In addition, after the consultation with the stakeholders following websites were hand searched - </w:t>
      </w:r>
      <w:r w:rsidRPr="00D52942">
        <w:t>Inclusive Neighborhoods</w:t>
      </w:r>
      <w:r>
        <w:rPr>
          <w:rStyle w:val="FootnoteReference"/>
        </w:rPr>
        <w:footnoteReference w:id="5"/>
      </w:r>
      <w:r>
        <w:t>, Centre for Welfare Reform</w:t>
      </w:r>
      <w:r>
        <w:rPr>
          <w:rStyle w:val="FootnoteReference"/>
        </w:rPr>
        <w:footnoteReference w:id="6"/>
      </w:r>
      <w:r>
        <w:t xml:space="preserve">, </w:t>
      </w:r>
      <w:r w:rsidRPr="00D52942">
        <w:t>Kendrick</w:t>
      </w:r>
      <w:r>
        <w:t xml:space="preserve"> Consulting</w:t>
      </w:r>
      <w:r>
        <w:rPr>
          <w:rStyle w:val="FootnoteReference"/>
        </w:rPr>
        <w:footnoteReference w:id="7"/>
      </w:r>
      <w:r>
        <w:t xml:space="preserve">, </w:t>
      </w:r>
      <w:r w:rsidRPr="00D52942">
        <w:t>Derby City Council</w:t>
      </w:r>
      <w:r>
        <w:rPr>
          <w:rStyle w:val="FootnoteReference"/>
        </w:rPr>
        <w:footnoteReference w:id="8"/>
      </w:r>
      <w:r>
        <w:t xml:space="preserve">, </w:t>
      </w:r>
      <w:r w:rsidRPr="0057403B">
        <w:t>Thurrock</w:t>
      </w:r>
      <w:r>
        <w:t xml:space="preserve"> City Council</w:t>
      </w:r>
      <w:r>
        <w:rPr>
          <w:rStyle w:val="FootnoteReference"/>
        </w:rPr>
        <w:footnoteReference w:id="9"/>
      </w:r>
      <w:r>
        <w:t xml:space="preserve">, </w:t>
      </w:r>
      <w:r w:rsidRPr="006D1233">
        <w:t>Community Catalyst</w:t>
      </w:r>
      <w:r>
        <w:rPr>
          <w:rStyle w:val="FootnoteReference"/>
        </w:rPr>
        <w:footnoteReference w:id="10"/>
      </w:r>
      <w:r>
        <w:t xml:space="preserve"> and </w:t>
      </w:r>
      <w:r w:rsidRPr="006D1233">
        <w:t>My Support Broker (MSB)</w:t>
      </w:r>
      <w:r>
        <w:rPr>
          <w:rStyle w:val="FootnoteReference"/>
        </w:rPr>
        <w:footnoteReference w:id="11"/>
      </w:r>
      <w:r w:rsidRPr="006D1233">
        <w:t xml:space="preserve">. </w:t>
      </w:r>
    </w:p>
    <w:p w:rsidR="00590F5F" w:rsidRDefault="00590F5F" w:rsidP="00FB1D92">
      <w:pPr>
        <w:pStyle w:val="Heading4"/>
        <w:numPr>
          <w:ilvl w:val="2"/>
          <w:numId w:val="25"/>
        </w:numPr>
      </w:pPr>
      <w:bookmarkStart w:id="127" w:name="_Toc65251809"/>
      <w:r>
        <w:t>Search strategy</w:t>
      </w:r>
      <w:bookmarkEnd w:id="127"/>
    </w:p>
    <w:p w:rsidR="00590F5F" w:rsidRDefault="00590F5F" w:rsidP="00590F5F">
      <w:r>
        <w:t>The four-string search strategy was developed to yield studies relevant for the research questions.</w:t>
      </w:r>
      <w:r w:rsidRPr="00A75E17">
        <w:t xml:space="preserve"> </w:t>
      </w:r>
      <w:r>
        <w:t>This search strategy was used for the academic databases.</w:t>
      </w:r>
    </w:p>
    <w:p w:rsidR="00590F5F" w:rsidRDefault="00590F5F" w:rsidP="00590F5F">
      <w:pPr>
        <w:spacing w:line="276" w:lineRule="auto"/>
        <w:ind w:left="720"/>
      </w:pPr>
      <w:r>
        <w:t>1. Disab* OR impair* OR disorder</w:t>
      </w:r>
    </w:p>
    <w:p w:rsidR="00590F5F" w:rsidRDefault="00590F5F" w:rsidP="00590F5F">
      <w:pPr>
        <w:spacing w:line="276" w:lineRule="auto"/>
        <w:ind w:left="720"/>
      </w:pPr>
      <w:r>
        <w:t>2. Coordinat* OR ‘case manage*’ OR ‘case work*’ OR plann* OR broker* OR support* OR intermed* OR partner OR connect*</w:t>
      </w:r>
    </w:p>
    <w:p w:rsidR="00590F5F" w:rsidRDefault="00590F5F" w:rsidP="00590F5F">
      <w:pPr>
        <w:spacing w:line="276" w:lineRule="auto"/>
        <w:ind w:left="720"/>
      </w:pPr>
      <w:r>
        <w:t>3. Effect* OR cost-effect* OR evaluat*</w:t>
      </w:r>
    </w:p>
    <w:p w:rsidR="00590F5F" w:rsidRDefault="00590F5F" w:rsidP="00590F5F">
      <w:pPr>
        <w:spacing w:line="276" w:lineRule="auto"/>
        <w:ind w:left="720"/>
      </w:pPr>
      <w:r w:rsidRPr="00DD02F7">
        <w:t>4.</w:t>
      </w:r>
      <w:r>
        <w:t xml:space="preserve"> </w:t>
      </w:r>
      <w:r w:rsidRPr="00DD02F7">
        <w:t>‘Quality of Life’ OR Satisf* OR Independen* OR ‘daily living’ OR particip*</w:t>
      </w:r>
      <w:r>
        <w:t>.</w:t>
      </w:r>
    </w:p>
    <w:p w:rsidR="00590F5F" w:rsidRDefault="00590F5F" w:rsidP="00590F5F">
      <w:r>
        <w:t xml:space="preserve">When searching for the grey literature simplified search strategy was applied. Google Scholar: Disability and ‘support coordination’ Limiters included: Articles, articles dated between 2010-2020, English. In addition, when searching websites reviewers used hand search to locate relevant studies. Databases and websites were searched between </w:t>
      </w:r>
      <w:r w:rsidRPr="00A75E17">
        <w:t>26/03</w:t>
      </w:r>
      <w:r>
        <w:t>/2020</w:t>
      </w:r>
      <w:r w:rsidRPr="00A75E17">
        <w:t xml:space="preserve"> and 02/04/2020</w:t>
      </w:r>
      <w:r>
        <w:t>.</w:t>
      </w:r>
    </w:p>
    <w:p w:rsidR="00590F5F" w:rsidRDefault="00590F5F" w:rsidP="00FB1D92">
      <w:pPr>
        <w:pStyle w:val="Heading4"/>
        <w:numPr>
          <w:ilvl w:val="2"/>
          <w:numId w:val="25"/>
        </w:numPr>
      </w:pPr>
      <w:bookmarkStart w:id="128" w:name="_Toc65251810"/>
      <w:r>
        <w:t>Reference screening</w:t>
      </w:r>
      <w:bookmarkEnd w:id="128"/>
    </w:p>
    <w:p w:rsidR="00590F5F" w:rsidRDefault="00590F5F" w:rsidP="00590F5F">
      <w:r w:rsidRPr="0011469C">
        <w:t>Following the search, all identified citations were collated and uploaded into EndNote</w:t>
      </w:r>
      <w:r>
        <w:t xml:space="preserve"> reference citation manager software,</w:t>
      </w:r>
      <w:r w:rsidRPr="0011469C">
        <w:t xml:space="preserve"> and duplicates removed. After de-duplication the references w</w:t>
      </w:r>
      <w:r>
        <w:t xml:space="preserve">ere </w:t>
      </w:r>
      <w:r w:rsidRPr="0011469C">
        <w:t>uploaded into Covidence</w:t>
      </w:r>
      <w:r>
        <w:rPr>
          <w:rStyle w:val="FootnoteReference"/>
        </w:rPr>
        <w:footnoteReference w:id="12"/>
      </w:r>
      <w:r w:rsidRPr="0011469C">
        <w:t>, a web-based platform for streamlining systematic reviews. Titles and abstracts were screened by one re</w:t>
      </w:r>
      <w:r>
        <w:t>viewer</w:t>
      </w:r>
      <w:r w:rsidRPr="0011469C">
        <w:t xml:space="preserve"> (IR) for assessment against the inclusion criteria for the review. Potentially relevant studies were retrieved in full and assessed in detail against the inclusion criteria by two independent re</w:t>
      </w:r>
      <w:r>
        <w:t>viewers</w:t>
      </w:r>
      <w:r w:rsidRPr="0011469C">
        <w:t xml:space="preserve"> (IR and LOB). </w:t>
      </w:r>
      <w:r>
        <w:t>Studies were then critically appraised using standardised quality.</w:t>
      </w:r>
      <w:r w:rsidRPr="00374F79">
        <w:t xml:space="preserve"> Following critical </w:t>
      </w:r>
      <w:r w:rsidRPr="00374F79">
        <w:lastRenderedPageBreak/>
        <w:t xml:space="preserve">appraisal, studies that </w:t>
      </w:r>
      <w:r>
        <w:t>did not</w:t>
      </w:r>
      <w:r w:rsidRPr="00374F79">
        <w:t xml:space="preserve"> specifically describe</w:t>
      </w:r>
      <w:r>
        <w:t>d/evaluated</w:t>
      </w:r>
      <w:r w:rsidRPr="00374F79">
        <w:t xml:space="preserve"> </w:t>
      </w:r>
      <w:r>
        <w:t xml:space="preserve">SC or LAC </w:t>
      </w:r>
      <w:r w:rsidRPr="00374F79">
        <w:t>model</w:t>
      </w:r>
      <w:r>
        <w:t xml:space="preserve"> were excluded.</w:t>
      </w:r>
    </w:p>
    <w:p w:rsidR="00590F5F" w:rsidRDefault="00590F5F" w:rsidP="00590F5F">
      <w:pPr>
        <w:spacing w:line="276" w:lineRule="auto"/>
      </w:pPr>
      <w:r>
        <w:br w:type="page"/>
      </w:r>
    </w:p>
    <w:p w:rsidR="00590F5F" w:rsidRDefault="00590F5F" w:rsidP="00590F5F"/>
    <w:p w:rsidR="00590F5F" w:rsidRPr="0011469C" w:rsidRDefault="00590F5F" w:rsidP="00FB1D92">
      <w:pPr>
        <w:pStyle w:val="Heading4"/>
        <w:numPr>
          <w:ilvl w:val="2"/>
          <w:numId w:val="25"/>
        </w:numPr>
      </w:pPr>
      <w:bookmarkStart w:id="129" w:name="_Toc65251811"/>
      <w:r>
        <w:t>Data extraction</w:t>
      </w:r>
      <w:bookmarkEnd w:id="129"/>
    </w:p>
    <w:p w:rsidR="00590F5F" w:rsidRDefault="00590F5F" w:rsidP="00590F5F">
      <w:r w:rsidRPr="00B041B4">
        <w:t>Data were extracted from studies included in the review by one reviewer (either LOB or IR) using a standardized data extraction tool. The data extracted included specific details about the populations, study methods, interventions, funding sources, eligibility criteria for service, the provider of the service, and outcomes of significance to the review objective</w:t>
      </w:r>
      <w:r>
        <w:t>s (effectiveness, cost effectiveness, system and process outcomes)</w:t>
      </w:r>
      <w:r w:rsidRPr="00B041B4">
        <w:t xml:space="preserve">  </w:t>
      </w:r>
    </w:p>
    <w:p w:rsidR="00590F5F" w:rsidRDefault="00590F5F" w:rsidP="00FB1D92">
      <w:pPr>
        <w:pStyle w:val="Heading4"/>
        <w:numPr>
          <w:ilvl w:val="2"/>
          <w:numId w:val="25"/>
        </w:numPr>
      </w:pPr>
      <w:bookmarkStart w:id="130" w:name="_Toc65251812"/>
      <w:r>
        <w:t>Data synthesis</w:t>
      </w:r>
      <w:bookmarkEnd w:id="130"/>
    </w:p>
    <w:p w:rsidR="00590F5F" w:rsidRDefault="00590F5F" w:rsidP="00590F5F">
      <w:r>
        <w:t xml:space="preserve">Extracted data was grouped separately for SC and LAC. </w:t>
      </w:r>
    </w:p>
    <w:p w:rsidR="00590F5F" w:rsidRDefault="00590F5F" w:rsidP="00590F5F">
      <w:r>
        <w:t>SC data was coded under</w:t>
      </w:r>
      <w:r w:rsidRPr="0058050A">
        <w:t xml:space="preserve"> Methods used in the study</w:t>
      </w:r>
      <w:r>
        <w:t xml:space="preserve">, </w:t>
      </w:r>
      <w:r w:rsidRPr="0058050A">
        <w:t>Name of SC service and country of origin</w:t>
      </w:r>
      <w:r>
        <w:t xml:space="preserve">, </w:t>
      </w:r>
      <w:r w:rsidRPr="0058050A">
        <w:t xml:space="preserve">Key functions, </w:t>
      </w:r>
      <w:r>
        <w:t>Service funding, Eligibility criteria, Service providers, Type of support,</w:t>
      </w:r>
      <w:r w:rsidRPr="0058050A">
        <w:t xml:space="preserve"> Cost of service provision</w:t>
      </w:r>
      <w:r>
        <w:t xml:space="preserve">, </w:t>
      </w:r>
      <w:r w:rsidRPr="0058050A">
        <w:t>Evidence to support outcomes for people with disability</w:t>
      </w:r>
      <w:r>
        <w:t xml:space="preserve">,  and </w:t>
      </w:r>
      <w:r w:rsidRPr="0058050A">
        <w:t>Evidence regarding cost-effectiveness, system or process outcomes</w:t>
      </w:r>
      <w:r>
        <w:t xml:space="preserve">. </w:t>
      </w:r>
    </w:p>
    <w:p w:rsidR="00590F5F" w:rsidRDefault="00590F5F" w:rsidP="00590F5F">
      <w:r>
        <w:t xml:space="preserve">LAC data was coded under </w:t>
      </w:r>
      <w:r w:rsidRPr="0052203D">
        <w:t>12 categories Name of the service, Key functions, Participants engagement with LAC, Life events associated with accessing LAC, LAC role, Participants per LAC ratio, Admin tasks, Service funding, Cost-effectiveness, Eligibility criteria, Service providers, and Summary of strengths and weaknesses.</w:t>
      </w:r>
    </w:p>
    <w:p w:rsidR="00590F5F" w:rsidRPr="009979EA" w:rsidRDefault="00590F5F" w:rsidP="00590F5F">
      <w:pPr>
        <w:sectPr w:rsidR="00590F5F" w:rsidRPr="009979EA" w:rsidSect="00590F5F">
          <w:pgSz w:w="11906" w:h="16838"/>
          <w:pgMar w:top="1440" w:right="1440" w:bottom="1440" w:left="1440" w:header="708" w:footer="0" w:gutter="0"/>
          <w:cols w:space="708"/>
          <w:titlePg/>
          <w:docGrid w:linePitch="360"/>
        </w:sectPr>
      </w:pPr>
      <w:r>
        <w:t>Coded data is pr</w:t>
      </w:r>
      <w:r w:rsidR="003D3421">
        <w:t>esented as narrative and tables</w:t>
      </w:r>
    </w:p>
    <w:p w:rsidR="00590F5F" w:rsidRDefault="00A826E0" w:rsidP="00590F5F">
      <w:pPr>
        <w:pStyle w:val="Heading3"/>
        <w:numPr>
          <w:ilvl w:val="0"/>
          <w:numId w:val="0"/>
        </w:numPr>
      </w:pPr>
      <w:bookmarkStart w:id="131" w:name="_Toc40185463"/>
      <w:bookmarkStart w:id="132" w:name="_Toc65251813"/>
      <w:r w:rsidRPr="00C42D88">
        <w:lastRenderedPageBreak/>
        <w:t xml:space="preserve">Appendix </w:t>
      </w:r>
      <w:r w:rsidR="00590F5F" w:rsidRPr="00C42D88">
        <w:t>2: Support Coordination equivalent models</w:t>
      </w:r>
      <w:bookmarkEnd w:id="131"/>
      <w:bookmarkEnd w:id="132"/>
      <w:r w:rsidR="00590F5F" w:rsidRPr="00C42D88">
        <w:t xml:space="preserve"> </w:t>
      </w:r>
    </w:p>
    <w:tbl>
      <w:tblPr>
        <w:tblStyle w:val="TableGrid"/>
        <w:tblW w:w="14791"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showing Support Coordination equivalent models"/>
      </w:tblPr>
      <w:tblGrid>
        <w:gridCol w:w="1322"/>
        <w:gridCol w:w="1497"/>
        <w:gridCol w:w="1517"/>
        <w:gridCol w:w="1273"/>
        <w:gridCol w:w="1868"/>
        <w:gridCol w:w="1627"/>
        <w:gridCol w:w="1759"/>
        <w:gridCol w:w="1144"/>
        <w:gridCol w:w="1303"/>
        <w:gridCol w:w="1481"/>
      </w:tblGrid>
      <w:tr w:rsidR="00590F5F" w:rsidRPr="005E1FC3" w:rsidTr="007B406C">
        <w:trPr>
          <w:tblHeader/>
        </w:trPr>
        <w:tc>
          <w:tcPr>
            <w:tcW w:w="1322"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Reference</w:t>
            </w:r>
          </w:p>
        </w:tc>
        <w:tc>
          <w:tcPr>
            <w:tcW w:w="1497"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Name of service and country of origin</w:t>
            </w:r>
          </w:p>
        </w:tc>
        <w:tc>
          <w:tcPr>
            <w:tcW w:w="1517"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Key functions, levels, and duration of the service</w:t>
            </w:r>
          </w:p>
        </w:tc>
        <w:tc>
          <w:tcPr>
            <w:tcW w:w="1273"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How the service is/was funded</w:t>
            </w:r>
          </w:p>
        </w:tc>
        <w:tc>
          <w:tcPr>
            <w:tcW w:w="1868"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Eligibility criteria for service (including for each category or level if applicable)</w:t>
            </w:r>
          </w:p>
        </w:tc>
        <w:tc>
          <w:tcPr>
            <w:tcW w:w="1627"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Who provides support</w:t>
            </w:r>
          </w:p>
        </w:tc>
        <w:tc>
          <w:tcPr>
            <w:tcW w:w="1759"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 xml:space="preserve">What type of support is provided  </w:t>
            </w:r>
          </w:p>
        </w:tc>
        <w:tc>
          <w:tcPr>
            <w:tcW w:w="1144"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Cost of service provision</w:t>
            </w:r>
          </w:p>
        </w:tc>
        <w:tc>
          <w:tcPr>
            <w:tcW w:w="1303"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Evidence to support outcomes for people with disability</w:t>
            </w:r>
          </w:p>
        </w:tc>
        <w:tc>
          <w:tcPr>
            <w:tcW w:w="1481" w:type="dxa"/>
            <w:shd w:val="clear" w:color="auto" w:fill="660066"/>
          </w:tcPr>
          <w:p w:rsidR="00590F5F" w:rsidRPr="005E1FC3" w:rsidRDefault="00590F5F" w:rsidP="00590F5F">
            <w:pPr>
              <w:rPr>
                <w:rFonts w:cs="Arial"/>
                <w:b/>
                <w:bCs/>
                <w:color w:val="FFFFFF" w:themeColor="background1"/>
                <w:sz w:val="18"/>
                <w:szCs w:val="18"/>
              </w:rPr>
            </w:pPr>
            <w:r w:rsidRPr="005E1FC3">
              <w:rPr>
                <w:rFonts w:cs="Arial"/>
                <w:b/>
                <w:bCs/>
                <w:color w:val="FFFFFF" w:themeColor="background1"/>
                <w:sz w:val="18"/>
                <w:szCs w:val="18"/>
              </w:rPr>
              <w:t>Evidence regarding cost-effectiveness, system or process outcomes</w:t>
            </w:r>
          </w:p>
        </w:tc>
      </w:tr>
      <w:tr w:rsidR="00590F5F" w:rsidRPr="005E1FC3" w:rsidTr="00590F5F">
        <w:tc>
          <w:tcPr>
            <w:tcW w:w="1322" w:type="dxa"/>
            <w:shd w:val="clear" w:color="auto" w:fill="F7EEF7"/>
          </w:tcPr>
          <w:p w:rsidR="00590F5F" w:rsidRPr="005E1FC3" w:rsidRDefault="00590F5F" w:rsidP="00590F5F">
            <w:pPr>
              <w:rPr>
                <w:rFonts w:cs="Arial"/>
                <w:sz w:val="18"/>
                <w:szCs w:val="18"/>
              </w:rPr>
            </w:pPr>
            <w:r w:rsidRPr="005E1FC3">
              <w:rPr>
                <w:rFonts w:cs="Arial"/>
                <w:sz w:val="18"/>
                <w:szCs w:val="18"/>
              </w:rPr>
              <w:t xml:space="preserve">Collings (2018) </w:t>
            </w:r>
          </w:p>
        </w:tc>
        <w:tc>
          <w:tcPr>
            <w:tcW w:w="1497" w:type="dxa"/>
            <w:shd w:val="clear" w:color="auto" w:fill="F7EEF7"/>
          </w:tcPr>
          <w:p w:rsidR="00590F5F" w:rsidRDefault="00590F5F" w:rsidP="00590F5F">
            <w:pPr>
              <w:rPr>
                <w:rFonts w:cs="Arial"/>
                <w:b/>
                <w:color w:val="000000" w:themeColor="text1"/>
                <w:sz w:val="18"/>
                <w:szCs w:val="18"/>
              </w:rPr>
            </w:pPr>
            <w:r w:rsidRPr="0013263F">
              <w:rPr>
                <w:rFonts w:cs="Arial"/>
                <w:b/>
                <w:color w:val="000000" w:themeColor="text1"/>
                <w:sz w:val="18"/>
                <w:szCs w:val="18"/>
              </w:rPr>
              <w:t>Service Coordinatio</w:t>
            </w:r>
            <w:r>
              <w:rPr>
                <w:rFonts w:cs="Arial"/>
                <w:b/>
                <w:color w:val="000000" w:themeColor="text1"/>
                <w:sz w:val="18"/>
                <w:szCs w:val="18"/>
              </w:rPr>
              <w:t>n</w:t>
            </w:r>
          </w:p>
          <w:p w:rsidR="00590F5F" w:rsidRDefault="00590F5F" w:rsidP="00590F5F">
            <w:pPr>
              <w:rPr>
                <w:rFonts w:cs="Arial"/>
                <w:color w:val="000000" w:themeColor="text1"/>
                <w:sz w:val="18"/>
                <w:szCs w:val="18"/>
              </w:rPr>
            </w:pPr>
          </w:p>
          <w:p w:rsidR="00590F5F" w:rsidRPr="0013263F" w:rsidRDefault="00590F5F" w:rsidP="00590F5F">
            <w:pPr>
              <w:rPr>
                <w:rFonts w:cs="Arial"/>
                <w:color w:val="000000" w:themeColor="text1"/>
                <w:sz w:val="18"/>
                <w:szCs w:val="18"/>
              </w:rPr>
            </w:pPr>
            <w:r w:rsidRPr="0013263F">
              <w:rPr>
                <w:rFonts w:cs="Arial"/>
                <w:color w:val="000000" w:themeColor="text1"/>
                <w:sz w:val="18"/>
                <w:szCs w:val="18"/>
              </w:rPr>
              <w:t>NSW Family and Community</w:t>
            </w:r>
          </w:p>
          <w:p w:rsidR="00590F5F" w:rsidRPr="005E1FC3" w:rsidRDefault="00590F5F" w:rsidP="003D3421">
            <w:pPr>
              <w:rPr>
                <w:rFonts w:cs="Arial"/>
                <w:sz w:val="18"/>
                <w:szCs w:val="18"/>
              </w:rPr>
            </w:pPr>
            <w:r w:rsidRPr="0013263F">
              <w:rPr>
                <w:rFonts w:cs="Arial"/>
                <w:color w:val="000000" w:themeColor="text1"/>
                <w:sz w:val="18"/>
                <w:szCs w:val="18"/>
              </w:rPr>
              <w:t>Services, Ageing, Disability &amp; Home Care</w:t>
            </w:r>
            <w:r w:rsidR="003D3421">
              <w:rPr>
                <w:rFonts w:cs="Arial"/>
                <w:color w:val="000000" w:themeColor="text1"/>
                <w:sz w:val="18"/>
                <w:szCs w:val="18"/>
              </w:rPr>
              <w:t xml:space="preserve"> </w:t>
            </w:r>
            <w:r w:rsidRPr="005E1FC3">
              <w:rPr>
                <w:rFonts w:cs="Arial"/>
                <w:color w:val="000000" w:themeColor="text1"/>
                <w:sz w:val="18"/>
                <w:szCs w:val="18"/>
              </w:rPr>
              <w:t>Australia</w:t>
            </w:r>
          </w:p>
        </w:tc>
        <w:tc>
          <w:tcPr>
            <w:tcW w:w="1517" w:type="dxa"/>
            <w:shd w:val="clear" w:color="auto" w:fill="F7EEF7"/>
          </w:tcPr>
          <w:p w:rsidR="00590F5F" w:rsidRPr="005E1FC3" w:rsidRDefault="00590F5F" w:rsidP="00590F5F">
            <w:pPr>
              <w:rPr>
                <w:rFonts w:cs="Arial"/>
                <w:color w:val="000000" w:themeColor="text1"/>
                <w:sz w:val="18"/>
                <w:szCs w:val="18"/>
              </w:rPr>
            </w:pPr>
            <w:r w:rsidRPr="005E1FC3">
              <w:rPr>
                <w:rFonts w:cs="Arial"/>
                <w:color w:val="000000" w:themeColor="text1"/>
                <w:sz w:val="18"/>
                <w:szCs w:val="18"/>
              </w:rPr>
              <w:t>Essentially a case management role.</w:t>
            </w:r>
            <w:r>
              <w:rPr>
                <w:rFonts w:cs="Arial"/>
                <w:color w:val="000000" w:themeColor="text1"/>
                <w:sz w:val="18"/>
                <w:szCs w:val="18"/>
              </w:rPr>
              <w:t xml:space="preserve"> Intensity, and duration dependent on need.</w:t>
            </w:r>
          </w:p>
          <w:p w:rsidR="00590F5F" w:rsidRPr="005E1FC3" w:rsidRDefault="00590F5F" w:rsidP="00590F5F">
            <w:pPr>
              <w:rPr>
                <w:rFonts w:cs="Arial"/>
                <w:color w:val="000000" w:themeColor="text1"/>
                <w:sz w:val="18"/>
                <w:szCs w:val="18"/>
              </w:rPr>
            </w:pPr>
          </w:p>
          <w:p w:rsidR="00590F5F" w:rsidRPr="005E1FC3" w:rsidRDefault="00590F5F" w:rsidP="00590F5F">
            <w:pPr>
              <w:rPr>
                <w:rFonts w:cs="Arial"/>
                <w:color w:val="000000" w:themeColor="text1"/>
                <w:sz w:val="18"/>
                <w:szCs w:val="18"/>
              </w:rPr>
            </w:pPr>
          </w:p>
        </w:tc>
        <w:tc>
          <w:tcPr>
            <w:tcW w:w="1273"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t>State government</w:t>
            </w:r>
          </w:p>
        </w:tc>
        <w:tc>
          <w:tcPr>
            <w:tcW w:w="1868"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t>Not addressed</w:t>
            </w:r>
          </w:p>
        </w:tc>
        <w:tc>
          <w:tcPr>
            <w:tcW w:w="1627"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t>External providers</w:t>
            </w:r>
          </w:p>
        </w:tc>
        <w:tc>
          <w:tcPr>
            <w:tcW w:w="1759" w:type="dxa"/>
            <w:shd w:val="clear" w:color="auto" w:fill="F7EEF7"/>
          </w:tcPr>
          <w:p w:rsidR="00590F5F" w:rsidRPr="005E1FC3" w:rsidRDefault="00590F5F" w:rsidP="00590F5F">
            <w:pPr>
              <w:rPr>
                <w:rFonts w:cs="Arial"/>
                <w:sz w:val="18"/>
                <w:szCs w:val="18"/>
                <w:lang w:val="en-AU"/>
              </w:rPr>
            </w:pPr>
            <w:r w:rsidRPr="005E1FC3">
              <w:rPr>
                <w:rFonts w:cs="Arial"/>
                <w:sz w:val="18"/>
                <w:szCs w:val="18"/>
                <w:lang w:val="en-AU"/>
              </w:rPr>
              <w:t>Support coordinator facilitates an individual’s capacity for social participation through:</w:t>
            </w:r>
          </w:p>
          <w:p w:rsidR="00590F5F" w:rsidRPr="005E1FC3" w:rsidRDefault="00590F5F" w:rsidP="00FB1D92">
            <w:pPr>
              <w:pStyle w:val="ListParagraph"/>
              <w:numPr>
                <w:ilvl w:val="0"/>
                <w:numId w:val="24"/>
              </w:numPr>
              <w:spacing w:line="240" w:lineRule="auto"/>
              <w:rPr>
                <w:rFonts w:cs="Arial"/>
                <w:sz w:val="18"/>
                <w:szCs w:val="18"/>
                <w:lang w:val="en-AU"/>
              </w:rPr>
            </w:pPr>
            <w:r w:rsidRPr="005E1FC3">
              <w:rPr>
                <w:rFonts w:cs="Arial"/>
                <w:sz w:val="18"/>
                <w:szCs w:val="18"/>
                <w:lang w:val="en-AU"/>
              </w:rPr>
              <w:t xml:space="preserve">linkage with the “right” community supports  </w:t>
            </w:r>
          </w:p>
          <w:p w:rsidR="00590F5F" w:rsidRPr="005E1FC3" w:rsidRDefault="00590F5F" w:rsidP="00FB1D92">
            <w:pPr>
              <w:pStyle w:val="ListParagraph"/>
              <w:numPr>
                <w:ilvl w:val="0"/>
                <w:numId w:val="24"/>
              </w:numPr>
              <w:spacing w:line="240" w:lineRule="auto"/>
              <w:rPr>
                <w:rFonts w:cs="Arial"/>
                <w:sz w:val="18"/>
                <w:szCs w:val="18"/>
                <w:lang w:val="en-AU"/>
              </w:rPr>
            </w:pPr>
            <w:r w:rsidRPr="005E1FC3">
              <w:rPr>
                <w:rFonts w:cs="Arial"/>
                <w:sz w:val="18"/>
                <w:szCs w:val="18"/>
                <w:lang w:val="en-AU"/>
              </w:rPr>
              <w:t xml:space="preserve">resolving access barriers or points of crisis. </w:t>
            </w:r>
          </w:p>
          <w:p w:rsidR="00590F5F" w:rsidRPr="005E1FC3" w:rsidRDefault="00590F5F" w:rsidP="00590F5F">
            <w:pPr>
              <w:rPr>
                <w:rFonts w:cs="Arial"/>
                <w:sz w:val="18"/>
                <w:szCs w:val="18"/>
              </w:rPr>
            </w:pPr>
          </w:p>
        </w:tc>
        <w:tc>
          <w:tcPr>
            <w:tcW w:w="1144" w:type="dxa"/>
            <w:shd w:val="clear" w:color="auto" w:fill="F7EEF7"/>
          </w:tcPr>
          <w:p w:rsidR="00590F5F" w:rsidRPr="005E1FC3" w:rsidRDefault="00590F5F" w:rsidP="00590F5F">
            <w:pPr>
              <w:rPr>
                <w:rFonts w:cs="Arial"/>
                <w:sz w:val="18"/>
                <w:szCs w:val="18"/>
              </w:rPr>
            </w:pPr>
            <w:r w:rsidRPr="005E1FC3">
              <w:rPr>
                <w:rFonts w:cs="Arial"/>
                <w:sz w:val="18"/>
                <w:szCs w:val="18"/>
              </w:rPr>
              <w:t>Not stated</w:t>
            </w:r>
          </w:p>
        </w:tc>
        <w:tc>
          <w:tcPr>
            <w:tcW w:w="1303" w:type="dxa"/>
            <w:shd w:val="clear" w:color="auto" w:fill="F7EEF7"/>
          </w:tcPr>
          <w:p w:rsidR="00590F5F" w:rsidRPr="005E1FC3" w:rsidRDefault="00590F5F" w:rsidP="00590F5F">
            <w:pPr>
              <w:rPr>
                <w:rFonts w:cs="Arial"/>
                <w:sz w:val="18"/>
                <w:szCs w:val="18"/>
              </w:rPr>
            </w:pPr>
            <w:r w:rsidRPr="005E1FC3">
              <w:rPr>
                <w:rFonts w:cs="Arial"/>
                <w:sz w:val="18"/>
                <w:szCs w:val="18"/>
              </w:rPr>
              <w:t>No</w:t>
            </w:r>
          </w:p>
        </w:tc>
        <w:tc>
          <w:tcPr>
            <w:tcW w:w="1481" w:type="dxa"/>
            <w:shd w:val="clear" w:color="auto" w:fill="F7EEF7"/>
          </w:tcPr>
          <w:p w:rsidR="00590F5F" w:rsidRPr="005E1FC3" w:rsidRDefault="00590F5F" w:rsidP="00590F5F">
            <w:pPr>
              <w:rPr>
                <w:rFonts w:cs="Arial"/>
                <w:sz w:val="18"/>
                <w:szCs w:val="18"/>
              </w:rPr>
            </w:pPr>
            <w:r w:rsidRPr="005E1FC3">
              <w:rPr>
                <w:rFonts w:cs="Arial"/>
                <w:sz w:val="18"/>
                <w:szCs w:val="18"/>
              </w:rPr>
              <w:t>No</w:t>
            </w:r>
          </w:p>
        </w:tc>
      </w:tr>
      <w:tr w:rsidR="00590F5F" w:rsidRPr="005E1FC3" w:rsidTr="00590F5F">
        <w:tc>
          <w:tcPr>
            <w:tcW w:w="1322" w:type="dxa"/>
            <w:shd w:val="clear" w:color="auto" w:fill="FFFFFF" w:themeFill="background1"/>
          </w:tcPr>
          <w:p w:rsidR="00590F5F" w:rsidRPr="005E1FC3" w:rsidRDefault="00590F5F" w:rsidP="00590F5F">
            <w:pPr>
              <w:rPr>
                <w:rFonts w:cs="Arial"/>
                <w:sz w:val="18"/>
                <w:szCs w:val="18"/>
              </w:rPr>
            </w:pPr>
            <w:r w:rsidRPr="005E1FC3">
              <w:rPr>
                <w:rFonts w:cs="Arial"/>
                <w:sz w:val="18"/>
                <w:szCs w:val="18"/>
              </w:rPr>
              <w:t>Harry (2017)</w:t>
            </w:r>
            <w:r>
              <w:rPr>
                <w:rFonts w:cs="Arial"/>
                <w:sz w:val="18"/>
                <w:szCs w:val="18"/>
              </w:rPr>
              <w:t xml:space="preserve"> and </w:t>
            </w:r>
            <w:r w:rsidRPr="005E1FC3">
              <w:rPr>
                <w:rFonts w:cs="Arial"/>
                <w:sz w:val="18"/>
                <w:szCs w:val="18"/>
              </w:rPr>
              <w:t>Mahoney (2019)</w:t>
            </w:r>
          </w:p>
        </w:tc>
        <w:tc>
          <w:tcPr>
            <w:tcW w:w="1497" w:type="dxa"/>
            <w:shd w:val="clear" w:color="auto" w:fill="FFFFFF" w:themeFill="background1"/>
          </w:tcPr>
          <w:p w:rsidR="00590F5F" w:rsidRPr="005E1FC3" w:rsidRDefault="00590F5F" w:rsidP="00590F5F">
            <w:pPr>
              <w:rPr>
                <w:rFonts w:cs="Arial"/>
                <w:b/>
                <w:color w:val="000000" w:themeColor="text1"/>
                <w:sz w:val="18"/>
                <w:szCs w:val="18"/>
              </w:rPr>
            </w:pPr>
            <w:r w:rsidRPr="005E1FC3">
              <w:rPr>
                <w:rFonts w:cs="Arial"/>
                <w:b/>
                <w:color w:val="000000" w:themeColor="text1"/>
                <w:sz w:val="18"/>
                <w:szCs w:val="18"/>
              </w:rPr>
              <w:t>Cash and Counseling program</w:t>
            </w:r>
            <w:r>
              <w:rPr>
                <w:rFonts w:cs="Arial"/>
                <w:b/>
                <w:color w:val="000000" w:themeColor="text1"/>
                <w:sz w:val="18"/>
                <w:szCs w:val="18"/>
              </w:rPr>
              <w:t xml:space="preserve"> </w:t>
            </w:r>
          </w:p>
          <w:p w:rsidR="00590F5F" w:rsidRPr="005E1FC3" w:rsidRDefault="00590F5F" w:rsidP="00590F5F">
            <w:pPr>
              <w:rPr>
                <w:rFonts w:cs="Arial"/>
                <w:color w:val="000000" w:themeColor="text1"/>
                <w:sz w:val="18"/>
                <w:szCs w:val="18"/>
              </w:rPr>
            </w:pPr>
          </w:p>
          <w:p w:rsidR="00590F5F" w:rsidRPr="005E1FC3" w:rsidRDefault="00590F5F" w:rsidP="00590F5F">
            <w:pPr>
              <w:rPr>
                <w:rFonts w:cs="Arial"/>
                <w:sz w:val="18"/>
                <w:szCs w:val="18"/>
              </w:rPr>
            </w:pPr>
            <w:r w:rsidRPr="005E1FC3">
              <w:rPr>
                <w:rFonts w:cs="Arial"/>
                <w:color w:val="000000" w:themeColor="text1"/>
                <w:sz w:val="18"/>
                <w:szCs w:val="18"/>
              </w:rPr>
              <w:t>USA</w:t>
            </w:r>
          </w:p>
        </w:tc>
        <w:tc>
          <w:tcPr>
            <w:tcW w:w="1517" w:type="dxa"/>
            <w:shd w:val="clear" w:color="auto" w:fill="FFFFFF" w:themeFill="background1"/>
          </w:tcPr>
          <w:p w:rsidR="00590F5F" w:rsidRPr="005E1FC3" w:rsidRDefault="00590F5F" w:rsidP="00590F5F">
            <w:pPr>
              <w:rPr>
                <w:rFonts w:cs="Arial"/>
                <w:sz w:val="18"/>
                <w:szCs w:val="18"/>
                <w:lang w:val="en-AU"/>
              </w:rPr>
            </w:pPr>
            <w:r w:rsidRPr="005E1FC3">
              <w:rPr>
                <w:rFonts w:cs="Arial"/>
                <w:sz w:val="18"/>
                <w:szCs w:val="18"/>
                <w:lang w:val="en-AU"/>
              </w:rPr>
              <w:t>The amount and frequency with which an individual use</w:t>
            </w:r>
            <w:r>
              <w:rPr>
                <w:rFonts w:cs="Arial"/>
                <w:sz w:val="18"/>
                <w:szCs w:val="18"/>
                <w:lang w:val="en-AU"/>
              </w:rPr>
              <w:t>d</w:t>
            </w:r>
            <w:r w:rsidRPr="005E1FC3">
              <w:rPr>
                <w:rFonts w:cs="Arial"/>
                <w:sz w:val="18"/>
                <w:szCs w:val="18"/>
                <w:lang w:val="en-AU"/>
              </w:rPr>
              <w:t xml:space="preserve"> the available supports varies </w:t>
            </w:r>
            <w:r w:rsidRPr="005E1FC3">
              <w:rPr>
                <w:rFonts w:cs="Arial"/>
                <w:sz w:val="18"/>
                <w:szCs w:val="18"/>
                <w:lang w:val="en-AU"/>
              </w:rPr>
              <w:lastRenderedPageBreak/>
              <w:t>by person and circumstance.</w:t>
            </w:r>
          </w:p>
          <w:p w:rsidR="00590F5F" w:rsidRPr="005E1FC3" w:rsidRDefault="00590F5F" w:rsidP="00590F5F">
            <w:pPr>
              <w:rPr>
                <w:rFonts w:cs="Arial"/>
                <w:sz w:val="18"/>
                <w:szCs w:val="18"/>
              </w:rPr>
            </w:pPr>
          </w:p>
        </w:tc>
        <w:tc>
          <w:tcPr>
            <w:tcW w:w="1273" w:type="dxa"/>
            <w:shd w:val="clear" w:color="auto" w:fill="FFFFFF" w:themeFill="background1"/>
          </w:tcPr>
          <w:p w:rsidR="00590F5F" w:rsidRPr="005E1FC3" w:rsidRDefault="00590F5F" w:rsidP="00590F5F">
            <w:pPr>
              <w:rPr>
                <w:rFonts w:cs="Arial"/>
                <w:sz w:val="18"/>
                <w:szCs w:val="18"/>
              </w:rPr>
            </w:pPr>
            <w:r w:rsidRPr="005E1FC3">
              <w:rPr>
                <w:rFonts w:cs="Arial"/>
                <w:color w:val="000000" w:themeColor="text1"/>
                <w:sz w:val="18"/>
                <w:szCs w:val="18"/>
              </w:rPr>
              <w:lastRenderedPageBreak/>
              <w:t>Medicaid, Veterans Affairs, Insurers</w:t>
            </w:r>
          </w:p>
        </w:tc>
        <w:tc>
          <w:tcPr>
            <w:tcW w:w="1868" w:type="dxa"/>
            <w:shd w:val="clear" w:color="auto" w:fill="FFFFFF" w:themeFill="background1"/>
          </w:tcPr>
          <w:p w:rsidR="00590F5F" w:rsidRPr="005E1FC3" w:rsidRDefault="00590F5F" w:rsidP="00590F5F">
            <w:pPr>
              <w:rPr>
                <w:rFonts w:cs="Arial"/>
                <w:color w:val="000000" w:themeColor="text1"/>
                <w:sz w:val="18"/>
                <w:szCs w:val="18"/>
              </w:rPr>
            </w:pPr>
            <w:r w:rsidRPr="005E1FC3">
              <w:rPr>
                <w:rFonts w:cs="Arial"/>
                <w:color w:val="000000" w:themeColor="text1"/>
                <w:sz w:val="18"/>
                <w:szCs w:val="18"/>
              </w:rPr>
              <w:t xml:space="preserve">Each cash and counselling program has its own eligibility requirements (functional and financial criteria). </w:t>
            </w:r>
          </w:p>
          <w:p w:rsidR="00590F5F" w:rsidRDefault="00590F5F" w:rsidP="00590F5F">
            <w:pPr>
              <w:rPr>
                <w:rFonts w:cs="Arial"/>
                <w:color w:val="000000" w:themeColor="text1"/>
                <w:sz w:val="18"/>
                <w:szCs w:val="18"/>
              </w:rPr>
            </w:pPr>
            <w:r w:rsidRPr="005E1FC3">
              <w:rPr>
                <w:rFonts w:cs="Arial"/>
                <w:color w:val="000000" w:themeColor="text1"/>
                <w:sz w:val="18"/>
                <w:szCs w:val="18"/>
              </w:rPr>
              <w:lastRenderedPageBreak/>
              <w:t xml:space="preserve">Medicaid programs have a functional requirement (the participant must require a certain level of care). </w:t>
            </w:r>
          </w:p>
          <w:p w:rsidR="00590F5F" w:rsidRDefault="00590F5F" w:rsidP="00590F5F">
            <w:pPr>
              <w:rPr>
                <w:rFonts w:cs="Arial"/>
                <w:color w:val="000000" w:themeColor="text1"/>
                <w:sz w:val="18"/>
                <w:szCs w:val="18"/>
              </w:rPr>
            </w:pPr>
          </w:p>
          <w:p w:rsidR="00590F5F" w:rsidRPr="005E1FC3" w:rsidRDefault="00590F5F" w:rsidP="00590F5F">
            <w:pPr>
              <w:rPr>
                <w:rFonts w:cs="Arial"/>
                <w:color w:val="000000" w:themeColor="text1"/>
                <w:sz w:val="18"/>
                <w:szCs w:val="18"/>
              </w:rPr>
            </w:pPr>
            <w:r>
              <w:rPr>
                <w:rFonts w:cs="Arial"/>
                <w:color w:val="000000" w:themeColor="text1"/>
                <w:sz w:val="18"/>
                <w:szCs w:val="18"/>
              </w:rPr>
              <w:t>A s</w:t>
            </w:r>
            <w:r w:rsidRPr="005E1FC3">
              <w:rPr>
                <w:rFonts w:cs="Arial"/>
                <w:color w:val="000000" w:themeColor="text1"/>
                <w:sz w:val="18"/>
                <w:szCs w:val="18"/>
              </w:rPr>
              <w:t xml:space="preserve">upport broker/ consultant/counselor </w:t>
            </w:r>
            <w:r w:rsidRPr="0013263F">
              <w:rPr>
                <w:rFonts w:cs="Arial"/>
                <w:b/>
                <w:color w:val="000000" w:themeColor="text1"/>
                <w:sz w:val="18"/>
                <w:szCs w:val="18"/>
              </w:rPr>
              <w:t>must</w:t>
            </w:r>
            <w:r w:rsidRPr="005E1FC3">
              <w:rPr>
                <w:rFonts w:cs="Arial"/>
                <w:color w:val="000000" w:themeColor="text1"/>
                <w:sz w:val="18"/>
                <w:szCs w:val="18"/>
              </w:rPr>
              <w:t xml:space="preserve"> be available to each individual who elects the self-direction option</w:t>
            </w:r>
          </w:p>
          <w:p w:rsidR="00590F5F" w:rsidRPr="005E1FC3" w:rsidRDefault="00590F5F" w:rsidP="00590F5F">
            <w:pPr>
              <w:rPr>
                <w:rFonts w:cs="Arial"/>
                <w:color w:val="000000" w:themeColor="text1"/>
                <w:sz w:val="18"/>
                <w:szCs w:val="18"/>
              </w:rPr>
            </w:pPr>
          </w:p>
          <w:p w:rsidR="00590F5F" w:rsidRPr="005E1FC3" w:rsidRDefault="00590F5F" w:rsidP="00590F5F">
            <w:pPr>
              <w:rPr>
                <w:rFonts w:cs="Arial"/>
                <w:sz w:val="18"/>
                <w:szCs w:val="18"/>
              </w:rPr>
            </w:pPr>
          </w:p>
        </w:tc>
        <w:tc>
          <w:tcPr>
            <w:tcW w:w="1627" w:type="dxa"/>
            <w:shd w:val="clear" w:color="auto" w:fill="FFFFFF" w:themeFill="background1"/>
          </w:tcPr>
          <w:p w:rsidR="00590F5F" w:rsidRPr="005E1FC3" w:rsidRDefault="00590F5F" w:rsidP="00590F5F">
            <w:pPr>
              <w:rPr>
                <w:rFonts w:cs="Arial"/>
                <w:sz w:val="18"/>
                <w:szCs w:val="18"/>
              </w:rPr>
            </w:pPr>
            <w:r w:rsidRPr="005E1FC3">
              <w:rPr>
                <w:rFonts w:cs="Arial"/>
                <w:color w:val="000000" w:themeColor="text1"/>
                <w:sz w:val="18"/>
                <w:szCs w:val="18"/>
              </w:rPr>
              <w:lastRenderedPageBreak/>
              <w:t>Wide variation in who provides support broker functions between states/authorities</w:t>
            </w:r>
            <w:r>
              <w:rPr>
                <w:rFonts w:cs="Arial"/>
                <w:color w:val="000000" w:themeColor="text1"/>
                <w:sz w:val="18"/>
                <w:szCs w:val="18"/>
              </w:rPr>
              <w:t xml:space="preserve">, including </w:t>
            </w:r>
            <w:r>
              <w:rPr>
                <w:rFonts w:cs="Arial"/>
                <w:color w:val="000000" w:themeColor="text1"/>
                <w:sz w:val="18"/>
                <w:szCs w:val="18"/>
              </w:rPr>
              <w:lastRenderedPageBreak/>
              <w:t>c</w:t>
            </w:r>
            <w:r w:rsidRPr="005E1FC3">
              <w:rPr>
                <w:rFonts w:cs="Arial"/>
                <w:color w:val="000000" w:themeColor="text1"/>
                <w:sz w:val="18"/>
                <w:szCs w:val="18"/>
              </w:rPr>
              <w:t>ounsell</w:t>
            </w:r>
            <w:r>
              <w:rPr>
                <w:rFonts w:cs="Arial"/>
                <w:color w:val="000000" w:themeColor="text1"/>
                <w:sz w:val="18"/>
                <w:szCs w:val="18"/>
              </w:rPr>
              <w:t>ing</w:t>
            </w:r>
            <w:r w:rsidRPr="005E1FC3">
              <w:rPr>
                <w:rFonts w:cs="Arial"/>
                <w:color w:val="000000" w:themeColor="text1"/>
                <w:sz w:val="18"/>
                <w:szCs w:val="18"/>
              </w:rPr>
              <w:t xml:space="preserve"> or financial management service companies</w:t>
            </w:r>
          </w:p>
        </w:tc>
        <w:tc>
          <w:tcPr>
            <w:tcW w:w="1759" w:type="dxa"/>
            <w:shd w:val="clear" w:color="auto" w:fill="FFFFFF" w:themeFill="background1"/>
          </w:tcPr>
          <w:p w:rsidR="00590F5F" w:rsidRDefault="00590F5F" w:rsidP="00590F5F">
            <w:pPr>
              <w:rPr>
                <w:rFonts w:cs="Arial"/>
                <w:sz w:val="18"/>
                <w:szCs w:val="18"/>
              </w:rPr>
            </w:pPr>
            <w:r w:rsidRPr="0013263F">
              <w:rPr>
                <w:rFonts w:cs="Arial"/>
                <w:b/>
                <w:sz w:val="18"/>
                <w:szCs w:val="18"/>
              </w:rPr>
              <w:lastRenderedPageBreak/>
              <w:t>Counsellors</w:t>
            </w:r>
            <w:r w:rsidRPr="0013263F">
              <w:rPr>
                <w:rFonts w:cs="Arial"/>
                <w:sz w:val="18"/>
                <w:szCs w:val="18"/>
              </w:rPr>
              <w:t xml:space="preserve"> develop spending plan; provide information and advice about </w:t>
            </w:r>
            <w:r>
              <w:rPr>
                <w:rFonts w:cs="Arial"/>
                <w:sz w:val="18"/>
                <w:szCs w:val="18"/>
              </w:rPr>
              <w:t xml:space="preserve">how a self-directed program works; </w:t>
            </w:r>
            <w:r>
              <w:rPr>
                <w:rFonts w:cs="Arial"/>
                <w:sz w:val="18"/>
                <w:szCs w:val="18"/>
              </w:rPr>
              <w:lastRenderedPageBreak/>
              <w:t xml:space="preserve">provide </w:t>
            </w:r>
            <w:r>
              <w:rPr>
                <w:rFonts w:cs="Arial"/>
                <w:sz w:val="18"/>
                <w:szCs w:val="18"/>
                <w:lang w:val="en-AU"/>
              </w:rPr>
              <w:t xml:space="preserve">advice re </w:t>
            </w:r>
            <w:r w:rsidRPr="005E1FC3">
              <w:rPr>
                <w:rFonts w:cs="Arial"/>
                <w:sz w:val="18"/>
                <w:szCs w:val="18"/>
                <w:lang w:val="en-AU"/>
              </w:rPr>
              <w:t>individual rights and responsibilities</w:t>
            </w:r>
            <w:r>
              <w:rPr>
                <w:rFonts w:cs="Arial"/>
                <w:sz w:val="18"/>
                <w:szCs w:val="18"/>
                <w:lang w:val="en-AU"/>
              </w:rPr>
              <w:t xml:space="preserve"> and</w:t>
            </w:r>
            <w:r w:rsidRPr="005E1FC3">
              <w:rPr>
                <w:rFonts w:cs="Arial"/>
                <w:sz w:val="18"/>
                <w:szCs w:val="18"/>
                <w:lang w:val="en-AU"/>
              </w:rPr>
              <w:t xml:space="preserve"> </w:t>
            </w:r>
            <w:r>
              <w:rPr>
                <w:rFonts w:cs="Arial"/>
                <w:sz w:val="18"/>
                <w:szCs w:val="18"/>
                <w:lang w:val="en-AU"/>
              </w:rPr>
              <w:t xml:space="preserve">locally </w:t>
            </w:r>
            <w:r w:rsidRPr="005E1FC3">
              <w:rPr>
                <w:rFonts w:cs="Arial"/>
                <w:sz w:val="18"/>
                <w:szCs w:val="18"/>
                <w:lang w:val="en-AU"/>
              </w:rPr>
              <w:t xml:space="preserve">available resources; </w:t>
            </w:r>
            <w:r w:rsidRPr="0013263F">
              <w:rPr>
                <w:rFonts w:cs="Arial"/>
                <w:sz w:val="18"/>
                <w:szCs w:val="18"/>
              </w:rPr>
              <w:t xml:space="preserve">recruitment/ hiring/training </w:t>
            </w:r>
            <w:r>
              <w:rPr>
                <w:rFonts w:cs="Arial"/>
                <w:sz w:val="18"/>
                <w:szCs w:val="18"/>
              </w:rPr>
              <w:t xml:space="preserve">of support </w:t>
            </w:r>
            <w:r w:rsidRPr="0013263F">
              <w:rPr>
                <w:rFonts w:cs="Arial"/>
                <w:sz w:val="18"/>
                <w:szCs w:val="18"/>
              </w:rPr>
              <w:t>workers</w:t>
            </w:r>
            <w:r>
              <w:rPr>
                <w:rFonts w:cs="Arial"/>
                <w:sz w:val="18"/>
                <w:szCs w:val="18"/>
              </w:rPr>
              <w:t>;</w:t>
            </w:r>
            <w:r w:rsidRPr="0013263F">
              <w:rPr>
                <w:rFonts w:cs="Arial"/>
                <w:sz w:val="18"/>
                <w:szCs w:val="18"/>
              </w:rPr>
              <w:t xml:space="preserve"> and monitor</w:t>
            </w:r>
            <w:r>
              <w:rPr>
                <w:rFonts w:cs="Arial"/>
                <w:sz w:val="18"/>
                <w:szCs w:val="18"/>
              </w:rPr>
              <w:t>ing of</w:t>
            </w:r>
            <w:r w:rsidRPr="0013263F">
              <w:rPr>
                <w:rFonts w:cs="Arial"/>
                <w:sz w:val="18"/>
                <w:szCs w:val="18"/>
              </w:rPr>
              <w:t xml:space="preserve"> the quality of care. </w:t>
            </w:r>
          </w:p>
          <w:p w:rsidR="00590F5F" w:rsidRPr="0013263F" w:rsidRDefault="00590F5F" w:rsidP="00590F5F">
            <w:pPr>
              <w:spacing w:line="240" w:lineRule="auto"/>
              <w:rPr>
                <w:rFonts w:cs="Arial"/>
                <w:sz w:val="18"/>
                <w:szCs w:val="18"/>
              </w:rPr>
            </w:pPr>
          </w:p>
          <w:p w:rsidR="00590F5F" w:rsidRDefault="00590F5F" w:rsidP="00590F5F">
            <w:pPr>
              <w:rPr>
                <w:rFonts w:cs="Arial"/>
                <w:sz w:val="18"/>
                <w:szCs w:val="18"/>
                <w:lang w:val="en-AU"/>
              </w:rPr>
            </w:pPr>
            <w:r w:rsidRPr="0013263F">
              <w:rPr>
                <w:rFonts w:cs="Arial"/>
                <w:b/>
                <w:sz w:val="18"/>
                <w:szCs w:val="18"/>
              </w:rPr>
              <w:t>Fiscal intermediaries</w:t>
            </w:r>
            <w:r w:rsidRPr="0013263F">
              <w:rPr>
                <w:rFonts w:cs="Arial"/>
                <w:sz w:val="18"/>
                <w:szCs w:val="18"/>
              </w:rPr>
              <w:t xml:space="preserve"> wr</w:t>
            </w:r>
            <w:r>
              <w:rPr>
                <w:rFonts w:cs="Arial"/>
                <w:sz w:val="18"/>
                <w:szCs w:val="18"/>
              </w:rPr>
              <w:t>i</w:t>
            </w:r>
            <w:r w:rsidRPr="0013263F">
              <w:rPr>
                <w:rFonts w:cs="Arial"/>
                <w:sz w:val="18"/>
                <w:szCs w:val="18"/>
              </w:rPr>
              <w:t>te checks for hired workers, withh</w:t>
            </w:r>
            <w:r>
              <w:rPr>
                <w:rFonts w:cs="Arial"/>
                <w:sz w:val="18"/>
                <w:szCs w:val="18"/>
              </w:rPr>
              <w:t>o</w:t>
            </w:r>
            <w:r w:rsidRPr="0013263F">
              <w:rPr>
                <w:rFonts w:cs="Arial"/>
                <w:sz w:val="18"/>
                <w:szCs w:val="18"/>
              </w:rPr>
              <w:t>ld taxes.</w:t>
            </w:r>
          </w:p>
          <w:p w:rsidR="00590F5F" w:rsidRDefault="00590F5F" w:rsidP="00590F5F">
            <w:pPr>
              <w:rPr>
                <w:rFonts w:cs="Arial"/>
                <w:sz w:val="18"/>
                <w:szCs w:val="18"/>
                <w:lang w:val="en-AU"/>
              </w:rPr>
            </w:pPr>
          </w:p>
          <w:p w:rsidR="00590F5F" w:rsidRPr="00B33847" w:rsidRDefault="00590F5F" w:rsidP="00590F5F">
            <w:pPr>
              <w:rPr>
                <w:rFonts w:cs="Arial"/>
                <w:sz w:val="18"/>
                <w:szCs w:val="18"/>
                <w:lang w:val="en-AU"/>
              </w:rPr>
            </w:pPr>
            <w:r w:rsidRPr="00B33847">
              <w:rPr>
                <w:rFonts w:cs="Arial"/>
                <w:sz w:val="18"/>
                <w:szCs w:val="18"/>
                <w:lang w:val="en-AU"/>
              </w:rPr>
              <w:t>Four key categories valued by consumers</w:t>
            </w:r>
            <w:r>
              <w:rPr>
                <w:rFonts w:cs="Arial"/>
                <w:sz w:val="18"/>
                <w:szCs w:val="18"/>
                <w:lang w:val="en-AU"/>
              </w:rPr>
              <w:t xml:space="preserve"> are</w:t>
            </w:r>
            <w:r w:rsidRPr="00B33847">
              <w:rPr>
                <w:rFonts w:cs="Arial"/>
                <w:sz w:val="18"/>
                <w:szCs w:val="18"/>
                <w:lang w:val="en-AU"/>
              </w:rPr>
              <w:t>:</w:t>
            </w:r>
          </w:p>
          <w:p w:rsidR="00590F5F" w:rsidRPr="00B33847" w:rsidRDefault="00590F5F" w:rsidP="00590F5F">
            <w:pPr>
              <w:rPr>
                <w:rFonts w:cs="Arial"/>
                <w:sz w:val="18"/>
                <w:szCs w:val="18"/>
                <w:lang w:val="en-AU"/>
              </w:rPr>
            </w:pPr>
            <w:r w:rsidRPr="00B33847">
              <w:rPr>
                <w:rFonts w:cs="Arial"/>
                <w:sz w:val="18"/>
                <w:szCs w:val="18"/>
                <w:lang w:val="en-AU"/>
              </w:rPr>
              <w:t>Coaching, Problem Solving, Advocacy, and Monitoring</w:t>
            </w:r>
          </w:p>
          <w:p w:rsidR="00590F5F" w:rsidRPr="00B33847" w:rsidRDefault="00590F5F" w:rsidP="00590F5F">
            <w:pPr>
              <w:rPr>
                <w:rFonts w:cs="Arial"/>
                <w:sz w:val="18"/>
                <w:szCs w:val="18"/>
                <w:lang w:val="en-AU"/>
              </w:rPr>
            </w:pPr>
          </w:p>
          <w:p w:rsidR="00590F5F" w:rsidRPr="005E1FC3" w:rsidRDefault="00590F5F" w:rsidP="00590F5F">
            <w:pPr>
              <w:rPr>
                <w:rFonts w:cs="Arial"/>
                <w:sz w:val="18"/>
                <w:szCs w:val="18"/>
                <w:lang w:val="en-AU"/>
              </w:rPr>
            </w:pPr>
          </w:p>
        </w:tc>
        <w:tc>
          <w:tcPr>
            <w:tcW w:w="1144" w:type="dxa"/>
            <w:shd w:val="clear" w:color="auto" w:fill="FFFFFF" w:themeFill="background1"/>
          </w:tcPr>
          <w:p w:rsidR="00590F5F" w:rsidRPr="005E1FC3" w:rsidRDefault="00590F5F" w:rsidP="00590F5F">
            <w:pPr>
              <w:rPr>
                <w:rFonts w:cs="Arial"/>
                <w:sz w:val="18"/>
                <w:szCs w:val="18"/>
              </w:rPr>
            </w:pPr>
            <w:r w:rsidRPr="005E1FC3">
              <w:rPr>
                <w:rFonts w:cs="Arial"/>
                <w:color w:val="000000" w:themeColor="text1"/>
                <w:sz w:val="18"/>
                <w:szCs w:val="18"/>
              </w:rPr>
              <w:lastRenderedPageBreak/>
              <w:t>Not stated</w:t>
            </w:r>
          </w:p>
        </w:tc>
        <w:tc>
          <w:tcPr>
            <w:tcW w:w="1303" w:type="dxa"/>
            <w:shd w:val="clear" w:color="auto" w:fill="FFFFFF" w:themeFill="background1"/>
          </w:tcPr>
          <w:p w:rsidR="00590F5F" w:rsidRPr="005E1FC3" w:rsidRDefault="00590F5F" w:rsidP="00590F5F">
            <w:pPr>
              <w:rPr>
                <w:rFonts w:cs="Arial"/>
                <w:sz w:val="18"/>
                <w:szCs w:val="18"/>
              </w:rPr>
            </w:pPr>
            <w:r>
              <w:rPr>
                <w:rFonts w:cs="Arial"/>
                <w:color w:val="000000" w:themeColor="text1"/>
                <w:sz w:val="18"/>
                <w:szCs w:val="18"/>
              </w:rPr>
              <w:t>No</w:t>
            </w:r>
          </w:p>
        </w:tc>
        <w:tc>
          <w:tcPr>
            <w:tcW w:w="1481" w:type="dxa"/>
            <w:shd w:val="clear" w:color="auto" w:fill="FFFFFF" w:themeFill="background1"/>
          </w:tcPr>
          <w:p w:rsidR="00590F5F" w:rsidRPr="005E1FC3" w:rsidRDefault="00590F5F" w:rsidP="00590F5F">
            <w:pPr>
              <w:rPr>
                <w:rFonts w:cs="Arial"/>
                <w:sz w:val="18"/>
                <w:szCs w:val="18"/>
              </w:rPr>
            </w:pPr>
            <w:r w:rsidRPr="005E1FC3">
              <w:rPr>
                <w:rFonts w:cs="Arial"/>
                <w:sz w:val="18"/>
                <w:szCs w:val="18"/>
              </w:rPr>
              <w:t>No</w:t>
            </w:r>
          </w:p>
        </w:tc>
      </w:tr>
      <w:tr w:rsidR="00590F5F" w:rsidRPr="005E1FC3" w:rsidTr="00590F5F">
        <w:tc>
          <w:tcPr>
            <w:tcW w:w="1322" w:type="dxa"/>
            <w:shd w:val="clear" w:color="auto" w:fill="F7EEF7"/>
          </w:tcPr>
          <w:p w:rsidR="00590F5F" w:rsidRPr="005E1FC3" w:rsidRDefault="00590F5F" w:rsidP="00590F5F">
            <w:pPr>
              <w:rPr>
                <w:rFonts w:cs="Arial"/>
                <w:sz w:val="18"/>
                <w:szCs w:val="18"/>
              </w:rPr>
            </w:pPr>
            <w:r w:rsidRPr="005E1FC3">
              <w:rPr>
                <w:rFonts w:cs="Arial"/>
                <w:sz w:val="18"/>
                <w:szCs w:val="18"/>
              </w:rPr>
              <w:t>Bogenschutz (2019)</w:t>
            </w:r>
          </w:p>
        </w:tc>
        <w:tc>
          <w:tcPr>
            <w:tcW w:w="1497" w:type="dxa"/>
            <w:shd w:val="clear" w:color="auto" w:fill="F7EEF7"/>
          </w:tcPr>
          <w:p w:rsidR="00590F5F" w:rsidRDefault="00590F5F" w:rsidP="00590F5F">
            <w:pPr>
              <w:rPr>
                <w:rFonts w:cs="Arial"/>
                <w:color w:val="000000" w:themeColor="text1"/>
                <w:sz w:val="18"/>
                <w:szCs w:val="18"/>
              </w:rPr>
            </w:pPr>
            <w:r w:rsidRPr="0013263F">
              <w:rPr>
                <w:rFonts w:cs="Arial"/>
                <w:b/>
                <w:color w:val="000000" w:themeColor="text1"/>
                <w:sz w:val="18"/>
                <w:szCs w:val="18"/>
              </w:rPr>
              <w:t>Case Management</w:t>
            </w:r>
            <w:r w:rsidRPr="005E1FC3">
              <w:rPr>
                <w:rFonts w:cs="Arial"/>
                <w:color w:val="000000" w:themeColor="text1"/>
                <w:sz w:val="18"/>
                <w:szCs w:val="18"/>
              </w:rPr>
              <w:t xml:space="preserve"> (encompassing </w:t>
            </w:r>
            <w:r w:rsidRPr="005E1FC3">
              <w:rPr>
                <w:rFonts w:cs="Arial"/>
                <w:color w:val="000000" w:themeColor="text1"/>
                <w:sz w:val="18"/>
                <w:szCs w:val="18"/>
              </w:rPr>
              <w:lastRenderedPageBreak/>
              <w:t xml:space="preserve">Support Coordination) </w:t>
            </w:r>
          </w:p>
          <w:p w:rsidR="00590F5F" w:rsidRPr="005E1FC3" w:rsidRDefault="00590F5F" w:rsidP="00590F5F">
            <w:pPr>
              <w:rPr>
                <w:rFonts w:cs="Arial"/>
                <w:color w:val="000000" w:themeColor="text1"/>
                <w:sz w:val="18"/>
                <w:szCs w:val="18"/>
              </w:rPr>
            </w:pPr>
            <w:r w:rsidRPr="005E1FC3">
              <w:rPr>
                <w:rFonts w:cs="Arial"/>
                <w:color w:val="000000" w:themeColor="text1"/>
                <w:sz w:val="18"/>
                <w:szCs w:val="18"/>
              </w:rPr>
              <w:t>for people with intellectual and developmental disabilities (IDD)</w:t>
            </w:r>
          </w:p>
          <w:p w:rsidR="00590F5F" w:rsidRDefault="00590F5F" w:rsidP="00590F5F">
            <w:pPr>
              <w:rPr>
                <w:rFonts w:cs="Arial"/>
                <w:b/>
                <w:color w:val="000000" w:themeColor="text1"/>
                <w:sz w:val="18"/>
                <w:szCs w:val="18"/>
              </w:rPr>
            </w:pPr>
          </w:p>
          <w:p w:rsidR="00590F5F" w:rsidRPr="005E1FC3" w:rsidRDefault="00590F5F" w:rsidP="00590F5F">
            <w:pPr>
              <w:rPr>
                <w:rFonts w:cs="Arial"/>
                <w:b/>
                <w:color w:val="000000" w:themeColor="text1"/>
                <w:sz w:val="18"/>
                <w:szCs w:val="18"/>
              </w:rPr>
            </w:pPr>
            <w:r w:rsidRPr="005E1FC3">
              <w:rPr>
                <w:rFonts w:cs="Arial"/>
                <w:b/>
                <w:color w:val="000000" w:themeColor="text1"/>
                <w:sz w:val="18"/>
                <w:szCs w:val="18"/>
              </w:rPr>
              <w:t>Virginia Department of Behavioral Health and Developmental Services</w:t>
            </w:r>
          </w:p>
          <w:p w:rsidR="00590F5F" w:rsidRPr="005E1FC3" w:rsidRDefault="00590F5F" w:rsidP="00590F5F">
            <w:pPr>
              <w:rPr>
                <w:rFonts w:cs="Arial"/>
                <w:color w:val="000000" w:themeColor="text1"/>
                <w:sz w:val="18"/>
                <w:szCs w:val="18"/>
              </w:rPr>
            </w:pPr>
          </w:p>
          <w:p w:rsidR="00590F5F" w:rsidRPr="005E1FC3" w:rsidRDefault="00590F5F" w:rsidP="00590F5F">
            <w:pPr>
              <w:rPr>
                <w:rFonts w:cs="Arial"/>
                <w:color w:val="000000" w:themeColor="text1"/>
                <w:sz w:val="18"/>
                <w:szCs w:val="18"/>
              </w:rPr>
            </w:pPr>
            <w:r w:rsidRPr="005E1FC3">
              <w:rPr>
                <w:rFonts w:cs="Arial"/>
                <w:color w:val="000000" w:themeColor="text1"/>
                <w:sz w:val="18"/>
                <w:szCs w:val="18"/>
              </w:rPr>
              <w:t>USA</w:t>
            </w:r>
          </w:p>
          <w:p w:rsidR="00590F5F" w:rsidRPr="005E1FC3" w:rsidRDefault="00590F5F" w:rsidP="00590F5F">
            <w:pPr>
              <w:rPr>
                <w:rFonts w:cs="Arial"/>
                <w:sz w:val="18"/>
                <w:szCs w:val="18"/>
              </w:rPr>
            </w:pPr>
          </w:p>
        </w:tc>
        <w:tc>
          <w:tcPr>
            <w:tcW w:w="1517" w:type="dxa"/>
            <w:shd w:val="clear" w:color="auto" w:fill="F7EEF7"/>
          </w:tcPr>
          <w:p w:rsidR="00590F5F" w:rsidRPr="005E1FC3" w:rsidRDefault="00590F5F" w:rsidP="00590F5F">
            <w:pPr>
              <w:rPr>
                <w:rFonts w:cs="Arial"/>
                <w:color w:val="000000" w:themeColor="text1"/>
                <w:sz w:val="18"/>
                <w:szCs w:val="18"/>
              </w:rPr>
            </w:pPr>
            <w:r w:rsidRPr="005E1FC3">
              <w:rPr>
                <w:rFonts w:cs="Arial"/>
                <w:color w:val="000000" w:themeColor="text1"/>
                <w:sz w:val="18"/>
                <w:szCs w:val="18"/>
              </w:rPr>
              <w:lastRenderedPageBreak/>
              <w:t xml:space="preserve">Case Managers provide a point of connection </w:t>
            </w:r>
            <w:r w:rsidRPr="005E1FC3">
              <w:rPr>
                <w:rFonts w:cs="Arial"/>
                <w:color w:val="000000" w:themeColor="text1"/>
                <w:sz w:val="18"/>
                <w:szCs w:val="18"/>
              </w:rPr>
              <w:lastRenderedPageBreak/>
              <w:t xml:space="preserve">between an individual with IDD and the publicly funded service system </w:t>
            </w:r>
          </w:p>
          <w:p w:rsidR="00590F5F" w:rsidRPr="005E1FC3" w:rsidRDefault="00590F5F" w:rsidP="00590F5F">
            <w:pPr>
              <w:rPr>
                <w:rFonts w:cs="Arial"/>
                <w:color w:val="000000" w:themeColor="text1"/>
                <w:sz w:val="18"/>
                <w:szCs w:val="18"/>
              </w:rPr>
            </w:pPr>
          </w:p>
          <w:p w:rsidR="00590F5F" w:rsidRPr="005E1FC3" w:rsidRDefault="00590F5F" w:rsidP="00590F5F">
            <w:pPr>
              <w:rPr>
                <w:rFonts w:cs="Arial"/>
                <w:sz w:val="18"/>
                <w:szCs w:val="18"/>
              </w:rPr>
            </w:pPr>
          </w:p>
        </w:tc>
        <w:tc>
          <w:tcPr>
            <w:tcW w:w="1273"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lastRenderedPageBreak/>
              <w:t xml:space="preserve">Medicaid (varies between </w:t>
            </w:r>
            <w:r w:rsidRPr="005E1FC3">
              <w:rPr>
                <w:rFonts w:cs="Arial"/>
                <w:color w:val="000000" w:themeColor="text1"/>
                <w:sz w:val="18"/>
                <w:szCs w:val="18"/>
              </w:rPr>
              <w:lastRenderedPageBreak/>
              <w:t>states, with most states using some combination of federal, state, and sometimes local funds)</w:t>
            </w:r>
          </w:p>
        </w:tc>
        <w:tc>
          <w:tcPr>
            <w:tcW w:w="1868"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lastRenderedPageBreak/>
              <w:t>Not stated</w:t>
            </w:r>
          </w:p>
        </w:tc>
        <w:tc>
          <w:tcPr>
            <w:tcW w:w="1627"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t xml:space="preserve">Varies – in some instances it is delivered through </w:t>
            </w:r>
            <w:r w:rsidRPr="005E1FC3">
              <w:rPr>
                <w:rFonts w:cs="Arial"/>
                <w:color w:val="000000" w:themeColor="text1"/>
                <w:sz w:val="18"/>
                <w:szCs w:val="18"/>
              </w:rPr>
              <w:lastRenderedPageBreak/>
              <w:t>public entities, whereas private non-profits or managed care organizations may be responsible for provision of CM in other locales.</w:t>
            </w:r>
          </w:p>
        </w:tc>
        <w:tc>
          <w:tcPr>
            <w:tcW w:w="1759" w:type="dxa"/>
            <w:shd w:val="clear" w:color="auto" w:fill="F7EEF7"/>
          </w:tcPr>
          <w:p w:rsidR="00590F5F" w:rsidRPr="005E1FC3" w:rsidRDefault="00590F5F" w:rsidP="00590F5F">
            <w:pPr>
              <w:rPr>
                <w:rFonts w:cs="Arial"/>
                <w:sz w:val="18"/>
                <w:szCs w:val="18"/>
              </w:rPr>
            </w:pPr>
            <w:r w:rsidRPr="005E1FC3">
              <w:rPr>
                <w:rFonts w:cs="Arial"/>
                <w:sz w:val="18"/>
                <w:szCs w:val="18"/>
              </w:rPr>
              <w:lastRenderedPageBreak/>
              <w:t xml:space="preserve">(a) providing a point of connection between an </w:t>
            </w:r>
            <w:r w:rsidRPr="006D21E1">
              <w:rPr>
                <w:rFonts w:cs="Arial"/>
                <w:sz w:val="18"/>
                <w:szCs w:val="18"/>
              </w:rPr>
              <w:lastRenderedPageBreak/>
              <w:t xml:space="preserve">individual with IDD and the </w:t>
            </w:r>
            <w:r w:rsidRPr="005E1FC3">
              <w:rPr>
                <w:rFonts w:cs="Arial"/>
                <w:sz w:val="18"/>
                <w:szCs w:val="18"/>
              </w:rPr>
              <w:t xml:space="preserve">service system </w:t>
            </w:r>
          </w:p>
          <w:p w:rsidR="00590F5F" w:rsidRPr="005E1FC3" w:rsidRDefault="00590F5F" w:rsidP="00590F5F">
            <w:pPr>
              <w:rPr>
                <w:rFonts w:cs="Arial"/>
                <w:sz w:val="18"/>
                <w:szCs w:val="18"/>
              </w:rPr>
            </w:pPr>
            <w:r w:rsidRPr="005E1FC3">
              <w:rPr>
                <w:rFonts w:cs="Arial"/>
                <w:sz w:val="18"/>
                <w:szCs w:val="18"/>
              </w:rPr>
              <w:t xml:space="preserve">(b) monitoring of services </w:t>
            </w:r>
            <w:r w:rsidRPr="005E1FC3">
              <w:rPr>
                <w:rFonts w:cs="Arial"/>
                <w:color w:val="000000" w:themeColor="text1"/>
                <w:sz w:val="18"/>
                <w:szCs w:val="18"/>
              </w:rPr>
              <w:t>to assure that services are of adequate quality and are leading to attainment of important life outcomes</w:t>
            </w:r>
          </w:p>
          <w:p w:rsidR="00590F5F" w:rsidRPr="005E1FC3" w:rsidRDefault="00590F5F" w:rsidP="00590F5F">
            <w:pPr>
              <w:rPr>
                <w:rFonts w:cs="Arial"/>
                <w:sz w:val="18"/>
                <w:szCs w:val="18"/>
              </w:rPr>
            </w:pPr>
          </w:p>
          <w:p w:rsidR="0043676A" w:rsidRPr="005E1FC3" w:rsidRDefault="00590F5F" w:rsidP="00590F5F">
            <w:pPr>
              <w:rPr>
                <w:rFonts w:cs="Arial"/>
                <w:sz w:val="18"/>
                <w:szCs w:val="18"/>
              </w:rPr>
            </w:pPr>
            <w:r w:rsidRPr="005E1FC3">
              <w:rPr>
                <w:rFonts w:cs="Arial"/>
                <w:sz w:val="18"/>
                <w:szCs w:val="18"/>
              </w:rPr>
              <w:t xml:space="preserve">All are meant to be </w:t>
            </w:r>
            <w:r>
              <w:rPr>
                <w:rFonts w:cs="Arial"/>
                <w:sz w:val="18"/>
                <w:szCs w:val="18"/>
              </w:rPr>
              <w:t>provided</w:t>
            </w:r>
            <w:r w:rsidRPr="005E1FC3">
              <w:rPr>
                <w:rFonts w:cs="Arial"/>
                <w:sz w:val="18"/>
                <w:szCs w:val="18"/>
              </w:rPr>
              <w:t xml:space="preserve"> in a collaborative fashion between the case manager and the person receiving services and/or their representative.</w:t>
            </w:r>
          </w:p>
        </w:tc>
        <w:tc>
          <w:tcPr>
            <w:tcW w:w="1144" w:type="dxa"/>
            <w:shd w:val="clear" w:color="auto" w:fill="F7EEF7"/>
          </w:tcPr>
          <w:p w:rsidR="00590F5F" w:rsidRPr="005E1FC3" w:rsidRDefault="00590F5F" w:rsidP="00590F5F">
            <w:pPr>
              <w:rPr>
                <w:rFonts w:cs="Arial"/>
                <w:sz w:val="18"/>
                <w:szCs w:val="18"/>
              </w:rPr>
            </w:pPr>
            <w:r w:rsidRPr="005E1FC3">
              <w:rPr>
                <w:rFonts w:cs="Arial"/>
                <w:color w:val="000000" w:themeColor="text1"/>
                <w:sz w:val="18"/>
                <w:szCs w:val="18"/>
              </w:rPr>
              <w:lastRenderedPageBreak/>
              <w:t>Not stated</w:t>
            </w:r>
          </w:p>
        </w:tc>
        <w:tc>
          <w:tcPr>
            <w:tcW w:w="1303" w:type="dxa"/>
            <w:shd w:val="clear" w:color="auto" w:fill="F7EEF7"/>
          </w:tcPr>
          <w:p w:rsidR="00590F5F" w:rsidRPr="005E1FC3" w:rsidRDefault="00590F5F" w:rsidP="00590F5F">
            <w:pPr>
              <w:rPr>
                <w:rFonts w:cs="Arial"/>
                <w:sz w:val="18"/>
                <w:szCs w:val="18"/>
              </w:rPr>
            </w:pPr>
            <w:r w:rsidRPr="005E1FC3">
              <w:rPr>
                <w:rFonts w:cs="Arial"/>
                <w:sz w:val="18"/>
                <w:szCs w:val="18"/>
              </w:rPr>
              <w:t>No</w:t>
            </w:r>
          </w:p>
        </w:tc>
        <w:tc>
          <w:tcPr>
            <w:tcW w:w="1481" w:type="dxa"/>
            <w:shd w:val="clear" w:color="auto" w:fill="F7EEF7"/>
          </w:tcPr>
          <w:p w:rsidR="00590F5F" w:rsidRPr="005E1FC3" w:rsidRDefault="00590F5F" w:rsidP="00590F5F">
            <w:pPr>
              <w:rPr>
                <w:rFonts w:cs="Arial"/>
                <w:sz w:val="18"/>
                <w:szCs w:val="18"/>
              </w:rPr>
            </w:pPr>
            <w:r w:rsidRPr="005E1FC3">
              <w:rPr>
                <w:rFonts w:cs="Arial"/>
                <w:sz w:val="18"/>
                <w:szCs w:val="18"/>
              </w:rPr>
              <w:t>No</w:t>
            </w:r>
          </w:p>
        </w:tc>
      </w:tr>
    </w:tbl>
    <w:p w:rsidR="00D0183D" w:rsidRDefault="00D0183D"/>
    <w:p w:rsidR="00D0183D" w:rsidRDefault="00D0183D">
      <w:pPr>
        <w:spacing w:line="276" w:lineRule="auto"/>
      </w:pPr>
      <w:r>
        <w:br w:type="page"/>
      </w:r>
    </w:p>
    <w:p w:rsidR="0043676A" w:rsidRDefault="0043676A" w:rsidP="00D0183D">
      <w:pPr>
        <w:pStyle w:val="Heading3"/>
        <w:numPr>
          <w:ilvl w:val="0"/>
          <w:numId w:val="0"/>
        </w:numPr>
      </w:pPr>
      <w:bookmarkStart w:id="133" w:name="_Toc65251814"/>
      <w:r>
        <w:lastRenderedPageBreak/>
        <w:t>Appendix 3 : LAC Models</w:t>
      </w:r>
      <w:bookmarkEnd w:id="133"/>
    </w:p>
    <w:tbl>
      <w:tblPr>
        <w:tblStyle w:val="TableGrid1"/>
        <w:tblpPr w:leftFromText="180" w:rightFromText="180" w:vertAnchor="text" w:tblpY="1"/>
        <w:tblW w:w="5000" w:type="pct"/>
        <w:tblLook w:val="06A0" w:firstRow="1" w:lastRow="0" w:firstColumn="1" w:lastColumn="0" w:noHBand="1" w:noVBand="1"/>
        <w:tblDescription w:val="Table showing Support Coordination equivalent models"/>
      </w:tblPr>
      <w:tblGrid>
        <w:gridCol w:w="1991"/>
        <w:gridCol w:w="1991"/>
        <w:gridCol w:w="1992"/>
        <w:gridCol w:w="1995"/>
        <w:gridCol w:w="1992"/>
        <w:gridCol w:w="1992"/>
        <w:gridCol w:w="1995"/>
      </w:tblGrid>
      <w:tr w:rsidR="00963408" w:rsidRPr="005E1FC3" w:rsidTr="00A760BF">
        <w:trPr>
          <w:tblHeader/>
        </w:trPr>
        <w:tc>
          <w:tcPr>
            <w:tcW w:w="714" w:type="pct"/>
            <w:shd w:val="clear" w:color="auto" w:fill="6B2976"/>
          </w:tcPr>
          <w:p w:rsidR="00963408" w:rsidRPr="00A760BF" w:rsidRDefault="00963408" w:rsidP="008E6C0F">
            <w:pPr>
              <w:rPr>
                <w:color w:val="FFFFFF" w:themeColor="background1"/>
              </w:rPr>
            </w:pPr>
            <w:r w:rsidRPr="00A760BF">
              <w:rPr>
                <w:color w:val="FFFFFF" w:themeColor="background1"/>
              </w:rPr>
              <w:t>Reference</w:t>
            </w:r>
          </w:p>
        </w:tc>
        <w:tc>
          <w:tcPr>
            <w:tcW w:w="714" w:type="pct"/>
            <w:shd w:val="clear" w:color="auto" w:fill="6B2976"/>
          </w:tcPr>
          <w:p w:rsidR="00963408" w:rsidRPr="00A760BF" w:rsidRDefault="00963408" w:rsidP="008E6C0F">
            <w:pPr>
              <w:rPr>
                <w:color w:val="FFFFFF" w:themeColor="background1"/>
              </w:rPr>
            </w:pPr>
            <w:r w:rsidRPr="00A760BF">
              <w:rPr>
                <w:color w:val="FFFFFF" w:themeColor="background1"/>
              </w:rPr>
              <w:t>Name of the service</w:t>
            </w:r>
          </w:p>
        </w:tc>
        <w:tc>
          <w:tcPr>
            <w:tcW w:w="714" w:type="pct"/>
            <w:shd w:val="clear" w:color="auto" w:fill="6B2976"/>
          </w:tcPr>
          <w:p w:rsidR="00963408" w:rsidRPr="00A760BF" w:rsidRDefault="00963408" w:rsidP="008E6C0F">
            <w:pPr>
              <w:rPr>
                <w:color w:val="FFFFFF" w:themeColor="background1"/>
              </w:rPr>
            </w:pPr>
            <w:r w:rsidRPr="00A760BF">
              <w:rPr>
                <w:color w:val="FFFFFF" w:themeColor="background1"/>
              </w:rPr>
              <w:t>Key functions, levels, duration</w:t>
            </w:r>
          </w:p>
        </w:tc>
        <w:tc>
          <w:tcPr>
            <w:tcW w:w="715" w:type="pct"/>
            <w:shd w:val="clear" w:color="auto" w:fill="6B2976"/>
          </w:tcPr>
          <w:p w:rsidR="00963408" w:rsidRPr="00A760BF" w:rsidRDefault="00963408" w:rsidP="008E6C0F">
            <w:pPr>
              <w:rPr>
                <w:color w:val="FFFFFF" w:themeColor="background1"/>
              </w:rPr>
            </w:pPr>
            <w:r w:rsidRPr="00A760BF">
              <w:rPr>
                <w:color w:val="FFFFFF" w:themeColor="background1"/>
              </w:rPr>
              <w:t>How the service was/is funded</w:t>
            </w:r>
          </w:p>
        </w:tc>
        <w:tc>
          <w:tcPr>
            <w:tcW w:w="714" w:type="pct"/>
            <w:shd w:val="clear" w:color="auto" w:fill="6B2976"/>
          </w:tcPr>
          <w:p w:rsidR="00963408" w:rsidRPr="00A760BF" w:rsidRDefault="00963408" w:rsidP="008E6C0F">
            <w:pPr>
              <w:rPr>
                <w:color w:val="FFFFFF" w:themeColor="background1"/>
              </w:rPr>
            </w:pPr>
            <w:r w:rsidRPr="00A760BF">
              <w:rPr>
                <w:color w:val="FFFFFF" w:themeColor="background1"/>
              </w:rPr>
              <w:t>Eligibility criteria</w:t>
            </w:r>
          </w:p>
        </w:tc>
        <w:tc>
          <w:tcPr>
            <w:tcW w:w="714" w:type="pct"/>
            <w:shd w:val="clear" w:color="auto" w:fill="6B2976"/>
          </w:tcPr>
          <w:p w:rsidR="00963408" w:rsidRPr="00A760BF" w:rsidRDefault="00963408" w:rsidP="008E6C0F">
            <w:pPr>
              <w:rPr>
                <w:color w:val="FFFFFF" w:themeColor="background1"/>
              </w:rPr>
            </w:pPr>
            <w:r w:rsidRPr="00A760BF">
              <w:rPr>
                <w:color w:val="FFFFFF" w:themeColor="background1"/>
              </w:rPr>
              <w:t>Who provides support/service</w:t>
            </w:r>
          </w:p>
        </w:tc>
        <w:tc>
          <w:tcPr>
            <w:tcW w:w="715" w:type="pct"/>
            <w:shd w:val="clear" w:color="auto" w:fill="6B2976"/>
          </w:tcPr>
          <w:p w:rsidR="00963408" w:rsidRPr="00A760BF" w:rsidRDefault="00963408" w:rsidP="008E6C0F">
            <w:pPr>
              <w:rPr>
                <w:color w:val="FFFFFF" w:themeColor="background1"/>
              </w:rPr>
            </w:pPr>
            <w:r w:rsidRPr="00A760BF">
              <w:rPr>
                <w:color w:val="FFFFFF" w:themeColor="background1"/>
              </w:rPr>
              <w:t>Summary of strengths and weaknesses</w:t>
            </w:r>
          </w:p>
        </w:tc>
      </w:tr>
      <w:tr w:rsidR="00963408" w:rsidRPr="005E1FC3" w:rsidTr="004A2995">
        <w:tc>
          <w:tcPr>
            <w:tcW w:w="714"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Yannitell Reinhardt and Chatsiou, 2018</w:t>
            </w:r>
          </w:p>
        </w:tc>
        <w:tc>
          <w:tcPr>
            <w:tcW w:w="714"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Local Area Coordination pilot program in Suffolk, England</w:t>
            </w:r>
          </w:p>
        </w:tc>
        <w:tc>
          <w:tcPr>
            <w:tcW w:w="714"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LAC support local residents to: access information, identify their personal strengths, goals and needs; find practical ways of doing the things they want or need to do to reduce demand; develop and use personal and local networks to reduce isolation, participate in local community life; access support and services if required.</w:t>
            </w:r>
          </w:p>
          <w:p w:rsidR="00963408" w:rsidRPr="006A07D9" w:rsidRDefault="00963408" w:rsidP="008E6C0F">
            <w:pPr>
              <w:rPr>
                <w:rFonts w:cs="Arial"/>
                <w:sz w:val="18"/>
                <w:szCs w:val="18"/>
              </w:rPr>
            </w:pPr>
            <w:r w:rsidRPr="006A07D9">
              <w:rPr>
                <w:rFonts w:cs="Arial"/>
                <w:sz w:val="18"/>
                <w:szCs w:val="18"/>
              </w:rPr>
              <w:t>The report does not provide information about levels of the service or length of provision.</w:t>
            </w:r>
          </w:p>
        </w:tc>
        <w:tc>
          <w:tcPr>
            <w:tcW w:w="715"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The funding for the two-year fixed-term posts came from the Transformation Challenge Award.</w:t>
            </w:r>
          </w:p>
        </w:tc>
        <w:tc>
          <w:tcPr>
            <w:tcW w:w="714"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Not stated</w:t>
            </w:r>
          </w:p>
        </w:tc>
        <w:tc>
          <w:tcPr>
            <w:tcW w:w="714"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Local Authority</w:t>
            </w:r>
          </w:p>
        </w:tc>
        <w:tc>
          <w:tcPr>
            <w:tcW w:w="715" w:type="pct"/>
            <w:tcBorders>
              <w:bottom w:val="single" w:sz="4" w:space="0" w:color="auto"/>
            </w:tcBorders>
          </w:tcPr>
          <w:p w:rsidR="00963408" w:rsidRPr="006A07D9" w:rsidRDefault="00963408" w:rsidP="008E6C0F">
            <w:pPr>
              <w:rPr>
                <w:rFonts w:cs="Arial"/>
                <w:sz w:val="18"/>
                <w:szCs w:val="18"/>
              </w:rPr>
            </w:pPr>
            <w:r w:rsidRPr="006A07D9">
              <w:rPr>
                <w:rFonts w:cs="Arial"/>
                <w:sz w:val="18"/>
                <w:szCs w:val="18"/>
              </w:rPr>
              <w:t>The report identified that LAC provided benefits for participants:</w:t>
            </w:r>
          </w:p>
          <w:p w:rsidR="00963408" w:rsidRPr="006A07D9" w:rsidRDefault="00963408" w:rsidP="008E6C0F">
            <w:pPr>
              <w:rPr>
                <w:rFonts w:cs="Arial"/>
                <w:sz w:val="18"/>
                <w:szCs w:val="18"/>
              </w:rPr>
            </w:pPr>
            <w:r w:rsidRPr="006A07D9">
              <w:rPr>
                <w:rFonts w:cs="Arial"/>
                <w:sz w:val="18"/>
                <w:szCs w:val="18"/>
              </w:rPr>
              <w:t>1 in 5 participants was linked with a related service,</w:t>
            </w:r>
          </w:p>
          <w:p w:rsidR="00963408" w:rsidRPr="006A07D9" w:rsidRDefault="00963408" w:rsidP="008E6C0F">
            <w:pPr>
              <w:rPr>
                <w:rFonts w:cs="Arial"/>
                <w:sz w:val="18"/>
                <w:szCs w:val="18"/>
              </w:rPr>
            </w:pPr>
            <w:r w:rsidRPr="006A07D9">
              <w:rPr>
                <w:rFonts w:cs="Arial"/>
                <w:sz w:val="18"/>
                <w:szCs w:val="18"/>
              </w:rPr>
              <w:t>1 in 3 were supported to overcome barriers due to living in a rural area, 1 in 10 were supported by LACs to share their skills with their community.</w:t>
            </w:r>
          </w:p>
          <w:p w:rsidR="00963408" w:rsidRPr="006A07D9" w:rsidRDefault="00963408" w:rsidP="008E6C0F">
            <w:pPr>
              <w:rPr>
                <w:rFonts w:cs="Arial"/>
                <w:sz w:val="18"/>
                <w:szCs w:val="18"/>
              </w:rPr>
            </w:pPr>
            <w:r w:rsidRPr="006A07D9">
              <w:rPr>
                <w:rFonts w:cs="Arial"/>
                <w:sz w:val="18"/>
                <w:szCs w:val="18"/>
              </w:rPr>
              <w:t>Participants’ perceptions of wellbeing changed from an average 3 to an average 6.</w:t>
            </w:r>
          </w:p>
          <w:p w:rsidR="00963408" w:rsidRPr="006A07D9" w:rsidRDefault="00963408" w:rsidP="008E6C0F">
            <w:pPr>
              <w:rPr>
                <w:rFonts w:cs="Arial"/>
                <w:sz w:val="18"/>
                <w:szCs w:val="18"/>
              </w:rPr>
            </w:pPr>
            <w:r w:rsidRPr="006A07D9">
              <w:rPr>
                <w:rFonts w:cs="Arial"/>
                <w:sz w:val="18"/>
                <w:szCs w:val="18"/>
              </w:rPr>
              <w:t>The report showed that 5% of participants reported to have reduced inappropriate visits to GP or other health teams due to the LAC program.</w:t>
            </w:r>
          </w:p>
          <w:p w:rsidR="00963408" w:rsidRPr="006A07D9" w:rsidRDefault="00963408" w:rsidP="008E6C0F">
            <w:pPr>
              <w:rPr>
                <w:rFonts w:cs="Arial"/>
                <w:sz w:val="18"/>
                <w:szCs w:val="18"/>
              </w:rPr>
            </w:pPr>
            <w:r w:rsidRPr="006A07D9">
              <w:rPr>
                <w:rFonts w:cs="Arial"/>
                <w:sz w:val="18"/>
                <w:szCs w:val="18"/>
              </w:rPr>
              <w:t>The report highlighted:</w:t>
            </w:r>
          </w:p>
          <w:p w:rsidR="00963408" w:rsidRPr="006A07D9" w:rsidRDefault="00963408" w:rsidP="008E6C0F">
            <w:pPr>
              <w:numPr>
                <w:ilvl w:val="0"/>
                <w:numId w:val="20"/>
              </w:numPr>
              <w:ind w:left="360"/>
              <w:contextualSpacing/>
              <w:rPr>
                <w:rFonts w:cs="Arial"/>
                <w:sz w:val="18"/>
                <w:szCs w:val="18"/>
              </w:rPr>
            </w:pPr>
            <w:r w:rsidRPr="006A07D9">
              <w:rPr>
                <w:rFonts w:cs="Arial"/>
                <w:sz w:val="18"/>
                <w:szCs w:val="18"/>
              </w:rPr>
              <w:lastRenderedPageBreak/>
              <w:t>a need to reach out to a more representative part of the population.</w:t>
            </w:r>
          </w:p>
          <w:p w:rsidR="00963408" w:rsidRPr="006A07D9" w:rsidRDefault="00963408" w:rsidP="008E6C0F">
            <w:pPr>
              <w:numPr>
                <w:ilvl w:val="0"/>
                <w:numId w:val="20"/>
              </w:numPr>
              <w:ind w:left="360"/>
              <w:contextualSpacing/>
              <w:rPr>
                <w:rFonts w:cs="Arial"/>
                <w:sz w:val="18"/>
                <w:szCs w:val="18"/>
              </w:rPr>
            </w:pPr>
            <w:r w:rsidRPr="006A07D9">
              <w:rPr>
                <w:rFonts w:cs="Arial"/>
                <w:sz w:val="18"/>
                <w:szCs w:val="18"/>
              </w:rPr>
              <w:t>the program should maintain the momentum and increase the number of Local Area Coordinators.</w:t>
            </w:r>
          </w:p>
        </w:tc>
      </w:tr>
      <w:tr w:rsidR="00963408" w:rsidRPr="005E1FC3" w:rsidTr="004A2995">
        <w:tc>
          <w:tcPr>
            <w:tcW w:w="714"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lastRenderedPageBreak/>
              <w:t>Gamsu and Rippon, 2018</w:t>
            </w:r>
          </w:p>
        </w:tc>
        <w:tc>
          <w:tcPr>
            <w:tcW w:w="714"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t>Waltham Forest Local Area Co-ordination Program, England.</w:t>
            </w:r>
          </w:p>
        </w:tc>
        <w:tc>
          <w:tcPr>
            <w:tcW w:w="714"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t>There are two levels of support:</w:t>
            </w:r>
          </w:p>
          <w:p w:rsidR="00963408" w:rsidRPr="004A2995" w:rsidRDefault="00963408" w:rsidP="008E6C0F">
            <w:pPr>
              <w:rPr>
                <w:rFonts w:cs="Arial"/>
                <w:sz w:val="18"/>
                <w:szCs w:val="18"/>
              </w:rPr>
            </w:pPr>
            <w:r w:rsidRPr="004A2995">
              <w:rPr>
                <w:rFonts w:cs="Arial"/>
                <w:sz w:val="18"/>
                <w:szCs w:val="18"/>
              </w:rPr>
              <w:t>Level 1 support is the provision of information and/or limited support. Participants are provided with information or advice and usually no further support is needed. This level also serves as a connection that may be of benefit in the future.</w:t>
            </w:r>
          </w:p>
          <w:p w:rsidR="00963408" w:rsidRPr="004A2995" w:rsidRDefault="00963408" w:rsidP="008E6C0F">
            <w:pPr>
              <w:rPr>
                <w:rFonts w:cs="Arial"/>
                <w:sz w:val="18"/>
                <w:szCs w:val="18"/>
              </w:rPr>
            </w:pPr>
            <w:r w:rsidRPr="004A2995">
              <w:rPr>
                <w:rFonts w:cs="Arial"/>
                <w:sz w:val="18"/>
                <w:szCs w:val="18"/>
              </w:rPr>
              <w:t xml:space="preserve"> •Level 2 support is a longer term relationship supporting people (children and adults); who are vulnerable  due  to  physical,  intellectual,  cognitive  and/or  sensory  </w:t>
            </w:r>
            <w:r w:rsidRPr="004A2995">
              <w:rPr>
                <w:rFonts w:cs="Arial"/>
                <w:sz w:val="18"/>
                <w:szCs w:val="18"/>
              </w:rPr>
              <w:lastRenderedPageBreak/>
              <w:t xml:space="preserve">disability,  mental  health needs,  age  or  frailty  and  require  sustained  assistance  to  build  relationships,  nurture  control, choice and self-sufficiency, plan for the future, find practical solutions to problems etc. </w:t>
            </w:r>
          </w:p>
          <w:p w:rsidR="00963408" w:rsidRPr="004A2995" w:rsidRDefault="00963408" w:rsidP="008E6C0F">
            <w:pPr>
              <w:rPr>
                <w:rFonts w:cs="Arial"/>
                <w:sz w:val="18"/>
                <w:szCs w:val="18"/>
              </w:rPr>
            </w:pPr>
            <w:r w:rsidRPr="004A2995">
              <w:rPr>
                <w:rFonts w:cs="Arial"/>
                <w:sz w:val="18"/>
                <w:szCs w:val="18"/>
              </w:rPr>
              <w:t xml:space="preserve">The report does not state for how long this support is provided. </w:t>
            </w:r>
          </w:p>
        </w:tc>
        <w:tc>
          <w:tcPr>
            <w:tcW w:w="715"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lastRenderedPageBreak/>
              <w:t>The initial phase  of  the  LAC  scheme  was  fully  funded  by  the  Local  Authority.</w:t>
            </w:r>
          </w:p>
        </w:tc>
        <w:tc>
          <w:tcPr>
            <w:tcW w:w="714"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t>For this model there is no assessment or intake process.  Anyone from the community can contact  LAC  for  Level  1  support.</w:t>
            </w:r>
          </w:p>
        </w:tc>
        <w:tc>
          <w:tcPr>
            <w:tcW w:w="714"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t>Local Authority</w:t>
            </w:r>
          </w:p>
        </w:tc>
        <w:tc>
          <w:tcPr>
            <w:tcW w:w="715" w:type="pct"/>
            <w:shd w:val="clear" w:color="auto" w:fill="E5DFEC" w:themeFill="accent4" w:themeFillTint="33"/>
          </w:tcPr>
          <w:p w:rsidR="00963408" w:rsidRPr="004A2995" w:rsidRDefault="00963408" w:rsidP="008E6C0F">
            <w:pPr>
              <w:rPr>
                <w:rFonts w:cs="Arial"/>
                <w:sz w:val="18"/>
                <w:szCs w:val="18"/>
              </w:rPr>
            </w:pPr>
            <w:r w:rsidRPr="004A2995">
              <w:rPr>
                <w:rFonts w:cs="Arial"/>
                <w:sz w:val="18"/>
                <w:szCs w:val="18"/>
              </w:rPr>
              <w:t xml:space="preserve">The report highlighted that LAC had a positive impact in the local communities. Data was reported via case studies. </w:t>
            </w:r>
          </w:p>
          <w:p w:rsidR="00963408" w:rsidRPr="004A2995" w:rsidRDefault="00963408" w:rsidP="008E6C0F">
            <w:pPr>
              <w:rPr>
                <w:rFonts w:cs="Arial"/>
                <w:sz w:val="18"/>
                <w:szCs w:val="18"/>
              </w:rPr>
            </w:pPr>
            <w:r w:rsidRPr="004A2995">
              <w:rPr>
                <w:rFonts w:cs="Arial"/>
                <w:sz w:val="18"/>
                <w:szCs w:val="18"/>
              </w:rPr>
              <w:t>This report identified:</w:t>
            </w:r>
          </w:p>
          <w:p w:rsidR="00963408" w:rsidRPr="004A2995" w:rsidRDefault="00963408" w:rsidP="008E6C0F">
            <w:pPr>
              <w:numPr>
                <w:ilvl w:val="0"/>
                <w:numId w:val="23"/>
              </w:numPr>
              <w:contextualSpacing/>
              <w:rPr>
                <w:rFonts w:cs="Arial"/>
                <w:sz w:val="18"/>
                <w:szCs w:val="18"/>
              </w:rPr>
            </w:pPr>
            <w:r w:rsidRPr="004A2995">
              <w:rPr>
                <w:rFonts w:cs="Arial"/>
                <w:sz w:val="18"/>
                <w:szCs w:val="18"/>
              </w:rPr>
              <w:t>a need for the operational manager role to manage and support the Coordinators.</w:t>
            </w:r>
          </w:p>
          <w:p w:rsidR="00963408" w:rsidRPr="004A2995" w:rsidRDefault="00963408" w:rsidP="008E6C0F">
            <w:pPr>
              <w:numPr>
                <w:ilvl w:val="0"/>
                <w:numId w:val="23"/>
              </w:numPr>
              <w:contextualSpacing/>
              <w:rPr>
                <w:rFonts w:cs="Arial"/>
                <w:sz w:val="18"/>
                <w:szCs w:val="18"/>
              </w:rPr>
            </w:pPr>
            <w:r w:rsidRPr="004A2995">
              <w:rPr>
                <w:rFonts w:cs="Arial"/>
                <w:sz w:val="18"/>
                <w:szCs w:val="18"/>
              </w:rPr>
              <w:t>a need for broader understanding of LAC’s purpose</w:t>
            </w:r>
          </w:p>
          <w:p w:rsidR="00963408" w:rsidRPr="004A2995" w:rsidRDefault="00963408" w:rsidP="008E6C0F">
            <w:pPr>
              <w:numPr>
                <w:ilvl w:val="0"/>
                <w:numId w:val="23"/>
              </w:numPr>
              <w:contextualSpacing/>
              <w:rPr>
                <w:rFonts w:cs="Arial"/>
                <w:sz w:val="18"/>
                <w:szCs w:val="18"/>
              </w:rPr>
            </w:pPr>
            <w:r w:rsidRPr="004A2995">
              <w:rPr>
                <w:rFonts w:cs="Arial"/>
                <w:sz w:val="18"/>
                <w:szCs w:val="18"/>
              </w:rPr>
              <w:t>as the scheme develops in scale there would be a need for  quality  assurance.</w:t>
            </w:r>
          </w:p>
          <w:p w:rsidR="00963408" w:rsidRPr="004A2995" w:rsidRDefault="00963408" w:rsidP="008E6C0F">
            <w:pPr>
              <w:rPr>
                <w:rFonts w:cs="Arial"/>
                <w:sz w:val="18"/>
                <w:szCs w:val="18"/>
              </w:rPr>
            </w:pPr>
          </w:p>
          <w:p w:rsidR="00963408" w:rsidRPr="004A2995" w:rsidRDefault="00963408" w:rsidP="008E6C0F">
            <w:pPr>
              <w:rPr>
                <w:rFonts w:cs="Arial"/>
                <w:sz w:val="18"/>
                <w:szCs w:val="18"/>
              </w:rPr>
            </w:pPr>
          </w:p>
        </w:tc>
      </w:tr>
      <w:tr w:rsidR="00963408" w:rsidRPr="005E1FC3" w:rsidTr="004A2995">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Peter Fletcher Associates, 2011</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Local Ar</w:t>
            </w:r>
            <w:r>
              <w:rPr>
                <w:rFonts w:eastAsia="Calibri" w:cs="Arial"/>
                <w:sz w:val="18"/>
                <w:szCs w:val="18"/>
              </w:rPr>
              <w:t xml:space="preserve">ea Coordination (LAC) pilot in </w:t>
            </w:r>
            <w:r w:rsidRPr="002E1ABE">
              <w:rPr>
                <w:rFonts w:eastAsia="Calibri" w:cs="Arial"/>
                <w:sz w:val="18"/>
                <w:szCs w:val="18"/>
              </w:rPr>
              <w:t>Middlesbrough England.</w:t>
            </w:r>
          </w:p>
        </w:tc>
        <w:tc>
          <w:tcPr>
            <w:tcW w:w="714" w:type="pct"/>
            <w:tcBorders>
              <w:bottom w:val="single" w:sz="4" w:space="0" w:color="auto"/>
            </w:tcBorders>
          </w:tcPr>
          <w:p w:rsidR="00963408" w:rsidRPr="002E1ABE" w:rsidRDefault="00963408" w:rsidP="008E6C0F">
            <w:pPr>
              <w:rPr>
                <w:rFonts w:eastAsia="Calibri" w:cs="Arial"/>
                <w:sz w:val="18"/>
                <w:szCs w:val="18"/>
              </w:rPr>
            </w:pPr>
            <w:r>
              <w:rPr>
                <w:rFonts w:eastAsia="Calibri" w:cs="Arial"/>
                <w:sz w:val="18"/>
                <w:szCs w:val="18"/>
              </w:rPr>
              <w:t xml:space="preserve">Local Area Coordination is </w:t>
            </w:r>
            <w:r w:rsidRPr="002E1ABE">
              <w:rPr>
                <w:rFonts w:eastAsia="Calibri" w:cs="Arial"/>
                <w:sz w:val="18"/>
                <w:szCs w:val="18"/>
              </w:rPr>
              <w:t>a service accessible to anyone i</w:t>
            </w:r>
            <w:r>
              <w:rPr>
                <w:rFonts w:eastAsia="Calibri" w:cs="Arial"/>
                <w:sz w:val="18"/>
                <w:szCs w:val="18"/>
              </w:rPr>
              <w:t xml:space="preserve">n the community trough Level </w:t>
            </w:r>
            <w:r w:rsidRPr="002E1ABE">
              <w:rPr>
                <w:rFonts w:eastAsia="Calibri" w:cs="Arial"/>
                <w:sz w:val="18"/>
                <w:szCs w:val="18"/>
              </w:rPr>
              <w:t>1.  Vulnera</w:t>
            </w:r>
            <w:r>
              <w:rPr>
                <w:rFonts w:eastAsia="Calibri" w:cs="Arial"/>
                <w:sz w:val="18"/>
                <w:szCs w:val="18"/>
              </w:rPr>
              <w:t xml:space="preserve">ble populations have access to Level 2. </w:t>
            </w:r>
          </w:p>
          <w:p w:rsidR="00963408" w:rsidRPr="002E1ABE" w:rsidRDefault="00963408" w:rsidP="008E6C0F">
            <w:pPr>
              <w:rPr>
                <w:rFonts w:eastAsia="Calibri" w:cs="Arial"/>
                <w:sz w:val="18"/>
                <w:szCs w:val="18"/>
              </w:rPr>
            </w:pPr>
            <w:r>
              <w:rPr>
                <w:rFonts w:eastAsia="Calibri" w:cs="Arial"/>
                <w:sz w:val="18"/>
                <w:szCs w:val="18"/>
              </w:rPr>
              <w:t>LAC</w:t>
            </w:r>
            <w:r w:rsidRPr="002E1ABE">
              <w:rPr>
                <w:rFonts w:eastAsia="Calibri" w:cs="Arial"/>
                <w:sz w:val="18"/>
                <w:szCs w:val="18"/>
              </w:rPr>
              <w:t xml:space="preserve"> is available for as l</w:t>
            </w:r>
            <w:r>
              <w:rPr>
                <w:rFonts w:eastAsia="Calibri" w:cs="Arial"/>
                <w:sz w:val="18"/>
                <w:szCs w:val="18"/>
              </w:rPr>
              <w:t>ong as people want the support.</w:t>
            </w:r>
          </w:p>
          <w:p w:rsidR="00963408" w:rsidRPr="002E1ABE" w:rsidRDefault="00963408" w:rsidP="008E6C0F">
            <w:pPr>
              <w:rPr>
                <w:rFonts w:eastAsia="Calibri" w:cs="Arial"/>
                <w:sz w:val="18"/>
                <w:szCs w:val="18"/>
              </w:rPr>
            </w:pPr>
            <w:r w:rsidRPr="002E1ABE">
              <w:rPr>
                <w:rFonts w:eastAsia="Calibri" w:cs="Arial"/>
                <w:sz w:val="18"/>
                <w:szCs w:val="18"/>
              </w:rPr>
              <w:t>The service does not operate through referrals or by having a waiting list.</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LAC offers two levels of support:</w:t>
            </w:r>
          </w:p>
          <w:p w:rsidR="00963408" w:rsidRPr="002E1ABE" w:rsidRDefault="00963408" w:rsidP="008E6C0F">
            <w:pPr>
              <w:rPr>
                <w:rFonts w:eastAsia="Calibri" w:cs="Arial"/>
                <w:sz w:val="18"/>
                <w:szCs w:val="18"/>
              </w:rPr>
            </w:pPr>
            <w:r>
              <w:rPr>
                <w:rFonts w:eastAsia="Calibri" w:cs="Arial"/>
                <w:sz w:val="18"/>
                <w:szCs w:val="18"/>
              </w:rPr>
              <w:t>Level 1 -provides i</w:t>
            </w:r>
            <w:r w:rsidRPr="002E1ABE">
              <w:rPr>
                <w:rFonts w:eastAsia="Calibri" w:cs="Arial"/>
                <w:sz w:val="18"/>
                <w:szCs w:val="18"/>
              </w:rPr>
              <w:t>nformation and/or limited support</w:t>
            </w:r>
            <w:r>
              <w:rPr>
                <w:rFonts w:eastAsia="Calibri" w:cs="Arial"/>
                <w:sz w:val="18"/>
                <w:szCs w:val="18"/>
              </w:rPr>
              <w:t xml:space="preserve">. </w:t>
            </w:r>
            <w:r w:rsidRPr="002E1ABE">
              <w:rPr>
                <w:rFonts w:eastAsia="Calibri" w:cs="Arial"/>
                <w:sz w:val="18"/>
                <w:szCs w:val="18"/>
              </w:rPr>
              <w:t>There is no</w:t>
            </w:r>
            <w:r>
              <w:rPr>
                <w:rFonts w:eastAsia="Calibri" w:cs="Arial"/>
                <w:sz w:val="18"/>
                <w:szCs w:val="18"/>
              </w:rPr>
              <w:t xml:space="preserve"> </w:t>
            </w:r>
            <w:r w:rsidRPr="002E1ABE">
              <w:rPr>
                <w:rFonts w:eastAsia="Calibri" w:cs="Arial"/>
                <w:sz w:val="18"/>
                <w:szCs w:val="18"/>
              </w:rPr>
              <w:t xml:space="preserve">assessment </w:t>
            </w:r>
            <w:r w:rsidRPr="002E1ABE">
              <w:rPr>
                <w:rFonts w:eastAsia="Calibri" w:cs="Arial"/>
                <w:sz w:val="18"/>
                <w:szCs w:val="18"/>
              </w:rPr>
              <w:lastRenderedPageBreak/>
              <w:t>needed to get this level of support.</w:t>
            </w:r>
          </w:p>
          <w:p w:rsidR="00963408" w:rsidRPr="002E1ABE" w:rsidRDefault="00963408" w:rsidP="008E6C0F">
            <w:pPr>
              <w:rPr>
                <w:rFonts w:eastAsia="Calibri" w:cs="Arial"/>
                <w:sz w:val="18"/>
                <w:szCs w:val="18"/>
              </w:rPr>
            </w:pPr>
            <w:r w:rsidRPr="002E1ABE">
              <w:rPr>
                <w:rFonts w:eastAsia="Calibri" w:cs="Arial"/>
                <w:sz w:val="18"/>
                <w:szCs w:val="18"/>
              </w:rPr>
              <w:t>Level 2 -continuing support to people (children and adults) who are vulnerable.</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LAC is funded through  the North East   Improvement   and   Efficiency   Partnership</w:t>
            </w:r>
          </w:p>
          <w:p w:rsidR="00963408" w:rsidRPr="002E1ABE" w:rsidRDefault="00963408" w:rsidP="008E6C0F">
            <w:pPr>
              <w:rPr>
                <w:rFonts w:eastAsia="Calibri" w:cs="Arial"/>
                <w:sz w:val="18"/>
                <w:szCs w:val="18"/>
              </w:rPr>
            </w:pPr>
            <w:r w:rsidRPr="002E1ABE">
              <w:rPr>
                <w:rFonts w:eastAsia="Calibri" w:cs="Arial"/>
                <w:sz w:val="18"/>
                <w:szCs w:val="18"/>
              </w:rPr>
              <w:t xml:space="preserve">(NEIEP).   </w:t>
            </w:r>
          </w:p>
        </w:tc>
        <w:tc>
          <w:tcPr>
            <w:tcW w:w="714" w:type="pct"/>
            <w:tcBorders>
              <w:bottom w:val="single" w:sz="4" w:space="0" w:color="auto"/>
            </w:tcBorders>
          </w:tcPr>
          <w:p w:rsidR="00963408" w:rsidRPr="002E1ABE" w:rsidRDefault="00963408" w:rsidP="008E6C0F">
            <w:pPr>
              <w:rPr>
                <w:rFonts w:eastAsia="Calibri" w:cs="Arial"/>
                <w:sz w:val="18"/>
                <w:szCs w:val="18"/>
              </w:rPr>
            </w:pPr>
            <w:r>
              <w:rPr>
                <w:rFonts w:eastAsia="Calibri" w:cs="Arial"/>
                <w:sz w:val="18"/>
                <w:szCs w:val="18"/>
              </w:rPr>
              <w:t xml:space="preserve">Level 1 -the provision of information and/or limited </w:t>
            </w:r>
            <w:r w:rsidRPr="002E1ABE">
              <w:rPr>
                <w:rFonts w:eastAsia="Calibri" w:cs="Arial"/>
                <w:sz w:val="18"/>
                <w:szCs w:val="18"/>
              </w:rPr>
              <w:t>support.  There is no assessment or intake process.</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 xml:space="preserve">Level 2 support is available for people (children and adults): </w:t>
            </w:r>
          </w:p>
          <w:p w:rsidR="00963408" w:rsidRPr="002E1ABE" w:rsidRDefault="00963408" w:rsidP="008E6C0F">
            <w:pPr>
              <w:numPr>
                <w:ilvl w:val="0"/>
                <w:numId w:val="22"/>
              </w:numPr>
              <w:contextualSpacing/>
              <w:rPr>
                <w:rFonts w:eastAsia="Calibri" w:cs="Arial"/>
                <w:sz w:val="18"/>
                <w:szCs w:val="18"/>
              </w:rPr>
            </w:pPr>
            <w:r w:rsidRPr="002E1ABE">
              <w:rPr>
                <w:rFonts w:eastAsia="Calibri" w:cs="Arial"/>
                <w:sz w:val="18"/>
                <w:szCs w:val="18"/>
              </w:rPr>
              <w:t>who   are vulnerable   due   to physical,  intellectual,   cognitive and/or  sensory  disability,  mental  health  needs  or  age  and require sustained assistance;</w:t>
            </w:r>
          </w:p>
          <w:p w:rsidR="00963408" w:rsidRPr="002E1ABE" w:rsidRDefault="00963408" w:rsidP="008E6C0F">
            <w:pPr>
              <w:numPr>
                <w:ilvl w:val="0"/>
                <w:numId w:val="22"/>
              </w:numPr>
              <w:contextualSpacing/>
              <w:rPr>
                <w:rFonts w:eastAsia="Calibri" w:cs="Arial"/>
                <w:sz w:val="18"/>
                <w:szCs w:val="18"/>
              </w:rPr>
            </w:pPr>
            <w:r>
              <w:rPr>
                <w:rFonts w:eastAsia="Calibri" w:cs="Arial"/>
                <w:sz w:val="18"/>
                <w:szCs w:val="18"/>
              </w:rPr>
              <w:lastRenderedPageBreak/>
              <w:t xml:space="preserve">who are residents  of  the Netherfield,  Park End  or Priestfield </w:t>
            </w:r>
            <w:r w:rsidRPr="002E1ABE">
              <w:rPr>
                <w:rFonts w:eastAsia="Calibri" w:cs="Arial"/>
                <w:sz w:val="18"/>
                <w:szCs w:val="18"/>
              </w:rPr>
              <w:t>areas of East Middlesbrough;</w:t>
            </w:r>
          </w:p>
          <w:p w:rsidR="00963408" w:rsidRPr="002E1ABE" w:rsidRDefault="00963408" w:rsidP="008E6C0F">
            <w:pPr>
              <w:numPr>
                <w:ilvl w:val="0"/>
                <w:numId w:val="22"/>
              </w:numPr>
              <w:contextualSpacing/>
              <w:rPr>
                <w:rFonts w:eastAsia="Calibri" w:cs="Arial"/>
                <w:sz w:val="18"/>
                <w:szCs w:val="18"/>
              </w:rPr>
            </w:pPr>
            <w:r w:rsidRPr="002E1ABE">
              <w:rPr>
                <w:rFonts w:eastAsia="Calibri" w:cs="Arial"/>
                <w:sz w:val="18"/>
                <w:szCs w:val="18"/>
              </w:rPr>
              <w:t>who might  wish  to  access,  in  the  short-term,  provision  of information, advocacy, advice and/or options;</w:t>
            </w:r>
          </w:p>
          <w:p w:rsidR="00963408" w:rsidRPr="002E1ABE" w:rsidRDefault="00963408" w:rsidP="008E6C0F">
            <w:pPr>
              <w:numPr>
                <w:ilvl w:val="0"/>
                <w:numId w:val="22"/>
              </w:numPr>
              <w:contextualSpacing/>
              <w:rPr>
                <w:rFonts w:eastAsia="Calibri" w:cs="Arial"/>
                <w:sz w:val="18"/>
                <w:szCs w:val="18"/>
              </w:rPr>
            </w:pPr>
            <w:r w:rsidRPr="002E1ABE">
              <w:rPr>
                <w:rFonts w:eastAsia="Calibri" w:cs="Arial"/>
                <w:sz w:val="18"/>
                <w:szCs w:val="18"/>
              </w:rPr>
              <w:t>who might access medium to long-term LAC support to ensure that plans and goals are achieved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Local Authority</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This formativ</w:t>
            </w:r>
            <w:r>
              <w:rPr>
                <w:rFonts w:eastAsia="Calibri" w:cs="Arial"/>
                <w:sz w:val="18"/>
                <w:szCs w:val="18"/>
              </w:rPr>
              <w:t xml:space="preserve">e evaluation report identified </w:t>
            </w:r>
            <w:r w:rsidRPr="002E1ABE">
              <w:rPr>
                <w:rFonts w:eastAsia="Calibri" w:cs="Arial"/>
                <w:sz w:val="18"/>
                <w:szCs w:val="18"/>
              </w:rPr>
              <w:t xml:space="preserve">that </w:t>
            </w:r>
            <w:r>
              <w:rPr>
                <w:rFonts w:eastAsia="Calibri" w:cs="Arial"/>
                <w:sz w:val="18"/>
                <w:szCs w:val="18"/>
              </w:rPr>
              <w:t xml:space="preserve">LAC made </w:t>
            </w:r>
            <w:r w:rsidRPr="002E1ABE">
              <w:rPr>
                <w:rFonts w:eastAsia="Calibri" w:cs="Arial"/>
                <w:sz w:val="18"/>
                <w:szCs w:val="18"/>
              </w:rPr>
              <w:t>a positive impact</w:t>
            </w:r>
            <w:r>
              <w:rPr>
                <w:rFonts w:eastAsia="Calibri" w:cs="Arial"/>
                <w:sz w:val="18"/>
                <w:szCs w:val="18"/>
              </w:rPr>
              <w:t xml:space="preserve"> in the local communities. </w:t>
            </w:r>
            <w:r w:rsidRPr="002E1ABE">
              <w:rPr>
                <w:rFonts w:eastAsia="Calibri" w:cs="Arial"/>
                <w:sz w:val="18"/>
                <w:szCs w:val="18"/>
              </w:rPr>
              <w:t>Data</w:t>
            </w:r>
            <w:r>
              <w:rPr>
                <w:rFonts w:eastAsia="Calibri" w:cs="Arial"/>
                <w:sz w:val="18"/>
                <w:szCs w:val="18"/>
              </w:rPr>
              <w:t xml:space="preserve"> was reported via case studies.</w:t>
            </w:r>
          </w:p>
          <w:p w:rsidR="00963408" w:rsidRPr="002E1ABE" w:rsidRDefault="00963408" w:rsidP="008E6C0F">
            <w:pPr>
              <w:rPr>
                <w:rFonts w:eastAsia="Calibri" w:cs="Arial"/>
                <w:sz w:val="18"/>
                <w:szCs w:val="18"/>
              </w:rPr>
            </w:pPr>
            <w:r>
              <w:rPr>
                <w:rFonts w:eastAsia="Calibri" w:cs="Arial"/>
                <w:sz w:val="18"/>
                <w:szCs w:val="18"/>
              </w:rPr>
              <w:t xml:space="preserve">An </w:t>
            </w:r>
            <w:r w:rsidRPr="002E1ABE">
              <w:rPr>
                <w:rFonts w:eastAsia="Calibri" w:cs="Arial"/>
                <w:sz w:val="18"/>
                <w:szCs w:val="18"/>
              </w:rPr>
              <w:t>hourly cost</w:t>
            </w:r>
            <w:r>
              <w:rPr>
                <w:rFonts w:eastAsia="Calibri" w:cs="Arial"/>
                <w:sz w:val="18"/>
                <w:szCs w:val="18"/>
              </w:rPr>
              <w:t xml:space="preserve"> for the </w:t>
            </w:r>
            <w:r w:rsidRPr="002E1ABE">
              <w:rPr>
                <w:rFonts w:eastAsia="Calibri" w:cs="Arial"/>
                <w:sz w:val="18"/>
                <w:szCs w:val="18"/>
              </w:rPr>
              <w:t>LAC serv</w:t>
            </w:r>
            <w:r>
              <w:rPr>
                <w:rFonts w:eastAsia="Calibri" w:cs="Arial"/>
                <w:sz w:val="18"/>
                <w:szCs w:val="18"/>
              </w:rPr>
              <w:t>ice was calculated at £33.61, while an average cost of the</w:t>
            </w:r>
            <w:r w:rsidRPr="002E1ABE">
              <w:rPr>
                <w:rFonts w:eastAsia="Calibri" w:cs="Arial"/>
                <w:sz w:val="18"/>
                <w:szCs w:val="18"/>
              </w:rPr>
              <w:t xml:space="preserve"> LAC intervention was</w:t>
            </w:r>
            <w:r>
              <w:rPr>
                <w:rFonts w:eastAsia="Calibri" w:cs="Arial"/>
                <w:sz w:val="18"/>
                <w:szCs w:val="18"/>
              </w:rPr>
              <w:t xml:space="preserve"> £92.77per case. </w:t>
            </w:r>
          </w:p>
          <w:p w:rsidR="00963408" w:rsidRPr="002E1ABE" w:rsidRDefault="00963408" w:rsidP="008E6C0F">
            <w:pPr>
              <w:rPr>
                <w:rFonts w:eastAsia="Calibri" w:cs="Arial"/>
                <w:sz w:val="18"/>
                <w:szCs w:val="18"/>
              </w:rPr>
            </w:pPr>
            <w:r w:rsidRPr="002E1ABE">
              <w:rPr>
                <w:rFonts w:eastAsia="Calibri" w:cs="Arial"/>
                <w:sz w:val="18"/>
                <w:szCs w:val="18"/>
              </w:rPr>
              <w:t xml:space="preserve">The report identified the need for the LAC </w:t>
            </w:r>
            <w:r>
              <w:rPr>
                <w:rFonts w:eastAsia="Calibri" w:cs="Arial"/>
                <w:sz w:val="18"/>
                <w:szCs w:val="18"/>
              </w:rPr>
              <w:t>service to be funded long term.</w:t>
            </w:r>
          </w:p>
          <w:p w:rsidR="00963408" w:rsidRPr="002E1ABE" w:rsidRDefault="00963408" w:rsidP="008E6C0F">
            <w:pPr>
              <w:rPr>
                <w:rFonts w:eastAsia="Calibri" w:cs="Arial"/>
                <w:sz w:val="18"/>
                <w:szCs w:val="18"/>
              </w:rPr>
            </w:pPr>
            <w:r w:rsidRPr="002E1ABE">
              <w:rPr>
                <w:rFonts w:eastAsia="Calibri" w:cs="Arial"/>
                <w:sz w:val="18"/>
                <w:szCs w:val="18"/>
              </w:rPr>
              <w:t>The report highlighted that:</w:t>
            </w:r>
          </w:p>
          <w:p w:rsidR="00963408" w:rsidRPr="002E1ABE" w:rsidRDefault="00963408" w:rsidP="008E6C0F">
            <w:pPr>
              <w:numPr>
                <w:ilvl w:val="0"/>
                <w:numId w:val="11"/>
              </w:numPr>
              <w:contextualSpacing/>
              <w:rPr>
                <w:rFonts w:eastAsia="Calibri" w:cs="Arial"/>
                <w:sz w:val="18"/>
                <w:szCs w:val="18"/>
              </w:rPr>
            </w:pPr>
            <w:r w:rsidRPr="002E1ABE">
              <w:rPr>
                <w:rFonts w:eastAsia="Calibri" w:cs="Arial"/>
                <w:sz w:val="18"/>
                <w:szCs w:val="18"/>
              </w:rPr>
              <w:lastRenderedPageBreak/>
              <w:t>the relationship  between  the  LAC  service  and  access  routes  to  both  children and adults social care services needs to be formalised. LAC s</w:t>
            </w:r>
            <w:r>
              <w:rPr>
                <w:rFonts w:eastAsia="Calibri" w:cs="Arial"/>
                <w:sz w:val="18"/>
                <w:szCs w:val="18"/>
              </w:rPr>
              <w:t xml:space="preserve">hould become a key element in the way that people </w:t>
            </w:r>
            <w:r w:rsidRPr="002E1ABE">
              <w:rPr>
                <w:rFonts w:eastAsia="Calibri" w:cs="Arial"/>
                <w:sz w:val="18"/>
                <w:szCs w:val="18"/>
              </w:rPr>
              <w:t xml:space="preserve">can access these services. </w:t>
            </w:r>
          </w:p>
          <w:p w:rsidR="00963408" w:rsidRPr="002E1ABE" w:rsidRDefault="00963408" w:rsidP="008E6C0F">
            <w:pPr>
              <w:numPr>
                <w:ilvl w:val="0"/>
                <w:numId w:val="11"/>
              </w:numPr>
              <w:contextualSpacing/>
              <w:rPr>
                <w:rFonts w:eastAsia="Calibri" w:cs="Arial"/>
                <w:sz w:val="18"/>
                <w:szCs w:val="18"/>
              </w:rPr>
            </w:pPr>
            <w:r>
              <w:rPr>
                <w:rFonts w:eastAsia="Calibri" w:cs="Arial"/>
                <w:sz w:val="18"/>
                <w:szCs w:val="18"/>
              </w:rPr>
              <w:t>LAC wa</w:t>
            </w:r>
            <w:r w:rsidRPr="002E1ABE">
              <w:rPr>
                <w:rFonts w:eastAsia="Calibri" w:cs="Arial"/>
                <w:sz w:val="18"/>
                <w:szCs w:val="18"/>
              </w:rPr>
              <w:t>s identified as the core of Council's response to people who fall outside the current eligibility for assessed care.</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r>
      <w:tr w:rsidR="00963408" w:rsidRPr="005E1FC3" w:rsidTr="004A2995">
        <w:tc>
          <w:tcPr>
            <w:tcW w:w="714"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Sitch, 2014</w:t>
            </w:r>
          </w:p>
        </w:tc>
        <w:tc>
          <w:tcPr>
            <w:tcW w:w="714"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Area Co-ordination, Thurrock, England</w:t>
            </w:r>
          </w:p>
        </w:tc>
        <w:tc>
          <w:tcPr>
            <w:tcW w:w="714"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There are two levels of support available thr</w:t>
            </w:r>
            <w:r>
              <w:rPr>
                <w:rFonts w:eastAsia="Calibri" w:cs="Arial"/>
                <w:sz w:val="18"/>
                <w:szCs w:val="18"/>
              </w:rPr>
              <w:t xml:space="preserve">ough Local Area Coordination.  </w:t>
            </w:r>
          </w:p>
          <w:p w:rsidR="00963408" w:rsidRPr="002E1ABE" w:rsidRDefault="00963408" w:rsidP="008E6C0F">
            <w:pPr>
              <w:rPr>
                <w:rFonts w:eastAsia="Calibri" w:cs="Arial"/>
                <w:sz w:val="18"/>
                <w:szCs w:val="18"/>
              </w:rPr>
            </w:pPr>
            <w:r w:rsidRPr="002E1ABE">
              <w:rPr>
                <w:rFonts w:eastAsia="Calibri" w:cs="Arial"/>
                <w:sz w:val="18"/>
                <w:szCs w:val="18"/>
              </w:rPr>
              <w:t xml:space="preserve">•Level 1 support is the provision of information and/or limited support. Participants accessing </w:t>
            </w:r>
            <w:r>
              <w:rPr>
                <w:rFonts w:eastAsia="Calibri" w:cs="Arial"/>
                <w:sz w:val="18"/>
                <w:szCs w:val="18"/>
              </w:rPr>
              <w:t xml:space="preserve">this level </w:t>
            </w:r>
            <w:r>
              <w:rPr>
                <w:rFonts w:eastAsia="Calibri" w:cs="Arial"/>
                <w:sz w:val="18"/>
                <w:szCs w:val="18"/>
              </w:rPr>
              <w:lastRenderedPageBreak/>
              <w:t>seek information/advice</w:t>
            </w:r>
            <w:r w:rsidRPr="002E1ABE">
              <w:rPr>
                <w:rFonts w:eastAsia="Calibri" w:cs="Arial"/>
                <w:sz w:val="18"/>
                <w:szCs w:val="18"/>
              </w:rPr>
              <w:t xml:space="preserve"> and no further support i</w:t>
            </w:r>
            <w:r>
              <w:rPr>
                <w:rFonts w:eastAsia="Calibri" w:cs="Arial"/>
                <w:sz w:val="18"/>
                <w:szCs w:val="18"/>
              </w:rPr>
              <w:t>s needed at that time. However,</w:t>
            </w:r>
            <w:r w:rsidRPr="002E1ABE">
              <w:rPr>
                <w:rFonts w:eastAsia="Calibri" w:cs="Arial"/>
                <w:sz w:val="18"/>
                <w:szCs w:val="18"/>
              </w:rPr>
              <w:t xml:space="preserve"> a connection has been made and participants can benefit from it in the </w:t>
            </w:r>
            <w:r>
              <w:rPr>
                <w:rFonts w:eastAsia="Calibri" w:cs="Arial"/>
                <w:sz w:val="18"/>
                <w:szCs w:val="18"/>
              </w:rPr>
              <w:t xml:space="preserve">future. </w:t>
            </w:r>
          </w:p>
          <w:p w:rsidR="00963408" w:rsidRPr="002E1ABE" w:rsidRDefault="00963408" w:rsidP="008E6C0F">
            <w:pPr>
              <w:rPr>
                <w:rFonts w:eastAsia="Calibri" w:cs="Arial"/>
                <w:sz w:val="18"/>
                <w:szCs w:val="18"/>
              </w:rPr>
            </w:pPr>
            <w:r>
              <w:rPr>
                <w:rFonts w:eastAsia="Calibri" w:cs="Arial"/>
                <w:sz w:val="18"/>
                <w:szCs w:val="18"/>
              </w:rPr>
              <w:t>•Level 2 support is a long</w:t>
            </w:r>
            <w:r w:rsidRPr="002E1ABE">
              <w:rPr>
                <w:rFonts w:eastAsia="Calibri" w:cs="Arial"/>
                <w:sz w:val="18"/>
                <w:szCs w:val="18"/>
              </w:rPr>
              <w:t xml:space="preserve"> term relationship supporting people (children and adults); who are vulnerable due to physical, intellectual, cognitive and/or sensory disability, mental health needs, age or frailty and require sustained assistance to build relationships, nurture control, choice and self-sufficiency, plan for the future, find practical solutions to problems etc. There was no indication in the report of the exact </w:t>
            </w:r>
            <w:r>
              <w:rPr>
                <w:rFonts w:eastAsia="Calibri" w:cs="Arial"/>
                <w:sz w:val="18"/>
                <w:szCs w:val="18"/>
              </w:rPr>
              <w:t>duration</w:t>
            </w:r>
            <w:r w:rsidRPr="002E1ABE">
              <w:rPr>
                <w:rFonts w:eastAsia="Calibri" w:cs="Arial"/>
                <w:sz w:val="18"/>
                <w:szCs w:val="18"/>
              </w:rPr>
              <w:t xml:space="preserve"> of the Level 2 support. </w:t>
            </w:r>
          </w:p>
        </w:tc>
        <w:tc>
          <w:tcPr>
            <w:tcW w:w="715"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The Adult Social Care management team funded three LAC posts from their core budget. In addition, the Fire and Rescue Service part funded a seconded Firefighter to the role of LAC.</w:t>
            </w:r>
          </w:p>
          <w:p w:rsidR="00963408" w:rsidRPr="002E1ABE" w:rsidRDefault="00963408" w:rsidP="008E6C0F">
            <w:pPr>
              <w:rPr>
                <w:rFonts w:eastAsia="Calibri" w:cs="Arial"/>
                <w:sz w:val="18"/>
                <w:szCs w:val="18"/>
              </w:rPr>
            </w:pPr>
            <w:r w:rsidRPr="002E1ABE">
              <w:rPr>
                <w:rFonts w:eastAsia="Calibri" w:cs="Arial"/>
                <w:sz w:val="18"/>
                <w:szCs w:val="18"/>
              </w:rPr>
              <w:lastRenderedPageBreak/>
              <w:t>Three posts are funded from Public Health. The final three posts were at the time funded through the Better Care fund.</w:t>
            </w:r>
          </w:p>
        </w:tc>
        <w:tc>
          <w:tcPr>
            <w:tcW w:w="714"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Th</w:t>
            </w:r>
            <w:r>
              <w:rPr>
                <w:rFonts w:eastAsia="Calibri" w:cs="Arial"/>
                <w:sz w:val="18"/>
                <w:szCs w:val="18"/>
              </w:rPr>
              <w:t>ere was no</w:t>
            </w:r>
            <w:r w:rsidRPr="002E1ABE">
              <w:rPr>
                <w:rFonts w:eastAsia="Calibri" w:cs="Arial"/>
                <w:sz w:val="18"/>
                <w:szCs w:val="18"/>
              </w:rPr>
              <w:t xml:space="preserve"> require</w:t>
            </w:r>
            <w:r>
              <w:rPr>
                <w:rFonts w:eastAsia="Calibri" w:cs="Arial"/>
                <w:sz w:val="18"/>
                <w:szCs w:val="18"/>
              </w:rPr>
              <w:t>ment for</w:t>
            </w:r>
            <w:r w:rsidRPr="002E1ABE">
              <w:rPr>
                <w:rFonts w:eastAsia="Calibri" w:cs="Arial"/>
                <w:sz w:val="18"/>
                <w:szCs w:val="18"/>
              </w:rPr>
              <w:t xml:space="preserve"> assessment or intake process. Anyone from the community can contact the Local Area Coordinator for Level 1 support.</w:t>
            </w:r>
          </w:p>
        </w:tc>
        <w:tc>
          <w:tcPr>
            <w:tcW w:w="714"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tcBorders>
              <w:bottom w:val="single" w:sz="4" w:space="0" w:color="auto"/>
            </w:tcBorders>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This progress report identified that the LAC model needs continued funding in the longer term.</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The report highlights</w:t>
            </w:r>
            <w:r>
              <w:rPr>
                <w:rFonts w:eastAsia="Calibri" w:cs="Arial"/>
                <w:sz w:val="18"/>
                <w:szCs w:val="18"/>
              </w:rPr>
              <w:t xml:space="preserve"> the need for</w:t>
            </w:r>
            <w:r w:rsidRPr="002E1ABE">
              <w:rPr>
                <w:rFonts w:eastAsia="Calibri" w:cs="Arial"/>
                <w:sz w:val="18"/>
                <w:szCs w:val="18"/>
              </w:rPr>
              <w:t>:</w:t>
            </w:r>
          </w:p>
          <w:p w:rsidR="00963408" w:rsidRPr="002E1ABE" w:rsidRDefault="00963408" w:rsidP="008E6C0F">
            <w:pPr>
              <w:rPr>
                <w:rFonts w:eastAsia="Calibri" w:cs="Arial"/>
                <w:sz w:val="18"/>
                <w:szCs w:val="18"/>
              </w:rPr>
            </w:pPr>
          </w:p>
          <w:p w:rsidR="00963408" w:rsidRPr="002E1ABE" w:rsidRDefault="00963408" w:rsidP="008E6C0F">
            <w:pPr>
              <w:numPr>
                <w:ilvl w:val="0"/>
                <w:numId w:val="12"/>
              </w:numPr>
              <w:ind w:left="360"/>
              <w:contextualSpacing/>
              <w:rPr>
                <w:rFonts w:eastAsia="Calibri" w:cs="Arial"/>
                <w:sz w:val="18"/>
                <w:szCs w:val="18"/>
              </w:rPr>
            </w:pPr>
            <w:r w:rsidRPr="002E1ABE">
              <w:rPr>
                <w:rFonts w:eastAsia="Calibri" w:cs="Arial"/>
                <w:sz w:val="18"/>
                <w:szCs w:val="18"/>
              </w:rPr>
              <w:lastRenderedPageBreak/>
              <w:t>understanding where the LAC role fits in alongside other community-based initiatives.</w:t>
            </w:r>
          </w:p>
          <w:p w:rsidR="00963408" w:rsidRPr="002E1ABE" w:rsidRDefault="00963408" w:rsidP="008E6C0F">
            <w:pPr>
              <w:rPr>
                <w:rFonts w:eastAsia="Calibri" w:cs="Arial"/>
                <w:sz w:val="18"/>
                <w:szCs w:val="18"/>
              </w:rPr>
            </w:pPr>
          </w:p>
          <w:p w:rsidR="00963408" w:rsidRPr="002E1ABE" w:rsidRDefault="00963408" w:rsidP="008E6C0F">
            <w:pPr>
              <w:numPr>
                <w:ilvl w:val="0"/>
                <w:numId w:val="12"/>
              </w:numPr>
              <w:ind w:left="360"/>
              <w:contextualSpacing/>
              <w:rPr>
                <w:rFonts w:eastAsia="Calibri" w:cs="Arial"/>
                <w:sz w:val="18"/>
                <w:szCs w:val="18"/>
              </w:rPr>
            </w:pPr>
            <w:r>
              <w:rPr>
                <w:rFonts w:eastAsia="Calibri" w:cs="Arial"/>
                <w:sz w:val="18"/>
                <w:szCs w:val="18"/>
              </w:rPr>
              <w:t>joint work</w:t>
            </w:r>
            <w:r w:rsidRPr="002E1ABE">
              <w:rPr>
                <w:rFonts w:eastAsia="Calibri" w:cs="Arial"/>
                <w:sz w:val="18"/>
                <w:szCs w:val="18"/>
              </w:rPr>
              <w:t xml:space="preserve"> with other partners in the community. </w:t>
            </w:r>
          </w:p>
          <w:p w:rsidR="00963408" w:rsidRPr="002E1ABE" w:rsidRDefault="00963408" w:rsidP="008E6C0F">
            <w:pPr>
              <w:rPr>
                <w:rFonts w:eastAsia="Calibri" w:cs="Arial"/>
                <w:sz w:val="18"/>
                <w:szCs w:val="18"/>
              </w:rPr>
            </w:pPr>
          </w:p>
          <w:p w:rsidR="00963408" w:rsidRPr="002E1ABE" w:rsidRDefault="00963408" w:rsidP="008E6C0F">
            <w:pPr>
              <w:numPr>
                <w:ilvl w:val="0"/>
                <w:numId w:val="12"/>
              </w:numPr>
              <w:ind w:left="360"/>
              <w:contextualSpacing/>
              <w:rPr>
                <w:rFonts w:eastAsia="Calibri" w:cs="Arial"/>
                <w:sz w:val="18"/>
                <w:szCs w:val="18"/>
              </w:rPr>
            </w:pPr>
            <w:r w:rsidRPr="002E1ABE">
              <w:rPr>
                <w:rFonts w:eastAsia="Calibri" w:cs="Arial"/>
                <w:sz w:val="18"/>
                <w:szCs w:val="18"/>
              </w:rPr>
              <w:t>essential principles of LAC to be shared by community partners – working from a strength based rather than deficit based model.</w:t>
            </w:r>
          </w:p>
          <w:p w:rsidR="00963408" w:rsidRPr="002E1ABE" w:rsidRDefault="00963408" w:rsidP="008E6C0F">
            <w:pPr>
              <w:ind w:left="720"/>
              <w:contextualSpacing/>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NB The partners were not further elaborated in the report</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r>
      <w:tr w:rsidR="00963408" w:rsidRPr="005E1FC3" w:rsidTr="004A2995">
        <w:tc>
          <w:tcPr>
            <w:tcW w:w="714"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sidRPr="002E1ABE">
              <w:rPr>
                <w:rFonts w:eastAsia="Calibri" w:cs="Arial"/>
                <w:sz w:val="18"/>
                <w:szCs w:val="18"/>
              </w:rPr>
              <w:lastRenderedPageBreak/>
              <w:t>Kingfishers, 2015</w:t>
            </w:r>
          </w:p>
        </w:tc>
        <w:tc>
          <w:tcPr>
            <w:tcW w:w="714"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sidRPr="002E1ABE">
              <w:rPr>
                <w:rFonts w:eastAsia="Calibri" w:cs="Arial"/>
                <w:sz w:val="18"/>
                <w:szCs w:val="18"/>
              </w:rPr>
              <w:t>Local Area Coordination Thurrock, England</w:t>
            </w:r>
          </w:p>
        </w:tc>
        <w:tc>
          <w:tcPr>
            <w:tcW w:w="714"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sidRPr="002E1ABE">
              <w:rPr>
                <w:rFonts w:eastAsia="Calibri" w:cs="Arial"/>
                <w:sz w:val="18"/>
                <w:szCs w:val="18"/>
              </w:rPr>
              <w:t>There are two l</w:t>
            </w:r>
            <w:r>
              <w:rPr>
                <w:rFonts w:eastAsia="Calibri" w:cs="Arial"/>
                <w:sz w:val="18"/>
                <w:szCs w:val="18"/>
              </w:rPr>
              <w:t>evels of support in this model.</w:t>
            </w:r>
          </w:p>
          <w:p w:rsidR="00963408" w:rsidRPr="002E1ABE" w:rsidRDefault="00963408" w:rsidP="008E6C0F">
            <w:pPr>
              <w:rPr>
                <w:rFonts w:eastAsia="Calibri" w:cs="Arial"/>
                <w:sz w:val="18"/>
                <w:szCs w:val="18"/>
              </w:rPr>
            </w:pPr>
            <w:r w:rsidRPr="002E1ABE">
              <w:rPr>
                <w:rFonts w:eastAsia="Calibri" w:cs="Arial"/>
                <w:sz w:val="18"/>
                <w:szCs w:val="18"/>
              </w:rPr>
              <w:lastRenderedPageBreak/>
              <w:t>While report does not give information about Level 1, Level 2 is aimed at individuals with complex needs, or multiple i</w:t>
            </w:r>
            <w:r>
              <w:rPr>
                <w:rFonts w:eastAsia="Calibri" w:cs="Arial"/>
                <w:sz w:val="18"/>
                <w:szCs w:val="18"/>
              </w:rPr>
              <w:t>ssues that require support.</w:t>
            </w:r>
          </w:p>
          <w:p w:rsidR="00963408" w:rsidRPr="002E1ABE" w:rsidRDefault="00963408" w:rsidP="008E6C0F">
            <w:pPr>
              <w:rPr>
                <w:rFonts w:eastAsia="Calibri" w:cs="Arial"/>
                <w:sz w:val="18"/>
                <w:szCs w:val="18"/>
              </w:rPr>
            </w:pPr>
            <w:r w:rsidRPr="002E1ABE">
              <w:rPr>
                <w:rFonts w:eastAsia="Calibri" w:cs="Arial"/>
                <w:sz w:val="18"/>
                <w:szCs w:val="18"/>
              </w:rPr>
              <w:t xml:space="preserve">There is no data about the </w:t>
            </w:r>
            <w:r>
              <w:rPr>
                <w:rFonts w:eastAsia="Calibri" w:cs="Arial"/>
                <w:sz w:val="18"/>
                <w:szCs w:val="18"/>
              </w:rPr>
              <w:t>duration</w:t>
            </w:r>
            <w:r w:rsidRPr="002E1ABE">
              <w:rPr>
                <w:rFonts w:eastAsia="Calibri" w:cs="Arial"/>
                <w:sz w:val="18"/>
                <w:szCs w:val="18"/>
              </w:rPr>
              <w:t xml:space="preserve"> of provision.</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c>
          <w:tcPr>
            <w:tcW w:w="715"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sidRPr="002E1ABE">
              <w:rPr>
                <w:rFonts w:eastAsia="Calibri" w:cs="Arial"/>
                <w:sz w:val="18"/>
                <w:szCs w:val="18"/>
              </w:rPr>
              <w:lastRenderedPageBreak/>
              <w:t>Not stated</w:t>
            </w:r>
          </w:p>
        </w:tc>
        <w:tc>
          <w:tcPr>
            <w:tcW w:w="714"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tcBorders>
              <w:bottom w:val="single" w:sz="4" w:space="0" w:color="auto"/>
            </w:tcBorders>
            <w:shd w:val="clear" w:color="auto" w:fill="FFFFFF" w:themeFill="background1"/>
          </w:tcPr>
          <w:p w:rsidR="00963408" w:rsidRPr="002E1ABE" w:rsidRDefault="00963408" w:rsidP="008E6C0F">
            <w:pPr>
              <w:rPr>
                <w:rFonts w:eastAsia="Calibri" w:cs="Arial"/>
                <w:sz w:val="18"/>
                <w:szCs w:val="18"/>
              </w:rPr>
            </w:pPr>
            <w:r>
              <w:rPr>
                <w:rFonts w:eastAsia="Calibri" w:cs="Arial"/>
                <w:sz w:val="18"/>
                <w:szCs w:val="18"/>
              </w:rPr>
              <w:t>The report highlighted</w:t>
            </w:r>
            <w:r w:rsidRPr="002E1ABE">
              <w:rPr>
                <w:rFonts w:eastAsia="Calibri" w:cs="Arial"/>
                <w:sz w:val="18"/>
                <w:szCs w:val="18"/>
              </w:rPr>
              <w:t xml:space="preserve"> that the greatest Social Value Distribution was to the </w:t>
            </w:r>
            <w:r>
              <w:rPr>
                <w:rFonts w:eastAsia="Calibri" w:cs="Arial"/>
                <w:sz w:val="18"/>
                <w:szCs w:val="18"/>
              </w:rPr>
              <w:lastRenderedPageBreak/>
              <w:t>participants</w:t>
            </w:r>
            <w:r w:rsidRPr="002E1ABE">
              <w:rPr>
                <w:rFonts w:eastAsia="Calibri" w:cs="Arial"/>
                <w:sz w:val="18"/>
                <w:szCs w:val="18"/>
              </w:rPr>
              <w:t xml:space="preserve"> with Level 1s at 22% and Level </w:t>
            </w:r>
            <w:r>
              <w:rPr>
                <w:rFonts w:eastAsia="Calibri" w:cs="Arial"/>
                <w:sz w:val="18"/>
                <w:szCs w:val="18"/>
              </w:rPr>
              <w:t xml:space="preserve">2 at 60%.   SVD for Health organisations </w:t>
            </w:r>
            <w:r w:rsidRPr="002E1ABE">
              <w:rPr>
                <w:rFonts w:eastAsia="Calibri" w:cs="Arial"/>
                <w:sz w:val="18"/>
                <w:szCs w:val="18"/>
              </w:rPr>
              <w:t>account for 5% of the total value and public services as a whole 13%.  The impact to Thurrock Council accounts for 8% of the total value.</w:t>
            </w:r>
          </w:p>
          <w:p w:rsidR="00963408" w:rsidRPr="002E1ABE" w:rsidRDefault="00963408" w:rsidP="008E6C0F">
            <w:pPr>
              <w:rPr>
                <w:rFonts w:eastAsia="Calibri" w:cs="Arial"/>
                <w:sz w:val="18"/>
                <w:szCs w:val="18"/>
              </w:rPr>
            </w:pPr>
          </w:p>
          <w:p w:rsidR="00963408" w:rsidRPr="002E1ABE" w:rsidRDefault="00963408" w:rsidP="008E6C0F">
            <w:pPr>
              <w:contextualSpacing/>
              <w:rPr>
                <w:rFonts w:eastAsia="Calibri" w:cs="Arial"/>
                <w:sz w:val="18"/>
                <w:szCs w:val="18"/>
              </w:rPr>
            </w:pPr>
            <w:r>
              <w:rPr>
                <w:rFonts w:eastAsia="Calibri" w:cs="Arial"/>
                <w:sz w:val="18"/>
                <w:szCs w:val="18"/>
              </w:rPr>
              <w:t>The report highlighted</w:t>
            </w:r>
            <w:r w:rsidRPr="002E1ABE">
              <w:rPr>
                <w:rFonts w:eastAsia="Calibri" w:cs="Arial"/>
                <w:sz w:val="18"/>
                <w:szCs w:val="18"/>
              </w:rPr>
              <w:t xml:space="preserve"> Social Value Forecast:</w:t>
            </w:r>
            <w:r>
              <w:rPr>
                <w:rFonts w:eastAsia="Calibri" w:cs="Arial"/>
                <w:sz w:val="18"/>
                <w:szCs w:val="18"/>
              </w:rPr>
              <w:t xml:space="preserve"> up to £4 for every £1 invested. </w:t>
            </w:r>
            <w:r w:rsidRPr="002E1ABE">
              <w:rPr>
                <w:rFonts w:eastAsia="Calibri" w:cs="Arial"/>
                <w:sz w:val="18"/>
                <w:szCs w:val="18"/>
              </w:rPr>
              <w:t>The</w:t>
            </w:r>
            <w:r>
              <w:rPr>
                <w:rFonts w:eastAsia="Calibri" w:cs="Arial"/>
                <w:sz w:val="18"/>
                <w:szCs w:val="18"/>
              </w:rPr>
              <w:t xml:space="preserve"> unintended negative wa</w:t>
            </w:r>
            <w:r w:rsidRPr="002E1ABE">
              <w:rPr>
                <w:rFonts w:eastAsia="Calibri" w:cs="Arial"/>
                <w:sz w:val="18"/>
                <w:szCs w:val="18"/>
              </w:rPr>
              <w:t xml:space="preserve">s </w:t>
            </w:r>
            <w:r>
              <w:rPr>
                <w:rFonts w:eastAsia="Calibri" w:cs="Arial"/>
                <w:sz w:val="18"/>
                <w:szCs w:val="18"/>
              </w:rPr>
              <w:t xml:space="preserve">an </w:t>
            </w:r>
            <w:r w:rsidRPr="002E1ABE">
              <w:rPr>
                <w:rFonts w:eastAsia="Calibri" w:cs="Arial"/>
                <w:sz w:val="18"/>
                <w:szCs w:val="18"/>
              </w:rPr>
              <w:t>increase in dependency on LAC.</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Pr>
                <w:rFonts w:eastAsia="Calibri" w:cs="Arial"/>
                <w:sz w:val="18"/>
                <w:szCs w:val="18"/>
              </w:rPr>
              <w:t>The report stated the need for:</w:t>
            </w:r>
          </w:p>
          <w:p w:rsidR="00963408" w:rsidRPr="002E1ABE" w:rsidRDefault="00963408" w:rsidP="008E6C0F">
            <w:pPr>
              <w:numPr>
                <w:ilvl w:val="0"/>
                <w:numId w:val="15"/>
              </w:numPr>
              <w:contextualSpacing/>
              <w:rPr>
                <w:rFonts w:eastAsia="Calibri" w:cs="Arial"/>
                <w:sz w:val="18"/>
                <w:szCs w:val="18"/>
              </w:rPr>
            </w:pPr>
            <w:r>
              <w:rPr>
                <w:rFonts w:eastAsia="Calibri" w:cs="Arial"/>
                <w:sz w:val="18"/>
                <w:szCs w:val="18"/>
              </w:rPr>
              <w:t>capturing outcomes</w:t>
            </w:r>
            <w:r w:rsidRPr="002E1ABE">
              <w:rPr>
                <w:rFonts w:eastAsia="Calibri" w:cs="Arial"/>
                <w:sz w:val="18"/>
                <w:szCs w:val="18"/>
              </w:rPr>
              <w:t xml:space="preserve"> to </w:t>
            </w:r>
            <w:r>
              <w:rPr>
                <w:rFonts w:eastAsia="Calibri" w:cs="Arial"/>
                <w:sz w:val="18"/>
                <w:szCs w:val="18"/>
              </w:rPr>
              <w:t xml:space="preserve">better </w:t>
            </w:r>
            <w:r w:rsidRPr="002E1ABE">
              <w:rPr>
                <w:rFonts w:eastAsia="Calibri" w:cs="Arial"/>
                <w:sz w:val="18"/>
                <w:szCs w:val="18"/>
              </w:rPr>
              <w:t>inform service delivery.</w:t>
            </w:r>
          </w:p>
          <w:p w:rsidR="00963408" w:rsidRPr="002E1ABE" w:rsidRDefault="00963408" w:rsidP="008E6C0F">
            <w:pPr>
              <w:numPr>
                <w:ilvl w:val="0"/>
                <w:numId w:val="15"/>
              </w:numPr>
              <w:contextualSpacing/>
              <w:rPr>
                <w:rFonts w:eastAsia="Calibri" w:cs="Arial"/>
                <w:sz w:val="18"/>
                <w:szCs w:val="18"/>
              </w:rPr>
            </w:pPr>
            <w:r w:rsidRPr="002E1ABE">
              <w:rPr>
                <w:rFonts w:eastAsia="Calibri" w:cs="Arial"/>
                <w:sz w:val="18"/>
                <w:szCs w:val="18"/>
              </w:rPr>
              <w:t>relati</w:t>
            </w:r>
            <w:r>
              <w:rPr>
                <w:rFonts w:eastAsia="Calibri" w:cs="Arial"/>
                <w:sz w:val="18"/>
                <w:szCs w:val="18"/>
              </w:rPr>
              <w:t>onships  with  private  sector,</w:t>
            </w:r>
            <w:r w:rsidRPr="002E1ABE">
              <w:rPr>
                <w:rFonts w:eastAsia="Calibri" w:cs="Arial"/>
                <w:sz w:val="18"/>
                <w:szCs w:val="18"/>
              </w:rPr>
              <w:t xml:space="preserve"> the Department for Work and Pensions (DWP)  and  JobCentre  to  increase  </w:t>
            </w:r>
            <w:r w:rsidRPr="002E1ABE">
              <w:rPr>
                <w:rFonts w:eastAsia="Calibri" w:cs="Arial"/>
                <w:sz w:val="18"/>
                <w:szCs w:val="18"/>
              </w:rPr>
              <w:lastRenderedPageBreak/>
              <w:t xml:space="preserve">opportunities  for  employment. </w:t>
            </w:r>
          </w:p>
        </w:tc>
      </w:tr>
      <w:tr w:rsidR="00963408" w:rsidRPr="005E1FC3" w:rsidTr="004A2995">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Kingfishers, 2016</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Area Coordination Thurrock Council and Derby City Council</w:t>
            </w:r>
          </w:p>
        </w:tc>
        <w:tc>
          <w:tcPr>
            <w:tcW w:w="714" w:type="pct"/>
            <w:shd w:val="clear" w:color="auto" w:fill="E5DFEC" w:themeFill="accent4" w:themeFillTint="33"/>
          </w:tcPr>
          <w:p w:rsidR="00963408" w:rsidRPr="002E1ABE" w:rsidRDefault="00963408" w:rsidP="008E6C0F">
            <w:pPr>
              <w:rPr>
                <w:rFonts w:eastAsia="Calibri" w:cs="Arial"/>
                <w:sz w:val="18"/>
                <w:szCs w:val="18"/>
              </w:rPr>
            </w:pPr>
            <w:r>
              <w:rPr>
                <w:rFonts w:eastAsia="Calibri" w:cs="Arial"/>
                <w:sz w:val="18"/>
                <w:szCs w:val="18"/>
              </w:rPr>
              <w:t>LAC</w:t>
            </w:r>
            <w:r w:rsidRPr="002E1ABE">
              <w:rPr>
                <w:rFonts w:eastAsia="Calibri" w:cs="Arial"/>
                <w:sz w:val="18"/>
                <w:szCs w:val="18"/>
              </w:rPr>
              <w:t xml:space="preserve"> is a community based   service support for residents   in   the  </w:t>
            </w:r>
            <w:r>
              <w:rPr>
                <w:rFonts w:eastAsia="Calibri" w:cs="Arial"/>
                <w:sz w:val="18"/>
                <w:szCs w:val="18"/>
              </w:rPr>
              <w:t xml:space="preserve"> community. LAC aims to build community </w:t>
            </w:r>
            <w:r w:rsidRPr="002E1ABE">
              <w:rPr>
                <w:rFonts w:eastAsia="Calibri" w:cs="Arial"/>
                <w:sz w:val="18"/>
                <w:szCs w:val="18"/>
              </w:rPr>
              <w:t>res</w:t>
            </w:r>
            <w:r>
              <w:rPr>
                <w:rFonts w:eastAsia="Calibri" w:cs="Arial"/>
                <w:sz w:val="18"/>
                <w:szCs w:val="18"/>
              </w:rPr>
              <w:t xml:space="preserve">ilience and social capital. </w:t>
            </w:r>
            <w:r w:rsidRPr="002E1ABE">
              <w:rPr>
                <w:rFonts w:eastAsia="Calibri" w:cs="Arial"/>
                <w:sz w:val="18"/>
                <w:szCs w:val="18"/>
              </w:rPr>
              <w:t>Coordinators ‘walk alongside’ individuals  providing  personalised  advice  and  support to enable  them  to  ‘get</w:t>
            </w:r>
            <w:r>
              <w:rPr>
                <w:rFonts w:eastAsia="Calibri" w:cs="Arial"/>
                <w:sz w:val="18"/>
                <w:szCs w:val="18"/>
              </w:rPr>
              <w:t xml:space="preserve">  a  life,  not  a  service’.  </w:t>
            </w:r>
          </w:p>
          <w:p w:rsidR="00963408" w:rsidRPr="002E1ABE" w:rsidRDefault="00963408" w:rsidP="008E6C0F">
            <w:pPr>
              <w:rPr>
                <w:rFonts w:eastAsia="Calibri" w:cs="Arial"/>
                <w:sz w:val="18"/>
                <w:szCs w:val="18"/>
              </w:rPr>
            </w:pPr>
            <w:r w:rsidRPr="002E1ABE">
              <w:rPr>
                <w:rFonts w:eastAsia="Calibri" w:cs="Arial"/>
                <w:sz w:val="18"/>
                <w:szCs w:val="18"/>
              </w:rPr>
              <w:t>LAC pro</w:t>
            </w:r>
            <w:r>
              <w:rPr>
                <w:rFonts w:eastAsia="Calibri" w:cs="Arial"/>
                <w:sz w:val="18"/>
                <w:szCs w:val="18"/>
              </w:rPr>
              <w:t xml:space="preserve">vides two levels of  support:  </w:t>
            </w:r>
          </w:p>
          <w:p w:rsidR="00963408" w:rsidRPr="002E1ABE" w:rsidRDefault="00963408" w:rsidP="008E6C0F">
            <w:pPr>
              <w:rPr>
                <w:rFonts w:eastAsia="Calibri" w:cs="Arial"/>
                <w:sz w:val="18"/>
                <w:szCs w:val="18"/>
              </w:rPr>
            </w:pPr>
            <w:r w:rsidRPr="002E1ABE">
              <w:rPr>
                <w:rFonts w:eastAsia="Calibri" w:cs="Arial"/>
                <w:sz w:val="18"/>
                <w:szCs w:val="18"/>
              </w:rPr>
              <w:t>Level  1  - for  low  level  support  and  advice;</w:t>
            </w:r>
            <w:r>
              <w:rPr>
                <w:rFonts w:eastAsia="Calibri" w:cs="Arial"/>
                <w:sz w:val="18"/>
                <w:szCs w:val="18"/>
              </w:rPr>
              <w:t xml:space="preserve"> </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Level 2 for longer term support for individuals with more complex n</w:t>
            </w:r>
            <w:r>
              <w:rPr>
                <w:rFonts w:eastAsia="Calibri" w:cs="Arial"/>
                <w:sz w:val="18"/>
                <w:szCs w:val="18"/>
              </w:rPr>
              <w:t>eeds.</w:t>
            </w:r>
          </w:p>
          <w:p w:rsidR="00963408" w:rsidRPr="002E1ABE" w:rsidRDefault="00963408" w:rsidP="008E6C0F">
            <w:pPr>
              <w:rPr>
                <w:rFonts w:eastAsia="Calibri" w:cs="Arial"/>
                <w:sz w:val="18"/>
                <w:szCs w:val="18"/>
              </w:rPr>
            </w:pPr>
            <w:r w:rsidRPr="002E1ABE">
              <w:rPr>
                <w:rFonts w:eastAsia="Calibri" w:cs="Arial"/>
                <w:sz w:val="18"/>
                <w:szCs w:val="18"/>
              </w:rPr>
              <w:t>The report does not state what the length of the Level 2 support is.</w:t>
            </w:r>
          </w:p>
        </w:tc>
        <w:tc>
          <w:tcPr>
            <w:tcW w:w="715" w:type="pct"/>
            <w:shd w:val="clear" w:color="auto" w:fill="E5DFEC" w:themeFill="accent4" w:themeFillTint="33"/>
          </w:tcPr>
          <w:p w:rsidR="00963408" w:rsidRPr="002E1ABE" w:rsidRDefault="00963408" w:rsidP="008E6C0F">
            <w:pPr>
              <w:rPr>
                <w:rFonts w:eastAsia="Calibri" w:cs="Arial"/>
                <w:sz w:val="18"/>
                <w:szCs w:val="18"/>
              </w:rPr>
            </w:pPr>
            <w:r>
              <w:rPr>
                <w:rFonts w:eastAsia="Calibri" w:cs="Arial"/>
                <w:sz w:val="18"/>
                <w:szCs w:val="18"/>
              </w:rPr>
              <w:t xml:space="preserve">Both services receive funding through the </w:t>
            </w:r>
            <w:r w:rsidRPr="002E1ABE">
              <w:rPr>
                <w:rFonts w:eastAsia="Calibri" w:cs="Arial"/>
                <w:sz w:val="18"/>
                <w:szCs w:val="18"/>
              </w:rPr>
              <w:t>Better  Care  Fund  –  a  pooled  budget  to  integrate  health  and  social  care  across  the  NHS  and  Local  Government.</w:t>
            </w:r>
            <w:r>
              <w:rPr>
                <w:rFonts w:eastAsia="Calibri" w:cs="Arial"/>
                <w:sz w:val="18"/>
                <w:szCs w:val="18"/>
              </w:rPr>
              <w:t xml:space="preserve"> </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In addition, as  a  result  of  working  with  Essex  Fire  and  Rescue  Service,  Thurrock  Council  also  received  part  funding for a post through secondment of a fire officer.</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This rep</w:t>
            </w:r>
            <w:r>
              <w:rPr>
                <w:rFonts w:eastAsia="Calibri" w:cs="Arial"/>
                <w:sz w:val="18"/>
                <w:szCs w:val="18"/>
              </w:rPr>
              <w:t>ort found that LAC in Thurrock needs to:</w:t>
            </w:r>
          </w:p>
          <w:p w:rsidR="00963408" w:rsidRPr="002E1ABE" w:rsidRDefault="00963408" w:rsidP="008E6C0F">
            <w:pPr>
              <w:numPr>
                <w:ilvl w:val="0"/>
                <w:numId w:val="13"/>
              </w:numPr>
              <w:contextualSpacing/>
              <w:rPr>
                <w:rFonts w:eastAsia="Calibri" w:cs="Arial"/>
                <w:sz w:val="18"/>
                <w:szCs w:val="18"/>
              </w:rPr>
            </w:pPr>
            <w:r w:rsidRPr="002E1ABE">
              <w:rPr>
                <w:rFonts w:eastAsia="Calibri" w:cs="Arial"/>
                <w:sz w:val="18"/>
                <w:szCs w:val="18"/>
              </w:rPr>
              <w:t>identify opportunities to work with other</w:t>
            </w:r>
            <w:r>
              <w:rPr>
                <w:rFonts w:eastAsia="Calibri" w:cs="Arial"/>
                <w:sz w:val="18"/>
                <w:szCs w:val="18"/>
              </w:rPr>
              <w:t xml:space="preserve"> </w:t>
            </w:r>
            <w:r w:rsidRPr="002E1ABE">
              <w:rPr>
                <w:rFonts w:eastAsia="Calibri" w:cs="Arial"/>
                <w:sz w:val="18"/>
                <w:szCs w:val="18"/>
              </w:rPr>
              <w:t>signposting</w:t>
            </w:r>
            <w:r>
              <w:rPr>
                <w:rFonts w:eastAsia="Calibri" w:cs="Arial"/>
                <w:sz w:val="18"/>
                <w:szCs w:val="18"/>
              </w:rPr>
              <w:t xml:space="preserve"> </w:t>
            </w:r>
            <w:r w:rsidRPr="002E1ABE">
              <w:rPr>
                <w:rFonts w:eastAsia="Calibri" w:cs="Arial"/>
                <w:sz w:val="18"/>
                <w:szCs w:val="18"/>
              </w:rPr>
              <w:t>services to enhance reach of the</w:t>
            </w:r>
            <w:r>
              <w:rPr>
                <w:rFonts w:eastAsia="Calibri" w:cs="Arial"/>
                <w:sz w:val="18"/>
                <w:szCs w:val="18"/>
              </w:rPr>
              <w:t xml:space="preserve"> LAC</w:t>
            </w:r>
            <w:r w:rsidRPr="002E1ABE">
              <w:rPr>
                <w:rFonts w:eastAsia="Calibri" w:cs="Arial"/>
                <w:sz w:val="18"/>
                <w:szCs w:val="18"/>
              </w:rPr>
              <w:t xml:space="preserve">. Data shows that the engagement to date has brought 5.1% of social value distribution for Health, and 0.5% for Fire and Police Services. </w:t>
            </w:r>
          </w:p>
          <w:p w:rsidR="00963408" w:rsidRPr="002E1ABE" w:rsidRDefault="00963408" w:rsidP="008E6C0F">
            <w:pPr>
              <w:numPr>
                <w:ilvl w:val="0"/>
                <w:numId w:val="13"/>
              </w:numPr>
              <w:contextualSpacing/>
              <w:rPr>
                <w:rFonts w:eastAsia="Calibri" w:cs="Arial"/>
                <w:sz w:val="18"/>
                <w:szCs w:val="18"/>
              </w:rPr>
            </w:pPr>
            <w:r w:rsidRPr="002E1ABE">
              <w:rPr>
                <w:rFonts w:eastAsia="Calibri" w:cs="Arial"/>
                <w:sz w:val="18"/>
                <w:szCs w:val="18"/>
              </w:rPr>
              <w:t>explore working  with  young  peopl</w:t>
            </w:r>
            <w:r>
              <w:rPr>
                <w:rFonts w:eastAsia="Calibri" w:cs="Arial"/>
                <w:sz w:val="18"/>
                <w:szCs w:val="18"/>
              </w:rPr>
              <w:t xml:space="preserve">e  and  those  with  learning disabilities to aid their </w:t>
            </w:r>
            <w:r w:rsidRPr="002E1ABE">
              <w:rPr>
                <w:rFonts w:eastAsia="Calibri" w:cs="Arial"/>
                <w:sz w:val="18"/>
                <w:szCs w:val="18"/>
              </w:rPr>
              <w:t>transition into adulthood. This was based on information from Derby Council however no data was provided to support this.</w:t>
            </w:r>
          </w:p>
          <w:p w:rsidR="00963408" w:rsidRPr="002E1ABE" w:rsidRDefault="00963408" w:rsidP="008E6C0F">
            <w:pPr>
              <w:rPr>
                <w:rFonts w:eastAsia="Calibri" w:cs="Arial"/>
                <w:sz w:val="18"/>
                <w:szCs w:val="18"/>
              </w:rPr>
            </w:pPr>
            <w:r>
              <w:rPr>
                <w:rFonts w:eastAsia="Calibri" w:cs="Arial"/>
                <w:sz w:val="18"/>
                <w:szCs w:val="18"/>
              </w:rPr>
              <w:lastRenderedPageBreak/>
              <w:t>Report found that LAC in Derby needs:</w:t>
            </w:r>
          </w:p>
          <w:p w:rsidR="00963408" w:rsidRPr="002E1ABE" w:rsidRDefault="00963408" w:rsidP="008E6C0F">
            <w:pPr>
              <w:numPr>
                <w:ilvl w:val="0"/>
                <w:numId w:val="14"/>
              </w:numPr>
              <w:contextualSpacing/>
              <w:rPr>
                <w:rFonts w:eastAsia="Calibri" w:cs="Arial"/>
                <w:sz w:val="18"/>
                <w:szCs w:val="18"/>
              </w:rPr>
            </w:pPr>
            <w:r>
              <w:rPr>
                <w:rFonts w:eastAsia="Calibri" w:cs="Arial"/>
                <w:sz w:val="18"/>
                <w:szCs w:val="18"/>
              </w:rPr>
              <w:t xml:space="preserve">to </w:t>
            </w:r>
            <w:r w:rsidRPr="002E1ABE">
              <w:rPr>
                <w:rFonts w:eastAsia="Calibri" w:cs="Arial"/>
                <w:sz w:val="18"/>
                <w:szCs w:val="18"/>
              </w:rPr>
              <w:t>explore potential for the service to be supported through the Fire Service, as it is the case with Thurrock.</w:t>
            </w:r>
          </w:p>
          <w:p w:rsidR="00963408" w:rsidRPr="002E1ABE" w:rsidRDefault="00963408" w:rsidP="008E6C0F">
            <w:pPr>
              <w:numPr>
                <w:ilvl w:val="0"/>
                <w:numId w:val="14"/>
              </w:numPr>
              <w:contextualSpacing/>
              <w:rPr>
                <w:rFonts w:eastAsia="Calibri" w:cs="Arial"/>
                <w:sz w:val="18"/>
                <w:szCs w:val="18"/>
              </w:rPr>
            </w:pPr>
            <w:r w:rsidRPr="002E1ABE">
              <w:rPr>
                <w:rFonts w:eastAsia="Calibri" w:cs="Arial"/>
                <w:sz w:val="18"/>
                <w:szCs w:val="18"/>
              </w:rPr>
              <w:t>better monitoring of outcomes for each individual ca</w:t>
            </w:r>
            <w:r>
              <w:rPr>
                <w:rFonts w:eastAsia="Calibri" w:cs="Arial"/>
                <w:sz w:val="18"/>
                <w:szCs w:val="18"/>
              </w:rPr>
              <w:t>se</w:t>
            </w:r>
          </w:p>
          <w:p w:rsidR="00963408" w:rsidRPr="002E1ABE" w:rsidRDefault="00963408" w:rsidP="008E6C0F">
            <w:pPr>
              <w:numPr>
                <w:ilvl w:val="0"/>
                <w:numId w:val="14"/>
              </w:numPr>
              <w:contextualSpacing/>
              <w:rPr>
                <w:rFonts w:eastAsia="Calibri" w:cs="Arial"/>
                <w:sz w:val="18"/>
                <w:szCs w:val="18"/>
              </w:rPr>
            </w:pPr>
            <w:r>
              <w:rPr>
                <w:rFonts w:eastAsia="Calibri" w:cs="Arial"/>
                <w:sz w:val="18"/>
                <w:szCs w:val="18"/>
              </w:rPr>
              <w:t>to</w:t>
            </w:r>
            <w:r w:rsidRPr="002E1ABE">
              <w:rPr>
                <w:rFonts w:eastAsia="Calibri" w:cs="Arial"/>
                <w:sz w:val="18"/>
                <w:szCs w:val="18"/>
              </w:rPr>
              <w:t xml:space="preserve"> support  individuals  looking to return to work. This was based on information from Thurrock LAC however no data was provided to support this.</w:t>
            </w:r>
          </w:p>
          <w:p w:rsidR="00963408" w:rsidRPr="002E1ABE" w:rsidRDefault="00963408" w:rsidP="008E6C0F">
            <w:pPr>
              <w:rPr>
                <w:rFonts w:eastAsia="Calibri" w:cs="Arial"/>
                <w:sz w:val="18"/>
                <w:szCs w:val="18"/>
              </w:rPr>
            </w:pPr>
          </w:p>
        </w:tc>
      </w:tr>
      <w:tr w:rsidR="00963408" w:rsidRPr="005E1FC3" w:rsidTr="004A2995">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Marsh, 2016</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Local Area Coordination (LAC), Derby City Council, England</w:t>
            </w:r>
          </w:p>
        </w:tc>
        <w:tc>
          <w:tcPr>
            <w:tcW w:w="714" w:type="pct"/>
            <w:tcBorders>
              <w:bottom w:val="single" w:sz="4" w:space="0" w:color="auto"/>
            </w:tcBorders>
          </w:tcPr>
          <w:p w:rsidR="00963408" w:rsidRPr="002E1ABE" w:rsidRDefault="00963408" w:rsidP="008E6C0F">
            <w:pPr>
              <w:rPr>
                <w:rFonts w:eastAsia="Calibri" w:cs="Arial"/>
                <w:sz w:val="18"/>
                <w:szCs w:val="18"/>
              </w:rPr>
            </w:pPr>
            <w:r>
              <w:rPr>
                <w:rFonts w:eastAsia="Calibri" w:cs="Arial"/>
                <w:sz w:val="18"/>
                <w:szCs w:val="18"/>
              </w:rPr>
              <w:t xml:space="preserve">LAC aims to support </w:t>
            </w:r>
            <w:r w:rsidRPr="002E1ABE">
              <w:rPr>
                <w:rFonts w:eastAsia="Calibri" w:cs="Arial"/>
                <w:sz w:val="18"/>
                <w:szCs w:val="18"/>
              </w:rPr>
              <w:t>residents  in  the  local  community  to  ‘get  a  life,  not  a  service’,  empowering  individuals  to  find  community  based  solutions  i</w:t>
            </w:r>
            <w:r>
              <w:rPr>
                <w:rFonts w:eastAsia="Calibri" w:cs="Arial"/>
                <w:sz w:val="18"/>
                <w:szCs w:val="18"/>
              </w:rPr>
              <w:t>nstead  of relying on services.</w:t>
            </w:r>
          </w:p>
          <w:p w:rsidR="00963408" w:rsidRPr="002E1ABE" w:rsidRDefault="00963408" w:rsidP="008E6C0F">
            <w:pPr>
              <w:rPr>
                <w:rFonts w:eastAsia="Calibri" w:cs="Arial"/>
                <w:sz w:val="18"/>
                <w:szCs w:val="18"/>
              </w:rPr>
            </w:pPr>
            <w:r w:rsidRPr="002E1ABE">
              <w:rPr>
                <w:rFonts w:eastAsia="Calibri" w:cs="Arial"/>
                <w:sz w:val="18"/>
                <w:szCs w:val="18"/>
              </w:rPr>
              <w:lastRenderedPageBreak/>
              <w:t>There are two levels of s</w:t>
            </w:r>
            <w:r>
              <w:rPr>
                <w:rFonts w:eastAsia="Calibri" w:cs="Arial"/>
                <w:sz w:val="18"/>
                <w:szCs w:val="18"/>
              </w:rPr>
              <w:t>upport in this model:</w:t>
            </w:r>
          </w:p>
          <w:p w:rsidR="00963408" w:rsidRPr="002E1ABE" w:rsidRDefault="00963408" w:rsidP="008E6C0F">
            <w:pPr>
              <w:numPr>
                <w:ilvl w:val="0"/>
                <w:numId w:val="19"/>
              </w:numPr>
              <w:contextualSpacing/>
              <w:rPr>
                <w:rFonts w:eastAsia="Calibri" w:cs="Arial"/>
                <w:sz w:val="18"/>
                <w:szCs w:val="18"/>
              </w:rPr>
            </w:pPr>
            <w:r w:rsidRPr="002E1ABE">
              <w:rPr>
                <w:rFonts w:eastAsia="Calibri" w:cs="Arial"/>
                <w:sz w:val="18"/>
                <w:szCs w:val="18"/>
              </w:rPr>
              <w:t xml:space="preserve">Level  1  support—provision  of  information,  advice  and  connections  and/or  limited and short term support; </w:t>
            </w:r>
          </w:p>
          <w:p w:rsidR="00963408" w:rsidRPr="002E1ABE" w:rsidRDefault="00963408" w:rsidP="008E6C0F">
            <w:pPr>
              <w:numPr>
                <w:ilvl w:val="0"/>
                <w:numId w:val="19"/>
              </w:numPr>
              <w:contextualSpacing/>
              <w:rPr>
                <w:rFonts w:eastAsia="Calibri" w:cs="Arial"/>
                <w:sz w:val="18"/>
                <w:szCs w:val="18"/>
              </w:rPr>
            </w:pPr>
            <w:r w:rsidRPr="002E1ABE">
              <w:rPr>
                <w:rFonts w:eastAsia="Calibri" w:cs="Arial"/>
                <w:sz w:val="18"/>
                <w:szCs w:val="18"/>
              </w:rPr>
              <w:t xml:space="preserve">Level 2 support—providing a 1 to 1 with relationship walking alongside people who are vulnerable due to physical, intellectual, cognitive and/or sensory disability, mental  health  needs,  age  or  frailty,  and  require  sustained  assistance  to  build  relationships,  nurture  control,  choice  and  self-sufficiency,  plan  for  the  future  and find practical </w:t>
            </w:r>
            <w:r w:rsidRPr="002E1ABE">
              <w:rPr>
                <w:rFonts w:eastAsia="Calibri" w:cs="Arial"/>
                <w:sz w:val="18"/>
                <w:szCs w:val="18"/>
              </w:rPr>
              <w:lastRenderedPageBreak/>
              <w:t xml:space="preserve">solutions to problems. The report did not state length of provision for Level 2 support. </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Funded through the Better Care Fund.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Local Authority</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 xml:space="preserve">This report identified positive outcomes for participants in both levels of support. Level 1 participants reported feeling less anxious 85%, less isolated 77%, feeling as part of community 55%. Level 2 participants feel less </w:t>
            </w:r>
            <w:r w:rsidRPr="002E1ABE">
              <w:rPr>
                <w:rFonts w:eastAsia="Calibri" w:cs="Arial"/>
                <w:sz w:val="18"/>
                <w:szCs w:val="18"/>
              </w:rPr>
              <w:lastRenderedPageBreak/>
              <w:t>socially isolated 66%, as part of local community 57%, build trust with LACs 49%.</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The report also highlights that 5% of Level 2 participants feel dependent on LAC.</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r w:rsidRPr="002E1ABE">
              <w:rPr>
                <w:rFonts w:eastAsia="Calibri" w:cs="Arial"/>
                <w:sz w:val="18"/>
                <w:szCs w:val="18"/>
              </w:rPr>
              <w:t>This report identified Social Return of Investment financial proxies for various stakeholders. The overall the social value forecast was estimated to be £3.50 and up to £4 for every £1 invested.</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r>
      <w:tr w:rsidR="00963408" w:rsidRPr="005E1FC3" w:rsidTr="004A2995">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Oatley, 2016</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Area Coordination on the Isle of Wight</w:t>
            </w:r>
          </w:p>
        </w:tc>
        <w:tc>
          <w:tcPr>
            <w:tcW w:w="714" w:type="pct"/>
            <w:shd w:val="clear" w:color="auto" w:fill="E5DFEC" w:themeFill="accent4" w:themeFillTint="33"/>
          </w:tcPr>
          <w:p w:rsidR="00963408" w:rsidRPr="002E1ABE" w:rsidRDefault="00963408" w:rsidP="008E6C0F">
            <w:pPr>
              <w:rPr>
                <w:rFonts w:eastAsia="Calibri" w:cs="Arial"/>
                <w:sz w:val="18"/>
                <w:szCs w:val="18"/>
              </w:rPr>
            </w:pPr>
            <w:r>
              <w:rPr>
                <w:rFonts w:eastAsia="Calibri" w:cs="Arial"/>
                <w:sz w:val="18"/>
                <w:szCs w:val="18"/>
              </w:rPr>
              <w:t xml:space="preserve">LAC </w:t>
            </w:r>
            <w:r w:rsidRPr="002E1ABE">
              <w:rPr>
                <w:rFonts w:eastAsia="Calibri" w:cs="Arial"/>
                <w:sz w:val="18"/>
                <w:szCs w:val="18"/>
              </w:rPr>
              <w:t>is central to the strategic vision for a new model of care for the island being led through the My Life a Full Life integrated program. LAC puts  into  practice  a  person-centred  and  strength-based  approach  to  contribute towards prevention an</w:t>
            </w:r>
            <w:r>
              <w:rPr>
                <w:rFonts w:eastAsia="Calibri" w:cs="Arial"/>
                <w:sz w:val="18"/>
                <w:szCs w:val="18"/>
              </w:rPr>
              <w:t>d early intervention intentions</w:t>
            </w:r>
          </w:p>
          <w:p w:rsidR="00963408" w:rsidRPr="002E1ABE" w:rsidRDefault="00963408" w:rsidP="008E6C0F">
            <w:pPr>
              <w:rPr>
                <w:rFonts w:eastAsia="Calibri" w:cs="Arial"/>
                <w:sz w:val="18"/>
                <w:szCs w:val="18"/>
              </w:rPr>
            </w:pPr>
            <w:r w:rsidRPr="002E1ABE">
              <w:rPr>
                <w:rFonts w:eastAsia="Calibri" w:cs="Arial"/>
                <w:sz w:val="18"/>
                <w:szCs w:val="18"/>
              </w:rPr>
              <w:t>T</w:t>
            </w:r>
            <w:r>
              <w:rPr>
                <w:rFonts w:eastAsia="Calibri" w:cs="Arial"/>
                <w:sz w:val="18"/>
                <w:szCs w:val="18"/>
              </w:rPr>
              <w:t>here are two levels of support:</w:t>
            </w:r>
          </w:p>
          <w:p w:rsidR="00963408" w:rsidRPr="002E1ABE" w:rsidRDefault="00963408" w:rsidP="008E6C0F">
            <w:pPr>
              <w:rPr>
                <w:rFonts w:eastAsia="Calibri" w:cs="Arial"/>
                <w:sz w:val="18"/>
                <w:szCs w:val="18"/>
              </w:rPr>
            </w:pPr>
            <w:r w:rsidRPr="002E1ABE">
              <w:rPr>
                <w:rFonts w:eastAsia="Calibri" w:cs="Arial"/>
                <w:sz w:val="18"/>
                <w:szCs w:val="18"/>
              </w:rPr>
              <w:t>Level 1 support: the provision of information, connections and/or limited support. People accessing this level of su</w:t>
            </w:r>
            <w:r>
              <w:rPr>
                <w:rFonts w:eastAsia="Calibri" w:cs="Arial"/>
                <w:sz w:val="18"/>
                <w:szCs w:val="18"/>
              </w:rPr>
              <w:t>pport seek information/</w:t>
            </w:r>
            <w:r w:rsidRPr="002E1ABE">
              <w:rPr>
                <w:rFonts w:eastAsia="Calibri" w:cs="Arial"/>
                <w:sz w:val="18"/>
                <w:szCs w:val="18"/>
              </w:rPr>
              <w:t>advice and</w:t>
            </w:r>
            <w:r>
              <w:rPr>
                <w:rFonts w:eastAsia="Calibri" w:cs="Arial"/>
                <w:sz w:val="18"/>
                <w:szCs w:val="18"/>
              </w:rPr>
              <w:t xml:space="preserve"> no further support is needed.</w:t>
            </w:r>
          </w:p>
          <w:p w:rsidR="00963408" w:rsidRPr="002E1ABE" w:rsidRDefault="00963408" w:rsidP="008E6C0F">
            <w:pPr>
              <w:rPr>
                <w:rFonts w:eastAsia="Calibri" w:cs="Arial"/>
                <w:sz w:val="18"/>
                <w:szCs w:val="18"/>
              </w:rPr>
            </w:pPr>
            <w:r w:rsidRPr="002E1ABE">
              <w:rPr>
                <w:rFonts w:eastAsia="Calibri" w:cs="Arial"/>
                <w:sz w:val="18"/>
                <w:szCs w:val="18"/>
              </w:rPr>
              <w:t xml:space="preserve">Level 2 support: a longer term relationship alongside people (children and </w:t>
            </w:r>
            <w:r w:rsidRPr="002E1ABE">
              <w:rPr>
                <w:rFonts w:eastAsia="Calibri" w:cs="Arial"/>
                <w:sz w:val="18"/>
                <w:szCs w:val="18"/>
              </w:rPr>
              <w:lastRenderedPageBreak/>
              <w:t xml:space="preserve">adults) with  disabilities,  mental  health  issues  and  older  people,  their  families  and/or carers  and  requiring  sustained  assistance to  build  relationships,  nurture  control, choice  and  self-sufficiency,  plan  for  the  future,  find  practical  solutions  to problems etc. There is no indication of the </w:t>
            </w:r>
            <w:r>
              <w:rPr>
                <w:rFonts w:eastAsia="Calibri" w:cs="Arial"/>
                <w:sz w:val="18"/>
                <w:szCs w:val="18"/>
              </w:rPr>
              <w:t>duration</w:t>
            </w:r>
            <w:r w:rsidRPr="002E1ABE">
              <w:rPr>
                <w:rFonts w:eastAsia="Calibri" w:cs="Arial"/>
                <w:sz w:val="18"/>
                <w:szCs w:val="18"/>
              </w:rPr>
              <w:t xml:space="preserve"> for this level of support.</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LAC falls under the My Life a Full Life program.</w:t>
            </w:r>
          </w:p>
        </w:tc>
        <w:tc>
          <w:tcPr>
            <w:tcW w:w="714" w:type="pct"/>
            <w:shd w:val="clear" w:color="auto" w:fill="E5DFEC" w:themeFill="accent4" w:themeFillTint="33"/>
          </w:tcPr>
          <w:p w:rsidR="00963408" w:rsidRPr="002E1ABE" w:rsidRDefault="00963408" w:rsidP="008E6C0F">
            <w:pPr>
              <w:rPr>
                <w:rFonts w:eastAsia="Calibri" w:cs="Arial"/>
                <w:sz w:val="18"/>
                <w:szCs w:val="18"/>
              </w:rPr>
            </w:pPr>
            <w:r>
              <w:rPr>
                <w:rFonts w:eastAsia="Calibri" w:cs="Arial"/>
                <w:sz w:val="18"/>
                <w:szCs w:val="18"/>
              </w:rPr>
              <w:t>There wa</w:t>
            </w:r>
            <w:r w:rsidRPr="002E1ABE">
              <w:rPr>
                <w:rFonts w:eastAsia="Calibri" w:cs="Arial"/>
                <w:sz w:val="18"/>
                <w:szCs w:val="18"/>
              </w:rPr>
              <w:t>s no assessment or intake process.  Anyone from the community can contact the Local Area Coordinator for Level 1 support.</w:t>
            </w:r>
          </w:p>
          <w:p w:rsidR="00963408" w:rsidRPr="002E1ABE" w:rsidRDefault="00963408" w:rsidP="008E6C0F">
            <w:pPr>
              <w:rPr>
                <w:rFonts w:eastAsia="Calibri" w:cs="Arial"/>
                <w:sz w:val="18"/>
                <w:szCs w:val="18"/>
              </w:rPr>
            </w:pP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 xml:space="preserve">The report stated the evidence of cross organisational cooperation. </w:t>
            </w:r>
            <w:r>
              <w:rPr>
                <w:rFonts w:eastAsia="Calibri" w:cs="Arial"/>
                <w:sz w:val="18"/>
                <w:szCs w:val="18"/>
              </w:rPr>
              <w:t xml:space="preserve">LAC </w:t>
            </w:r>
            <w:r w:rsidRPr="002E1ABE">
              <w:rPr>
                <w:rFonts w:eastAsia="Calibri" w:cs="Arial"/>
                <w:sz w:val="18"/>
                <w:szCs w:val="18"/>
              </w:rPr>
              <w:t>started working   with   a   range   of   partners   including children’s services, housing providers, police, GPs and District Nursing</w:t>
            </w:r>
            <w:r>
              <w:rPr>
                <w:rFonts w:eastAsia="Calibri" w:cs="Arial"/>
                <w:sz w:val="18"/>
                <w:szCs w:val="18"/>
              </w:rPr>
              <w:t>. This is supported with</w:t>
            </w:r>
            <w:r w:rsidRPr="002E1ABE">
              <w:rPr>
                <w:rFonts w:eastAsia="Calibri" w:cs="Arial"/>
                <w:sz w:val="18"/>
                <w:szCs w:val="18"/>
              </w:rPr>
              <w:t xml:space="preserve"> data on introductions to LAC. Of 76 participants, 11 were introduced by health services, 9 by Children Social Care, 6 by Housing, 6 by Voluntary sector 4 by GPs, 2 by Adult Socia</w:t>
            </w:r>
            <w:r>
              <w:rPr>
                <w:rFonts w:eastAsia="Calibri" w:cs="Arial"/>
                <w:sz w:val="18"/>
                <w:szCs w:val="18"/>
              </w:rPr>
              <w:t xml:space="preserve">l Care and 1 by Mental Health. </w:t>
            </w:r>
          </w:p>
          <w:p w:rsidR="00963408" w:rsidRPr="002E1ABE" w:rsidRDefault="00963408" w:rsidP="008E6C0F">
            <w:pPr>
              <w:rPr>
                <w:rFonts w:eastAsia="Calibri" w:cs="Arial"/>
                <w:sz w:val="18"/>
                <w:szCs w:val="18"/>
              </w:rPr>
            </w:pPr>
            <w:r>
              <w:rPr>
                <w:rFonts w:eastAsia="Calibri" w:cs="Arial"/>
                <w:sz w:val="18"/>
                <w:szCs w:val="18"/>
              </w:rPr>
              <w:t>The report highlights a</w:t>
            </w:r>
            <w:r w:rsidRPr="002E1ABE">
              <w:rPr>
                <w:rFonts w:eastAsia="Calibri" w:cs="Arial"/>
                <w:sz w:val="18"/>
                <w:szCs w:val="18"/>
              </w:rPr>
              <w:t xml:space="preserve"> need for mapping and maintaining ‘human sized units’ to avoid program ‘stretch’ through areas bec</w:t>
            </w:r>
            <w:r>
              <w:rPr>
                <w:rFonts w:eastAsia="Calibri" w:cs="Arial"/>
                <w:sz w:val="18"/>
                <w:szCs w:val="18"/>
              </w:rPr>
              <w:t xml:space="preserve">oming too </w:t>
            </w:r>
            <w:r>
              <w:rPr>
                <w:rFonts w:eastAsia="Calibri" w:cs="Arial"/>
                <w:sz w:val="18"/>
                <w:szCs w:val="18"/>
              </w:rPr>
              <w:lastRenderedPageBreak/>
              <w:t xml:space="preserve">large, or supporting </w:t>
            </w:r>
            <w:r w:rsidRPr="002E1ABE">
              <w:rPr>
                <w:rFonts w:eastAsia="Calibri" w:cs="Arial"/>
                <w:sz w:val="18"/>
                <w:szCs w:val="18"/>
              </w:rPr>
              <w:t>too many people.</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r>
      <w:tr w:rsidR="00963408" w:rsidRPr="005E1FC3" w:rsidTr="004A2995">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Darnton et al. 2018</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Local Area Coordination (LAC) Isle of Wight, England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Isle  of  Wight (IoW) health are  care system applied  to become an  Integrated  Primary  and  Acute  Care  System  (PACS) Vanguard site,  and received additional funding to facilitate transformation of services</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Isle of  Wight (IoW) health care system</w:t>
            </w:r>
          </w:p>
        </w:tc>
        <w:tc>
          <w:tcPr>
            <w:tcW w:w="715" w:type="pct"/>
            <w:tcBorders>
              <w:bottom w:val="single" w:sz="4" w:space="0" w:color="auto"/>
            </w:tcBorders>
          </w:tcPr>
          <w:p w:rsidR="00963408" w:rsidRPr="002E1ABE" w:rsidRDefault="00963408" w:rsidP="008E6C0F">
            <w:pPr>
              <w:rPr>
                <w:rFonts w:eastAsia="Calibri" w:cs="Arial"/>
                <w:sz w:val="18"/>
                <w:szCs w:val="18"/>
              </w:rPr>
            </w:pPr>
            <w:r>
              <w:rPr>
                <w:rFonts w:eastAsia="Calibri" w:cs="Arial"/>
                <w:sz w:val="18"/>
                <w:szCs w:val="18"/>
              </w:rPr>
              <w:t>The</w:t>
            </w:r>
            <w:r w:rsidRPr="002E1ABE">
              <w:rPr>
                <w:rFonts w:eastAsia="Calibri" w:cs="Arial"/>
                <w:sz w:val="18"/>
                <w:szCs w:val="18"/>
              </w:rPr>
              <w:t xml:space="preserve"> report identified that the LAC program helps people to access information, advice and support; take control and manage own health more easily. Data was collected via interviews</w:t>
            </w:r>
            <w:r>
              <w:rPr>
                <w:rFonts w:eastAsia="Calibri" w:cs="Arial"/>
                <w:sz w:val="18"/>
                <w:szCs w:val="18"/>
              </w:rPr>
              <w:t xml:space="preserve"> and presented as a narrative. </w:t>
            </w:r>
          </w:p>
          <w:p w:rsidR="00963408" w:rsidRPr="002E1ABE" w:rsidRDefault="00963408" w:rsidP="008E6C0F">
            <w:pPr>
              <w:rPr>
                <w:rFonts w:eastAsia="Calibri" w:cs="Arial"/>
                <w:sz w:val="18"/>
                <w:szCs w:val="18"/>
              </w:rPr>
            </w:pPr>
            <w:r w:rsidRPr="002E1ABE">
              <w:rPr>
                <w:rFonts w:eastAsia="Calibri" w:cs="Arial"/>
                <w:sz w:val="18"/>
                <w:szCs w:val="18"/>
              </w:rPr>
              <w:t>The report identified that there is a collaboration of service and people, and services between themselves. People reported high R-</w:t>
            </w:r>
            <w:r w:rsidRPr="002E1ABE">
              <w:rPr>
                <w:rFonts w:eastAsia="Calibri" w:cs="Arial"/>
                <w:sz w:val="18"/>
                <w:szCs w:val="18"/>
              </w:rPr>
              <w:lastRenderedPageBreak/>
              <w:t xml:space="preserve">Outcomes measures for not  having  to  repeat  their  story  and services  talking  to  each  other. Collaboration between services was reported </w:t>
            </w:r>
            <w:r>
              <w:rPr>
                <w:rFonts w:eastAsia="Calibri" w:cs="Arial"/>
                <w:sz w:val="18"/>
                <w:szCs w:val="18"/>
              </w:rPr>
              <w:t>to be important for</w:t>
            </w:r>
            <w:r w:rsidRPr="002E1ABE">
              <w:rPr>
                <w:rFonts w:eastAsia="Calibri" w:cs="Arial"/>
                <w:sz w:val="18"/>
                <w:szCs w:val="18"/>
              </w:rPr>
              <w:t xml:space="preserve"> the LAC programme</w:t>
            </w:r>
            <w:r>
              <w:rPr>
                <w:rFonts w:eastAsia="Calibri" w:cs="Arial"/>
                <w:sz w:val="18"/>
                <w:szCs w:val="18"/>
              </w:rPr>
              <w:t xml:space="preserve"> success</w:t>
            </w:r>
            <w:r w:rsidRPr="002E1ABE">
              <w:rPr>
                <w:rFonts w:eastAsia="Calibri" w:cs="Arial"/>
                <w:sz w:val="18"/>
                <w:szCs w:val="18"/>
              </w:rPr>
              <w:t>, this data was captu</w:t>
            </w:r>
            <w:r>
              <w:rPr>
                <w:rFonts w:eastAsia="Calibri" w:cs="Arial"/>
                <w:sz w:val="18"/>
                <w:szCs w:val="18"/>
              </w:rPr>
              <w:t>red trough qualitative methods.</w:t>
            </w:r>
          </w:p>
          <w:p w:rsidR="00963408" w:rsidRPr="002E1ABE" w:rsidRDefault="00963408" w:rsidP="008E6C0F">
            <w:pPr>
              <w:rPr>
                <w:rFonts w:eastAsia="Calibri" w:cs="Arial"/>
                <w:sz w:val="18"/>
                <w:szCs w:val="18"/>
              </w:rPr>
            </w:pPr>
            <w:r w:rsidRPr="002E1ABE">
              <w:rPr>
                <w:rFonts w:eastAsia="Calibri" w:cs="Arial"/>
                <w:sz w:val="18"/>
                <w:szCs w:val="18"/>
              </w:rPr>
              <w:t>The report highlighted that people are getting  the  right  support,  at  the  right  time  and  place  from  the  most appropriate service. People  reported  statistically significant  improvements  in R-Outcomes for  being  able  to  look  after their own  health  and  feeling that  they  can  get  the  ri</w:t>
            </w:r>
            <w:r>
              <w:rPr>
                <w:rFonts w:eastAsia="Calibri" w:cs="Arial"/>
                <w:sz w:val="18"/>
                <w:szCs w:val="18"/>
              </w:rPr>
              <w:t xml:space="preserve">ght  help  if  they  need  it. </w:t>
            </w:r>
          </w:p>
        </w:tc>
      </w:tr>
      <w:tr w:rsidR="00963408" w:rsidRPr="005E1FC3" w:rsidTr="004A2995">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Mason et al. 2019</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Area Coordination, Isle of Wight, England</w:t>
            </w:r>
          </w:p>
        </w:tc>
        <w:tc>
          <w:tcPr>
            <w:tcW w:w="714" w:type="pct"/>
            <w:shd w:val="clear" w:color="auto" w:fill="E5DFEC" w:themeFill="accent4" w:themeFillTint="33"/>
          </w:tcPr>
          <w:p w:rsidR="00963408" w:rsidRPr="002E1ABE" w:rsidRDefault="00963408" w:rsidP="008E6C0F">
            <w:pPr>
              <w:rPr>
                <w:rFonts w:eastAsia="Calibri" w:cs="Arial"/>
                <w:sz w:val="18"/>
                <w:szCs w:val="18"/>
              </w:rPr>
            </w:pPr>
            <w:r>
              <w:rPr>
                <w:rFonts w:eastAsia="Calibri" w:cs="Arial"/>
                <w:sz w:val="18"/>
                <w:szCs w:val="18"/>
              </w:rPr>
              <w:t>LAC</w:t>
            </w:r>
            <w:r w:rsidRPr="002E1ABE">
              <w:rPr>
                <w:rFonts w:eastAsia="Calibri" w:cs="Arial"/>
                <w:sz w:val="18"/>
                <w:szCs w:val="18"/>
              </w:rPr>
              <w:t xml:space="preserve"> </w:t>
            </w:r>
            <w:r>
              <w:rPr>
                <w:rFonts w:eastAsia="Calibri" w:cs="Arial"/>
                <w:sz w:val="18"/>
                <w:szCs w:val="18"/>
              </w:rPr>
              <w:t>works</w:t>
            </w:r>
            <w:r w:rsidRPr="002E1ABE">
              <w:rPr>
                <w:rFonts w:eastAsia="Calibri" w:cs="Arial"/>
                <w:sz w:val="18"/>
                <w:szCs w:val="18"/>
              </w:rPr>
              <w:t xml:space="preserve"> with those in need of support around the</w:t>
            </w:r>
            <w:r>
              <w:rPr>
                <w:rFonts w:eastAsia="Calibri" w:cs="Arial"/>
                <w:sz w:val="18"/>
                <w:szCs w:val="18"/>
              </w:rPr>
              <w:t xml:space="preserve"> various issues in their lives.</w:t>
            </w:r>
          </w:p>
          <w:p w:rsidR="00963408" w:rsidRPr="002E1ABE" w:rsidRDefault="00963408" w:rsidP="008E6C0F">
            <w:pPr>
              <w:rPr>
                <w:rFonts w:eastAsia="Calibri" w:cs="Arial"/>
                <w:sz w:val="18"/>
                <w:szCs w:val="18"/>
              </w:rPr>
            </w:pPr>
            <w:r w:rsidRPr="002E1ABE">
              <w:rPr>
                <w:rFonts w:eastAsia="Calibri" w:cs="Arial"/>
                <w:sz w:val="18"/>
                <w:szCs w:val="18"/>
              </w:rPr>
              <w:t xml:space="preserve">It may focus on health,  physical activity,  connecting  </w:t>
            </w:r>
            <w:r w:rsidRPr="002E1ABE">
              <w:rPr>
                <w:rFonts w:eastAsia="Calibri" w:cs="Arial"/>
                <w:sz w:val="18"/>
                <w:szCs w:val="18"/>
              </w:rPr>
              <w:lastRenderedPageBreak/>
              <w:t>with  local  services,  and  the  local  communities  around  them.</w:t>
            </w:r>
            <w:r>
              <w:rPr>
                <w:rFonts w:eastAsia="Calibri" w:cs="Arial"/>
                <w:sz w:val="18"/>
                <w:szCs w:val="18"/>
              </w:rPr>
              <w:t xml:space="preserve">  </w:t>
            </w:r>
          </w:p>
          <w:p w:rsidR="00963408" w:rsidRPr="002E1ABE" w:rsidRDefault="00963408" w:rsidP="008E6C0F">
            <w:pPr>
              <w:rPr>
                <w:rFonts w:eastAsia="Calibri" w:cs="Arial"/>
                <w:sz w:val="18"/>
                <w:szCs w:val="18"/>
              </w:rPr>
            </w:pPr>
            <w:r w:rsidRPr="002E1ABE">
              <w:rPr>
                <w:rFonts w:eastAsia="Calibri" w:cs="Arial"/>
                <w:sz w:val="18"/>
                <w:szCs w:val="18"/>
              </w:rPr>
              <w:t>LAC attempts to build  the  capacity  of  individuals  to  take  control  over  their  own  lives.</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 xml:space="preserve"> 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This report identified that</w:t>
            </w:r>
          </w:p>
          <w:p w:rsidR="00963408" w:rsidRPr="002E1ABE" w:rsidRDefault="00963408" w:rsidP="008E6C0F">
            <w:pPr>
              <w:rPr>
                <w:rFonts w:eastAsia="Calibri" w:cs="Arial"/>
                <w:sz w:val="18"/>
                <w:szCs w:val="18"/>
              </w:rPr>
            </w:pPr>
            <w:r>
              <w:rPr>
                <w:rFonts w:eastAsia="Calibri" w:cs="Arial"/>
                <w:sz w:val="18"/>
                <w:szCs w:val="18"/>
              </w:rPr>
              <w:t>Coordinators</w:t>
            </w:r>
            <w:r w:rsidRPr="002E1ABE">
              <w:rPr>
                <w:rFonts w:eastAsia="Calibri" w:cs="Arial"/>
                <w:sz w:val="18"/>
                <w:szCs w:val="18"/>
              </w:rPr>
              <w:t xml:space="preserve"> are helping participants in building social capital, identify what a good life </w:t>
            </w:r>
            <w:r>
              <w:rPr>
                <w:rFonts w:eastAsia="Calibri" w:cs="Arial"/>
                <w:sz w:val="18"/>
                <w:szCs w:val="18"/>
              </w:rPr>
              <w:t>is for</w:t>
            </w:r>
            <w:r w:rsidRPr="002E1ABE">
              <w:rPr>
                <w:rFonts w:eastAsia="Calibri" w:cs="Arial"/>
                <w:sz w:val="18"/>
                <w:szCs w:val="18"/>
              </w:rPr>
              <w:t xml:space="preserve"> them and </w:t>
            </w:r>
            <w:r w:rsidRPr="002E1ABE">
              <w:rPr>
                <w:rFonts w:eastAsia="Calibri" w:cs="Arial"/>
                <w:sz w:val="18"/>
                <w:szCs w:val="18"/>
              </w:rPr>
              <w:lastRenderedPageBreak/>
              <w:t>how they can achieve this, feel like they can do more for themselves. Data was collected via qualitative interviews</w:t>
            </w:r>
            <w:r>
              <w:rPr>
                <w:rFonts w:eastAsia="Calibri" w:cs="Arial"/>
                <w:sz w:val="18"/>
                <w:szCs w:val="18"/>
              </w:rPr>
              <w:t xml:space="preserve"> and presented as a narrative. </w:t>
            </w:r>
          </w:p>
          <w:p w:rsidR="00963408" w:rsidRPr="002E1ABE" w:rsidRDefault="00963408" w:rsidP="008E6C0F">
            <w:pPr>
              <w:rPr>
                <w:rFonts w:eastAsia="Calibri" w:cs="Arial"/>
                <w:sz w:val="18"/>
                <w:szCs w:val="18"/>
              </w:rPr>
            </w:pPr>
            <w:r w:rsidRPr="002E1ABE">
              <w:rPr>
                <w:rFonts w:eastAsia="Calibri" w:cs="Arial"/>
                <w:sz w:val="18"/>
                <w:szCs w:val="18"/>
              </w:rPr>
              <w:t xml:space="preserve">LAC is an open service - accessible to anyone in the community. This report has found that the introductions to LAC have been made through self-introduction, family members, with health advisors, at the food bank, etc. Data </w:t>
            </w:r>
            <w:r>
              <w:rPr>
                <w:rFonts w:eastAsia="Calibri" w:cs="Arial"/>
                <w:sz w:val="18"/>
                <w:szCs w:val="18"/>
              </w:rPr>
              <w:t xml:space="preserve">was </w:t>
            </w:r>
            <w:r w:rsidRPr="002E1ABE">
              <w:rPr>
                <w:rFonts w:eastAsia="Calibri" w:cs="Arial"/>
                <w:sz w:val="18"/>
                <w:szCs w:val="18"/>
              </w:rPr>
              <w:t>presented as a narrative.</w:t>
            </w:r>
            <w:r>
              <w:rPr>
                <w:rFonts w:eastAsia="Calibri" w:cs="Arial"/>
                <w:sz w:val="18"/>
                <w:szCs w:val="18"/>
              </w:rPr>
              <w:t xml:space="preserve">  </w:t>
            </w:r>
          </w:p>
          <w:p w:rsidR="00963408" w:rsidRPr="002E1ABE" w:rsidRDefault="00963408" w:rsidP="008E6C0F">
            <w:pPr>
              <w:rPr>
                <w:rFonts w:eastAsia="Calibri" w:cs="Arial"/>
                <w:sz w:val="18"/>
                <w:szCs w:val="18"/>
              </w:rPr>
            </w:pPr>
            <w:r w:rsidRPr="002E1ABE">
              <w:rPr>
                <w:rFonts w:eastAsia="Calibri" w:cs="Arial"/>
                <w:sz w:val="18"/>
                <w:szCs w:val="18"/>
              </w:rPr>
              <w:t xml:space="preserve">This report highlights a lack of younger people accessing LAC. The reports states only 2 of 17 individuals accessing LAC were age 25 and under. </w:t>
            </w:r>
          </w:p>
        </w:tc>
      </w:tr>
      <w:tr w:rsidR="00963408" w:rsidRPr="005E1FC3" w:rsidTr="004A2995">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Forshaw et al. 2016</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Leicestershire Local Area Coordination, England</w:t>
            </w:r>
          </w:p>
        </w:tc>
        <w:tc>
          <w:tcPr>
            <w:tcW w:w="714" w:type="pct"/>
            <w:tcBorders>
              <w:bottom w:val="single" w:sz="4" w:space="0" w:color="auto"/>
            </w:tcBorders>
          </w:tcPr>
          <w:p w:rsidR="00963408" w:rsidRPr="002E1ABE" w:rsidRDefault="00963408" w:rsidP="008E6C0F">
            <w:pPr>
              <w:rPr>
                <w:rFonts w:eastAsia="Calibri" w:cs="Arial"/>
                <w:sz w:val="18"/>
                <w:szCs w:val="18"/>
              </w:rPr>
            </w:pPr>
            <w:r>
              <w:rPr>
                <w:rFonts w:eastAsia="Calibri" w:cs="Arial"/>
                <w:sz w:val="18"/>
                <w:szCs w:val="18"/>
              </w:rPr>
              <w:t xml:space="preserve">LAC </w:t>
            </w:r>
            <w:r w:rsidRPr="002E1ABE">
              <w:rPr>
                <w:rFonts w:eastAsia="Calibri" w:cs="Arial"/>
                <w:sz w:val="18"/>
                <w:szCs w:val="18"/>
              </w:rPr>
              <w:t xml:space="preserve">is a complex community-based intervention delivered in 10 local areas, in four of the County’s Districts. It is </w:t>
            </w:r>
            <w:r w:rsidRPr="002E1ABE">
              <w:rPr>
                <w:rFonts w:eastAsia="Calibri" w:cs="Arial"/>
                <w:sz w:val="18"/>
                <w:szCs w:val="18"/>
              </w:rPr>
              <w:lastRenderedPageBreak/>
              <w:t>de</w:t>
            </w:r>
            <w:r>
              <w:rPr>
                <w:rFonts w:eastAsia="Calibri" w:cs="Arial"/>
                <w:sz w:val="18"/>
                <w:szCs w:val="18"/>
              </w:rPr>
              <w:t xml:space="preserve">livered by eight Coordinators. </w:t>
            </w:r>
          </w:p>
          <w:p w:rsidR="00963408" w:rsidRPr="002E1ABE" w:rsidRDefault="00963408" w:rsidP="008E6C0F">
            <w:pPr>
              <w:rPr>
                <w:rFonts w:eastAsia="Calibri" w:cs="Arial"/>
                <w:sz w:val="18"/>
                <w:szCs w:val="18"/>
              </w:rPr>
            </w:pPr>
            <w:r w:rsidRPr="002E1ABE">
              <w:rPr>
                <w:rFonts w:eastAsia="Calibri" w:cs="Arial"/>
                <w:sz w:val="18"/>
                <w:szCs w:val="18"/>
              </w:rPr>
              <w:t>LAC works with beneficiaries who are vulnerable and often experiencing a range of multi-layer complex challenges.</w:t>
            </w:r>
          </w:p>
          <w:p w:rsidR="00963408" w:rsidRPr="002E1ABE" w:rsidRDefault="00963408" w:rsidP="008E6C0F">
            <w:pPr>
              <w:rPr>
                <w:rFonts w:eastAsia="Calibri" w:cs="Arial"/>
                <w:sz w:val="18"/>
                <w:szCs w:val="18"/>
              </w:rPr>
            </w:pPr>
            <w:r w:rsidRPr="002E1ABE">
              <w:rPr>
                <w:rFonts w:eastAsia="Calibri" w:cs="Arial"/>
                <w:sz w:val="18"/>
                <w:szCs w:val="18"/>
              </w:rPr>
              <w:t>LAC is designed to have an impact on three levels: Individual, Community, and Healt</w:t>
            </w:r>
            <w:r>
              <w:rPr>
                <w:rFonts w:eastAsia="Calibri" w:cs="Arial"/>
                <w:sz w:val="18"/>
                <w:szCs w:val="18"/>
              </w:rPr>
              <w:t xml:space="preserve">h and Social Care Integration. </w:t>
            </w:r>
          </w:p>
          <w:p w:rsidR="00963408" w:rsidRPr="002E1ABE" w:rsidRDefault="00963408" w:rsidP="008E6C0F">
            <w:pPr>
              <w:rPr>
                <w:rFonts w:eastAsia="Calibri" w:cs="Arial"/>
                <w:sz w:val="18"/>
                <w:szCs w:val="18"/>
              </w:rPr>
            </w:pPr>
            <w:r w:rsidRPr="002E1ABE">
              <w:rPr>
                <w:rFonts w:eastAsia="Calibri" w:cs="Arial"/>
                <w:sz w:val="18"/>
                <w:szCs w:val="18"/>
              </w:rPr>
              <w:t>The levels were not further elaborated in the report.</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LAC is part of</w:t>
            </w:r>
            <w:r>
              <w:rPr>
                <w:rFonts w:eastAsia="Calibri" w:cs="Arial"/>
                <w:sz w:val="18"/>
                <w:szCs w:val="18"/>
              </w:rPr>
              <w:t xml:space="preserve"> the Unified Prevention Offer, Better Care </w:t>
            </w:r>
            <w:r w:rsidRPr="002E1ABE">
              <w:rPr>
                <w:rFonts w:eastAsia="Calibri" w:cs="Arial"/>
                <w:sz w:val="18"/>
                <w:szCs w:val="18"/>
              </w:rPr>
              <w:t>Fund.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This report foun</w:t>
            </w:r>
            <w:r>
              <w:rPr>
                <w:rFonts w:eastAsia="Calibri" w:cs="Arial"/>
                <w:sz w:val="18"/>
                <w:szCs w:val="18"/>
              </w:rPr>
              <w:t xml:space="preserve">d that the LAC was effective in </w:t>
            </w:r>
            <w:r w:rsidRPr="002E1ABE">
              <w:rPr>
                <w:rFonts w:eastAsia="Calibri" w:cs="Arial"/>
                <w:sz w:val="18"/>
                <w:szCs w:val="18"/>
              </w:rPr>
              <w:t>achieving its aims and strategic</w:t>
            </w:r>
            <w:r>
              <w:rPr>
                <w:rFonts w:eastAsia="Calibri" w:cs="Arial"/>
                <w:sz w:val="18"/>
                <w:szCs w:val="18"/>
              </w:rPr>
              <w:t xml:space="preserve"> objectives. During one year </w:t>
            </w:r>
            <w:r w:rsidRPr="002E1ABE">
              <w:rPr>
                <w:rFonts w:eastAsia="Calibri" w:cs="Arial"/>
                <w:sz w:val="18"/>
                <w:szCs w:val="18"/>
              </w:rPr>
              <w:t xml:space="preserve">LAC worked </w:t>
            </w:r>
            <w:r w:rsidRPr="002E1ABE">
              <w:rPr>
                <w:rFonts w:eastAsia="Calibri" w:cs="Arial"/>
                <w:sz w:val="18"/>
                <w:szCs w:val="18"/>
              </w:rPr>
              <w:lastRenderedPageBreak/>
              <w:t>with 1,498 participants at Le</w:t>
            </w:r>
            <w:r>
              <w:rPr>
                <w:rFonts w:eastAsia="Calibri" w:cs="Arial"/>
                <w:sz w:val="18"/>
                <w:szCs w:val="18"/>
              </w:rPr>
              <w:t>vel 1 and Level 2. 830 participants were</w:t>
            </w:r>
            <w:r w:rsidRPr="002E1ABE">
              <w:rPr>
                <w:rFonts w:eastAsia="Calibri" w:cs="Arial"/>
                <w:sz w:val="18"/>
                <w:szCs w:val="18"/>
              </w:rPr>
              <w:t xml:space="preserve"> si</w:t>
            </w:r>
            <w:r>
              <w:rPr>
                <w:rFonts w:eastAsia="Calibri" w:cs="Arial"/>
                <w:sz w:val="18"/>
                <w:szCs w:val="18"/>
              </w:rPr>
              <w:t xml:space="preserve">gnposted by LAC, 174 </w:t>
            </w:r>
            <w:r w:rsidRPr="002E1ABE">
              <w:rPr>
                <w:rFonts w:eastAsia="Calibri" w:cs="Arial"/>
                <w:sz w:val="18"/>
                <w:szCs w:val="18"/>
              </w:rPr>
              <w:t>supported to access benefits, and 21 referrals from</w:t>
            </w:r>
            <w:r>
              <w:rPr>
                <w:rFonts w:eastAsia="Calibri" w:cs="Arial"/>
                <w:sz w:val="18"/>
                <w:szCs w:val="18"/>
              </w:rPr>
              <w:t xml:space="preserve"> the Police to LAC </w:t>
            </w:r>
            <w:r w:rsidRPr="002E1ABE">
              <w:rPr>
                <w:rFonts w:eastAsia="Calibri" w:cs="Arial"/>
                <w:sz w:val="18"/>
                <w:szCs w:val="18"/>
              </w:rPr>
              <w:t>resulted in LAC contrib</w:t>
            </w:r>
            <w:r>
              <w:rPr>
                <w:rFonts w:eastAsia="Calibri" w:cs="Arial"/>
                <w:sz w:val="18"/>
                <w:szCs w:val="18"/>
              </w:rPr>
              <w:t>uting to a positive outcome.</w:t>
            </w:r>
          </w:p>
          <w:p w:rsidR="00963408" w:rsidRPr="002E1ABE" w:rsidRDefault="00963408" w:rsidP="008E6C0F">
            <w:pPr>
              <w:rPr>
                <w:rFonts w:eastAsia="Calibri" w:cs="Arial"/>
                <w:sz w:val="18"/>
                <w:szCs w:val="18"/>
              </w:rPr>
            </w:pPr>
            <w:r w:rsidRPr="002E1ABE">
              <w:rPr>
                <w:rFonts w:eastAsia="Calibri" w:cs="Arial"/>
                <w:sz w:val="18"/>
                <w:szCs w:val="18"/>
              </w:rPr>
              <w:t xml:space="preserve">The </w:t>
            </w:r>
            <w:r>
              <w:rPr>
                <w:rFonts w:eastAsia="Calibri" w:cs="Arial"/>
                <w:sz w:val="18"/>
                <w:szCs w:val="18"/>
              </w:rPr>
              <w:t xml:space="preserve">unintended negative was </w:t>
            </w:r>
            <w:r w:rsidRPr="002E1ABE">
              <w:rPr>
                <w:rFonts w:eastAsia="Calibri" w:cs="Arial"/>
                <w:sz w:val="18"/>
                <w:szCs w:val="18"/>
              </w:rPr>
              <w:t>participants’ over-reliance on the service. The authors found that about 5% of participants may be dependent on LAC.</w:t>
            </w:r>
          </w:p>
        </w:tc>
      </w:tr>
      <w:tr w:rsidR="00963408" w:rsidRPr="005E1FC3" w:rsidTr="004A2995">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Swansea University,  2016</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Area Coordination (LAC) and Local Community Coordination (LCC), Western Bay, England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LAC and LCC Coordinators are embedded in the community and come alongside people of all ages, disabilities and backgrounds.</w:t>
            </w:r>
            <w:r>
              <w:rPr>
                <w:rFonts w:eastAsia="Calibri" w:cs="Arial"/>
                <w:sz w:val="18"/>
                <w:szCs w:val="18"/>
              </w:rPr>
              <w:t xml:space="preserve"> </w:t>
            </w:r>
          </w:p>
          <w:p w:rsidR="00963408" w:rsidRPr="002E1ABE" w:rsidRDefault="00963408" w:rsidP="008E6C0F">
            <w:pPr>
              <w:rPr>
                <w:rFonts w:eastAsia="Calibri" w:cs="Arial"/>
                <w:sz w:val="18"/>
                <w:szCs w:val="18"/>
              </w:rPr>
            </w:pPr>
            <w:r w:rsidRPr="002E1ABE">
              <w:rPr>
                <w:rFonts w:eastAsia="Calibri" w:cs="Arial"/>
                <w:sz w:val="18"/>
                <w:szCs w:val="18"/>
              </w:rPr>
              <w:t xml:space="preserve">LAC  and  LCC are  a  local  single  point  of  contact working  to  reduce dependence  on  services  and  creating  conditions  for long-term  resilience.  </w:t>
            </w:r>
          </w:p>
          <w:p w:rsidR="00963408" w:rsidRPr="002E1ABE" w:rsidRDefault="00963408" w:rsidP="008E6C0F">
            <w:pPr>
              <w:rPr>
                <w:rFonts w:eastAsia="Calibri" w:cs="Arial"/>
                <w:sz w:val="18"/>
                <w:szCs w:val="18"/>
              </w:rPr>
            </w:pPr>
            <w:r>
              <w:rPr>
                <w:rFonts w:eastAsia="Calibri" w:cs="Arial"/>
                <w:sz w:val="18"/>
                <w:szCs w:val="18"/>
              </w:rPr>
              <w:lastRenderedPageBreak/>
              <w:t>LCC</w:t>
            </w:r>
            <w:r w:rsidRPr="002E1ABE">
              <w:rPr>
                <w:rFonts w:eastAsia="Calibri" w:cs="Arial"/>
                <w:sz w:val="18"/>
                <w:szCs w:val="18"/>
              </w:rPr>
              <w:t xml:space="preserve"> is an emerging framework being shaped as it becomes embedded within the Local Authority.  LCC shares its principles with LAC but does not fully impl</w:t>
            </w:r>
            <w:r>
              <w:rPr>
                <w:rFonts w:eastAsia="Calibri" w:cs="Arial"/>
                <w:sz w:val="18"/>
                <w:szCs w:val="18"/>
              </w:rPr>
              <w:t>ement all core design features.</w:t>
            </w:r>
          </w:p>
          <w:p w:rsidR="00963408" w:rsidRPr="002E1ABE" w:rsidRDefault="00963408" w:rsidP="008E6C0F">
            <w:pPr>
              <w:rPr>
                <w:rFonts w:eastAsia="Calibri" w:cs="Arial"/>
                <w:sz w:val="18"/>
                <w:szCs w:val="18"/>
              </w:rPr>
            </w:pPr>
            <w:r w:rsidRPr="002E1ABE">
              <w:rPr>
                <w:rFonts w:eastAsia="Calibri" w:cs="Arial"/>
                <w:sz w:val="18"/>
                <w:szCs w:val="18"/>
              </w:rPr>
              <w:t>There are 2 tiers f</w:t>
            </w:r>
            <w:r>
              <w:rPr>
                <w:rFonts w:eastAsia="Calibri" w:cs="Arial"/>
                <w:sz w:val="18"/>
                <w:szCs w:val="18"/>
              </w:rPr>
              <w:t xml:space="preserve">or accessing both LAC and LCC: </w:t>
            </w:r>
          </w:p>
          <w:p w:rsidR="00963408" w:rsidRPr="009C4644" w:rsidRDefault="00963408" w:rsidP="008E6C0F">
            <w:pPr>
              <w:numPr>
                <w:ilvl w:val="0"/>
                <w:numId w:val="16"/>
              </w:numPr>
              <w:ind w:left="360"/>
              <w:contextualSpacing/>
              <w:rPr>
                <w:rFonts w:eastAsia="Calibri" w:cs="Arial"/>
                <w:sz w:val="18"/>
                <w:szCs w:val="18"/>
              </w:rPr>
            </w:pPr>
            <w:r w:rsidRPr="002E1ABE">
              <w:rPr>
                <w:rFonts w:eastAsia="Calibri" w:cs="Arial"/>
                <w:sz w:val="18"/>
                <w:szCs w:val="18"/>
              </w:rPr>
              <w:t xml:space="preserve">a light touch approach (Tier 1 cases) </w:t>
            </w:r>
          </w:p>
          <w:p w:rsidR="00963408" w:rsidRDefault="00963408" w:rsidP="008E6C0F">
            <w:pPr>
              <w:numPr>
                <w:ilvl w:val="0"/>
                <w:numId w:val="16"/>
              </w:numPr>
              <w:ind w:left="360"/>
              <w:contextualSpacing/>
              <w:rPr>
                <w:rFonts w:eastAsia="Calibri" w:cs="Arial"/>
                <w:sz w:val="18"/>
                <w:szCs w:val="18"/>
              </w:rPr>
            </w:pPr>
            <w:r w:rsidRPr="002E1ABE">
              <w:rPr>
                <w:rFonts w:eastAsia="Calibri" w:cs="Arial"/>
                <w:sz w:val="18"/>
                <w:szCs w:val="18"/>
              </w:rPr>
              <w:t>complex and longer-term cases (Tier 2).</w:t>
            </w:r>
          </w:p>
          <w:p w:rsidR="00963408" w:rsidRPr="002E1ABE" w:rsidRDefault="00963408" w:rsidP="008E6C0F">
            <w:pPr>
              <w:contextualSpacing/>
              <w:rPr>
                <w:rFonts w:eastAsia="Calibri" w:cs="Arial"/>
                <w:sz w:val="18"/>
                <w:szCs w:val="18"/>
              </w:rPr>
            </w:pPr>
            <w:r w:rsidRPr="009C4644">
              <w:rPr>
                <w:rFonts w:eastAsia="Calibri" w:cs="Arial"/>
                <w:sz w:val="18"/>
                <w:szCs w:val="18"/>
              </w:rPr>
              <w:t>Interventions are not time-bound.</w:t>
            </w:r>
            <w:r>
              <w:rPr>
                <w:rFonts w:eastAsia="Calibri" w:cs="Arial"/>
                <w:sz w:val="18"/>
                <w:szCs w:val="18"/>
              </w:rPr>
              <w:t xml:space="preserve"> </w:t>
            </w:r>
            <w:r w:rsidRPr="002E1ABE">
              <w:rPr>
                <w:rFonts w:eastAsia="Calibri" w:cs="Arial"/>
                <w:sz w:val="18"/>
                <w:szCs w:val="18"/>
              </w:rPr>
              <w:t>The services also support families and communities</w:t>
            </w:r>
            <w:r>
              <w:rPr>
                <w:rFonts w:eastAsia="Calibri" w:cs="Arial"/>
                <w:sz w:val="18"/>
                <w:szCs w:val="18"/>
              </w:rPr>
              <w:t xml:space="preserve"> in</w:t>
            </w:r>
            <w:r w:rsidRPr="002E1ABE">
              <w:rPr>
                <w:rFonts w:eastAsia="Calibri" w:cs="Arial"/>
                <w:sz w:val="18"/>
                <w:szCs w:val="18"/>
              </w:rPr>
              <w:t xml:space="preserve"> find</w:t>
            </w:r>
            <w:r>
              <w:rPr>
                <w:rFonts w:eastAsia="Calibri" w:cs="Arial"/>
                <w:sz w:val="18"/>
                <w:szCs w:val="18"/>
              </w:rPr>
              <w:t>ing</w:t>
            </w:r>
            <w:r w:rsidRPr="002E1ABE">
              <w:rPr>
                <w:rFonts w:eastAsia="Calibri" w:cs="Arial"/>
                <w:sz w:val="18"/>
                <w:szCs w:val="18"/>
              </w:rPr>
              <w:t xml:space="preserve"> self-sustaining solutions to the challenges they face.</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Authority</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 xml:space="preserve">This report identified a need for co-funding  plan  which  should  include  contributions from local  authorities  and  partner  organisations,  including universities, housing providers, health (including public health), fire and police as well as consideration of the private sector. </w:t>
            </w:r>
          </w:p>
          <w:p w:rsidR="00963408" w:rsidRPr="002E1ABE" w:rsidRDefault="00963408" w:rsidP="008E6C0F">
            <w:pPr>
              <w:rPr>
                <w:rFonts w:eastAsia="Calibri" w:cs="Arial"/>
                <w:sz w:val="18"/>
                <w:szCs w:val="18"/>
              </w:rPr>
            </w:pPr>
            <w:r>
              <w:rPr>
                <w:rFonts w:eastAsia="Calibri" w:cs="Arial"/>
                <w:sz w:val="18"/>
                <w:szCs w:val="18"/>
              </w:rPr>
              <w:t>The report highlighted a need for:</w:t>
            </w:r>
          </w:p>
          <w:p w:rsidR="00963408" w:rsidRPr="009C4644" w:rsidRDefault="00963408" w:rsidP="008E6C0F">
            <w:pPr>
              <w:numPr>
                <w:ilvl w:val="0"/>
                <w:numId w:val="17"/>
              </w:numPr>
              <w:contextualSpacing/>
              <w:rPr>
                <w:rFonts w:eastAsia="Calibri" w:cs="Arial"/>
                <w:sz w:val="18"/>
                <w:szCs w:val="18"/>
              </w:rPr>
            </w:pPr>
            <w:r w:rsidRPr="002E1ABE">
              <w:rPr>
                <w:rFonts w:eastAsia="Calibri" w:cs="Arial"/>
                <w:sz w:val="18"/>
                <w:szCs w:val="18"/>
              </w:rPr>
              <w:lastRenderedPageBreak/>
              <w:t>common understanding of language and terminology used by LAC. It was stated that there were issues when communicating with partners. LAC has its own terminology which for some, sets it apart from the mainstream.</w:t>
            </w:r>
          </w:p>
          <w:p w:rsidR="00963408" w:rsidRPr="002E1ABE" w:rsidRDefault="00963408" w:rsidP="008E6C0F">
            <w:pPr>
              <w:numPr>
                <w:ilvl w:val="0"/>
                <w:numId w:val="17"/>
              </w:numPr>
              <w:contextualSpacing/>
              <w:rPr>
                <w:rFonts w:eastAsia="Calibri" w:cs="Arial"/>
                <w:sz w:val="18"/>
                <w:szCs w:val="18"/>
              </w:rPr>
            </w:pPr>
            <w:r>
              <w:rPr>
                <w:rFonts w:eastAsia="Calibri" w:cs="Arial"/>
                <w:sz w:val="18"/>
                <w:szCs w:val="18"/>
              </w:rPr>
              <w:t>s</w:t>
            </w:r>
            <w:r w:rsidRPr="002E1ABE">
              <w:rPr>
                <w:rFonts w:eastAsia="Calibri" w:cs="Arial"/>
                <w:sz w:val="18"/>
                <w:szCs w:val="18"/>
              </w:rPr>
              <w:t xml:space="preserve">tandardised data recording and storing method. </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r>
      <w:tr w:rsidR="00963408" w:rsidRPr="005E1FC3" w:rsidTr="004A2995">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 xml:space="preserve">Gamsu and Rippon, </w:t>
            </w:r>
            <w:r w:rsidR="00515E25">
              <w:rPr>
                <w:rFonts w:eastAsia="Calibri" w:cs="Arial"/>
                <w:sz w:val="18"/>
                <w:szCs w:val="18"/>
              </w:rPr>
              <w:t>-</w:t>
            </w:r>
            <w:r w:rsidRPr="002E1ABE">
              <w:rPr>
                <w:rFonts w:eastAsia="Calibri" w:cs="Arial"/>
                <w:sz w:val="18"/>
                <w:szCs w:val="18"/>
              </w:rPr>
              <w:t>2019</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Haringey Local Area Coordination Service, England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 xml:space="preserve">LAC </w:t>
            </w:r>
            <w:r>
              <w:rPr>
                <w:rFonts w:eastAsia="Calibri" w:cs="Arial"/>
                <w:sz w:val="18"/>
                <w:szCs w:val="18"/>
              </w:rPr>
              <w:t xml:space="preserve">is a part of  a wider </w:t>
            </w:r>
            <w:r w:rsidRPr="002E1ABE">
              <w:rPr>
                <w:rFonts w:eastAsia="Calibri" w:cs="Arial"/>
                <w:sz w:val="18"/>
                <w:szCs w:val="18"/>
              </w:rPr>
              <w:t>policy reform within the Loc</w:t>
            </w:r>
            <w:r>
              <w:rPr>
                <w:rFonts w:eastAsia="Calibri" w:cs="Arial"/>
                <w:sz w:val="18"/>
                <w:szCs w:val="18"/>
              </w:rPr>
              <w:t>al Authority and local NHS. The</w:t>
            </w:r>
            <w:r w:rsidRPr="002E1ABE">
              <w:rPr>
                <w:rFonts w:eastAsia="Calibri" w:cs="Arial"/>
                <w:sz w:val="18"/>
                <w:szCs w:val="18"/>
              </w:rPr>
              <w:t xml:space="preserve"> reform </w:t>
            </w:r>
            <w:r>
              <w:rPr>
                <w:rFonts w:eastAsia="Calibri" w:cs="Arial"/>
                <w:sz w:val="18"/>
                <w:szCs w:val="18"/>
              </w:rPr>
              <w:t xml:space="preserve">aims to increase prevention. </w:t>
            </w:r>
          </w:p>
          <w:p w:rsidR="00963408" w:rsidRPr="002E1ABE" w:rsidRDefault="00963408" w:rsidP="008E6C0F">
            <w:pPr>
              <w:rPr>
                <w:rFonts w:eastAsia="Calibri" w:cs="Arial"/>
                <w:sz w:val="18"/>
                <w:szCs w:val="18"/>
              </w:rPr>
            </w:pPr>
            <w:r w:rsidRPr="002E1ABE">
              <w:rPr>
                <w:rFonts w:eastAsia="Calibri" w:cs="Arial"/>
                <w:sz w:val="18"/>
                <w:szCs w:val="18"/>
              </w:rPr>
              <w:t>In this model t</w:t>
            </w:r>
            <w:r>
              <w:rPr>
                <w:rFonts w:eastAsia="Calibri" w:cs="Arial"/>
                <w:sz w:val="18"/>
                <w:szCs w:val="18"/>
              </w:rPr>
              <w:t>here are two levels of support:</w:t>
            </w:r>
          </w:p>
          <w:p w:rsidR="00963408" w:rsidRPr="002E1ABE" w:rsidRDefault="00963408" w:rsidP="008E6C0F">
            <w:pPr>
              <w:rPr>
                <w:rFonts w:eastAsia="Calibri" w:cs="Arial"/>
                <w:sz w:val="18"/>
                <w:szCs w:val="18"/>
              </w:rPr>
            </w:pPr>
            <w:r>
              <w:rPr>
                <w:rFonts w:eastAsia="Calibri" w:cs="Arial"/>
                <w:sz w:val="18"/>
                <w:szCs w:val="18"/>
              </w:rPr>
              <w:lastRenderedPageBreak/>
              <w:t xml:space="preserve">Level 1: </w:t>
            </w:r>
            <w:r w:rsidRPr="002E1ABE">
              <w:rPr>
                <w:rFonts w:eastAsia="Calibri" w:cs="Arial"/>
                <w:sz w:val="18"/>
                <w:szCs w:val="18"/>
              </w:rPr>
              <w:t xml:space="preserve">provision of information and/or limited support. There is no detailed review of participant’s personal circumstances. </w:t>
            </w:r>
          </w:p>
          <w:p w:rsidR="00963408" w:rsidRPr="002E1ABE" w:rsidRDefault="00963408" w:rsidP="008E6C0F">
            <w:pPr>
              <w:rPr>
                <w:rFonts w:eastAsia="Calibri" w:cs="Arial"/>
                <w:sz w:val="18"/>
                <w:szCs w:val="18"/>
              </w:rPr>
            </w:pPr>
            <w:r>
              <w:rPr>
                <w:rFonts w:eastAsia="Calibri" w:cs="Arial"/>
                <w:sz w:val="18"/>
                <w:szCs w:val="18"/>
              </w:rPr>
              <w:t xml:space="preserve">•Level  2: a </w:t>
            </w:r>
            <w:r w:rsidRPr="002E1ABE">
              <w:rPr>
                <w:rFonts w:eastAsia="Calibri" w:cs="Arial"/>
                <w:sz w:val="18"/>
                <w:szCs w:val="18"/>
              </w:rPr>
              <w:t xml:space="preserve">longer  term  relationship  supporting  </w:t>
            </w:r>
            <w:r>
              <w:rPr>
                <w:rFonts w:eastAsia="Calibri" w:cs="Arial"/>
                <w:sz w:val="18"/>
                <w:szCs w:val="18"/>
              </w:rPr>
              <w:t>people  (children  and  adults)</w:t>
            </w:r>
            <w:r w:rsidRPr="002E1ABE">
              <w:rPr>
                <w:rFonts w:eastAsia="Calibri" w:cs="Arial"/>
                <w:sz w:val="18"/>
                <w:szCs w:val="18"/>
              </w:rPr>
              <w:t xml:space="preserve">  who  are vulnerable due to physical, intellectual, cognitive and/or sensory disability, mental health needs, age or frailty and require sustained assistance to build relationships, nurture control, choice and self-sufficiency, plan for the future, find pract</w:t>
            </w:r>
            <w:r>
              <w:rPr>
                <w:rFonts w:eastAsia="Calibri" w:cs="Arial"/>
                <w:sz w:val="18"/>
                <w:szCs w:val="18"/>
              </w:rPr>
              <w:t>ical solutions to problems etc.</w:t>
            </w:r>
          </w:p>
          <w:p w:rsidR="00963408" w:rsidRPr="002E1ABE" w:rsidRDefault="00963408" w:rsidP="008E6C0F">
            <w:pPr>
              <w:rPr>
                <w:rFonts w:eastAsia="Calibri" w:cs="Arial"/>
                <w:sz w:val="18"/>
                <w:szCs w:val="18"/>
              </w:rPr>
            </w:pPr>
            <w:r w:rsidRPr="002E1ABE">
              <w:rPr>
                <w:rFonts w:eastAsia="Calibri" w:cs="Arial"/>
                <w:sz w:val="18"/>
                <w:szCs w:val="18"/>
              </w:rPr>
              <w:t xml:space="preserve">There is no information about the length of the Level 2 support. </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lastRenderedPageBreak/>
              <w:t>Funding for the LAC pilot came from the Clinical Commissioning Group’s Better Care Fund.</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Anyone from the community can contact the Local Area Coordinator for Level One support.</w:t>
            </w:r>
          </w:p>
        </w:tc>
        <w:tc>
          <w:tcPr>
            <w:tcW w:w="714"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Local Authority and local NHS.</w:t>
            </w:r>
          </w:p>
        </w:tc>
        <w:tc>
          <w:tcPr>
            <w:tcW w:w="715" w:type="pct"/>
            <w:tcBorders>
              <w:bottom w:val="single" w:sz="4" w:space="0" w:color="auto"/>
            </w:tcBorders>
          </w:tcPr>
          <w:p w:rsidR="00963408" w:rsidRPr="002E1ABE" w:rsidRDefault="00963408" w:rsidP="008E6C0F">
            <w:pPr>
              <w:rPr>
                <w:rFonts w:eastAsia="Calibri" w:cs="Arial"/>
                <w:sz w:val="18"/>
                <w:szCs w:val="18"/>
              </w:rPr>
            </w:pPr>
            <w:r w:rsidRPr="002E1ABE">
              <w:rPr>
                <w:rFonts w:eastAsia="Calibri" w:cs="Arial"/>
                <w:sz w:val="18"/>
                <w:szCs w:val="18"/>
              </w:rPr>
              <w:t>This formative evaluation report identified positive signs of impacts on participants. Data was reported via seven case studie</w:t>
            </w:r>
            <w:r>
              <w:rPr>
                <w:rFonts w:eastAsia="Calibri" w:cs="Arial"/>
                <w:sz w:val="18"/>
                <w:szCs w:val="18"/>
              </w:rPr>
              <w:t>s produced by LAC coordinators.</w:t>
            </w:r>
          </w:p>
          <w:p w:rsidR="00963408" w:rsidRPr="002E1ABE" w:rsidRDefault="00963408" w:rsidP="008E6C0F">
            <w:pPr>
              <w:rPr>
                <w:rFonts w:eastAsia="Calibri" w:cs="Arial"/>
                <w:sz w:val="18"/>
                <w:szCs w:val="18"/>
              </w:rPr>
            </w:pPr>
            <w:r>
              <w:rPr>
                <w:rFonts w:eastAsia="Calibri" w:cs="Arial"/>
                <w:sz w:val="18"/>
                <w:szCs w:val="18"/>
              </w:rPr>
              <w:lastRenderedPageBreak/>
              <w:t>The report highlighted that:</w:t>
            </w:r>
          </w:p>
          <w:p w:rsidR="00963408" w:rsidRPr="009C4644" w:rsidRDefault="00963408" w:rsidP="008E6C0F">
            <w:pPr>
              <w:numPr>
                <w:ilvl w:val="0"/>
                <w:numId w:val="18"/>
              </w:numPr>
              <w:ind w:left="360"/>
              <w:contextualSpacing/>
              <w:rPr>
                <w:rFonts w:eastAsia="Calibri" w:cs="Arial"/>
                <w:sz w:val="18"/>
                <w:szCs w:val="18"/>
              </w:rPr>
            </w:pPr>
            <w:r w:rsidRPr="002E1ABE">
              <w:rPr>
                <w:rFonts w:eastAsia="Calibri" w:cs="Arial"/>
                <w:sz w:val="18"/>
                <w:szCs w:val="18"/>
              </w:rPr>
              <w:t>pilot LAC service should be used as a basis for further development of the scheme.</w:t>
            </w:r>
          </w:p>
          <w:p w:rsidR="00963408" w:rsidRPr="009C4644" w:rsidRDefault="00963408" w:rsidP="008E6C0F">
            <w:pPr>
              <w:numPr>
                <w:ilvl w:val="0"/>
                <w:numId w:val="18"/>
              </w:numPr>
              <w:ind w:left="360"/>
              <w:contextualSpacing/>
              <w:rPr>
                <w:rFonts w:eastAsia="Calibri" w:cs="Arial"/>
                <w:sz w:val="18"/>
                <w:szCs w:val="18"/>
              </w:rPr>
            </w:pPr>
            <w:r w:rsidRPr="002E1ABE">
              <w:rPr>
                <w:rFonts w:eastAsia="Calibri" w:cs="Arial"/>
                <w:sz w:val="18"/>
                <w:szCs w:val="18"/>
              </w:rPr>
              <w:t>need for managerial support.</w:t>
            </w:r>
          </w:p>
          <w:p w:rsidR="00963408" w:rsidRPr="002E1ABE" w:rsidRDefault="00963408" w:rsidP="008E6C0F">
            <w:pPr>
              <w:numPr>
                <w:ilvl w:val="0"/>
                <w:numId w:val="18"/>
              </w:numPr>
              <w:ind w:left="360"/>
              <w:contextualSpacing/>
              <w:rPr>
                <w:rFonts w:eastAsia="Calibri" w:cs="Arial"/>
                <w:sz w:val="18"/>
                <w:szCs w:val="18"/>
              </w:rPr>
            </w:pPr>
            <w:r w:rsidRPr="002E1ABE">
              <w:rPr>
                <w:rFonts w:eastAsia="Calibri" w:cs="Arial"/>
                <w:sz w:val="18"/>
                <w:szCs w:val="18"/>
              </w:rPr>
              <w:t>need for an improved data collection but without overburdening LACs.</w:t>
            </w:r>
          </w:p>
          <w:p w:rsidR="00963408" w:rsidRPr="002E1ABE" w:rsidRDefault="00963408" w:rsidP="008E6C0F">
            <w:pPr>
              <w:rPr>
                <w:rFonts w:eastAsia="Calibri" w:cs="Arial"/>
                <w:sz w:val="18"/>
                <w:szCs w:val="18"/>
              </w:rPr>
            </w:pPr>
          </w:p>
          <w:p w:rsidR="00963408" w:rsidRPr="002E1ABE" w:rsidRDefault="00963408" w:rsidP="008E6C0F">
            <w:pPr>
              <w:rPr>
                <w:rFonts w:eastAsia="Calibri" w:cs="Arial"/>
                <w:sz w:val="18"/>
                <w:szCs w:val="18"/>
              </w:rPr>
            </w:pPr>
          </w:p>
        </w:tc>
      </w:tr>
      <w:tr w:rsidR="00963408" w:rsidRPr="005E1FC3" w:rsidTr="004A2995">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Lunt et al. 2018</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Area Coordination City of York</w:t>
            </w:r>
          </w:p>
        </w:tc>
        <w:tc>
          <w:tcPr>
            <w:tcW w:w="714" w:type="pct"/>
            <w:shd w:val="clear" w:color="auto" w:fill="E5DFEC" w:themeFill="accent4" w:themeFillTint="33"/>
          </w:tcPr>
          <w:p w:rsidR="00963408" w:rsidRPr="002E1ABE" w:rsidRDefault="00963408" w:rsidP="008E6C0F">
            <w:pPr>
              <w:rPr>
                <w:rFonts w:eastAsia="Calibri" w:cs="Arial"/>
                <w:sz w:val="18"/>
                <w:szCs w:val="18"/>
              </w:rPr>
            </w:pPr>
            <w:r>
              <w:rPr>
                <w:rFonts w:eastAsia="Calibri" w:cs="Arial"/>
                <w:sz w:val="18"/>
                <w:szCs w:val="18"/>
              </w:rPr>
              <w:t xml:space="preserve">LAC </w:t>
            </w:r>
            <w:r w:rsidRPr="002E1ABE">
              <w:rPr>
                <w:rFonts w:eastAsia="Calibri" w:cs="Arial"/>
                <w:sz w:val="18"/>
                <w:szCs w:val="18"/>
              </w:rPr>
              <w:t xml:space="preserve">works as early intervention, and is aimed for people in their local community who may be unknown to or ineligible for </w:t>
            </w:r>
            <w:r w:rsidRPr="002E1ABE">
              <w:rPr>
                <w:rFonts w:eastAsia="Calibri" w:cs="Arial"/>
                <w:sz w:val="18"/>
                <w:szCs w:val="18"/>
              </w:rPr>
              <w:lastRenderedPageBreak/>
              <w:t>services,</w:t>
            </w:r>
            <w:r>
              <w:rPr>
                <w:rFonts w:eastAsia="Calibri" w:cs="Arial"/>
                <w:sz w:val="18"/>
                <w:szCs w:val="18"/>
              </w:rPr>
              <w:t xml:space="preserve"> or current users of services.  </w:t>
            </w:r>
            <w:r w:rsidRPr="002E1ABE">
              <w:rPr>
                <w:rFonts w:eastAsia="Calibri" w:cs="Arial"/>
                <w:sz w:val="18"/>
                <w:szCs w:val="18"/>
              </w:rPr>
              <w:t>At the heart of the Local Area Coordination app</w:t>
            </w:r>
            <w:r>
              <w:rPr>
                <w:rFonts w:eastAsia="Calibri" w:cs="Arial"/>
                <w:sz w:val="18"/>
                <w:szCs w:val="18"/>
              </w:rPr>
              <w:t xml:space="preserve">roach is the role of </w:t>
            </w:r>
            <w:r w:rsidRPr="002E1ABE">
              <w:rPr>
                <w:rFonts w:eastAsia="Calibri" w:cs="Arial"/>
                <w:sz w:val="18"/>
                <w:szCs w:val="18"/>
              </w:rPr>
              <w:t>Coordinators, who ‘walk alongside’ in</w:t>
            </w:r>
            <w:r>
              <w:rPr>
                <w:rFonts w:eastAsia="Calibri" w:cs="Arial"/>
                <w:sz w:val="18"/>
                <w:szCs w:val="18"/>
              </w:rPr>
              <w:t xml:space="preserve">dividuals in their communities. There was no further data about the </w:t>
            </w:r>
            <w:r w:rsidRPr="002E1ABE">
              <w:rPr>
                <w:rFonts w:eastAsia="Calibri" w:cs="Arial"/>
                <w:sz w:val="18"/>
                <w:szCs w:val="18"/>
              </w:rPr>
              <w:t>model.</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lastRenderedPageBreak/>
              <w:t>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Local Authority</w:t>
            </w:r>
          </w:p>
        </w:tc>
        <w:tc>
          <w:tcPr>
            <w:tcW w:w="715" w:type="pct"/>
            <w:shd w:val="clear" w:color="auto" w:fill="E5DFEC" w:themeFill="accent4" w:themeFillTint="33"/>
          </w:tcPr>
          <w:p w:rsidR="00963408" w:rsidRPr="002E1ABE" w:rsidRDefault="00963408" w:rsidP="008E6C0F">
            <w:pPr>
              <w:rPr>
                <w:rFonts w:eastAsia="Calibri" w:cs="Arial"/>
                <w:sz w:val="18"/>
                <w:szCs w:val="18"/>
              </w:rPr>
            </w:pPr>
            <w:r w:rsidRPr="002E1ABE">
              <w:rPr>
                <w:rFonts w:eastAsia="Calibri" w:cs="Arial"/>
                <w:sz w:val="18"/>
                <w:szCs w:val="18"/>
              </w:rPr>
              <w:t xml:space="preserve">This report focused on groundwork needed for establishing Local Area Coordination at the system level </w:t>
            </w:r>
            <w:r w:rsidRPr="002E1ABE">
              <w:rPr>
                <w:rFonts w:eastAsia="Calibri" w:cs="Arial"/>
                <w:sz w:val="18"/>
                <w:szCs w:val="18"/>
              </w:rPr>
              <w:lastRenderedPageBreak/>
              <w:t>(recruitment,</w:t>
            </w:r>
            <w:r>
              <w:rPr>
                <w:rFonts w:eastAsia="Calibri" w:cs="Arial"/>
                <w:sz w:val="18"/>
                <w:szCs w:val="18"/>
              </w:rPr>
              <w:t xml:space="preserve"> </w:t>
            </w:r>
            <w:r w:rsidRPr="002E1ABE">
              <w:rPr>
                <w:rFonts w:eastAsia="Calibri" w:cs="Arial"/>
                <w:sz w:val="18"/>
                <w:szCs w:val="18"/>
              </w:rPr>
              <w:t>induction, training and supervision), leadership and management, and community mapping and engageme</w:t>
            </w:r>
            <w:r>
              <w:rPr>
                <w:rFonts w:eastAsia="Calibri" w:cs="Arial"/>
                <w:sz w:val="18"/>
                <w:szCs w:val="18"/>
              </w:rPr>
              <w:t xml:space="preserve">nt with target groups. </w:t>
            </w:r>
            <w:r w:rsidRPr="002E1ABE">
              <w:rPr>
                <w:rFonts w:eastAsia="Calibri" w:cs="Arial"/>
                <w:sz w:val="18"/>
                <w:szCs w:val="18"/>
              </w:rPr>
              <w:t xml:space="preserve">The report does not discuss LAC model however it does describe the role of Local Area Coordinator. </w:t>
            </w:r>
          </w:p>
        </w:tc>
      </w:tr>
      <w:tr w:rsidR="00963408" w:rsidRPr="005E1FC3" w:rsidTr="00D81397">
        <w:tc>
          <w:tcPr>
            <w:tcW w:w="714" w:type="pct"/>
          </w:tcPr>
          <w:p w:rsidR="00963408" w:rsidRPr="002E1ABE" w:rsidRDefault="00963408" w:rsidP="008E6C0F">
            <w:pPr>
              <w:rPr>
                <w:rFonts w:eastAsia="Calibri" w:cs="Arial"/>
                <w:sz w:val="18"/>
                <w:szCs w:val="18"/>
              </w:rPr>
            </w:pPr>
            <w:r w:rsidRPr="002E1ABE">
              <w:rPr>
                <w:rFonts w:eastAsia="Calibri" w:cs="Arial"/>
                <w:sz w:val="18"/>
                <w:szCs w:val="18"/>
              </w:rPr>
              <w:lastRenderedPageBreak/>
              <w:t>Lunt and Bainbridge, 2019</w:t>
            </w:r>
          </w:p>
        </w:tc>
        <w:tc>
          <w:tcPr>
            <w:tcW w:w="714" w:type="pct"/>
          </w:tcPr>
          <w:p w:rsidR="00963408" w:rsidRPr="002E1ABE" w:rsidRDefault="00963408" w:rsidP="008E6C0F">
            <w:pPr>
              <w:rPr>
                <w:rFonts w:eastAsia="Calibri" w:cs="Arial"/>
                <w:sz w:val="18"/>
                <w:szCs w:val="18"/>
              </w:rPr>
            </w:pPr>
            <w:r w:rsidRPr="002E1ABE">
              <w:rPr>
                <w:rFonts w:eastAsia="Calibri" w:cs="Arial"/>
                <w:sz w:val="18"/>
                <w:szCs w:val="18"/>
              </w:rPr>
              <w:t>Local Area Coordination City of York, England</w:t>
            </w:r>
          </w:p>
        </w:tc>
        <w:tc>
          <w:tcPr>
            <w:tcW w:w="714" w:type="pct"/>
          </w:tcPr>
          <w:p w:rsidR="00963408" w:rsidRPr="002E1ABE" w:rsidRDefault="00963408" w:rsidP="008E6C0F">
            <w:pPr>
              <w:rPr>
                <w:rFonts w:eastAsia="Calibri" w:cs="Arial"/>
                <w:sz w:val="18"/>
                <w:szCs w:val="18"/>
              </w:rPr>
            </w:pPr>
            <w:r w:rsidRPr="002E1ABE">
              <w:rPr>
                <w:rFonts w:eastAsia="Calibri" w:cs="Arial"/>
                <w:sz w:val="18"/>
                <w:szCs w:val="18"/>
              </w:rPr>
              <w:t>There are</w:t>
            </w:r>
            <w:r>
              <w:rPr>
                <w:rFonts w:eastAsia="Calibri" w:cs="Arial"/>
                <w:sz w:val="18"/>
                <w:szCs w:val="18"/>
              </w:rPr>
              <w:t xml:space="preserve"> three levels of LAC engagement:</w:t>
            </w:r>
          </w:p>
          <w:p w:rsidR="00963408" w:rsidRPr="002E1ABE" w:rsidRDefault="00963408" w:rsidP="008E6C0F">
            <w:pPr>
              <w:rPr>
                <w:rFonts w:eastAsia="Calibri" w:cs="Arial"/>
                <w:sz w:val="18"/>
                <w:szCs w:val="18"/>
              </w:rPr>
            </w:pPr>
            <w:r w:rsidRPr="002E1ABE">
              <w:rPr>
                <w:rFonts w:eastAsia="Calibri" w:cs="Arial"/>
                <w:sz w:val="18"/>
                <w:szCs w:val="18"/>
              </w:rPr>
              <w:t>•Level 1 Support -provision of information, advice and connections.</w:t>
            </w:r>
            <w:r>
              <w:rPr>
                <w:rFonts w:eastAsia="Calibri" w:cs="Arial"/>
                <w:sz w:val="18"/>
                <w:szCs w:val="18"/>
              </w:rPr>
              <w:t xml:space="preserve"> This is a short-term support. </w:t>
            </w:r>
          </w:p>
          <w:p w:rsidR="00963408" w:rsidRPr="002E1ABE" w:rsidRDefault="00963408" w:rsidP="008E6C0F">
            <w:pPr>
              <w:rPr>
                <w:rFonts w:eastAsia="Calibri" w:cs="Arial"/>
                <w:sz w:val="18"/>
                <w:szCs w:val="18"/>
              </w:rPr>
            </w:pPr>
            <w:r w:rsidRPr="002E1ABE">
              <w:rPr>
                <w:rFonts w:eastAsia="Calibri" w:cs="Arial"/>
                <w:sz w:val="18"/>
                <w:szCs w:val="18"/>
              </w:rPr>
              <w:t xml:space="preserve">•Level 2 Support -‘walking alongside’ those who are vulnerable (due to disability, mental health needs, age or frailty) and who require sustained one-to-one assistance. The report does not </w:t>
            </w:r>
            <w:r>
              <w:rPr>
                <w:rFonts w:eastAsia="Calibri" w:cs="Arial"/>
                <w:sz w:val="18"/>
                <w:szCs w:val="18"/>
              </w:rPr>
              <w:t>state duration of this provision.</w:t>
            </w:r>
          </w:p>
          <w:p w:rsidR="00963408" w:rsidRPr="002E1ABE" w:rsidRDefault="00963408" w:rsidP="008E6C0F">
            <w:pPr>
              <w:rPr>
                <w:rFonts w:eastAsia="Calibri" w:cs="Arial"/>
                <w:sz w:val="18"/>
                <w:szCs w:val="18"/>
              </w:rPr>
            </w:pPr>
            <w:r w:rsidRPr="002E1ABE">
              <w:rPr>
                <w:rFonts w:eastAsia="Calibri" w:cs="Arial"/>
                <w:sz w:val="18"/>
                <w:szCs w:val="18"/>
              </w:rPr>
              <w:lastRenderedPageBreak/>
              <w:t>•Community Groups-provision of assistance related to an existing or new community group. Assistance can be short or sustained, and includes activities such as connecting community groups, advice on funding and identifying delivery locations.</w:t>
            </w:r>
          </w:p>
        </w:tc>
        <w:tc>
          <w:tcPr>
            <w:tcW w:w="715" w:type="pct"/>
          </w:tcPr>
          <w:p w:rsidR="00963408" w:rsidRPr="002E1ABE" w:rsidRDefault="00963408" w:rsidP="008E6C0F">
            <w:pPr>
              <w:rPr>
                <w:rFonts w:eastAsia="Calibri" w:cs="Arial"/>
                <w:sz w:val="18"/>
                <w:szCs w:val="18"/>
              </w:rPr>
            </w:pPr>
            <w:r w:rsidRPr="002E1ABE">
              <w:rPr>
                <w:rFonts w:eastAsia="Calibri" w:cs="Arial"/>
                <w:sz w:val="18"/>
                <w:szCs w:val="18"/>
              </w:rPr>
              <w:lastRenderedPageBreak/>
              <w:t>LAC was funded by the Local Government Association</w:t>
            </w:r>
          </w:p>
        </w:tc>
        <w:tc>
          <w:tcPr>
            <w:tcW w:w="714" w:type="pct"/>
          </w:tcPr>
          <w:p w:rsidR="00963408" w:rsidRPr="002E1ABE" w:rsidRDefault="00963408" w:rsidP="008E6C0F">
            <w:pPr>
              <w:rPr>
                <w:rFonts w:eastAsia="Calibri" w:cs="Arial"/>
                <w:sz w:val="18"/>
                <w:szCs w:val="18"/>
              </w:rPr>
            </w:pPr>
            <w:r w:rsidRPr="002E1ABE">
              <w:rPr>
                <w:rFonts w:eastAsia="Calibri" w:cs="Arial"/>
                <w:sz w:val="18"/>
                <w:szCs w:val="18"/>
              </w:rPr>
              <w:t>Not stated</w:t>
            </w:r>
          </w:p>
        </w:tc>
        <w:tc>
          <w:tcPr>
            <w:tcW w:w="714" w:type="pct"/>
          </w:tcPr>
          <w:p w:rsidR="00963408" w:rsidRPr="002E1ABE" w:rsidRDefault="00963408" w:rsidP="008E6C0F">
            <w:pPr>
              <w:rPr>
                <w:rFonts w:eastAsia="Calibri" w:cs="Arial"/>
                <w:sz w:val="18"/>
                <w:szCs w:val="18"/>
              </w:rPr>
            </w:pPr>
            <w:r w:rsidRPr="002E1ABE">
              <w:rPr>
                <w:rFonts w:eastAsia="Calibri" w:cs="Arial"/>
                <w:sz w:val="18"/>
                <w:szCs w:val="18"/>
              </w:rPr>
              <w:t xml:space="preserve">City of York Council (CYC)  </w:t>
            </w:r>
          </w:p>
        </w:tc>
        <w:tc>
          <w:tcPr>
            <w:tcW w:w="715" w:type="pct"/>
          </w:tcPr>
          <w:p w:rsidR="00963408" w:rsidRPr="002E1ABE" w:rsidRDefault="00963408" w:rsidP="008E6C0F">
            <w:pPr>
              <w:rPr>
                <w:rFonts w:eastAsia="Calibri" w:cs="Arial"/>
                <w:sz w:val="18"/>
                <w:szCs w:val="18"/>
              </w:rPr>
            </w:pPr>
            <w:r w:rsidRPr="002E1ABE">
              <w:rPr>
                <w:rFonts w:eastAsia="Calibri" w:cs="Arial"/>
                <w:sz w:val="18"/>
                <w:szCs w:val="18"/>
              </w:rPr>
              <w:t>This report identified that the LAC is making a real change in the community trough preventative interventions, and cases where support helped families navigate highly complex and challenging circumstances. Data was captu</w:t>
            </w:r>
            <w:r>
              <w:rPr>
                <w:rFonts w:eastAsia="Calibri" w:cs="Arial"/>
                <w:sz w:val="18"/>
                <w:szCs w:val="18"/>
              </w:rPr>
              <w:t>red via qualitative interviews.</w:t>
            </w:r>
          </w:p>
          <w:p w:rsidR="00963408" w:rsidRPr="002E1ABE" w:rsidRDefault="00963408" w:rsidP="008E6C0F">
            <w:pPr>
              <w:rPr>
                <w:rFonts w:eastAsia="Calibri" w:cs="Arial"/>
                <w:sz w:val="18"/>
                <w:szCs w:val="18"/>
              </w:rPr>
            </w:pPr>
            <w:r w:rsidRPr="002E1ABE">
              <w:rPr>
                <w:rFonts w:eastAsia="Calibri" w:cs="Arial"/>
                <w:sz w:val="18"/>
                <w:szCs w:val="18"/>
              </w:rPr>
              <w:t xml:space="preserve">The report highlights: </w:t>
            </w:r>
          </w:p>
          <w:p w:rsidR="00963408" w:rsidRPr="009C4644" w:rsidRDefault="00963408" w:rsidP="008E6C0F">
            <w:pPr>
              <w:numPr>
                <w:ilvl w:val="0"/>
                <w:numId w:val="21"/>
              </w:numPr>
              <w:ind w:left="360"/>
              <w:contextualSpacing/>
              <w:rPr>
                <w:rFonts w:eastAsia="Calibri" w:cs="Arial"/>
                <w:sz w:val="18"/>
                <w:szCs w:val="18"/>
              </w:rPr>
            </w:pPr>
            <w:r w:rsidRPr="002E1ABE">
              <w:rPr>
                <w:rFonts w:eastAsia="Calibri" w:cs="Arial"/>
                <w:sz w:val="18"/>
                <w:szCs w:val="18"/>
              </w:rPr>
              <w:t xml:space="preserve">need  for  wider </w:t>
            </w:r>
            <w:r>
              <w:rPr>
                <w:rFonts w:eastAsia="Calibri" w:cs="Arial"/>
                <w:sz w:val="18"/>
                <w:szCs w:val="18"/>
              </w:rPr>
              <w:t>understanding of the LAC role and its remits</w:t>
            </w:r>
            <w:r w:rsidRPr="002E1ABE">
              <w:rPr>
                <w:rFonts w:eastAsia="Calibri" w:cs="Arial"/>
                <w:sz w:val="18"/>
                <w:szCs w:val="18"/>
              </w:rPr>
              <w:t xml:space="preserve"> </w:t>
            </w:r>
          </w:p>
          <w:p w:rsidR="00963408" w:rsidRPr="002E1ABE" w:rsidRDefault="00963408" w:rsidP="008E6C0F">
            <w:pPr>
              <w:numPr>
                <w:ilvl w:val="0"/>
                <w:numId w:val="21"/>
              </w:numPr>
              <w:ind w:left="360"/>
              <w:contextualSpacing/>
              <w:rPr>
                <w:rFonts w:eastAsia="Calibri" w:cs="Arial"/>
                <w:sz w:val="18"/>
                <w:szCs w:val="18"/>
              </w:rPr>
            </w:pPr>
            <w:r w:rsidRPr="002E1ABE">
              <w:rPr>
                <w:rFonts w:eastAsia="Calibri" w:cs="Arial"/>
                <w:sz w:val="18"/>
                <w:szCs w:val="18"/>
              </w:rPr>
              <w:t xml:space="preserve">concern over the LAC growth and the need for the </w:t>
            </w:r>
            <w:r w:rsidRPr="002E1ABE">
              <w:rPr>
                <w:rFonts w:eastAsia="Calibri" w:cs="Arial"/>
                <w:sz w:val="18"/>
                <w:szCs w:val="18"/>
              </w:rPr>
              <w:lastRenderedPageBreak/>
              <w:t xml:space="preserve">caseload management. </w:t>
            </w:r>
          </w:p>
        </w:tc>
      </w:tr>
    </w:tbl>
    <w:p w:rsidR="00D81397" w:rsidRDefault="00D81397" w:rsidP="00963408">
      <w:pPr>
        <w:pStyle w:val="Heading3"/>
        <w:numPr>
          <w:ilvl w:val="0"/>
          <w:numId w:val="0"/>
        </w:numPr>
      </w:pPr>
    </w:p>
    <w:p w:rsidR="00D81397" w:rsidRDefault="00D81397">
      <w:pPr>
        <w:spacing w:line="276" w:lineRule="auto"/>
        <w:rPr>
          <w:b/>
          <w:color w:val="6A2875"/>
          <w:sz w:val="30"/>
          <w:szCs w:val="30"/>
        </w:rPr>
      </w:pPr>
      <w:r>
        <w:br w:type="page"/>
      </w:r>
    </w:p>
    <w:p w:rsidR="00590F5F" w:rsidRDefault="00963408" w:rsidP="00963408">
      <w:pPr>
        <w:pStyle w:val="Heading3"/>
        <w:numPr>
          <w:ilvl w:val="0"/>
          <w:numId w:val="0"/>
        </w:numPr>
      </w:pPr>
      <w:bookmarkStart w:id="134" w:name="_Toc65251815"/>
      <w:r>
        <w:lastRenderedPageBreak/>
        <w:t>Appendix 4: LAC Elements</w:t>
      </w:r>
      <w:bookmarkEnd w:id="134"/>
    </w:p>
    <w:tbl>
      <w:tblPr>
        <w:tblStyle w:val="TableGrid"/>
        <w:tblW w:w="5000" w:type="pct"/>
        <w:tblLook w:val="04A0" w:firstRow="1" w:lastRow="0" w:firstColumn="1" w:lastColumn="0" w:noHBand="0" w:noVBand="1"/>
        <w:tblDescription w:val="Table showing LAC elements"/>
      </w:tblPr>
      <w:tblGrid>
        <w:gridCol w:w="1300"/>
        <w:gridCol w:w="2495"/>
        <w:gridCol w:w="3017"/>
        <w:gridCol w:w="3413"/>
        <w:gridCol w:w="2096"/>
        <w:gridCol w:w="1627"/>
      </w:tblGrid>
      <w:tr w:rsidR="008D2EE1" w:rsidRPr="006F76BA" w:rsidTr="007B3C60">
        <w:trPr>
          <w:tblHeader/>
        </w:trPr>
        <w:tc>
          <w:tcPr>
            <w:tcW w:w="470" w:type="pct"/>
            <w:tcBorders>
              <w:top w:val="nil"/>
            </w:tcBorders>
            <w:shd w:val="clear" w:color="auto" w:fill="660066"/>
            <w:vAlign w:val="center"/>
          </w:tcPr>
          <w:p w:rsidR="008D2EE1" w:rsidRPr="006F76BA" w:rsidRDefault="008D2EE1" w:rsidP="00963408">
            <w:pPr>
              <w:rPr>
                <w:rFonts w:cs="Arial"/>
                <w:sz w:val="18"/>
                <w:szCs w:val="18"/>
              </w:rPr>
            </w:pPr>
            <w:r w:rsidRPr="006F76BA">
              <w:rPr>
                <w:rFonts w:eastAsia="Calibri" w:cs="Arial"/>
                <w:b/>
                <w:sz w:val="18"/>
                <w:szCs w:val="18"/>
              </w:rPr>
              <w:t>Reference</w:t>
            </w:r>
          </w:p>
        </w:tc>
        <w:tc>
          <w:tcPr>
            <w:tcW w:w="898" w:type="pct"/>
            <w:tcBorders>
              <w:top w:val="nil"/>
            </w:tcBorders>
            <w:shd w:val="clear" w:color="auto" w:fill="660066"/>
          </w:tcPr>
          <w:p w:rsidR="008D2EE1" w:rsidRPr="006F76BA" w:rsidRDefault="008D2EE1" w:rsidP="00963408">
            <w:pPr>
              <w:rPr>
                <w:rFonts w:cs="Arial"/>
                <w:sz w:val="18"/>
                <w:szCs w:val="18"/>
              </w:rPr>
            </w:pPr>
            <w:r w:rsidRPr="006F76BA">
              <w:rPr>
                <w:rFonts w:cs="Arial"/>
                <w:sz w:val="18"/>
                <w:szCs w:val="18"/>
              </w:rPr>
              <w:t>LAC role</w:t>
            </w:r>
          </w:p>
        </w:tc>
        <w:tc>
          <w:tcPr>
            <w:tcW w:w="1085" w:type="pct"/>
            <w:tcBorders>
              <w:top w:val="nil"/>
            </w:tcBorders>
            <w:shd w:val="clear" w:color="auto" w:fill="660066"/>
          </w:tcPr>
          <w:p w:rsidR="008D2EE1" w:rsidRPr="006F76BA" w:rsidRDefault="008D2EE1" w:rsidP="00963408">
            <w:pPr>
              <w:rPr>
                <w:rFonts w:cs="Arial"/>
                <w:sz w:val="18"/>
                <w:szCs w:val="18"/>
              </w:rPr>
            </w:pPr>
            <w:r w:rsidRPr="006F76BA">
              <w:rPr>
                <w:rFonts w:cs="Arial"/>
                <w:sz w:val="18"/>
                <w:szCs w:val="18"/>
              </w:rPr>
              <w:t>Participants engagement with LAC</w:t>
            </w:r>
          </w:p>
        </w:tc>
        <w:tc>
          <w:tcPr>
            <w:tcW w:w="1227" w:type="pct"/>
            <w:tcBorders>
              <w:top w:val="nil"/>
            </w:tcBorders>
            <w:shd w:val="clear" w:color="auto" w:fill="660066"/>
          </w:tcPr>
          <w:p w:rsidR="008D2EE1" w:rsidRPr="006F76BA" w:rsidRDefault="008D2EE1" w:rsidP="00963408">
            <w:pPr>
              <w:rPr>
                <w:rFonts w:cs="Arial"/>
                <w:sz w:val="18"/>
                <w:szCs w:val="18"/>
              </w:rPr>
            </w:pPr>
            <w:r w:rsidRPr="006F76BA">
              <w:rPr>
                <w:rFonts w:cs="Arial"/>
                <w:sz w:val="18"/>
                <w:szCs w:val="18"/>
              </w:rPr>
              <w:t>Life events associated with accessing LAC</w:t>
            </w:r>
          </w:p>
        </w:tc>
        <w:tc>
          <w:tcPr>
            <w:tcW w:w="755" w:type="pct"/>
            <w:tcBorders>
              <w:top w:val="nil"/>
            </w:tcBorders>
            <w:shd w:val="clear" w:color="auto" w:fill="660066"/>
          </w:tcPr>
          <w:p w:rsidR="008D2EE1" w:rsidRPr="006F76BA" w:rsidRDefault="008D2EE1" w:rsidP="00963408">
            <w:pPr>
              <w:rPr>
                <w:rFonts w:cs="Arial"/>
                <w:sz w:val="18"/>
                <w:szCs w:val="18"/>
              </w:rPr>
            </w:pPr>
            <w:r w:rsidRPr="006F76BA">
              <w:rPr>
                <w:rFonts w:cs="Arial"/>
                <w:sz w:val="18"/>
                <w:szCs w:val="18"/>
              </w:rPr>
              <w:t>Participants per LAC ratio</w:t>
            </w:r>
          </w:p>
        </w:tc>
        <w:tc>
          <w:tcPr>
            <w:tcW w:w="566" w:type="pct"/>
            <w:tcBorders>
              <w:top w:val="nil"/>
            </w:tcBorders>
            <w:shd w:val="clear" w:color="auto" w:fill="660066"/>
          </w:tcPr>
          <w:p w:rsidR="008D2EE1" w:rsidRPr="006F76BA" w:rsidRDefault="008D2EE1" w:rsidP="00963408">
            <w:pPr>
              <w:rPr>
                <w:rFonts w:cs="Arial"/>
                <w:sz w:val="18"/>
                <w:szCs w:val="18"/>
              </w:rPr>
            </w:pPr>
            <w:r w:rsidRPr="006F76BA">
              <w:rPr>
                <w:rFonts w:cs="Arial"/>
                <w:sz w:val="18"/>
                <w:szCs w:val="18"/>
              </w:rPr>
              <w:t>Admin tasks</w:t>
            </w:r>
          </w:p>
        </w:tc>
      </w:tr>
      <w:tr w:rsidR="008D2EE1" w:rsidRPr="006F76BA" w:rsidTr="007B3C60">
        <w:tc>
          <w:tcPr>
            <w:tcW w:w="470" w:type="pct"/>
            <w:shd w:val="clear" w:color="auto" w:fill="F7EEF7"/>
          </w:tcPr>
          <w:p w:rsidR="008D2EE1" w:rsidRPr="006F76BA" w:rsidRDefault="008D2EE1" w:rsidP="00963408">
            <w:pPr>
              <w:rPr>
                <w:rFonts w:eastAsia="Calibri" w:cs="Arial"/>
                <w:b/>
                <w:sz w:val="18"/>
                <w:szCs w:val="18"/>
              </w:rPr>
            </w:pPr>
            <w:r w:rsidRPr="006F76BA">
              <w:rPr>
                <w:rFonts w:eastAsia="Calibri" w:cs="Arial"/>
                <w:sz w:val="18"/>
                <w:szCs w:val="18"/>
              </w:rPr>
              <w:t>Yannitell Reinhardt and Chatsiou, 2018</w:t>
            </w:r>
          </w:p>
        </w:tc>
        <w:tc>
          <w:tcPr>
            <w:tcW w:w="898" w:type="pct"/>
            <w:shd w:val="clear" w:color="auto" w:fill="F7EEF7"/>
          </w:tcPr>
          <w:p w:rsidR="008D2EE1" w:rsidRPr="006F76BA" w:rsidRDefault="008D2EE1" w:rsidP="00963408">
            <w:pPr>
              <w:rPr>
                <w:rFonts w:cs="Arial"/>
                <w:sz w:val="18"/>
                <w:szCs w:val="18"/>
              </w:rPr>
            </w:pPr>
            <w:r w:rsidRPr="006F76BA">
              <w:rPr>
                <w:rFonts w:cs="Arial"/>
                <w:sz w:val="18"/>
                <w:szCs w:val="18"/>
              </w:rPr>
              <w:t>N/A</w:t>
            </w:r>
          </w:p>
        </w:tc>
        <w:tc>
          <w:tcPr>
            <w:tcW w:w="1085" w:type="pct"/>
            <w:shd w:val="clear" w:color="auto" w:fill="F7EEF7"/>
          </w:tcPr>
          <w:p w:rsidR="008D2EE1" w:rsidRPr="006F76BA" w:rsidRDefault="008D2EE1" w:rsidP="00963408">
            <w:pPr>
              <w:rPr>
                <w:rFonts w:cs="Arial"/>
                <w:sz w:val="18"/>
                <w:szCs w:val="18"/>
              </w:rPr>
            </w:pPr>
            <w:r w:rsidRPr="006F76BA">
              <w:rPr>
                <w:rFonts w:cs="Arial"/>
                <w:sz w:val="18"/>
                <w:szCs w:val="18"/>
              </w:rPr>
              <w:t>The source of introduct</w:t>
            </w:r>
            <w:r>
              <w:rPr>
                <w:rFonts w:cs="Arial"/>
                <w:sz w:val="18"/>
                <w:szCs w:val="18"/>
              </w:rPr>
              <w:t>ions to LAC</w:t>
            </w:r>
            <w:r w:rsidRPr="006F76BA">
              <w:rPr>
                <w:rFonts w:cs="Arial"/>
                <w:sz w:val="18"/>
                <w:szCs w:val="18"/>
              </w:rPr>
              <w:t>:</w:t>
            </w:r>
          </w:p>
          <w:p w:rsidR="008D2EE1" w:rsidRPr="006F76BA" w:rsidRDefault="008D2EE1" w:rsidP="00963408">
            <w:pPr>
              <w:rPr>
                <w:rFonts w:cs="Arial"/>
                <w:sz w:val="18"/>
                <w:szCs w:val="18"/>
              </w:rPr>
            </w:pPr>
            <w:r w:rsidRPr="006F76BA">
              <w:rPr>
                <w:rFonts w:cs="Arial"/>
                <w:sz w:val="18"/>
                <w:szCs w:val="18"/>
              </w:rPr>
              <w:t>•26% of users are introduced by council-run services or staff, such as housing, etc.</w:t>
            </w:r>
          </w:p>
          <w:p w:rsidR="008D2EE1" w:rsidRPr="006F76BA" w:rsidRDefault="008D2EE1" w:rsidP="00963408">
            <w:pPr>
              <w:rPr>
                <w:rFonts w:cs="Arial"/>
                <w:sz w:val="18"/>
                <w:szCs w:val="18"/>
              </w:rPr>
            </w:pPr>
            <w:r w:rsidRPr="006F76BA">
              <w:rPr>
                <w:rFonts w:cs="Arial"/>
                <w:sz w:val="18"/>
                <w:szCs w:val="18"/>
              </w:rPr>
              <w:t>•18% are self-referred and another 18% is referred by contacts of the immediate support network (family, friends, or other community members)</w:t>
            </w:r>
          </w:p>
          <w:p w:rsidR="008D2EE1" w:rsidRPr="006F76BA" w:rsidRDefault="008D2EE1" w:rsidP="00963408">
            <w:pPr>
              <w:rPr>
                <w:rFonts w:cs="Arial"/>
                <w:sz w:val="18"/>
                <w:szCs w:val="18"/>
              </w:rPr>
            </w:pPr>
            <w:r w:rsidRPr="006F76BA">
              <w:rPr>
                <w:rFonts w:cs="Arial"/>
                <w:sz w:val="18"/>
                <w:szCs w:val="18"/>
              </w:rPr>
              <w:t>•13% are referred by health specialists.</w:t>
            </w:r>
          </w:p>
          <w:p w:rsidR="008D2EE1" w:rsidRPr="006F76BA" w:rsidRDefault="008D2EE1" w:rsidP="00963408">
            <w:pPr>
              <w:rPr>
                <w:rFonts w:cs="Arial"/>
                <w:sz w:val="18"/>
                <w:szCs w:val="18"/>
              </w:rPr>
            </w:pPr>
            <w:r w:rsidRPr="006F76BA">
              <w:rPr>
                <w:rFonts w:cs="Arial"/>
                <w:sz w:val="18"/>
                <w:szCs w:val="18"/>
              </w:rPr>
              <w:t xml:space="preserve">There was no data about what </w:t>
            </w:r>
            <w:r>
              <w:rPr>
                <w:rFonts w:cs="Arial"/>
                <w:sz w:val="18"/>
                <w:szCs w:val="18"/>
              </w:rPr>
              <w:t>is introduction.</w:t>
            </w:r>
          </w:p>
        </w:tc>
        <w:tc>
          <w:tcPr>
            <w:tcW w:w="1227" w:type="pct"/>
            <w:shd w:val="clear" w:color="auto" w:fill="F7EEF7"/>
          </w:tcPr>
          <w:p w:rsidR="008D2EE1" w:rsidRPr="006F76BA" w:rsidRDefault="008D2EE1" w:rsidP="00963408">
            <w:pPr>
              <w:rPr>
                <w:rFonts w:cs="Arial"/>
                <w:sz w:val="18"/>
                <w:szCs w:val="18"/>
              </w:rPr>
            </w:pPr>
            <w:r w:rsidRPr="006F76BA">
              <w:rPr>
                <w:rFonts w:cs="Arial"/>
                <w:sz w:val="18"/>
                <w:szCs w:val="18"/>
              </w:rPr>
              <w:t>N/A</w:t>
            </w:r>
          </w:p>
        </w:tc>
        <w:tc>
          <w:tcPr>
            <w:tcW w:w="755" w:type="pct"/>
            <w:shd w:val="clear" w:color="auto" w:fill="F7EEF7"/>
          </w:tcPr>
          <w:p w:rsidR="008D2EE1" w:rsidRPr="006F76BA" w:rsidRDefault="008D2EE1" w:rsidP="00963408">
            <w:pPr>
              <w:rPr>
                <w:rFonts w:cs="Arial"/>
                <w:sz w:val="18"/>
                <w:szCs w:val="18"/>
              </w:rPr>
            </w:pPr>
            <w:r w:rsidRPr="006F76BA">
              <w:rPr>
                <w:rFonts w:cs="Arial"/>
                <w:sz w:val="18"/>
                <w:szCs w:val="18"/>
              </w:rPr>
              <w:t>N/A</w:t>
            </w:r>
          </w:p>
        </w:tc>
        <w:tc>
          <w:tcPr>
            <w:tcW w:w="566" w:type="pct"/>
            <w:shd w:val="clear" w:color="auto" w:fill="F7EEF7"/>
          </w:tcPr>
          <w:p w:rsidR="008D2EE1" w:rsidRPr="006F76BA" w:rsidRDefault="008D2EE1" w:rsidP="00963408">
            <w:pPr>
              <w:rPr>
                <w:rFonts w:cs="Arial"/>
                <w:sz w:val="18"/>
                <w:szCs w:val="18"/>
              </w:rPr>
            </w:pPr>
            <w:r w:rsidRPr="006F76BA">
              <w:rPr>
                <w:rFonts w:cs="Arial"/>
                <w:sz w:val="18"/>
                <w:szCs w:val="18"/>
              </w:rPr>
              <w:t>N/A</w:t>
            </w:r>
          </w:p>
        </w:tc>
      </w:tr>
      <w:tr w:rsidR="008D2EE1" w:rsidRPr="006F76BA" w:rsidTr="007B3C60">
        <w:tc>
          <w:tcPr>
            <w:tcW w:w="470" w:type="pct"/>
          </w:tcPr>
          <w:p w:rsidR="008D2EE1" w:rsidRPr="006F76BA" w:rsidRDefault="008D2EE1" w:rsidP="00963408">
            <w:pPr>
              <w:rPr>
                <w:rFonts w:eastAsia="Calibri" w:cs="Arial"/>
                <w:b/>
                <w:sz w:val="18"/>
                <w:szCs w:val="18"/>
              </w:rPr>
            </w:pPr>
            <w:r w:rsidRPr="006F76BA">
              <w:rPr>
                <w:rFonts w:eastAsia="Calibri" w:cs="Arial"/>
                <w:sz w:val="18"/>
                <w:szCs w:val="18"/>
              </w:rPr>
              <w:t>Gamsu and Rippon, 201</w:t>
            </w:r>
            <w:r>
              <w:rPr>
                <w:rFonts w:eastAsia="Calibri" w:cs="Arial"/>
                <w:sz w:val="18"/>
                <w:szCs w:val="18"/>
              </w:rPr>
              <w:t>8</w:t>
            </w:r>
          </w:p>
        </w:tc>
        <w:tc>
          <w:tcPr>
            <w:tcW w:w="898" w:type="pct"/>
          </w:tcPr>
          <w:p w:rsidR="008D2EE1" w:rsidRDefault="008D2EE1" w:rsidP="00963408">
            <w:pPr>
              <w:rPr>
                <w:rFonts w:cs="Arial"/>
                <w:sz w:val="18"/>
                <w:szCs w:val="18"/>
              </w:rPr>
            </w:pPr>
            <w:r w:rsidRPr="00CE26AC">
              <w:rPr>
                <w:rFonts w:cs="Arial"/>
                <w:sz w:val="18"/>
                <w:szCs w:val="18"/>
              </w:rPr>
              <w:t xml:space="preserve">LACs </w:t>
            </w:r>
            <w:r>
              <w:rPr>
                <w:rFonts w:cs="Arial"/>
                <w:sz w:val="18"/>
                <w:szCs w:val="18"/>
              </w:rPr>
              <w:t>connected with</w:t>
            </w:r>
            <w:r w:rsidRPr="00CE26AC">
              <w:rPr>
                <w:rFonts w:cs="Arial"/>
                <w:sz w:val="18"/>
                <w:szCs w:val="18"/>
              </w:rPr>
              <w:t xml:space="preserve"> local</w:t>
            </w:r>
            <w:r>
              <w:rPr>
                <w:rFonts w:cs="Arial"/>
                <w:sz w:val="18"/>
                <w:szCs w:val="18"/>
              </w:rPr>
              <w:t xml:space="preserve"> </w:t>
            </w:r>
            <w:r w:rsidRPr="00CE26AC">
              <w:rPr>
                <w:rFonts w:cs="Arial"/>
                <w:sz w:val="18"/>
                <w:szCs w:val="18"/>
              </w:rPr>
              <w:t xml:space="preserve">libraries, housing schemes etc.  and </w:t>
            </w:r>
            <w:r>
              <w:rPr>
                <w:rFonts w:cs="Arial"/>
                <w:sz w:val="18"/>
                <w:szCs w:val="18"/>
              </w:rPr>
              <w:t>f</w:t>
            </w:r>
            <w:r w:rsidRPr="00CE26AC">
              <w:rPr>
                <w:rFonts w:cs="Arial"/>
                <w:sz w:val="18"/>
                <w:szCs w:val="18"/>
              </w:rPr>
              <w:t xml:space="preserve">ormed relationships with local  people  involved  in  community  and  neighborhood  based  groups  and  resources.  LACs  </w:t>
            </w:r>
            <w:r>
              <w:rPr>
                <w:rFonts w:cs="Arial"/>
                <w:sz w:val="18"/>
                <w:szCs w:val="18"/>
              </w:rPr>
              <w:t>formed</w:t>
            </w:r>
            <w:r w:rsidRPr="00CE26AC">
              <w:rPr>
                <w:rFonts w:cs="Arial"/>
                <w:sz w:val="18"/>
                <w:szCs w:val="18"/>
              </w:rPr>
              <w:t xml:space="preserve">  links  and  presence  </w:t>
            </w:r>
            <w:r>
              <w:rPr>
                <w:rFonts w:cs="Arial"/>
                <w:sz w:val="18"/>
                <w:szCs w:val="18"/>
              </w:rPr>
              <w:t>in</w:t>
            </w:r>
            <w:r w:rsidRPr="00CE26AC">
              <w:rPr>
                <w:rFonts w:cs="Arial"/>
                <w:sz w:val="18"/>
                <w:szCs w:val="18"/>
              </w:rPr>
              <w:t xml:space="preserve"> local  sector  professionals  in  range  of agencies including health, social care, housing and community policing</w:t>
            </w:r>
            <w:r>
              <w:rPr>
                <w:rFonts w:cs="Arial"/>
                <w:sz w:val="18"/>
                <w:szCs w:val="18"/>
              </w:rPr>
              <w:t xml:space="preserve">. </w:t>
            </w:r>
          </w:p>
          <w:p w:rsidR="008D2EE1" w:rsidRPr="006F76BA" w:rsidRDefault="008D2EE1" w:rsidP="00963408">
            <w:pPr>
              <w:rPr>
                <w:rFonts w:cs="Arial"/>
                <w:sz w:val="18"/>
                <w:szCs w:val="18"/>
              </w:rPr>
            </w:pPr>
            <w:r w:rsidRPr="0077058B">
              <w:rPr>
                <w:rFonts w:cs="Arial"/>
                <w:sz w:val="18"/>
                <w:szCs w:val="18"/>
              </w:rPr>
              <w:t xml:space="preserve">Some of  the  individual  stories  show  how  people  have  been  enabled  to </w:t>
            </w:r>
            <w:r w:rsidRPr="0077058B">
              <w:rPr>
                <w:rFonts w:cs="Arial"/>
                <w:sz w:val="18"/>
                <w:szCs w:val="18"/>
              </w:rPr>
              <w:lastRenderedPageBreak/>
              <w:t>become  active  contributors  to  the  community  or  neighborhood  where  they  live.  For example,</w:t>
            </w:r>
            <w:r>
              <w:rPr>
                <w:rFonts w:cs="Arial"/>
                <w:sz w:val="18"/>
                <w:szCs w:val="18"/>
              </w:rPr>
              <w:t xml:space="preserve"> </w:t>
            </w:r>
            <w:r w:rsidRPr="0077058B">
              <w:rPr>
                <w:rFonts w:cs="Arial"/>
                <w:sz w:val="18"/>
                <w:szCs w:val="18"/>
              </w:rPr>
              <w:t>establishing  new community  resources  such  as  a  Breakfast  Hub,  a  dementia  singing  group,  a Boxfit group</w:t>
            </w:r>
            <w:r>
              <w:rPr>
                <w:rFonts w:cs="Arial"/>
                <w:sz w:val="18"/>
                <w:szCs w:val="18"/>
              </w:rPr>
              <w:t xml:space="preserve"> etc.</w:t>
            </w:r>
          </w:p>
        </w:tc>
        <w:tc>
          <w:tcPr>
            <w:tcW w:w="1085" w:type="pct"/>
          </w:tcPr>
          <w:p w:rsidR="008D2EE1" w:rsidRDefault="008D2EE1" w:rsidP="00963408">
            <w:pPr>
              <w:rPr>
                <w:rFonts w:cs="Arial"/>
                <w:sz w:val="18"/>
                <w:szCs w:val="18"/>
              </w:rPr>
            </w:pPr>
            <w:r>
              <w:rPr>
                <w:rFonts w:cs="Arial"/>
                <w:sz w:val="18"/>
                <w:szCs w:val="18"/>
              </w:rPr>
              <w:lastRenderedPageBreak/>
              <w:t>Sources of introduction:</w:t>
            </w:r>
          </w:p>
          <w:p w:rsidR="008D2EE1" w:rsidRDefault="008D2EE1" w:rsidP="00963408">
            <w:pPr>
              <w:rPr>
                <w:rFonts w:cs="Arial"/>
                <w:sz w:val="18"/>
                <w:szCs w:val="18"/>
              </w:rPr>
            </w:pPr>
            <w:r w:rsidRPr="00F55734">
              <w:rPr>
                <w:rFonts w:cs="Arial"/>
                <w:sz w:val="18"/>
                <w:szCs w:val="18"/>
              </w:rPr>
              <w:t>•Faith Leaders</w:t>
            </w:r>
          </w:p>
          <w:p w:rsidR="008D2EE1" w:rsidRDefault="008D2EE1" w:rsidP="00963408">
            <w:pPr>
              <w:rPr>
                <w:rFonts w:cs="Arial"/>
                <w:sz w:val="18"/>
                <w:szCs w:val="18"/>
              </w:rPr>
            </w:pPr>
            <w:r w:rsidRPr="00F55734">
              <w:rPr>
                <w:rFonts w:cs="Arial"/>
                <w:sz w:val="18"/>
                <w:szCs w:val="18"/>
              </w:rPr>
              <w:t>•Police Community Support Officers</w:t>
            </w:r>
          </w:p>
          <w:p w:rsidR="008D2EE1" w:rsidRDefault="008D2EE1" w:rsidP="00963408">
            <w:pPr>
              <w:rPr>
                <w:rFonts w:cs="Arial"/>
                <w:sz w:val="18"/>
                <w:szCs w:val="18"/>
              </w:rPr>
            </w:pPr>
            <w:r w:rsidRPr="00F55734">
              <w:rPr>
                <w:rFonts w:cs="Arial"/>
                <w:sz w:val="18"/>
                <w:szCs w:val="18"/>
              </w:rPr>
              <w:t xml:space="preserve">•Owners of small cafés </w:t>
            </w:r>
          </w:p>
          <w:p w:rsidR="008D2EE1" w:rsidRDefault="008D2EE1" w:rsidP="00963408">
            <w:pPr>
              <w:rPr>
                <w:rFonts w:cs="Arial"/>
                <w:sz w:val="18"/>
                <w:szCs w:val="18"/>
              </w:rPr>
            </w:pPr>
            <w:r w:rsidRPr="00F55734">
              <w:rPr>
                <w:rFonts w:cs="Arial"/>
                <w:sz w:val="18"/>
                <w:szCs w:val="18"/>
              </w:rPr>
              <w:t>•Community Libraries</w:t>
            </w:r>
          </w:p>
          <w:p w:rsidR="008D2EE1" w:rsidRPr="00F55734" w:rsidRDefault="008D2EE1" w:rsidP="00963408">
            <w:pPr>
              <w:rPr>
                <w:rFonts w:cs="Arial"/>
                <w:sz w:val="18"/>
                <w:szCs w:val="18"/>
              </w:rPr>
            </w:pPr>
            <w:r w:rsidRPr="00F55734">
              <w:rPr>
                <w:rFonts w:cs="Arial"/>
                <w:sz w:val="18"/>
                <w:szCs w:val="18"/>
              </w:rPr>
              <w:t>•Active citizens - this group is the largest one</w:t>
            </w:r>
          </w:p>
          <w:p w:rsidR="008D2EE1" w:rsidRPr="00F55734" w:rsidRDefault="008D2EE1" w:rsidP="00963408">
            <w:pPr>
              <w:rPr>
                <w:rFonts w:cs="Arial"/>
                <w:sz w:val="18"/>
                <w:szCs w:val="18"/>
              </w:rPr>
            </w:pPr>
          </w:p>
          <w:p w:rsidR="008D2EE1" w:rsidRPr="006F76BA" w:rsidRDefault="008D2EE1" w:rsidP="00963408">
            <w:pPr>
              <w:rPr>
                <w:rFonts w:cs="Arial"/>
                <w:sz w:val="18"/>
                <w:szCs w:val="18"/>
              </w:rPr>
            </w:pPr>
            <w:r w:rsidRPr="00F55734">
              <w:rPr>
                <w:rFonts w:cs="Arial"/>
                <w:sz w:val="18"/>
                <w:szCs w:val="18"/>
              </w:rPr>
              <w:t>Self-introductions to the LAC was the most common means of introduction across all four wards</w:t>
            </w:r>
            <w:r>
              <w:rPr>
                <w:rFonts w:cs="Arial"/>
                <w:sz w:val="18"/>
                <w:szCs w:val="18"/>
              </w:rPr>
              <w:t>.</w:t>
            </w:r>
          </w:p>
        </w:tc>
        <w:tc>
          <w:tcPr>
            <w:tcW w:w="1227" w:type="pct"/>
          </w:tcPr>
          <w:p w:rsidR="008D2EE1" w:rsidRDefault="008D2EE1" w:rsidP="00963408">
            <w:pPr>
              <w:rPr>
                <w:rFonts w:cs="Arial"/>
                <w:sz w:val="18"/>
                <w:szCs w:val="18"/>
              </w:rPr>
            </w:pPr>
            <w:r>
              <w:rPr>
                <w:rFonts w:cs="Arial"/>
                <w:sz w:val="18"/>
                <w:szCs w:val="18"/>
              </w:rPr>
              <w:t>P</w:t>
            </w:r>
            <w:r w:rsidRPr="00E31596">
              <w:rPr>
                <w:rFonts w:cs="Arial"/>
                <w:sz w:val="18"/>
                <w:szCs w:val="18"/>
              </w:rPr>
              <w:t xml:space="preserve">eople making contact with LAC are experiencing a range of complex issues, individually and as a cohort.  These issues include  health  conditions  for  which  individuals  have  stopped  receiving  treatments  and  for  which treatment  is  required,  health  conditions  for  which  treatment  and  intervention  needs  instigating. </w:t>
            </w:r>
          </w:p>
          <w:p w:rsidR="008D2EE1" w:rsidRPr="006F76BA" w:rsidRDefault="008D2EE1" w:rsidP="00963408">
            <w:pPr>
              <w:rPr>
                <w:rFonts w:cs="Arial"/>
                <w:sz w:val="18"/>
                <w:szCs w:val="18"/>
              </w:rPr>
            </w:pPr>
            <w:r>
              <w:rPr>
                <w:rFonts w:cs="Arial"/>
                <w:sz w:val="18"/>
                <w:szCs w:val="18"/>
              </w:rPr>
              <w:t xml:space="preserve">There  is  evidence </w:t>
            </w:r>
            <w:r w:rsidRPr="00E31596">
              <w:rPr>
                <w:rFonts w:cs="Arial"/>
                <w:sz w:val="18"/>
                <w:szCs w:val="18"/>
              </w:rPr>
              <w:t>of  broader  psych</w:t>
            </w:r>
            <w:r>
              <w:rPr>
                <w:rFonts w:cs="Arial"/>
                <w:sz w:val="18"/>
                <w:szCs w:val="18"/>
              </w:rPr>
              <w:t>o</w:t>
            </w:r>
            <w:r w:rsidRPr="00E31596">
              <w:rPr>
                <w:rFonts w:cs="Arial"/>
                <w:sz w:val="18"/>
                <w:szCs w:val="18"/>
              </w:rPr>
              <w:t xml:space="preserve">-social  issues  faced  by  </w:t>
            </w:r>
            <w:r>
              <w:rPr>
                <w:rFonts w:cs="Arial"/>
                <w:sz w:val="18"/>
                <w:szCs w:val="18"/>
              </w:rPr>
              <w:t>participants</w:t>
            </w:r>
            <w:r w:rsidRPr="00E31596">
              <w:rPr>
                <w:rFonts w:cs="Arial"/>
                <w:sz w:val="18"/>
                <w:szCs w:val="18"/>
              </w:rPr>
              <w:t>;  social  isolation,  loneliness, personal abuse and personal development issues.</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shd w:val="clear" w:color="auto" w:fill="F7EEF7"/>
          </w:tcPr>
          <w:p w:rsidR="008D2EE1" w:rsidRPr="006F76BA" w:rsidRDefault="008D2EE1" w:rsidP="00963408">
            <w:pPr>
              <w:rPr>
                <w:rFonts w:eastAsia="Calibri" w:cs="Arial"/>
                <w:b/>
                <w:sz w:val="18"/>
                <w:szCs w:val="18"/>
              </w:rPr>
            </w:pPr>
            <w:r w:rsidRPr="006F76BA">
              <w:rPr>
                <w:rFonts w:eastAsia="Calibri" w:cs="Arial"/>
                <w:sz w:val="18"/>
                <w:szCs w:val="18"/>
              </w:rPr>
              <w:t>Peter Fletcher Associates, 2011</w:t>
            </w:r>
          </w:p>
        </w:tc>
        <w:tc>
          <w:tcPr>
            <w:tcW w:w="898" w:type="pct"/>
            <w:shd w:val="clear" w:color="auto" w:fill="F7EEF7"/>
          </w:tcPr>
          <w:p w:rsidR="008D2EE1" w:rsidRPr="006F76BA" w:rsidRDefault="008D2EE1" w:rsidP="00963408">
            <w:pPr>
              <w:rPr>
                <w:rFonts w:cs="Arial"/>
                <w:sz w:val="18"/>
                <w:szCs w:val="18"/>
              </w:rPr>
            </w:pPr>
            <w:r>
              <w:rPr>
                <w:rFonts w:cs="Arial"/>
                <w:sz w:val="18"/>
                <w:szCs w:val="18"/>
              </w:rPr>
              <w:t>O</w:t>
            </w:r>
            <w:r w:rsidRPr="000A4DBA">
              <w:rPr>
                <w:rFonts w:cs="Arial"/>
                <w:sz w:val="18"/>
                <w:szCs w:val="18"/>
              </w:rPr>
              <w:t>ffer</w:t>
            </w:r>
            <w:r>
              <w:rPr>
                <w:rFonts w:cs="Arial"/>
                <w:sz w:val="18"/>
                <w:szCs w:val="18"/>
              </w:rPr>
              <w:t>s</w:t>
            </w:r>
            <w:r w:rsidRPr="000A4DBA">
              <w:rPr>
                <w:rFonts w:cs="Arial"/>
                <w:sz w:val="18"/>
                <w:szCs w:val="18"/>
              </w:rPr>
              <w:t xml:space="preserve"> support without time limits</w:t>
            </w:r>
            <w:r>
              <w:rPr>
                <w:rFonts w:cs="Arial"/>
                <w:sz w:val="18"/>
                <w:szCs w:val="18"/>
              </w:rPr>
              <w:t xml:space="preserve">; Has </w:t>
            </w:r>
            <w:r w:rsidRPr="009A6D11">
              <w:rPr>
                <w:rFonts w:cs="Arial"/>
                <w:sz w:val="18"/>
                <w:szCs w:val="18"/>
              </w:rPr>
              <w:t>detailed knowledge of local resources and directs people towards these</w:t>
            </w:r>
            <w:r>
              <w:rPr>
                <w:rFonts w:cs="Arial"/>
                <w:sz w:val="18"/>
                <w:szCs w:val="18"/>
              </w:rPr>
              <w:t>.</w:t>
            </w:r>
          </w:p>
        </w:tc>
        <w:tc>
          <w:tcPr>
            <w:tcW w:w="1085" w:type="pct"/>
            <w:shd w:val="clear" w:color="auto" w:fill="F7EEF7"/>
          </w:tcPr>
          <w:p w:rsidR="008D2EE1" w:rsidRPr="006F76BA" w:rsidRDefault="008D2EE1" w:rsidP="00963408">
            <w:pPr>
              <w:rPr>
                <w:rFonts w:cs="Arial"/>
                <w:sz w:val="18"/>
                <w:szCs w:val="18"/>
              </w:rPr>
            </w:pPr>
            <w:r>
              <w:rPr>
                <w:rFonts w:cs="Arial"/>
                <w:sz w:val="18"/>
                <w:szCs w:val="18"/>
              </w:rPr>
              <w:t>N/A</w:t>
            </w:r>
          </w:p>
        </w:tc>
        <w:tc>
          <w:tcPr>
            <w:tcW w:w="1227" w:type="pct"/>
            <w:shd w:val="clear" w:color="auto" w:fill="F7EEF7"/>
          </w:tcPr>
          <w:p w:rsidR="008D2EE1" w:rsidRPr="006F76BA" w:rsidRDefault="008D2EE1" w:rsidP="00963408">
            <w:pPr>
              <w:rPr>
                <w:rFonts w:cs="Arial"/>
                <w:sz w:val="18"/>
                <w:szCs w:val="18"/>
              </w:rPr>
            </w:pPr>
            <w:r>
              <w:rPr>
                <w:rFonts w:cs="Arial"/>
                <w:sz w:val="18"/>
                <w:szCs w:val="18"/>
              </w:rPr>
              <w:t>N/A</w:t>
            </w:r>
          </w:p>
        </w:tc>
        <w:tc>
          <w:tcPr>
            <w:tcW w:w="755" w:type="pct"/>
            <w:shd w:val="clear" w:color="auto" w:fill="F7EEF7"/>
          </w:tcPr>
          <w:p w:rsidR="008D2EE1" w:rsidRPr="006F76BA" w:rsidRDefault="008D2EE1" w:rsidP="00963408">
            <w:pPr>
              <w:rPr>
                <w:rFonts w:cs="Arial"/>
                <w:sz w:val="18"/>
                <w:szCs w:val="18"/>
              </w:rPr>
            </w:pPr>
            <w:r>
              <w:rPr>
                <w:rFonts w:cs="Arial"/>
                <w:sz w:val="18"/>
                <w:szCs w:val="18"/>
              </w:rPr>
              <w:t>Gives an example of</w:t>
            </w:r>
            <w:r w:rsidRPr="005A14B8">
              <w:rPr>
                <w:rFonts w:cs="Arial"/>
                <w:sz w:val="18"/>
                <w:szCs w:val="18"/>
              </w:rPr>
              <w:t xml:space="preserve"> </w:t>
            </w:r>
            <w:r>
              <w:rPr>
                <w:rFonts w:cs="Arial"/>
                <w:sz w:val="18"/>
                <w:szCs w:val="18"/>
              </w:rPr>
              <w:t>an</w:t>
            </w:r>
            <w:r w:rsidRPr="005A14B8">
              <w:rPr>
                <w:rFonts w:cs="Arial"/>
                <w:sz w:val="18"/>
                <w:szCs w:val="18"/>
              </w:rPr>
              <w:t xml:space="preserve"> Australia</w:t>
            </w:r>
            <w:r>
              <w:rPr>
                <w:rFonts w:cs="Arial"/>
                <w:sz w:val="18"/>
                <w:szCs w:val="18"/>
              </w:rPr>
              <w:t>n</w:t>
            </w:r>
            <w:r w:rsidRPr="005A14B8">
              <w:rPr>
                <w:rFonts w:cs="Arial"/>
                <w:sz w:val="18"/>
                <w:szCs w:val="18"/>
              </w:rPr>
              <w:t xml:space="preserve"> LAC working in an urban area and supporting   around   60   people</w:t>
            </w:r>
            <w:r>
              <w:rPr>
                <w:rFonts w:cs="Arial"/>
                <w:sz w:val="18"/>
                <w:szCs w:val="18"/>
              </w:rPr>
              <w:t xml:space="preserve">. </w:t>
            </w:r>
            <w:r w:rsidRPr="005A14B8">
              <w:rPr>
                <w:rFonts w:cs="Arial"/>
                <w:sz w:val="18"/>
                <w:szCs w:val="18"/>
              </w:rPr>
              <w:t>However</w:t>
            </w:r>
            <w:r>
              <w:rPr>
                <w:rFonts w:cs="Arial"/>
                <w:sz w:val="18"/>
                <w:szCs w:val="18"/>
              </w:rPr>
              <w:t>,</w:t>
            </w:r>
            <w:r w:rsidRPr="005A14B8">
              <w:rPr>
                <w:rFonts w:cs="Arial"/>
                <w:sz w:val="18"/>
                <w:szCs w:val="18"/>
              </w:rPr>
              <w:t xml:space="preserve"> </w:t>
            </w:r>
            <w:r>
              <w:rPr>
                <w:rFonts w:cs="Arial"/>
                <w:sz w:val="18"/>
                <w:szCs w:val="18"/>
              </w:rPr>
              <w:t xml:space="preserve">there was </w:t>
            </w:r>
            <w:r w:rsidRPr="005A14B8">
              <w:rPr>
                <w:rFonts w:cs="Arial"/>
                <w:sz w:val="18"/>
                <w:szCs w:val="18"/>
              </w:rPr>
              <w:t>no link to th</w:t>
            </w:r>
            <w:r>
              <w:rPr>
                <w:rFonts w:cs="Arial"/>
                <w:sz w:val="18"/>
                <w:szCs w:val="18"/>
              </w:rPr>
              <w:t>e</w:t>
            </w:r>
            <w:r w:rsidRPr="005A14B8">
              <w:rPr>
                <w:rFonts w:cs="Arial"/>
                <w:sz w:val="18"/>
                <w:szCs w:val="18"/>
              </w:rPr>
              <w:t xml:space="preserve"> study</w:t>
            </w:r>
            <w:r>
              <w:rPr>
                <w:rFonts w:cs="Arial"/>
                <w:sz w:val="18"/>
                <w:szCs w:val="18"/>
              </w:rPr>
              <w:t>.</w:t>
            </w:r>
          </w:p>
        </w:tc>
        <w:tc>
          <w:tcPr>
            <w:tcW w:w="566" w:type="pct"/>
            <w:shd w:val="clear" w:color="auto" w:fill="F7EEF7"/>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tcPr>
          <w:p w:rsidR="008D2EE1" w:rsidRPr="006F76BA" w:rsidRDefault="008D2EE1" w:rsidP="00963408">
            <w:pPr>
              <w:rPr>
                <w:rFonts w:eastAsia="Calibri" w:cs="Arial"/>
                <w:b/>
                <w:sz w:val="18"/>
                <w:szCs w:val="18"/>
              </w:rPr>
            </w:pPr>
            <w:r w:rsidRPr="006F76BA">
              <w:rPr>
                <w:rFonts w:eastAsia="Calibri" w:cs="Arial"/>
                <w:sz w:val="18"/>
                <w:szCs w:val="18"/>
              </w:rPr>
              <w:t>Sitch, 2014</w:t>
            </w:r>
          </w:p>
        </w:tc>
        <w:tc>
          <w:tcPr>
            <w:tcW w:w="898" w:type="pct"/>
          </w:tcPr>
          <w:p w:rsidR="008D2EE1" w:rsidRPr="006F76BA" w:rsidRDefault="008D2EE1" w:rsidP="00963408">
            <w:pPr>
              <w:rPr>
                <w:rFonts w:cs="Arial"/>
                <w:sz w:val="18"/>
                <w:szCs w:val="18"/>
              </w:rPr>
            </w:pPr>
            <w:r w:rsidRPr="00490B5B">
              <w:rPr>
                <w:rFonts w:cs="Arial"/>
                <w:sz w:val="18"/>
                <w:szCs w:val="18"/>
              </w:rPr>
              <w:t>L</w:t>
            </w:r>
            <w:r>
              <w:rPr>
                <w:rFonts w:cs="Arial"/>
                <w:sz w:val="18"/>
                <w:szCs w:val="18"/>
              </w:rPr>
              <w:t xml:space="preserve">ACs recruited </w:t>
            </w:r>
            <w:r w:rsidRPr="00490B5B">
              <w:rPr>
                <w:rFonts w:cs="Arial"/>
                <w:sz w:val="18"/>
                <w:szCs w:val="18"/>
              </w:rPr>
              <w:t>by local communities in a</w:t>
            </w:r>
            <w:r>
              <w:rPr>
                <w:rFonts w:cs="Arial"/>
                <w:sz w:val="18"/>
                <w:szCs w:val="18"/>
              </w:rPr>
              <w:t xml:space="preserve">n </w:t>
            </w:r>
            <w:r w:rsidRPr="00490B5B">
              <w:rPr>
                <w:rFonts w:cs="Arial"/>
                <w:sz w:val="18"/>
                <w:szCs w:val="18"/>
              </w:rPr>
              <w:t>inclusive recruitment process</w:t>
            </w:r>
          </w:p>
        </w:tc>
        <w:tc>
          <w:tcPr>
            <w:tcW w:w="1085" w:type="pct"/>
          </w:tcPr>
          <w:p w:rsidR="008D2EE1" w:rsidRDefault="008D2EE1" w:rsidP="00963408">
            <w:pPr>
              <w:rPr>
                <w:rFonts w:cs="Arial"/>
                <w:sz w:val="18"/>
                <w:szCs w:val="18"/>
              </w:rPr>
            </w:pPr>
            <w:r>
              <w:rPr>
                <w:rFonts w:cs="Arial"/>
                <w:sz w:val="18"/>
                <w:szCs w:val="18"/>
              </w:rPr>
              <w:t>I</w:t>
            </w:r>
            <w:r w:rsidRPr="00B3235C">
              <w:rPr>
                <w:rFonts w:cs="Arial"/>
                <w:sz w:val="18"/>
                <w:szCs w:val="18"/>
              </w:rPr>
              <w:t xml:space="preserve">ntroductions </w:t>
            </w:r>
            <w:r>
              <w:rPr>
                <w:rFonts w:cs="Arial"/>
                <w:sz w:val="18"/>
                <w:szCs w:val="18"/>
              </w:rPr>
              <w:t>came from:</w:t>
            </w:r>
          </w:p>
          <w:p w:rsidR="008D2EE1" w:rsidRDefault="008D2EE1" w:rsidP="00963408">
            <w:pPr>
              <w:rPr>
                <w:rFonts w:cs="Arial"/>
                <w:sz w:val="18"/>
                <w:szCs w:val="18"/>
              </w:rPr>
            </w:pPr>
            <w:r w:rsidRPr="00B3235C">
              <w:rPr>
                <w:rFonts w:cs="Arial"/>
                <w:sz w:val="18"/>
                <w:szCs w:val="18"/>
              </w:rPr>
              <w:t xml:space="preserve">•The Council’s initial contact service- Community Solutions </w:t>
            </w:r>
          </w:p>
          <w:p w:rsidR="008D2EE1" w:rsidRDefault="008D2EE1" w:rsidP="00963408">
            <w:pPr>
              <w:rPr>
                <w:rFonts w:cs="Arial"/>
                <w:sz w:val="18"/>
                <w:szCs w:val="18"/>
              </w:rPr>
            </w:pPr>
            <w:r w:rsidRPr="00B3235C">
              <w:rPr>
                <w:rFonts w:cs="Arial"/>
                <w:sz w:val="18"/>
                <w:szCs w:val="18"/>
              </w:rPr>
              <w:t xml:space="preserve">•Social workers and support planners across all services including mental health teams </w:t>
            </w:r>
          </w:p>
          <w:p w:rsidR="008D2EE1" w:rsidRDefault="008D2EE1" w:rsidP="00963408">
            <w:pPr>
              <w:rPr>
                <w:rFonts w:cs="Arial"/>
                <w:sz w:val="18"/>
                <w:szCs w:val="18"/>
              </w:rPr>
            </w:pPr>
            <w:r w:rsidRPr="00B3235C">
              <w:rPr>
                <w:rFonts w:cs="Arial"/>
                <w:sz w:val="18"/>
                <w:szCs w:val="18"/>
              </w:rPr>
              <w:t xml:space="preserve">•Third Sector organisations •Multi-disciplinary meetings (MDT’s) based around GP surgeries •The Mayor of Thurrock Council and ward Councilors •Direct from the community and meeting people at Community Events •Community Hubs </w:t>
            </w:r>
          </w:p>
          <w:p w:rsidR="008D2EE1" w:rsidRPr="006F76BA" w:rsidRDefault="008D2EE1" w:rsidP="00963408">
            <w:pPr>
              <w:rPr>
                <w:rFonts w:cs="Arial"/>
                <w:sz w:val="18"/>
                <w:szCs w:val="18"/>
              </w:rPr>
            </w:pPr>
            <w:r w:rsidRPr="00B3235C">
              <w:rPr>
                <w:rFonts w:cs="Arial"/>
                <w:sz w:val="18"/>
                <w:szCs w:val="18"/>
              </w:rPr>
              <w:t>•Housing •Police and Fire Services</w:t>
            </w:r>
          </w:p>
        </w:tc>
        <w:tc>
          <w:tcPr>
            <w:tcW w:w="1227" w:type="pct"/>
          </w:tcPr>
          <w:p w:rsidR="008D2EE1" w:rsidRPr="006F76BA" w:rsidRDefault="008D2EE1" w:rsidP="00963408">
            <w:pPr>
              <w:rPr>
                <w:rFonts w:cs="Arial"/>
                <w:sz w:val="18"/>
                <w:szCs w:val="18"/>
              </w:rPr>
            </w:pPr>
            <w:r>
              <w:rPr>
                <w:rFonts w:cs="Arial"/>
                <w:sz w:val="18"/>
                <w:szCs w:val="18"/>
              </w:rPr>
              <w:t>N/A</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shd w:val="clear" w:color="auto" w:fill="F7EEF7"/>
          </w:tcPr>
          <w:p w:rsidR="008D2EE1" w:rsidRPr="006F76BA" w:rsidRDefault="008D2EE1" w:rsidP="00963408">
            <w:pPr>
              <w:rPr>
                <w:rFonts w:eastAsia="Calibri" w:cs="Arial"/>
                <w:b/>
                <w:sz w:val="18"/>
                <w:szCs w:val="18"/>
              </w:rPr>
            </w:pPr>
            <w:r w:rsidRPr="006F76BA">
              <w:rPr>
                <w:rFonts w:eastAsia="Calibri" w:cs="Arial"/>
                <w:sz w:val="18"/>
                <w:szCs w:val="18"/>
              </w:rPr>
              <w:t>Kingfishers, 2015</w:t>
            </w:r>
          </w:p>
        </w:tc>
        <w:tc>
          <w:tcPr>
            <w:tcW w:w="898" w:type="pct"/>
            <w:shd w:val="clear" w:color="auto" w:fill="F7EEF7"/>
          </w:tcPr>
          <w:p w:rsidR="008D2EE1" w:rsidRPr="006F76BA" w:rsidRDefault="008D2EE1" w:rsidP="00963408">
            <w:pPr>
              <w:rPr>
                <w:rFonts w:cs="Arial"/>
                <w:sz w:val="18"/>
                <w:szCs w:val="18"/>
              </w:rPr>
            </w:pPr>
            <w:r>
              <w:rPr>
                <w:rFonts w:cs="Arial"/>
                <w:sz w:val="18"/>
                <w:szCs w:val="18"/>
              </w:rPr>
              <w:t>N/A</w:t>
            </w:r>
          </w:p>
        </w:tc>
        <w:tc>
          <w:tcPr>
            <w:tcW w:w="1085" w:type="pct"/>
            <w:shd w:val="clear" w:color="auto" w:fill="F7EEF7"/>
          </w:tcPr>
          <w:p w:rsidR="008D2EE1" w:rsidRPr="006F76BA" w:rsidRDefault="008D2EE1" w:rsidP="00963408">
            <w:pPr>
              <w:rPr>
                <w:rFonts w:cs="Arial"/>
                <w:sz w:val="18"/>
                <w:szCs w:val="18"/>
              </w:rPr>
            </w:pPr>
            <w:r>
              <w:rPr>
                <w:rFonts w:cs="Arial"/>
                <w:sz w:val="18"/>
                <w:szCs w:val="18"/>
              </w:rPr>
              <w:t>N/A</w:t>
            </w:r>
          </w:p>
        </w:tc>
        <w:tc>
          <w:tcPr>
            <w:tcW w:w="1227" w:type="pct"/>
            <w:shd w:val="clear" w:color="auto" w:fill="F7EEF7"/>
          </w:tcPr>
          <w:p w:rsidR="008D2EE1" w:rsidRDefault="008D2EE1" w:rsidP="00963408">
            <w:pPr>
              <w:rPr>
                <w:rFonts w:cs="Arial"/>
                <w:sz w:val="18"/>
                <w:szCs w:val="18"/>
              </w:rPr>
            </w:pPr>
            <w:r>
              <w:rPr>
                <w:rFonts w:cs="Arial"/>
                <w:sz w:val="18"/>
                <w:szCs w:val="18"/>
              </w:rPr>
              <w:t xml:space="preserve">Level 1 and Level 2 </w:t>
            </w:r>
            <w:r w:rsidRPr="00BE4053">
              <w:rPr>
                <w:rFonts w:cs="Arial"/>
                <w:sz w:val="18"/>
                <w:szCs w:val="18"/>
              </w:rPr>
              <w:t>Individuals,  experience</w:t>
            </w:r>
            <w:r>
              <w:rPr>
                <w:rFonts w:cs="Arial"/>
                <w:sz w:val="18"/>
                <w:szCs w:val="18"/>
              </w:rPr>
              <w:t>d</w:t>
            </w:r>
            <w:r w:rsidRPr="00BE4053">
              <w:rPr>
                <w:rFonts w:cs="Arial"/>
                <w:sz w:val="18"/>
                <w:szCs w:val="18"/>
              </w:rPr>
              <w:t xml:space="preserve"> </w:t>
            </w:r>
            <w:r>
              <w:rPr>
                <w:rFonts w:cs="Arial"/>
                <w:sz w:val="18"/>
                <w:szCs w:val="18"/>
              </w:rPr>
              <w:t>the</w:t>
            </w:r>
            <w:r w:rsidRPr="00BE4053">
              <w:rPr>
                <w:rFonts w:cs="Arial"/>
                <w:sz w:val="18"/>
                <w:szCs w:val="18"/>
              </w:rPr>
              <w:t xml:space="preserve"> sense  of  ov</w:t>
            </w:r>
            <w:r>
              <w:rPr>
                <w:rFonts w:cs="Arial"/>
                <w:sz w:val="18"/>
                <w:szCs w:val="18"/>
              </w:rPr>
              <w:t xml:space="preserve">ercoming  social  isolation. </w:t>
            </w:r>
            <w:r w:rsidRPr="00BE4053">
              <w:rPr>
                <w:rFonts w:cs="Arial"/>
                <w:sz w:val="18"/>
                <w:szCs w:val="18"/>
              </w:rPr>
              <w:t>For some</w:t>
            </w:r>
            <w:r>
              <w:rPr>
                <w:rFonts w:cs="Arial"/>
                <w:sz w:val="18"/>
                <w:szCs w:val="18"/>
              </w:rPr>
              <w:t xml:space="preserve"> participants</w:t>
            </w:r>
            <w:r w:rsidRPr="00BE4053">
              <w:rPr>
                <w:rFonts w:cs="Arial"/>
                <w:sz w:val="18"/>
                <w:szCs w:val="18"/>
              </w:rPr>
              <w:t xml:space="preserve"> </w:t>
            </w:r>
            <w:r w:rsidRPr="00BE4053">
              <w:rPr>
                <w:rFonts w:cs="Arial"/>
                <w:sz w:val="18"/>
                <w:szCs w:val="18"/>
              </w:rPr>
              <w:lastRenderedPageBreak/>
              <w:t>this meant being able to go out in the community to do shopping and pay bills leading to  independence</w:t>
            </w:r>
            <w:r>
              <w:rPr>
                <w:rFonts w:cs="Arial"/>
                <w:sz w:val="18"/>
                <w:szCs w:val="18"/>
              </w:rPr>
              <w:t xml:space="preserve">, </w:t>
            </w:r>
            <w:r w:rsidRPr="00BE4053">
              <w:rPr>
                <w:rFonts w:cs="Arial"/>
                <w:sz w:val="18"/>
                <w:szCs w:val="18"/>
              </w:rPr>
              <w:t>for  others  it  was  about  being  active  in  the  community.</w:t>
            </w:r>
            <w:r>
              <w:rPr>
                <w:rFonts w:cs="Arial"/>
                <w:sz w:val="18"/>
                <w:szCs w:val="18"/>
              </w:rPr>
              <w:t xml:space="preserve"> </w:t>
            </w:r>
          </w:p>
          <w:p w:rsidR="008D2EE1" w:rsidRPr="006F76BA" w:rsidRDefault="008D2EE1" w:rsidP="00963408">
            <w:pPr>
              <w:rPr>
                <w:rFonts w:cs="Arial"/>
                <w:sz w:val="18"/>
                <w:szCs w:val="18"/>
              </w:rPr>
            </w:pPr>
            <w:r>
              <w:rPr>
                <w:rFonts w:cs="Arial"/>
                <w:sz w:val="18"/>
                <w:szCs w:val="18"/>
              </w:rPr>
              <w:t>Participants were</w:t>
            </w:r>
            <w:r w:rsidRPr="00BE4053">
              <w:rPr>
                <w:rFonts w:cs="Arial"/>
                <w:sz w:val="18"/>
                <w:szCs w:val="18"/>
              </w:rPr>
              <w:t xml:space="preserve"> supported with housing</w:t>
            </w:r>
            <w:r>
              <w:rPr>
                <w:rFonts w:cs="Arial"/>
                <w:sz w:val="18"/>
                <w:szCs w:val="18"/>
              </w:rPr>
              <w:t>, e.g. to sustain  their  tenancy, or</w:t>
            </w:r>
            <w:r w:rsidRPr="00BE4053">
              <w:rPr>
                <w:rFonts w:cs="Arial"/>
                <w:sz w:val="18"/>
                <w:szCs w:val="18"/>
              </w:rPr>
              <w:t xml:space="preserve"> helping people secure a more suitable pro</w:t>
            </w:r>
            <w:r>
              <w:rPr>
                <w:rFonts w:cs="Arial"/>
                <w:sz w:val="18"/>
                <w:szCs w:val="18"/>
              </w:rPr>
              <w:t xml:space="preserve">perty for their health needs. For Level 2 </w:t>
            </w:r>
            <w:r w:rsidRPr="009702E3">
              <w:rPr>
                <w:rFonts w:cs="Arial"/>
                <w:sz w:val="18"/>
                <w:szCs w:val="18"/>
              </w:rPr>
              <w:t xml:space="preserve">individuals,  the  fire  prevention measures </w:t>
            </w:r>
            <w:r>
              <w:rPr>
                <w:rFonts w:cs="Arial"/>
                <w:sz w:val="18"/>
                <w:szCs w:val="18"/>
              </w:rPr>
              <w:t xml:space="preserve">through </w:t>
            </w:r>
            <w:r w:rsidRPr="009702E3">
              <w:rPr>
                <w:rFonts w:cs="Arial"/>
                <w:sz w:val="18"/>
                <w:szCs w:val="18"/>
              </w:rPr>
              <w:t>practical support, particularly those that were considered to be ‘hoarding’.</w:t>
            </w:r>
          </w:p>
        </w:tc>
        <w:tc>
          <w:tcPr>
            <w:tcW w:w="755" w:type="pct"/>
            <w:shd w:val="clear" w:color="auto" w:fill="F7EEF7"/>
          </w:tcPr>
          <w:p w:rsidR="008D2EE1" w:rsidRPr="006F76BA" w:rsidRDefault="008D2EE1" w:rsidP="00963408">
            <w:pPr>
              <w:rPr>
                <w:rFonts w:cs="Arial"/>
                <w:sz w:val="18"/>
                <w:szCs w:val="18"/>
              </w:rPr>
            </w:pPr>
            <w:r>
              <w:rPr>
                <w:rFonts w:cs="Arial"/>
                <w:sz w:val="18"/>
                <w:szCs w:val="18"/>
              </w:rPr>
              <w:lastRenderedPageBreak/>
              <w:t>N/A</w:t>
            </w:r>
          </w:p>
        </w:tc>
        <w:tc>
          <w:tcPr>
            <w:tcW w:w="566" w:type="pct"/>
            <w:shd w:val="clear" w:color="auto" w:fill="F7EEF7"/>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tcPr>
          <w:p w:rsidR="008D2EE1" w:rsidRPr="006F76BA" w:rsidRDefault="008D2EE1" w:rsidP="00963408">
            <w:pPr>
              <w:rPr>
                <w:rFonts w:eastAsia="Calibri" w:cs="Arial"/>
                <w:b/>
                <w:sz w:val="18"/>
                <w:szCs w:val="18"/>
              </w:rPr>
            </w:pPr>
            <w:r w:rsidRPr="006F76BA">
              <w:rPr>
                <w:rFonts w:eastAsia="Calibri" w:cs="Arial"/>
                <w:sz w:val="18"/>
                <w:szCs w:val="18"/>
              </w:rPr>
              <w:t>Kingfishers, 2016</w:t>
            </w:r>
          </w:p>
        </w:tc>
        <w:tc>
          <w:tcPr>
            <w:tcW w:w="898" w:type="pct"/>
          </w:tcPr>
          <w:p w:rsidR="008D2EE1" w:rsidRPr="006F76BA" w:rsidRDefault="008D2EE1" w:rsidP="00963408">
            <w:pPr>
              <w:rPr>
                <w:rFonts w:cs="Arial"/>
                <w:sz w:val="18"/>
                <w:szCs w:val="18"/>
              </w:rPr>
            </w:pPr>
            <w:r w:rsidRPr="000C50EB">
              <w:rPr>
                <w:rFonts w:cs="Arial"/>
                <w:sz w:val="18"/>
                <w:szCs w:val="18"/>
              </w:rPr>
              <w:t>Coordinators  knowl</w:t>
            </w:r>
            <w:r>
              <w:rPr>
                <w:rFonts w:cs="Arial"/>
                <w:sz w:val="18"/>
                <w:szCs w:val="18"/>
              </w:rPr>
              <w:t xml:space="preserve">edge  of  the  local  area  – </w:t>
            </w:r>
            <w:r w:rsidRPr="000C50EB">
              <w:rPr>
                <w:rFonts w:cs="Arial"/>
                <w:sz w:val="18"/>
                <w:szCs w:val="18"/>
              </w:rPr>
              <w:t>connecting individuals with local people and groups</w:t>
            </w:r>
          </w:p>
        </w:tc>
        <w:tc>
          <w:tcPr>
            <w:tcW w:w="1085" w:type="pct"/>
          </w:tcPr>
          <w:p w:rsidR="008D2EE1" w:rsidRPr="006F76BA" w:rsidRDefault="008D2EE1" w:rsidP="00963408">
            <w:pPr>
              <w:rPr>
                <w:rFonts w:cs="Arial"/>
                <w:sz w:val="18"/>
                <w:szCs w:val="18"/>
              </w:rPr>
            </w:pPr>
            <w:r>
              <w:rPr>
                <w:rFonts w:cs="Arial"/>
                <w:sz w:val="18"/>
                <w:szCs w:val="18"/>
              </w:rPr>
              <w:t>N/A</w:t>
            </w:r>
          </w:p>
        </w:tc>
        <w:tc>
          <w:tcPr>
            <w:tcW w:w="1227" w:type="pct"/>
          </w:tcPr>
          <w:p w:rsidR="008D2EE1" w:rsidRPr="006F76BA" w:rsidRDefault="008D2EE1" w:rsidP="00963408">
            <w:pPr>
              <w:rPr>
                <w:rFonts w:cs="Arial"/>
                <w:sz w:val="18"/>
                <w:szCs w:val="18"/>
              </w:rPr>
            </w:pPr>
            <w:r w:rsidRPr="00E35B77">
              <w:rPr>
                <w:rFonts w:cs="Arial"/>
                <w:sz w:val="18"/>
                <w:szCs w:val="18"/>
              </w:rPr>
              <w:t>There  was  evidence  that  through  the  support  of  the  Coordinators,  individuals  felt  more  in  control  of  their  health  leading  to  reduced  demand  on  health  and  social  care  services</w:t>
            </w:r>
            <w:r>
              <w:rPr>
                <w:rFonts w:cs="Arial"/>
                <w:sz w:val="18"/>
                <w:szCs w:val="18"/>
              </w:rPr>
              <w:t>.</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shd w:val="clear" w:color="auto" w:fill="F7EEF7"/>
          </w:tcPr>
          <w:p w:rsidR="008D2EE1" w:rsidRPr="006F76BA" w:rsidRDefault="008D2EE1" w:rsidP="00963408">
            <w:pPr>
              <w:rPr>
                <w:rFonts w:eastAsia="Calibri" w:cs="Arial"/>
                <w:b/>
                <w:sz w:val="18"/>
                <w:szCs w:val="18"/>
              </w:rPr>
            </w:pPr>
            <w:r w:rsidRPr="006F76BA">
              <w:rPr>
                <w:rFonts w:eastAsia="Calibri" w:cs="Arial"/>
                <w:sz w:val="18"/>
                <w:szCs w:val="18"/>
              </w:rPr>
              <w:t>Marsh, 2016</w:t>
            </w:r>
          </w:p>
        </w:tc>
        <w:tc>
          <w:tcPr>
            <w:tcW w:w="898" w:type="pct"/>
            <w:shd w:val="clear" w:color="auto" w:fill="F7EEF7"/>
          </w:tcPr>
          <w:p w:rsidR="008D2EE1" w:rsidRPr="006F76BA" w:rsidRDefault="008D2EE1" w:rsidP="00963408">
            <w:pPr>
              <w:rPr>
                <w:rFonts w:cs="Arial"/>
                <w:sz w:val="18"/>
                <w:szCs w:val="18"/>
              </w:rPr>
            </w:pPr>
            <w:r w:rsidRPr="00CD7F76">
              <w:rPr>
                <w:rFonts w:cs="Arial"/>
                <w:sz w:val="18"/>
                <w:szCs w:val="18"/>
              </w:rPr>
              <w:t xml:space="preserve">In the interviews, </w:t>
            </w:r>
            <w:r>
              <w:rPr>
                <w:rFonts w:cs="Arial"/>
                <w:sz w:val="18"/>
                <w:szCs w:val="18"/>
              </w:rPr>
              <w:t>participants</w:t>
            </w:r>
            <w:r w:rsidRPr="00CD7F76">
              <w:rPr>
                <w:rFonts w:cs="Arial"/>
                <w:sz w:val="18"/>
                <w:szCs w:val="18"/>
              </w:rPr>
              <w:t xml:space="preserve"> described how they did not know where to turn for help prior to LAC</w:t>
            </w:r>
            <w:r>
              <w:rPr>
                <w:rFonts w:cs="Arial"/>
                <w:sz w:val="18"/>
                <w:szCs w:val="18"/>
              </w:rPr>
              <w:t xml:space="preserve">. </w:t>
            </w:r>
            <w:r w:rsidRPr="00CD7F76">
              <w:rPr>
                <w:rFonts w:cs="Arial"/>
                <w:sz w:val="18"/>
                <w:szCs w:val="18"/>
              </w:rPr>
              <w:t xml:space="preserve">The Coordinator provided encouragement and listened to their issues, working together at the individuals’ pace to find solutions and help them achieve their goals.  </w:t>
            </w:r>
            <w:r>
              <w:rPr>
                <w:rFonts w:cs="Arial"/>
                <w:sz w:val="18"/>
                <w:szCs w:val="18"/>
              </w:rPr>
              <w:t>Participant value</w:t>
            </w:r>
            <w:r w:rsidRPr="00CD7F76">
              <w:rPr>
                <w:rFonts w:cs="Arial"/>
                <w:sz w:val="18"/>
                <w:szCs w:val="18"/>
              </w:rPr>
              <w:t xml:space="preserve"> </w:t>
            </w:r>
            <w:r>
              <w:rPr>
                <w:rFonts w:cs="Arial"/>
                <w:sz w:val="18"/>
                <w:szCs w:val="18"/>
              </w:rPr>
              <w:t>LAC as someone to</w:t>
            </w:r>
            <w:r w:rsidRPr="00CD7F76">
              <w:rPr>
                <w:rFonts w:cs="Arial"/>
                <w:sz w:val="18"/>
                <w:szCs w:val="18"/>
              </w:rPr>
              <w:t xml:space="preserve"> rely on  repeatedly  as  giving  them  hope,  describing  it  as  </w:t>
            </w:r>
            <w:r w:rsidRPr="00CD7F76">
              <w:rPr>
                <w:rFonts w:cs="Arial"/>
                <w:sz w:val="18"/>
                <w:szCs w:val="18"/>
              </w:rPr>
              <w:lastRenderedPageBreak/>
              <w:t xml:space="preserve">‘sunshine  in  the  window’,  a  ‘catalyst’ or ‘safety net’.  </w:t>
            </w:r>
          </w:p>
        </w:tc>
        <w:tc>
          <w:tcPr>
            <w:tcW w:w="1085" w:type="pct"/>
            <w:shd w:val="clear" w:color="auto" w:fill="F7EEF7"/>
          </w:tcPr>
          <w:p w:rsidR="008D2EE1" w:rsidRPr="006F76BA" w:rsidRDefault="008D2EE1" w:rsidP="00963408">
            <w:pPr>
              <w:rPr>
                <w:rFonts w:cs="Arial"/>
                <w:sz w:val="18"/>
                <w:szCs w:val="18"/>
              </w:rPr>
            </w:pPr>
            <w:r w:rsidRPr="009B170A">
              <w:rPr>
                <w:rFonts w:cs="Arial"/>
                <w:sz w:val="18"/>
                <w:szCs w:val="18"/>
              </w:rPr>
              <w:lastRenderedPageBreak/>
              <w:t>Th</w:t>
            </w:r>
            <w:r>
              <w:rPr>
                <w:rFonts w:cs="Arial"/>
                <w:sz w:val="18"/>
                <w:szCs w:val="18"/>
              </w:rPr>
              <w:t xml:space="preserve">e term introductions </w:t>
            </w:r>
            <w:r w:rsidRPr="009B170A">
              <w:rPr>
                <w:rFonts w:cs="Arial"/>
                <w:sz w:val="18"/>
                <w:szCs w:val="18"/>
              </w:rPr>
              <w:t xml:space="preserve">is reflective of how </w:t>
            </w:r>
            <w:r>
              <w:rPr>
                <w:rFonts w:cs="Arial"/>
                <w:sz w:val="18"/>
                <w:szCs w:val="18"/>
              </w:rPr>
              <w:t xml:space="preserve">LAC </w:t>
            </w:r>
            <w:r w:rsidRPr="009B170A">
              <w:rPr>
                <w:rFonts w:cs="Arial"/>
                <w:sz w:val="18"/>
                <w:szCs w:val="18"/>
              </w:rPr>
              <w:t>works with individuals where they can receive a referral from another service but then require an ‘introduction’ to the individual to start the relationship</w:t>
            </w:r>
            <w:r>
              <w:rPr>
                <w:rFonts w:cs="Arial"/>
                <w:sz w:val="18"/>
                <w:szCs w:val="18"/>
              </w:rPr>
              <w:t>.</w:t>
            </w:r>
          </w:p>
        </w:tc>
        <w:tc>
          <w:tcPr>
            <w:tcW w:w="1227" w:type="pct"/>
            <w:shd w:val="clear" w:color="auto" w:fill="F7EEF7"/>
          </w:tcPr>
          <w:p w:rsidR="008D2EE1" w:rsidRDefault="008D2EE1" w:rsidP="00963408">
            <w:pPr>
              <w:rPr>
                <w:rFonts w:cs="Arial"/>
                <w:sz w:val="18"/>
                <w:szCs w:val="18"/>
              </w:rPr>
            </w:pPr>
            <w:r>
              <w:rPr>
                <w:rFonts w:cs="Arial"/>
                <w:sz w:val="18"/>
                <w:szCs w:val="18"/>
              </w:rPr>
              <w:t>D</w:t>
            </w:r>
            <w:r w:rsidRPr="00BF7275">
              <w:rPr>
                <w:rFonts w:cs="Arial"/>
                <w:sz w:val="18"/>
                <w:szCs w:val="18"/>
              </w:rPr>
              <w:t>ecreased social isolation and feeling part of the community.</w:t>
            </w:r>
            <w:r>
              <w:rPr>
                <w:rFonts w:cs="Arial"/>
                <w:sz w:val="18"/>
                <w:szCs w:val="18"/>
              </w:rPr>
              <w:t xml:space="preserve"> </w:t>
            </w:r>
          </w:p>
          <w:p w:rsidR="008D2EE1" w:rsidRPr="006F76BA" w:rsidRDefault="008D2EE1" w:rsidP="00963408">
            <w:pPr>
              <w:rPr>
                <w:rFonts w:cs="Arial"/>
                <w:sz w:val="18"/>
                <w:szCs w:val="18"/>
              </w:rPr>
            </w:pPr>
            <w:r w:rsidRPr="00BF7275">
              <w:rPr>
                <w:rFonts w:cs="Arial"/>
                <w:sz w:val="18"/>
                <w:szCs w:val="18"/>
              </w:rPr>
              <w:t>The decreased social isolation is as a result of Local A</w:t>
            </w:r>
            <w:r>
              <w:rPr>
                <w:rFonts w:cs="Arial"/>
                <w:sz w:val="18"/>
                <w:szCs w:val="18"/>
              </w:rPr>
              <w:t xml:space="preserve">rea Coordinators connecting participants </w:t>
            </w:r>
            <w:r w:rsidRPr="00BF7275">
              <w:rPr>
                <w:rFonts w:cs="Arial"/>
                <w:sz w:val="18"/>
                <w:szCs w:val="18"/>
              </w:rPr>
              <w:t xml:space="preserve">with other people in the community and introducing them to local groups.  </w:t>
            </w:r>
          </w:p>
        </w:tc>
        <w:tc>
          <w:tcPr>
            <w:tcW w:w="755" w:type="pct"/>
            <w:shd w:val="clear" w:color="auto" w:fill="F7EEF7"/>
          </w:tcPr>
          <w:p w:rsidR="008D2EE1" w:rsidRPr="006F76BA" w:rsidRDefault="008D2EE1" w:rsidP="00963408">
            <w:pPr>
              <w:rPr>
                <w:rFonts w:cs="Arial"/>
                <w:sz w:val="18"/>
                <w:szCs w:val="18"/>
              </w:rPr>
            </w:pPr>
            <w:r>
              <w:rPr>
                <w:rFonts w:cs="Arial"/>
                <w:sz w:val="18"/>
                <w:szCs w:val="18"/>
              </w:rPr>
              <w:t>N/A</w:t>
            </w:r>
          </w:p>
        </w:tc>
        <w:tc>
          <w:tcPr>
            <w:tcW w:w="566" w:type="pct"/>
            <w:shd w:val="clear" w:color="auto" w:fill="F7EEF7"/>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tcPr>
          <w:p w:rsidR="008D2EE1" w:rsidRPr="006F76BA" w:rsidRDefault="008D2EE1" w:rsidP="00963408">
            <w:pPr>
              <w:rPr>
                <w:rFonts w:eastAsia="Calibri" w:cs="Arial"/>
                <w:b/>
                <w:sz w:val="18"/>
                <w:szCs w:val="18"/>
              </w:rPr>
            </w:pPr>
            <w:r w:rsidRPr="006F76BA">
              <w:rPr>
                <w:rFonts w:eastAsia="Calibri" w:cs="Arial"/>
                <w:sz w:val="18"/>
                <w:szCs w:val="18"/>
              </w:rPr>
              <w:t>Oatley, 2016</w:t>
            </w:r>
          </w:p>
        </w:tc>
        <w:tc>
          <w:tcPr>
            <w:tcW w:w="898" w:type="pct"/>
          </w:tcPr>
          <w:p w:rsidR="008D2EE1" w:rsidRPr="006F76BA" w:rsidRDefault="008D2EE1" w:rsidP="00963408">
            <w:pPr>
              <w:rPr>
                <w:rFonts w:cs="Arial"/>
                <w:sz w:val="18"/>
                <w:szCs w:val="18"/>
              </w:rPr>
            </w:pPr>
            <w:r>
              <w:rPr>
                <w:rFonts w:cs="Arial"/>
                <w:sz w:val="18"/>
                <w:szCs w:val="18"/>
              </w:rPr>
              <w:t>R</w:t>
            </w:r>
            <w:r w:rsidRPr="00CB1647">
              <w:rPr>
                <w:rFonts w:cs="Arial"/>
                <w:sz w:val="18"/>
                <w:szCs w:val="18"/>
              </w:rPr>
              <w:t>ecruit</w:t>
            </w:r>
            <w:r>
              <w:rPr>
                <w:rFonts w:cs="Arial"/>
                <w:sz w:val="18"/>
                <w:szCs w:val="18"/>
              </w:rPr>
              <w:t>ment of</w:t>
            </w:r>
            <w:r w:rsidRPr="00CB1647">
              <w:rPr>
                <w:rFonts w:cs="Arial"/>
                <w:sz w:val="18"/>
                <w:szCs w:val="18"/>
              </w:rPr>
              <w:t xml:space="preserve">  Local   Area   Coordinators increase</w:t>
            </w:r>
            <w:r>
              <w:rPr>
                <w:rFonts w:cs="Arial"/>
                <w:sz w:val="18"/>
                <w:szCs w:val="18"/>
              </w:rPr>
              <w:t>d</w:t>
            </w:r>
            <w:r w:rsidRPr="00CB1647">
              <w:rPr>
                <w:rFonts w:cs="Arial"/>
                <w:sz w:val="18"/>
                <w:szCs w:val="18"/>
              </w:rPr>
              <w:t xml:space="preserve"> community ownership of,   and community  accountability  from  Local  Area  Coordination in the  communities  they are immersed  within</w:t>
            </w:r>
            <w:r>
              <w:rPr>
                <w:rFonts w:cs="Arial"/>
                <w:sz w:val="18"/>
                <w:szCs w:val="18"/>
              </w:rPr>
              <w:t>.</w:t>
            </w:r>
          </w:p>
        </w:tc>
        <w:tc>
          <w:tcPr>
            <w:tcW w:w="1085" w:type="pct"/>
          </w:tcPr>
          <w:p w:rsidR="008D2EE1" w:rsidRPr="006F76BA" w:rsidRDefault="008D2EE1" w:rsidP="00963408">
            <w:pPr>
              <w:rPr>
                <w:rFonts w:cs="Arial"/>
                <w:sz w:val="18"/>
                <w:szCs w:val="18"/>
              </w:rPr>
            </w:pPr>
            <w:r w:rsidRPr="000C50EB">
              <w:rPr>
                <w:rFonts w:cs="Arial"/>
                <w:sz w:val="18"/>
                <w:szCs w:val="18"/>
              </w:rPr>
              <w:t>Introductions have been received at a range of ‘layers’ across the whole health and care system and sectors, community organisations and members</w:t>
            </w:r>
            <w:r>
              <w:rPr>
                <w:rFonts w:cs="Arial"/>
                <w:sz w:val="18"/>
                <w:szCs w:val="18"/>
              </w:rPr>
              <w:t xml:space="preserve"> of c</w:t>
            </w:r>
            <w:r w:rsidRPr="000C50EB">
              <w:rPr>
                <w:rFonts w:cs="Arial"/>
                <w:sz w:val="18"/>
                <w:szCs w:val="18"/>
              </w:rPr>
              <w:t>ommunity</w:t>
            </w:r>
            <w:r>
              <w:rPr>
                <w:rFonts w:cs="Arial"/>
                <w:sz w:val="18"/>
                <w:szCs w:val="18"/>
              </w:rPr>
              <w:t>, o</w:t>
            </w:r>
            <w:r w:rsidRPr="000C50EB">
              <w:rPr>
                <w:rFonts w:cs="Arial"/>
                <w:sz w:val="18"/>
                <w:szCs w:val="18"/>
              </w:rPr>
              <w:t>ther  health  care professional(s)</w:t>
            </w:r>
            <w:r>
              <w:rPr>
                <w:rFonts w:cs="Arial"/>
                <w:sz w:val="18"/>
                <w:szCs w:val="18"/>
              </w:rPr>
              <w:t xml:space="preserve">, </w:t>
            </w:r>
            <w:r w:rsidRPr="000C50EB">
              <w:rPr>
                <w:rFonts w:cs="Arial"/>
                <w:sz w:val="18"/>
                <w:szCs w:val="18"/>
              </w:rPr>
              <w:t>Children Social Care</w:t>
            </w:r>
            <w:r>
              <w:rPr>
                <w:rFonts w:cs="Arial"/>
                <w:sz w:val="18"/>
                <w:szCs w:val="18"/>
              </w:rPr>
              <w:t xml:space="preserve">, </w:t>
            </w:r>
            <w:r w:rsidRPr="000C50EB">
              <w:rPr>
                <w:rFonts w:cs="Arial"/>
                <w:sz w:val="18"/>
                <w:szCs w:val="18"/>
              </w:rPr>
              <w:t>Friend</w:t>
            </w:r>
            <w:r>
              <w:rPr>
                <w:rFonts w:cs="Arial"/>
                <w:sz w:val="18"/>
                <w:szCs w:val="18"/>
              </w:rPr>
              <w:t xml:space="preserve">s, </w:t>
            </w:r>
            <w:r w:rsidRPr="000C50EB">
              <w:rPr>
                <w:rFonts w:cs="Arial"/>
                <w:sz w:val="18"/>
                <w:szCs w:val="18"/>
              </w:rPr>
              <w:t>Housing</w:t>
            </w:r>
            <w:r>
              <w:rPr>
                <w:rFonts w:cs="Arial"/>
                <w:sz w:val="18"/>
                <w:szCs w:val="18"/>
              </w:rPr>
              <w:t xml:space="preserve">, </w:t>
            </w:r>
            <w:r w:rsidRPr="000C50EB">
              <w:rPr>
                <w:rFonts w:cs="Arial"/>
                <w:sz w:val="18"/>
                <w:szCs w:val="18"/>
              </w:rPr>
              <w:t>Voluntary sector</w:t>
            </w:r>
            <w:r>
              <w:rPr>
                <w:rFonts w:cs="Arial"/>
                <w:sz w:val="18"/>
                <w:szCs w:val="18"/>
              </w:rPr>
              <w:t xml:space="preserve">, </w:t>
            </w:r>
            <w:r w:rsidRPr="000C50EB">
              <w:rPr>
                <w:rFonts w:cs="Arial"/>
                <w:sz w:val="18"/>
                <w:szCs w:val="18"/>
              </w:rPr>
              <w:t>Family</w:t>
            </w:r>
            <w:r>
              <w:rPr>
                <w:rFonts w:cs="Arial"/>
                <w:sz w:val="18"/>
                <w:szCs w:val="18"/>
              </w:rPr>
              <w:t xml:space="preserve">, </w:t>
            </w:r>
            <w:r w:rsidRPr="000C50EB">
              <w:rPr>
                <w:rFonts w:cs="Arial"/>
                <w:sz w:val="18"/>
                <w:szCs w:val="18"/>
              </w:rPr>
              <w:t>GPs</w:t>
            </w:r>
            <w:r>
              <w:rPr>
                <w:rFonts w:cs="Arial"/>
                <w:sz w:val="18"/>
                <w:szCs w:val="18"/>
              </w:rPr>
              <w:t xml:space="preserve">, </w:t>
            </w:r>
            <w:r w:rsidRPr="000C50EB">
              <w:rPr>
                <w:rFonts w:cs="Arial"/>
                <w:sz w:val="18"/>
                <w:szCs w:val="18"/>
              </w:rPr>
              <w:t>Adult Social Care</w:t>
            </w:r>
            <w:r>
              <w:rPr>
                <w:rFonts w:cs="Arial"/>
                <w:sz w:val="18"/>
                <w:szCs w:val="18"/>
              </w:rPr>
              <w:t xml:space="preserve">, </w:t>
            </w:r>
            <w:r w:rsidRPr="000C50EB">
              <w:rPr>
                <w:rFonts w:cs="Arial"/>
                <w:sz w:val="18"/>
                <w:szCs w:val="18"/>
              </w:rPr>
              <w:t>Mental Health</w:t>
            </w:r>
          </w:p>
        </w:tc>
        <w:tc>
          <w:tcPr>
            <w:tcW w:w="1227" w:type="pct"/>
          </w:tcPr>
          <w:p w:rsidR="008D2EE1" w:rsidRPr="006F76BA" w:rsidRDefault="008D2EE1" w:rsidP="00963408">
            <w:pPr>
              <w:rPr>
                <w:rFonts w:cs="Arial"/>
                <w:sz w:val="18"/>
                <w:szCs w:val="18"/>
              </w:rPr>
            </w:pPr>
            <w:r>
              <w:rPr>
                <w:rFonts w:cs="Arial"/>
                <w:sz w:val="18"/>
                <w:szCs w:val="18"/>
              </w:rPr>
              <w:t>N/A</w:t>
            </w:r>
          </w:p>
        </w:tc>
        <w:tc>
          <w:tcPr>
            <w:tcW w:w="755" w:type="pct"/>
          </w:tcPr>
          <w:p w:rsidR="008D2EE1" w:rsidRPr="006F76BA" w:rsidRDefault="008D2EE1" w:rsidP="00963408">
            <w:pPr>
              <w:rPr>
                <w:rFonts w:cs="Arial"/>
                <w:sz w:val="18"/>
                <w:szCs w:val="18"/>
              </w:rPr>
            </w:pPr>
            <w:r w:rsidRPr="002F5C39">
              <w:rPr>
                <w:rFonts w:cs="Arial"/>
                <w:sz w:val="18"/>
                <w:szCs w:val="18"/>
              </w:rPr>
              <w:t>Mapping and maintaining ‘human</w:t>
            </w:r>
            <w:r>
              <w:rPr>
                <w:rFonts w:cs="Arial"/>
                <w:sz w:val="18"/>
                <w:szCs w:val="18"/>
              </w:rPr>
              <w:t xml:space="preserve"> sized units’ to avoid program </w:t>
            </w:r>
            <w:r w:rsidRPr="002F5C39">
              <w:rPr>
                <w:rFonts w:cs="Arial"/>
                <w:sz w:val="18"/>
                <w:szCs w:val="18"/>
              </w:rPr>
              <w:t>‘stretch’ through areas becoming too large, or supporting  too  many  people  which  increases  the  risk  of  a  more  traditional response  of  short-term  fixing  of  problems,  rather  than  bui</w:t>
            </w:r>
            <w:r>
              <w:rPr>
                <w:rFonts w:cs="Arial"/>
                <w:sz w:val="18"/>
                <w:szCs w:val="18"/>
              </w:rPr>
              <w:t>lding  trusting relationships.</w:t>
            </w:r>
          </w:p>
        </w:tc>
        <w:tc>
          <w:tcPr>
            <w:tcW w:w="566" w:type="pct"/>
          </w:tcPr>
          <w:p w:rsidR="008D2EE1" w:rsidRPr="006F76BA" w:rsidRDefault="008D2EE1" w:rsidP="00963408">
            <w:pPr>
              <w:rPr>
                <w:rFonts w:cs="Arial"/>
                <w:sz w:val="18"/>
                <w:szCs w:val="18"/>
              </w:rPr>
            </w:pPr>
            <w:r>
              <w:rPr>
                <w:rFonts w:cs="Arial"/>
                <w:sz w:val="18"/>
                <w:szCs w:val="18"/>
              </w:rPr>
              <w:t>Recommendation to d</w:t>
            </w:r>
            <w:r w:rsidRPr="00CE366F">
              <w:rPr>
                <w:rFonts w:cs="Arial"/>
                <w:sz w:val="18"/>
                <w:szCs w:val="18"/>
              </w:rPr>
              <w:t xml:space="preserve">evelop   </w:t>
            </w:r>
            <w:r>
              <w:rPr>
                <w:rFonts w:cs="Arial"/>
                <w:sz w:val="18"/>
                <w:szCs w:val="18"/>
              </w:rPr>
              <w:t>software/</w:t>
            </w:r>
            <w:r w:rsidRPr="00CE366F">
              <w:rPr>
                <w:rFonts w:cs="Arial"/>
                <w:sz w:val="18"/>
                <w:szCs w:val="18"/>
              </w:rPr>
              <w:t>App   capability</w:t>
            </w:r>
            <w:r>
              <w:rPr>
                <w:rFonts w:cs="Arial"/>
                <w:sz w:val="18"/>
                <w:szCs w:val="18"/>
              </w:rPr>
              <w:t xml:space="preserve">. </w:t>
            </w:r>
            <w:r w:rsidRPr="00CE366F">
              <w:rPr>
                <w:rFonts w:cs="Arial"/>
                <w:sz w:val="18"/>
                <w:szCs w:val="18"/>
              </w:rPr>
              <w:t>As   caseloads   grow   it will</w:t>
            </w:r>
            <w:r>
              <w:rPr>
                <w:rFonts w:cs="Arial"/>
                <w:sz w:val="18"/>
                <w:szCs w:val="18"/>
              </w:rPr>
              <w:t xml:space="preserve"> </w:t>
            </w:r>
            <w:r w:rsidRPr="00CE366F">
              <w:rPr>
                <w:rFonts w:cs="Arial"/>
                <w:sz w:val="18"/>
                <w:szCs w:val="18"/>
              </w:rPr>
              <w:t>become difficult to track</w:t>
            </w:r>
            <w:r>
              <w:rPr>
                <w:rFonts w:cs="Arial"/>
                <w:sz w:val="18"/>
                <w:szCs w:val="18"/>
              </w:rPr>
              <w:t xml:space="preserve">. </w:t>
            </w:r>
            <w:r w:rsidRPr="00CE366F">
              <w:rPr>
                <w:rFonts w:cs="Arial"/>
                <w:sz w:val="18"/>
                <w:szCs w:val="18"/>
              </w:rPr>
              <w:t xml:space="preserve"> CRM type databases </w:t>
            </w:r>
            <w:r>
              <w:rPr>
                <w:rFonts w:cs="Arial"/>
                <w:sz w:val="18"/>
                <w:szCs w:val="18"/>
              </w:rPr>
              <w:t>or a</w:t>
            </w:r>
            <w:r w:rsidRPr="00CE366F">
              <w:rPr>
                <w:rFonts w:cs="Arial"/>
                <w:sz w:val="18"/>
                <w:szCs w:val="18"/>
              </w:rPr>
              <w:t>n effective App would save time and log visits in a timely fashion.</w:t>
            </w:r>
          </w:p>
        </w:tc>
      </w:tr>
      <w:tr w:rsidR="008D2EE1" w:rsidRPr="006F76BA" w:rsidTr="007B3C60">
        <w:tc>
          <w:tcPr>
            <w:tcW w:w="470" w:type="pct"/>
            <w:shd w:val="clear" w:color="auto" w:fill="F7EEF7"/>
          </w:tcPr>
          <w:p w:rsidR="008D2EE1" w:rsidRPr="006F76BA" w:rsidRDefault="008D2EE1" w:rsidP="00963408">
            <w:pPr>
              <w:rPr>
                <w:rFonts w:eastAsia="Calibri" w:cs="Arial"/>
                <w:sz w:val="18"/>
                <w:szCs w:val="18"/>
              </w:rPr>
            </w:pPr>
            <w:r w:rsidRPr="006F76BA">
              <w:rPr>
                <w:rFonts w:eastAsia="Calibri" w:cs="Arial"/>
                <w:sz w:val="18"/>
                <w:szCs w:val="18"/>
              </w:rPr>
              <w:t>Darnton et al. 2018</w:t>
            </w:r>
          </w:p>
        </w:tc>
        <w:tc>
          <w:tcPr>
            <w:tcW w:w="898" w:type="pct"/>
            <w:shd w:val="clear" w:color="auto" w:fill="F7EEF7"/>
          </w:tcPr>
          <w:p w:rsidR="008D2EE1" w:rsidRPr="00C306FA" w:rsidRDefault="008D2EE1" w:rsidP="00963408">
            <w:pPr>
              <w:rPr>
                <w:rFonts w:cs="Arial"/>
                <w:sz w:val="18"/>
                <w:szCs w:val="18"/>
              </w:rPr>
            </w:pPr>
            <w:r w:rsidRPr="00C306FA">
              <w:rPr>
                <w:rFonts w:cs="Arial"/>
                <w:sz w:val="18"/>
                <w:szCs w:val="18"/>
              </w:rPr>
              <w:t>Trust, honesty, credibility, and integrity: These are key attributes of the service, and key characteristics of the people working within the service. These are a key ingredient when working with people who are often hard to reach.</w:t>
            </w:r>
          </w:p>
          <w:p w:rsidR="008D2EE1" w:rsidRPr="00C306FA" w:rsidRDefault="008D2EE1" w:rsidP="00963408">
            <w:pPr>
              <w:rPr>
                <w:rFonts w:cs="Arial"/>
                <w:sz w:val="18"/>
                <w:szCs w:val="18"/>
              </w:rPr>
            </w:pPr>
          </w:p>
          <w:p w:rsidR="008D2EE1" w:rsidRPr="006F76BA" w:rsidRDefault="008D2EE1" w:rsidP="00963408">
            <w:pPr>
              <w:rPr>
                <w:rFonts w:cs="Arial"/>
                <w:sz w:val="18"/>
                <w:szCs w:val="18"/>
              </w:rPr>
            </w:pPr>
            <w:r w:rsidRPr="00C306FA">
              <w:rPr>
                <w:rFonts w:cs="Arial"/>
                <w:sz w:val="18"/>
                <w:szCs w:val="18"/>
              </w:rPr>
              <w:t xml:space="preserve">Long term approach: The service is not time limited and is able to work with people over the longer term. The service does however manage relationships so that long term relationships </w:t>
            </w:r>
            <w:r w:rsidRPr="00C306FA">
              <w:rPr>
                <w:rFonts w:cs="Arial"/>
                <w:sz w:val="18"/>
                <w:szCs w:val="18"/>
              </w:rPr>
              <w:lastRenderedPageBreak/>
              <w:t>do not transition into a long term dependency on the service.</w:t>
            </w:r>
          </w:p>
        </w:tc>
        <w:tc>
          <w:tcPr>
            <w:tcW w:w="1085" w:type="pct"/>
            <w:shd w:val="clear" w:color="auto" w:fill="F7EEF7"/>
          </w:tcPr>
          <w:p w:rsidR="008D2EE1" w:rsidRPr="006F76BA" w:rsidRDefault="008D2EE1" w:rsidP="00963408">
            <w:pPr>
              <w:rPr>
                <w:rFonts w:cs="Arial"/>
                <w:sz w:val="18"/>
                <w:szCs w:val="18"/>
              </w:rPr>
            </w:pPr>
            <w:r w:rsidRPr="003A427B">
              <w:rPr>
                <w:rFonts w:cs="Arial"/>
                <w:sz w:val="18"/>
                <w:szCs w:val="18"/>
              </w:rPr>
              <w:lastRenderedPageBreak/>
              <w:t>Introductions,   as   opposed   to   referrals,   can   derive   from   anywhere: professionals, community members, and individuals.</w:t>
            </w:r>
            <w:r>
              <w:rPr>
                <w:rFonts w:cs="Arial"/>
                <w:sz w:val="18"/>
                <w:szCs w:val="18"/>
              </w:rPr>
              <w:t xml:space="preserve"> I</w:t>
            </w:r>
            <w:r w:rsidRPr="003212FA">
              <w:rPr>
                <w:rFonts w:cs="Arial"/>
                <w:sz w:val="18"/>
                <w:szCs w:val="18"/>
              </w:rPr>
              <w:t xml:space="preserve">ntroductions  came  from Children’s Services,  GPs,  Inclusion North,  Counsellors,  Community  Support  Officers,  Our  Place Drop In,  Housing,  Local  Links  Trust/ People  Matters,  Police, local  craft  group,  Children  Around  the  Family  (school),  Primary  Mental Health,  Local  Health  Trainer, self  (received  leaflet  from  church), parents, foodbanks,  Adult  Social Care, Seagrove Social Group, </w:t>
            </w:r>
            <w:r w:rsidRPr="003212FA">
              <w:rPr>
                <w:rFonts w:cs="Arial"/>
                <w:sz w:val="18"/>
                <w:szCs w:val="18"/>
              </w:rPr>
              <w:lastRenderedPageBreak/>
              <w:t>Mothers Union Group, or another community members.</w:t>
            </w:r>
          </w:p>
        </w:tc>
        <w:tc>
          <w:tcPr>
            <w:tcW w:w="1227" w:type="pct"/>
            <w:shd w:val="clear" w:color="auto" w:fill="F7EEF7"/>
          </w:tcPr>
          <w:p w:rsidR="008D2EE1" w:rsidRPr="006F76BA" w:rsidRDefault="008D2EE1" w:rsidP="00963408">
            <w:pPr>
              <w:rPr>
                <w:rFonts w:cs="Arial"/>
                <w:sz w:val="18"/>
                <w:szCs w:val="18"/>
              </w:rPr>
            </w:pPr>
            <w:r>
              <w:rPr>
                <w:rFonts w:cs="Arial"/>
                <w:sz w:val="18"/>
                <w:szCs w:val="18"/>
              </w:rPr>
              <w:lastRenderedPageBreak/>
              <w:t>R</w:t>
            </w:r>
            <w:r w:rsidRPr="00F8648D">
              <w:rPr>
                <w:rFonts w:cs="Arial"/>
                <w:sz w:val="18"/>
                <w:szCs w:val="18"/>
              </w:rPr>
              <w:t>easons  for  introductions;  a selection  of  reasons being child  protection/drugs/anger/school;  isolation;</w:t>
            </w:r>
            <w:r>
              <w:rPr>
                <w:rFonts w:cs="Arial"/>
                <w:sz w:val="18"/>
                <w:szCs w:val="18"/>
              </w:rPr>
              <w:t xml:space="preserve"> </w:t>
            </w:r>
            <w:r w:rsidRPr="00F8648D">
              <w:rPr>
                <w:rFonts w:cs="Arial"/>
                <w:sz w:val="18"/>
                <w:szCs w:val="18"/>
              </w:rPr>
              <w:t>frequent  GP  visits; learning/health  disabilities; falls  and  problems  getting  support; police  involvement; mental  health problems; not  managing  at  home; separation; cancer; fear  of  falling, recently  diagnosed  with multiple-sclerosis; homeless; carer struggling and respite needed.</w:t>
            </w:r>
          </w:p>
        </w:tc>
        <w:tc>
          <w:tcPr>
            <w:tcW w:w="755" w:type="pct"/>
            <w:shd w:val="clear" w:color="auto" w:fill="F7EEF7"/>
          </w:tcPr>
          <w:p w:rsidR="008D2EE1" w:rsidRPr="006F76BA" w:rsidRDefault="008D2EE1" w:rsidP="00963408">
            <w:pPr>
              <w:rPr>
                <w:rFonts w:cs="Arial"/>
                <w:sz w:val="18"/>
                <w:szCs w:val="18"/>
              </w:rPr>
            </w:pPr>
            <w:r>
              <w:rPr>
                <w:rFonts w:cs="Arial"/>
                <w:sz w:val="18"/>
                <w:szCs w:val="18"/>
              </w:rPr>
              <w:t>N/A</w:t>
            </w:r>
          </w:p>
        </w:tc>
        <w:tc>
          <w:tcPr>
            <w:tcW w:w="566" w:type="pct"/>
            <w:shd w:val="clear" w:color="auto" w:fill="F7EEF7"/>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tcPr>
          <w:p w:rsidR="008D2EE1" w:rsidRPr="006F76BA" w:rsidRDefault="008D2EE1" w:rsidP="00963408">
            <w:pPr>
              <w:rPr>
                <w:rFonts w:eastAsia="Calibri" w:cs="Arial"/>
                <w:sz w:val="18"/>
                <w:szCs w:val="18"/>
              </w:rPr>
            </w:pPr>
            <w:r w:rsidRPr="006F76BA">
              <w:rPr>
                <w:rFonts w:eastAsia="Calibri" w:cs="Arial"/>
                <w:sz w:val="18"/>
                <w:szCs w:val="18"/>
              </w:rPr>
              <w:t>Mason et al. 2019</w:t>
            </w:r>
          </w:p>
        </w:tc>
        <w:tc>
          <w:tcPr>
            <w:tcW w:w="898" w:type="pct"/>
          </w:tcPr>
          <w:p w:rsidR="008D2EE1" w:rsidRPr="006F76BA" w:rsidRDefault="008D2EE1" w:rsidP="00963408">
            <w:pPr>
              <w:rPr>
                <w:rFonts w:cs="Arial"/>
                <w:sz w:val="18"/>
                <w:szCs w:val="18"/>
              </w:rPr>
            </w:pPr>
            <w:r w:rsidRPr="0007148E">
              <w:rPr>
                <w:rFonts w:cs="Arial"/>
                <w:sz w:val="18"/>
                <w:szCs w:val="18"/>
              </w:rPr>
              <w:t>The findings of the evaluation established</w:t>
            </w:r>
            <w:r>
              <w:rPr>
                <w:rFonts w:cs="Arial"/>
                <w:sz w:val="18"/>
                <w:szCs w:val="18"/>
              </w:rPr>
              <w:t xml:space="preserve"> that listening, trust and time </w:t>
            </w:r>
            <w:r w:rsidRPr="0007148E">
              <w:rPr>
                <w:rFonts w:cs="Arial"/>
                <w:sz w:val="18"/>
                <w:szCs w:val="18"/>
              </w:rPr>
              <w:t>were consistent across th</w:t>
            </w:r>
            <w:r>
              <w:rPr>
                <w:rFonts w:cs="Arial"/>
                <w:sz w:val="18"/>
                <w:szCs w:val="18"/>
              </w:rPr>
              <w:t>e three Local Area Coordinators.</w:t>
            </w:r>
          </w:p>
        </w:tc>
        <w:tc>
          <w:tcPr>
            <w:tcW w:w="1085" w:type="pct"/>
          </w:tcPr>
          <w:p w:rsidR="008D2EE1" w:rsidRPr="006F76BA" w:rsidRDefault="008D2EE1" w:rsidP="00963408">
            <w:pPr>
              <w:rPr>
                <w:rFonts w:cs="Arial"/>
                <w:sz w:val="18"/>
                <w:szCs w:val="18"/>
              </w:rPr>
            </w:pPr>
            <w:r>
              <w:rPr>
                <w:rFonts w:cs="Arial"/>
                <w:sz w:val="18"/>
                <w:szCs w:val="18"/>
              </w:rPr>
              <w:t>I</w:t>
            </w:r>
            <w:r w:rsidRPr="003C5965">
              <w:rPr>
                <w:rFonts w:cs="Arial"/>
                <w:sz w:val="18"/>
                <w:szCs w:val="18"/>
              </w:rPr>
              <w:t xml:space="preserve">ntroductions to LAC </w:t>
            </w:r>
            <w:r>
              <w:rPr>
                <w:rFonts w:cs="Arial"/>
                <w:sz w:val="18"/>
                <w:szCs w:val="18"/>
              </w:rPr>
              <w:t xml:space="preserve">came from a variety of methods </w:t>
            </w:r>
            <w:r w:rsidRPr="003C5965">
              <w:rPr>
                <w:rFonts w:cs="Arial"/>
                <w:sz w:val="18"/>
                <w:szCs w:val="18"/>
              </w:rPr>
              <w:t>self-introductions, being approached by the Coordinator, conversations with people in the doctor’s surgery waiting room, with  family  members,  with  health  advisors,  with  people  at  the  food  bank  and through  the  services  (not  specified).</w:t>
            </w:r>
          </w:p>
        </w:tc>
        <w:tc>
          <w:tcPr>
            <w:tcW w:w="1227" w:type="pct"/>
          </w:tcPr>
          <w:p w:rsidR="008D2EE1" w:rsidRPr="006F76BA" w:rsidRDefault="008D2EE1" w:rsidP="00963408">
            <w:pPr>
              <w:rPr>
                <w:rFonts w:cs="Arial"/>
                <w:sz w:val="18"/>
                <w:szCs w:val="18"/>
              </w:rPr>
            </w:pPr>
            <w:r>
              <w:rPr>
                <w:rFonts w:cs="Arial"/>
                <w:sz w:val="18"/>
                <w:szCs w:val="18"/>
              </w:rPr>
              <w:t>N/A</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shd w:val="clear" w:color="auto" w:fill="F7EEF7"/>
          </w:tcPr>
          <w:p w:rsidR="008D2EE1" w:rsidRPr="006F76BA" w:rsidRDefault="008D2EE1" w:rsidP="00963408">
            <w:pPr>
              <w:rPr>
                <w:rFonts w:eastAsia="Calibri" w:cs="Arial"/>
                <w:sz w:val="18"/>
                <w:szCs w:val="18"/>
              </w:rPr>
            </w:pPr>
            <w:r w:rsidRPr="006F76BA">
              <w:rPr>
                <w:rFonts w:eastAsia="Calibri" w:cs="Arial"/>
                <w:sz w:val="18"/>
                <w:szCs w:val="18"/>
              </w:rPr>
              <w:t>Forshaw et al. 2016</w:t>
            </w:r>
          </w:p>
        </w:tc>
        <w:tc>
          <w:tcPr>
            <w:tcW w:w="898" w:type="pct"/>
            <w:shd w:val="clear" w:color="auto" w:fill="F7EEF7"/>
          </w:tcPr>
          <w:p w:rsidR="008D2EE1" w:rsidRPr="006F76BA" w:rsidRDefault="008D2EE1" w:rsidP="00963408">
            <w:pPr>
              <w:rPr>
                <w:rFonts w:cs="Arial"/>
                <w:sz w:val="18"/>
                <w:szCs w:val="18"/>
              </w:rPr>
            </w:pPr>
            <w:r>
              <w:rPr>
                <w:rFonts w:cs="Arial"/>
                <w:sz w:val="18"/>
                <w:szCs w:val="18"/>
              </w:rPr>
              <w:t>N/A</w:t>
            </w:r>
          </w:p>
        </w:tc>
        <w:tc>
          <w:tcPr>
            <w:tcW w:w="1085" w:type="pct"/>
            <w:shd w:val="clear" w:color="auto" w:fill="F7EEF7"/>
          </w:tcPr>
          <w:p w:rsidR="008D2EE1" w:rsidRPr="006F76BA" w:rsidRDefault="008D2EE1" w:rsidP="00963408">
            <w:pPr>
              <w:rPr>
                <w:rFonts w:cs="Arial"/>
                <w:sz w:val="18"/>
                <w:szCs w:val="18"/>
              </w:rPr>
            </w:pPr>
            <w:r>
              <w:rPr>
                <w:rFonts w:cs="Arial"/>
                <w:sz w:val="18"/>
                <w:szCs w:val="18"/>
              </w:rPr>
              <w:t>N/A</w:t>
            </w:r>
          </w:p>
        </w:tc>
        <w:tc>
          <w:tcPr>
            <w:tcW w:w="1227" w:type="pct"/>
            <w:shd w:val="clear" w:color="auto" w:fill="F7EEF7"/>
          </w:tcPr>
          <w:p w:rsidR="008D2EE1" w:rsidRPr="006F76BA" w:rsidRDefault="008D2EE1" w:rsidP="00963408">
            <w:pPr>
              <w:rPr>
                <w:rFonts w:cs="Arial"/>
                <w:sz w:val="18"/>
                <w:szCs w:val="18"/>
              </w:rPr>
            </w:pPr>
            <w:r>
              <w:rPr>
                <w:rFonts w:cs="Arial"/>
                <w:sz w:val="18"/>
                <w:szCs w:val="18"/>
              </w:rPr>
              <w:t xml:space="preserve">Reasons for accessing LAC: </w:t>
            </w:r>
            <w:r w:rsidRPr="00280E5F">
              <w:rPr>
                <w:rFonts w:cs="Arial"/>
                <w:sz w:val="18"/>
                <w:szCs w:val="18"/>
              </w:rPr>
              <w:t>mental health and wellbeing</w:t>
            </w:r>
            <w:r>
              <w:rPr>
                <w:rFonts w:cs="Arial"/>
                <w:sz w:val="18"/>
                <w:szCs w:val="18"/>
              </w:rPr>
              <w:t xml:space="preserve">, </w:t>
            </w:r>
            <w:r w:rsidRPr="00280E5F">
              <w:rPr>
                <w:rFonts w:cs="Arial"/>
                <w:sz w:val="18"/>
                <w:szCs w:val="18"/>
              </w:rPr>
              <w:t>community contacts</w:t>
            </w:r>
            <w:r>
              <w:rPr>
                <w:rFonts w:cs="Arial"/>
                <w:sz w:val="18"/>
                <w:szCs w:val="18"/>
              </w:rPr>
              <w:t xml:space="preserve">, </w:t>
            </w:r>
            <w:r w:rsidRPr="00280E5F">
              <w:rPr>
                <w:rFonts w:cs="Arial"/>
                <w:sz w:val="18"/>
                <w:szCs w:val="18"/>
              </w:rPr>
              <w:t>social interactions / reduced social isolation</w:t>
            </w:r>
            <w:r>
              <w:rPr>
                <w:rFonts w:cs="Arial"/>
                <w:sz w:val="18"/>
                <w:szCs w:val="18"/>
              </w:rPr>
              <w:t>, e</w:t>
            </w:r>
            <w:r w:rsidRPr="00280E5F">
              <w:rPr>
                <w:rFonts w:cs="Arial"/>
                <w:sz w:val="18"/>
                <w:szCs w:val="18"/>
              </w:rPr>
              <w:t>arlier positive preventative action</w:t>
            </w:r>
            <w:r>
              <w:rPr>
                <w:rFonts w:cs="Arial"/>
                <w:sz w:val="18"/>
                <w:szCs w:val="18"/>
              </w:rPr>
              <w:t xml:space="preserve"> </w:t>
            </w:r>
            <w:r w:rsidRPr="00280E5F">
              <w:rPr>
                <w:rFonts w:cs="Arial"/>
                <w:sz w:val="18"/>
                <w:szCs w:val="18"/>
              </w:rPr>
              <w:t>(e.g. when increased use of services is a positive in terms of  subsequent  cost  savings –</w:t>
            </w:r>
            <w:r>
              <w:rPr>
                <w:rFonts w:cs="Arial"/>
                <w:sz w:val="18"/>
                <w:szCs w:val="18"/>
              </w:rPr>
              <w:t xml:space="preserve"> </w:t>
            </w:r>
            <w:r w:rsidRPr="00280E5F">
              <w:rPr>
                <w:rFonts w:cs="Arial"/>
                <w:sz w:val="18"/>
                <w:szCs w:val="18"/>
              </w:rPr>
              <w:t>for  instance  visiting  the  GP  at  a  timely  point)  for instance correctly taking medication, falls prevention, home adaptations, heating installation, supported referral to Complex Mental Health Team, care package being put in place, support to move into sheltered accommodation</w:t>
            </w:r>
            <w:r>
              <w:rPr>
                <w:rFonts w:cs="Arial"/>
                <w:sz w:val="18"/>
                <w:szCs w:val="18"/>
              </w:rPr>
              <w:t xml:space="preserve">, </w:t>
            </w:r>
            <w:r w:rsidRPr="00280E5F">
              <w:rPr>
                <w:rFonts w:cs="Arial"/>
                <w:sz w:val="18"/>
                <w:szCs w:val="18"/>
              </w:rPr>
              <w:t>building individual capacity</w:t>
            </w:r>
            <w:r>
              <w:rPr>
                <w:rFonts w:cs="Arial"/>
                <w:sz w:val="18"/>
                <w:szCs w:val="18"/>
              </w:rPr>
              <w:t xml:space="preserve">, </w:t>
            </w:r>
            <w:r w:rsidRPr="00280E5F">
              <w:rPr>
                <w:rFonts w:cs="Arial"/>
                <w:sz w:val="18"/>
                <w:szCs w:val="18"/>
              </w:rPr>
              <w:t>greater control over life</w:t>
            </w:r>
            <w:r>
              <w:rPr>
                <w:rFonts w:cs="Arial"/>
                <w:sz w:val="18"/>
                <w:szCs w:val="18"/>
              </w:rPr>
              <w:t xml:space="preserve">, </w:t>
            </w:r>
            <w:r w:rsidRPr="00280E5F">
              <w:rPr>
                <w:rFonts w:cs="Arial"/>
                <w:sz w:val="18"/>
                <w:szCs w:val="18"/>
              </w:rPr>
              <w:t>debt / finance issues</w:t>
            </w:r>
            <w:r>
              <w:rPr>
                <w:rFonts w:cs="Arial"/>
                <w:sz w:val="18"/>
                <w:szCs w:val="18"/>
              </w:rPr>
              <w:t xml:space="preserve">, </w:t>
            </w:r>
            <w:r w:rsidRPr="00280E5F">
              <w:rPr>
                <w:rFonts w:cs="Arial"/>
                <w:sz w:val="18"/>
                <w:szCs w:val="18"/>
              </w:rPr>
              <w:t>training / employment / volunteering</w:t>
            </w:r>
            <w:r>
              <w:rPr>
                <w:rFonts w:cs="Arial"/>
                <w:sz w:val="18"/>
                <w:szCs w:val="18"/>
              </w:rPr>
              <w:t xml:space="preserve">, </w:t>
            </w:r>
            <w:r w:rsidRPr="00280E5F">
              <w:rPr>
                <w:rFonts w:cs="Arial"/>
                <w:sz w:val="18"/>
                <w:szCs w:val="18"/>
              </w:rPr>
              <w:t>control over their health</w:t>
            </w:r>
            <w:r>
              <w:rPr>
                <w:rFonts w:cs="Arial"/>
                <w:sz w:val="18"/>
                <w:szCs w:val="18"/>
              </w:rPr>
              <w:t xml:space="preserve">, </w:t>
            </w:r>
            <w:r w:rsidRPr="00280E5F">
              <w:rPr>
                <w:rFonts w:cs="Arial"/>
                <w:sz w:val="18"/>
                <w:szCs w:val="18"/>
              </w:rPr>
              <w:t>be independent at home</w:t>
            </w:r>
            <w:r>
              <w:rPr>
                <w:rFonts w:cs="Arial"/>
                <w:sz w:val="18"/>
                <w:szCs w:val="18"/>
              </w:rPr>
              <w:t xml:space="preserve"> </w:t>
            </w:r>
            <w:r w:rsidRPr="00280E5F">
              <w:rPr>
                <w:rFonts w:cs="Arial"/>
                <w:sz w:val="18"/>
                <w:szCs w:val="18"/>
              </w:rPr>
              <w:t>for longer</w:t>
            </w:r>
            <w:r>
              <w:rPr>
                <w:rFonts w:cs="Arial"/>
                <w:sz w:val="18"/>
                <w:szCs w:val="18"/>
              </w:rPr>
              <w:t xml:space="preserve">, </w:t>
            </w:r>
            <w:r w:rsidRPr="00280E5F">
              <w:rPr>
                <w:rFonts w:cs="Arial"/>
                <w:sz w:val="18"/>
                <w:szCs w:val="18"/>
              </w:rPr>
              <w:t>avoid</w:t>
            </w:r>
            <w:r>
              <w:rPr>
                <w:rFonts w:cs="Arial"/>
                <w:sz w:val="18"/>
                <w:szCs w:val="18"/>
              </w:rPr>
              <w:t xml:space="preserve">ing crisis points </w:t>
            </w:r>
            <w:r w:rsidRPr="00280E5F">
              <w:rPr>
                <w:rFonts w:cs="Arial"/>
                <w:sz w:val="18"/>
                <w:szCs w:val="18"/>
              </w:rPr>
              <w:t>including prevention of hospital</w:t>
            </w:r>
            <w:r>
              <w:rPr>
                <w:rFonts w:cs="Arial"/>
                <w:sz w:val="18"/>
                <w:szCs w:val="18"/>
              </w:rPr>
              <w:t xml:space="preserve"> </w:t>
            </w:r>
            <w:r w:rsidRPr="00280E5F">
              <w:rPr>
                <w:rFonts w:cs="Arial"/>
                <w:sz w:val="18"/>
                <w:szCs w:val="18"/>
              </w:rPr>
              <w:t xml:space="preserve">admission due to </w:t>
            </w:r>
            <w:r w:rsidRPr="00280E5F">
              <w:rPr>
                <w:rFonts w:cs="Arial"/>
                <w:sz w:val="18"/>
                <w:szCs w:val="18"/>
              </w:rPr>
              <w:lastRenderedPageBreak/>
              <w:t>potential further falls,  homelessness,  and  via  support  to  access  mental  health  counselling</w:t>
            </w:r>
            <w:r>
              <w:rPr>
                <w:rFonts w:cs="Arial"/>
                <w:sz w:val="18"/>
                <w:szCs w:val="18"/>
              </w:rPr>
              <w:t xml:space="preserve">, </w:t>
            </w:r>
            <w:r w:rsidRPr="00280E5F">
              <w:rPr>
                <w:rFonts w:cs="Arial"/>
                <w:sz w:val="18"/>
                <w:szCs w:val="18"/>
              </w:rPr>
              <w:t>travel independently</w:t>
            </w:r>
            <w:r>
              <w:rPr>
                <w:rFonts w:cs="Arial"/>
                <w:sz w:val="18"/>
                <w:szCs w:val="18"/>
              </w:rPr>
              <w:t xml:space="preserve">, </w:t>
            </w:r>
            <w:r w:rsidRPr="00280E5F">
              <w:rPr>
                <w:rFonts w:cs="Arial"/>
                <w:sz w:val="18"/>
                <w:szCs w:val="18"/>
              </w:rPr>
              <w:t>eviction</w:t>
            </w:r>
            <w:r>
              <w:rPr>
                <w:rFonts w:cs="Arial"/>
                <w:sz w:val="18"/>
                <w:szCs w:val="18"/>
              </w:rPr>
              <w:t xml:space="preserve"> </w:t>
            </w:r>
            <w:r w:rsidRPr="00280E5F">
              <w:rPr>
                <w:rFonts w:cs="Arial"/>
                <w:sz w:val="18"/>
                <w:szCs w:val="18"/>
              </w:rPr>
              <w:t>for financial reasons</w:t>
            </w:r>
            <w:r>
              <w:rPr>
                <w:rFonts w:cs="Arial"/>
                <w:sz w:val="18"/>
                <w:szCs w:val="18"/>
              </w:rPr>
              <w:t xml:space="preserve">, </w:t>
            </w:r>
            <w:r w:rsidRPr="00280E5F">
              <w:rPr>
                <w:rFonts w:cs="Arial"/>
                <w:sz w:val="18"/>
                <w:szCs w:val="18"/>
              </w:rPr>
              <w:t>clutter/hoarding</w:t>
            </w:r>
            <w:r>
              <w:rPr>
                <w:rFonts w:cs="Arial"/>
                <w:sz w:val="18"/>
                <w:szCs w:val="18"/>
              </w:rPr>
              <w:t xml:space="preserve"> </w:t>
            </w:r>
            <w:r w:rsidRPr="00280E5F">
              <w:rPr>
                <w:rFonts w:cs="Arial"/>
                <w:sz w:val="18"/>
                <w:szCs w:val="18"/>
              </w:rPr>
              <w:t xml:space="preserve">and  fire  risk </w:t>
            </w:r>
          </w:p>
        </w:tc>
        <w:tc>
          <w:tcPr>
            <w:tcW w:w="755" w:type="pct"/>
            <w:shd w:val="clear" w:color="auto" w:fill="F7EEF7"/>
          </w:tcPr>
          <w:p w:rsidR="008D2EE1" w:rsidRPr="006F76BA" w:rsidRDefault="008D2EE1" w:rsidP="00963408">
            <w:pPr>
              <w:rPr>
                <w:rFonts w:cs="Arial"/>
                <w:sz w:val="18"/>
                <w:szCs w:val="18"/>
              </w:rPr>
            </w:pPr>
            <w:r>
              <w:rPr>
                <w:rFonts w:cs="Arial"/>
                <w:sz w:val="18"/>
                <w:szCs w:val="18"/>
              </w:rPr>
              <w:lastRenderedPageBreak/>
              <w:t>N/A</w:t>
            </w:r>
          </w:p>
        </w:tc>
        <w:tc>
          <w:tcPr>
            <w:tcW w:w="566" w:type="pct"/>
            <w:shd w:val="clear" w:color="auto" w:fill="F7EEF7"/>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tcPr>
          <w:p w:rsidR="008D2EE1" w:rsidRPr="006F76BA" w:rsidRDefault="008D2EE1" w:rsidP="00963408">
            <w:pPr>
              <w:rPr>
                <w:rFonts w:eastAsia="Calibri" w:cs="Arial"/>
                <w:sz w:val="18"/>
                <w:szCs w:val="18"/>
              </w:rPr>
            </w:pPr>
            <w:r w:rsidRPr="006F76BA">
              <w:rPr>
                <w:rFonts w:eastAsia="Calibri" w:cs="Arial"/>
                <w:sz w:val="18"/>
                <w:szCs w:val="18"/>
              </w:rPr>
              <w:t>Swansea University, 2016</w:t>
            </w:r>
          </w:p>
        </w:tc>
        <w:tc>
          <w:tcPr>
            <w:tcW w:w="898" w:type="pct"/>
          </w:tcPr>
          <w:p w:rsidR="008D2EE1" w:rsidRPr="006F76BA" w:rsidRDefault="008D2EE1" w:rsidP="00963408">
            <w:pPr>
              <w:rPr>
                <w:rFonts w:cs="Arial"/>
                <w:sz w:val="18"/>
                <w:szCs w:val="18"/>
              </w:rPr>
            </w:pPr>
            <w:r w:rsidRPr="00DE2A54">
              <w:rPr>
                <w:rFonts w:cs="Arial"/>
                <w:sz w:val="18"/>
                <w:szCs w:val="18"/>
              </w:rPr>
              <w:t xml:space="preserve">Interventions are not time-bound.  There  </w:t>
            </w:r>
            <w:r>
              <w:rPr>
                <w:rFonts w:cs="Arial"/>
                <w:sz w:val="18"/>
                <w:szCs w:val="18"/>
              </w:rPr>
              <w:t>wa</w:t>
            </w:r>
            <w:r w:rsidRPr="00DE2A54">
              <w:rPr>
                <w:rFonts w:cs="Arial"/>
                <w:sz w:val="18"/>
                <w:szCs w:val="18"/>
              </w:rPr>
              <w:t>s  an  emphasis  on  nurturing  trusting  and  supportive  relationships  with  individuals  and families which can take time to develop, building reliance and supportive connections to reduce the risk of future crisis and service dependency.</w:t>
            </w:r>
          </w:p>
        </w:tc>
        <w:tc>
          <w:tcPr>
            <w:tcW w:w="1085" w:type="pct"/>
          </w:tcPr>
          <w:p w:rsidR="008D2EE1" w:rsidRPr="006F76BA" w:rsidRDefault="008D2EE1" w:rsidP="00963408">
            <w:pPr>
              <w:rPr>
                <w:rFonts w:cs="Arial"/>
                <w:sz w:val="18"/>
                <w:szCs w:val="18"/>
              </w:rPr>
            </w:pPr>
            <w:r>
              <w:rPr>
                <w:rFonts w:cs="Arial"/>
                <w:sz w:val="18"/>
                <w:szCs w:val="18"/>
              </w:rPr>
              <w:t>N/A</w:t>
            </w:r>
          </w:p>
        </w:tc>
        <w:tc>
          <w:tcPr>
            <w:tcW w:w="1227" w:type="pct"/>
          </w:tcPr>
          <w:p w:rsidR="008D2EE1" w:rsidRPr="006F76BA" w:rsidRDefault="008D2EE1" w:rsidP="00963408">
            <w:pPr>
              <w:rPr>
                <w:rFonts w:cs="Arial"/>
                <w:sz w:val="18"/>
                <w:szCs w:val="18"/>
              </w:rPr>
            </w:pPr>
            <w:r>
              <w:rPr>
                <w:rFonts w:cs="Arial"/>
                <w:sz w:val="18"/>
                <w:szCs w:val="18"/>
              </w:rPr>
              <w:t>Reasons for accessing LAC i</w:t>
            </w:r>
            <w:r w:rsidRPr="00234777">
              <w:rPr>
                <w:rFonts w:cs="Arial"/>
                <w:sz w:val="18"/>
                <w:szCs w:val="18"/>
              </w:rPr>
              <w:t>solation, mental health</w:t>
            </w:r>
            <w:r>
              <w:rPr>
                <w:rFonts w:cs="Arial"/>
                <w:sz w:val="18"/>
                <w:szCs w:val="18"/>
              </w:rPr>
              <w:t>, o</w:t>
            </w:r>
            <w:r w:rsidRPr="00234777">
              <w:rPr>
                <w:rFonts w:cs="Arial"/>
                <w:sz w:val="18"/>
                <w:szCs w:val="18"/>
              </w:rPr>
              <w:t>lder age</w:t>
            </w:r>
            <w:r>
              <w:rPr>
                <w:rFonts w:cs="Arial"/>
                <w:sz w:val="18"/>
                <w:szCs w:val="18"/>
              </w:rPr>
              <w:t>, l</w:t>
            </w:r>
            <w:r w:rsidRPr="00234777">
              <w:rPr>
                <w:rFonts w:cs="Arial"/>
                <w:sz w:val="18"/>
                <w:szCs w:val="18"/>
              </w:rPr>
              <w:t>oneliness</w:t>
            </w:r>
            <w:r>
              <w:rPr>
                <w:rFonts w:cs="Arial"/>
                <w:sz w:val="18"/>
                <w:szCs w:val="18"/>
              </w:rPr>
              <w:t xml:space="preserve">, </w:t>
            </w:r>
            <w:r w:rsidRPr="00234777">
              <w:rPr>
                <w:rFonts w:cs="Arial"/>
                <w:sz w:val="18"/>
                <w:szCs w:val="18"/>
              </w:rPr>
              <w:t>isolation</w:t>
            </w:r>
            <w:r>
              <w:rPr>
                <w:rFonts w:cs="Arial"/>
                <w:sz w:val="18"/>
                <w:szCs w:val="18"/>
              </w:rPr>
              <w:t xml:space="preserve">, </w:t>
            </w:r>
            <w:r w:rsidRPr="00234777">
              <w:rPr>
                <w:rFonts w:cs="Arial"/>
                <w:sz w:val="18"/>
                <w:szCs w:val="18"/>
              </w:rPr>
              <w:t>physical and mental health</w:t>
            </w:r>
            <w:r>
              <w:rPr>
                <w:rFonts w:cs="Arial"/>
                <w:sz w:val="18"/>
                <w:szCs w:val="18"/>
              </w:rPr>
              <w:t xml:space="preserve">, </w:t>
            </w:r>
            <w:r w:rsidRPr="00234777">
              <w:rPr>
                <w:rFonts w:cs="Arial"/>
                <w:sz w:val="18"/>
                <w:szCs w:val="18"/>
              </w:rPr>
              <w:t>cases involving multiple issues.</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shd w:val="clear" w:color="auto" w:fill="F7EEF7"/>
          </w:tcPr>
          <w:p w:rsidR="008D2EE1" w:rsidRPr="006F76BA" w:rsidRDefault="008D2EE1" w:rsidP="00963408">
            <w:pPr>
              <w:rPr>
                <w:rFonts w:eastAsia="Calibri" w:cs="Arial"/>
                <w:sz w:val="18"/>
                <w:szCs w:val="18"/>
              </w:rPr>
            </w:pPr>
            <w:r w:rsidRPr="006F76BA">
              <w:rPr>
                <w:rFonts w:eastAsia="Calibri" w:cs="Arial"/>
                <w:sz w:val="18"/>
                <w:szCs w:val="18"/>
              </w:rPr>
              <w:t>Gamsu and Rippon, 2019</w:t>
            </w:r>
          </w:p>
        </w:tc>
        <w:tc>
          <w:tcPr>
            <w:tcW w:w="898" w:type="pct"/>
            <w:shd w:val="clear" w:color="auto" w:fill="F7EEF7"/>
          </w:tcPr>
          <w:p w:rsidR="008D2EE1" w:rsidRPr="006F76BA" w:rsidRDefault="008D2EE1" w:rsidP="00963408">
            <w:pPr>
              <w:rPr>
                <w:rFonts w:cs="Arial"/>
                <w:sz w:val="18"/>
                <w:szCs w:val="18"/>
              </w:rPr>
            </w:pPr>
            <w:r w:rsidRPr="00676652">
              <w:rPr>
                <w:rFonts w:cs="Arial"/>
                <w:sz w:val="18"/>
                <w:szCs w:val="18"/>
              </w:rPr>
              <w:t>LAC</w:t>
            </w:r>
            <w:r>
              <w:rPr>
                <w:rFonts w:cs="Arial"/>
                <w:sz w:val="18"/>
                <w:szCs w:val="18"/>
              </w:rPr>
              <w:t>s were seen as</w:t>
            </w:r>
            <w:r w:rsidRPr="00676652">
              <w:rPr>
                <w:rFonts w:cs="Arial"/>
                <w:sz w:val="18"/>
                <w:szCs w:val="18"/>
              </w:rPr>
              <w:t xml:space="preserve"> a “familiar face” at local events and activities; this means that an authentic, trusting and unofficial relationship can develop, often leading these hard to reach residents to approach their LAC for help of their own accord.</w:t>
            </w:r>
          </w:p>
        </w:tc>
        <w:tc>
          <w:tcPr>
            <w:tcW w:w="1085" w:type="pct"/>
            <w:shd w:val="clear" w:color="auto" w:fill="F7EEF7"/>
          </w:tcPr>
          <w:p w:rsidR="008D2EE1" w:rsidRPr="006F76BA" w:rsidRDefault="008D2EE1" w:rsidP="00963408">
            <w:pPr>
              <w:rPr>
                <w:rFonts w:cs="Arial"/>
                <w:sz w:val="18"/>
                <w:szCs w:val="18"/>
              </w:rPr>
            </w:pPr>
            <w:r w:rsidRPr="0069394E">
              <w:rPr>
                <w:rFonts w:cs="Arial"/>
                <w:sz w:val="18"/>
                <w:szCs w:val="18"/>
              </w:rPr>
              <w:t>Most  introductions  are  self</w:t>
            </w:r>
            <w:r>
              <w:rPr>
                <w:rFonts w:cs="Arial"/>
                <w:sz w:val="18"/>
                <w:szCs w:val="18"/>
              </w:rPr>
              <w:t>-</w:t>
            </w:r>
            <w:r w:rsidRPr="0069394E">
              <w:rPr>
                <w:rFonts w:cs="Arial"/>
                <w:sz w:val="18"/>
                <w:szCs w:val="18"/>
              </w:rPr>
              <w:t>introductions</w:t>
            </w:r>
            <w:r>
              <w:rPr>
                <w:rFonts w:cs="Arial"/>
                <w:sz w:val="18"/>
                <w:szCs w:val="18"/>
              </w:rPr>
              <w:t xml:space="preserve">, with a </w:t>
            </w:r>
            <w:r w:rsidRPr="0069394E">
              <w:rPr>
                <w:rFonts w:cs="Arial"/>
                <w:sz w:val="18"/>
                <w:szCs w:val="18"/>
              </w:rPr>
              <w:t>proportion  of  introductions  that  are  made  b</w:t>
            </w:r>
            <w:r>
              <w:rPr>
                <w:rFonts w:cs="Arial"/>
                <w:sz w:val="18"/>
                <w:szCs w:val="18"/>
              </w:rPr>
              <w:t>y  statutory  services increased</w:t>
            </w:r>
            <w:r w:rsidRPr="0069394E">
              <w:rPr>
                <w:rFonts w:cs="Arial"/>
                <w:sz w:val="18"/>
                <w:szCs w:val="18"/>
              </w:rPr>
              <w:t xml:space="preserve"> at Level </w:t>
            </w:r>
            <w:r>
              <w:rPr>
                <w:rFonts w:cs="Arial"/>
                <w:sz w:val="18"/>
                <w:szCs w:val="18"/>
              </w:rPr>
              <w:t>2.</w:t>
            </w:r>
          </w:p>
        </w:tc>
        <w:tc>
          <w:tcPr>
            <w:tcW w:w="1227" w:type="pct"/>
            <w:shd w:val="clear" w:color="auto" w:fill="F7EEF7"/>
          </w:tcPr>
          <w:p w:rsidR="008D2EE1" w:rsidRPr="006F76BA" w:rsidRDefault="008D2EE1" w:rsidP="00963408">
            <w:pPr>
              <w:rPr>
                <w:rFonts w:cs="Arial"/>
                <w:sz w:val="18"/>
                <w:szCs w:val="18"/>
              </w:rPr>
            </w:pPr>
            <w:r>
              <w:rPr>
                <w:rFonts w:cs="Arial"/>
                <w:sz w:val="18"/>
                <w:szCs w:val="18"/>
              </w:rPr>
              <w:t>N/A</w:t>
            </w:r>
          </w:p>
        </w:tc>
        <w:tc>
          <w:tcPr>
            <w:tcW w:w="755" w:type="pct"/>
            <w:shd w:val="clear" w:color="auto" w:fill="F7EEF7"/>
          </w:tcPr>
          <w:p w:rsidR="008D2EE1" w:rsidRPr="006F76BA" w:rsidRDefault="008D2EE1" w:rsidP="00963408">
            <w:pPr>
              <w:rPr>
                <w:rFonts w:cs="Arial"/>
                <w:sz w:val="18"/>
                <w:szCs w:val="18"/>
              </w:rPr>
            </w:pPr>
            <w:r>
              <w:rPr>
                <w:rFonts w:cs="Arial"/>
                <w:sz w:val="18"/>
                <w:szCs w:val="18"/>
              </w:rPr>
              <w:t>N/A</w:t>
            </w:r>
          </w:p>
        </w:tc>
        <w:tc>
          <w:tcPr>
            <w:tcW w:w="566" w:type="pct"/>
            <w:shd w:val="clear" w:color="auto" w:fill="F7EEF7"/>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tcPr>
          <w:p w:rsidR="008D2EE1" w:rsidRPr="006F76BA" w:rsidRDefault="008D2EE1" w:rsidP="00963408">
            <w:pPr>
              <w:rPr>
                <w:rFonts w:eastAsia="Calibri" w:cs="Arial"/>
                <w:sz w:val="18"/>
                <w:szCs w:val="18"/>
              </w:rPr>
            </w:pPr>
            <w:r w:rsidRPr="006F76BA">
              <w:rPr>
                <w:rFonts w:eastAsia="Calibri" w:cs="Arial"/>
                <w:sz w:val="18"/>
                <w:szCs w:val="18"/>
              </w:rPr>
              <w:t>Lunt et al. 2018</w:t>
            </w:r>
          </w:p>
        </w:tc>
        <w:tc>
          <w:tcPr>
            <w:tcW w:w="898" w:type="pct"/>
          </w:tcPr>
          <w:p w:rsidR="008D2EE1" w:rsidRPr="006F76BA" w:rsidRDefault="008D2EE1" w:rsidP="00963408">
            <w:pPr>
              <w:rPr>
                <w:rFonts w:cs="Arial"/>
                <w:sz w:val="18"/>
                <w:szCs w:val="18"/>
              </w:rPr>
            </w:pPr>
            <w:r w:rsidRPr="00724E5B">
              <w:rPr>
                <w:rFonts w:cs="Arial"/>
                <w:sz w:val="18"/>
                <w:szCs w:val="18"/>
              </w:rPr>
              <w:t>Knowledge of the local community was</w:t>
            </w:r>
            <w:r>
              <w:rPr>
                <w:rFonts w:cs="Arial"/>
                <w:sz w:val="18"/>
                <w:szCs w:val="18"/>
              </w:rPr>
              <w:t xml:space="preserve"> seen as</w:t>
            </w:r>
            <w:r w:rsidRPr="00724E5B">
              <w:rPr>
                <w:rFonts w:cs="Arial"/>
                <w:sz w:val="18"/>
                <w:szCs w:val="18"/>
              </w:rPr>
              <w:t xml:space="preserve"> a significant benefit.  </w:t>
            </w:r>
          </w:p>
        </w:tc>
        <w:tc>
          <w:tcPr>
            <w:tcW w:w="1085" w:type="pct"/>
          </w:tcPr>
          <w:p w:rsidR="008D2EE1" w:rsidRPr="006F76BA" w:rsidRDefault="008D2EE1" w:rsidP="00963408">
            <w:pPr>
              <w:rPr>
                <w:rFonts w:cs="Arial"/>
                <w:sz w:val="18"/>
                <w:szCs w:val="18"/>
              </w:rPr>
            </w:pPr>
            <w:r>
              <w:rPr>
                <w:rFonts w:cs="Arial"/>
                <w:sz w:val="18"/>
                <w:szCs w:val="18"/>
              </w:rPr>
              <w:t>N/A</w:t>
            </w:r>
          </w:p>
        </w:tc>
        <w:tc>
          <w:tcPr>
            <w:tcW w:w="1227" w:type="pct"/>
          </w:tcPr>
          <w:p w:rsidR="008D2EE1" w:rsidRPr="006F76BA" w:rsidRDefault="008D2EE1" w:rsidP="00963408">
            <w:pPr>
              <w:rPr>
                <w:rFonts w:cs="Arial"/>
                <w:sz w:val="18"/>
                <w:szCs w:val="18"/>
              </w:rPr>
            </w:pPr>
            <w:r>
              <w:rPr>
                <w:rFonts w:cs="Arial"/>
                <w:sz w:val="18"/>
                <w:szCs w:val="18"/>
              </w:rPr>
              <w:t>N/A</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r w:rsidR="008D2EE1" w:rsidRPr="006F76BA" w:rsidTr="007B3C60">
        <w:tc>
          <w:tcPr>
            <w:tcW w:w="470" w:type="pct"/>
            <w:shd w:val="clear" w:color="auto" w:fill="F7EEF7"/>
          </w:tcPr>
          <w:p w:rsidR="008D2EE1" w:rsidRPr="006F76BA" w:rsidRDefault="008D2EE1" w:rsidP="00963408">
            <w:pPr>
              <w:rPr>
                <w:rFonts w:eastAsia="Calibri" w:cs="Arial"/>
                <w:sz w:val="18"/>
                <w:szCs w:val="18"/>
              </w:rPr>
            </w:pPr>
            <w:r w:rsidRPr="006F76BA">
              <w:rPr>
                <w:rFonts w:eastAsia="Calibri" w:cs="Arial"/>
                <w:sz w:val="18"/>
                <w:szCs w:val="18"/>
              </w:rPr>
              <w:t>Lunt and Bainbridge, 2019</w:t>
            </w:r>
          </w:p>
        </w:tc>
        <w:tc>
          <w:tcPr>
            <w:tcW w:w="898" w:type="pct"/>
            <w:shd w:val="clear" w:color="auto" w:fill="F7EEF7"/>
          </w:tcPr>
          <w:p w:rsidR="008D2EE1" w:rsidRPr="006F76BA" w:rsidRDefault="008D2EE1" w:rsidP="00963408">
            <w:pPr>
              <w:rPr>
                <w:rFonts w:cs="Arial"/>
                <w:sz w:val="18"/>
                <w:szCs w:val="18"/>
              </w:rPr>
            </w:pPr>
            <w:r w:rsidRPr="00C726A4">
              <w:rPr>
                <w:rFonts w:cs="Arial"/>
                <w:sz w:val="18"/>
                <w:szCs w:val="18"/>
              </w:rPr>
              <w:t xml:space="preserve">At the heart of the Local Area Coordination approach   is   the   role of Coordinators, who ‘walk </w:t>
            </w:r>
            <w:r w:rsidRPr="00C726A4">
              <w:rPr>
                <w:rFonts w:cs="Arial"/>
                <w:sz w:val="18"/>
                <w:szCs w:val="18"/>
              </w:rPr>
              <w:lastRenderedPageBreak/>
              <w:t xml:space="preserve">alongside’ individuals in their communities.  </w:t>
            </w:r>
          </w:p>
        </w:tc>
        <w:tc>
          <w:tcPr>
            <w:tcW w:w="1085" w:type="pct"/>
            <w:shd w:val="clear" w:color="auto" w:fill="F7EEF7"/>
          </w:tcPr>
          <w:p w:rsidR="008D2EE1" w:rsidRPr="006F76BA" w:rsidRDefault="008D2EE1" w:rsidP="00963408">
            <w:pPr>
              <w:rPr>
                <w:rFonts w:cs="Arial"/>
                <w:sz w:val="18"/>
                <w:szCs w:val="18"/>
              </w:rPr>
            </w:pPr>
            <w:r w:rsidRPr="00695ECE">
              <w:rPr>
                <w:rFonts w:cs="Arial"/>
                <w:sz w:val="18"/>
                <w:szCs w:val="18"/>
              </w:rPr>
              <w:lastRenderedPageBreak/>
              <w:t>Coordinators develop voluntary relations: the language is one of ‘introductions’ and ‘connections’ rather than referral</w:t>
            </w:r>
            <w:r>
              <w:rPr>
                <w:rFonts w:cs="Arial"/>
                <w:sz w:val="18"/>
                <w:szCs w:val="18"/>
              </w:rPr>
              <w:t xml:space="preserve">. </w:t>
            </w:r>
            <w:r w:rsidRPr="00695ECE">
              <w:rPr>
                <w:rFonts w:cs="Arial"/>
                <w:sz w:val="18"/>
                <w:szCs w:val="18"/>
              </w:rPr>
              <w:t xml:space="preserve">The largest </w:t>
            </w:r>
            <w:r w:rsidRPr="00695ECE">
              <w:rPr>
                <w:rFonts w:cs="Arial"/>
                <w:sz w:val="18"/>
                <w:szCs w:val="18"/>
              </w:rPr>
              <w:lastRenderedPageBreak/>
              <w:t>source of introductions are from individuals themselves (19%), Adult Social Care (9%) and Community Centres (7%). Together, these account for just over a third (35%) of total introductions to date. If we focus on Level 2 introductions, these are less likely to be self-introductions and are more likely to  have  been  facilitated  by  Adult  Social  Care,  Community  Mental Health Teams (CMHTs), Housing Associations and Health Visitors.</w:t>
            </w:r>
          </w:p>
        </w:tc>
        <w:tc>
          <w:tcPr>
            <w:tcW w:w="1227" w:type="pct"/>
            <w:shd w:val="clear" w:color="auto" w:fill="F7EEF7"/>
          </w:tcPr>
          <w:p w:rsidR="008D2EE1" w:rsidRPr="006F76BA" w:rsidRDefault="008D2EE1" w:rsidP="00963408">
            <w:pPr>
              <w:rPr>
                <w:rFonts w:cs="Arial"/>
                <w:sz w:val="18"/>
                <w:szCs w:val="18"/>
              </w:rPr>
            </w:pPr>
            <w:r>
              <w:rPr>
                <w:rFonts w:cs="Arial"/>
                <w:sz w:val="18"/>
                <w:szCs w:val="18"/>
              </w:rPr>
              <w:lastRenderedPageBreak/>
              <w:t>N/A</w:t>
            </w:r>
          </w:p>
        </w:tc>
        <w:tc>
          <w:tcPr>
            <w:tcW w:w="755" w:type="pct"/>
            <w:shd w:val="clear" w:color="auto" w:fill="F7EEF7"/>
          </w:tcPr>
          <w:p w:rsidR="008D2EE1" w:rsidRPr="006F76BA" w:rsidRDefault="008D2EE1" w:rsidP="00963408">
            <w:pPr>
              <w:rPr>
                <w:rFonts w:cs="Arial"/>
                <w:sz w:val="18"/>
                <w:szCs w:val="18"/>
              </w:rPr>
            </w:pPr>
            <w:r>
              <w:rPr>
                <w:rFonts w:cs="Arial"/>
                <w:sz w:val="18"/>
                <w:szCs w:val="18"/>
              </w:rPr>
              <w:t xml:space="preserve">It was reported that </w:t>
            </w:r>
            <w:r w:rsidRPr="00AF00C5">
              <w:rPr>
                <w:rFonts w:cs="Arial"/>
                <w:sz w:val="18"/>
                <w:szCs w:val="18"/>
              </w:rPr>
              <w:t xml:space="preserve">the growth and management of caseloads was the </w:t>
            </w:r>
            <w:r w:rsidRPr="00AF00C5">
              <w:rPr>
                <w:rFonts w:cs="Arial"/>
                <w:sz w:val="18"/>
                <w:szCs w:val="18"/>
              </w:rPr>
              <w:lastRenderedPageBreak/>
              <w:t>major concern expressed by Community Stakeholders</w:t>
            </w:r>
            <w:r>
              <w:rPr>
                <w:rFonts w:cs="Arial"/>
                <w:sz w:val="18"/>
                <w:szCs w:val="18"/>
              </w:rPr>
              <w:t>.</w:t>
            </w:r>
          </w:p>
        </w:tc>
        <w:tc>
          <w:tcPr>
            <w:tcW w:w="566" w:type="pct"/>
            <w:shd w:val="clear" w:color="auto" w:fill="F7EEF7"/>
          </w:tcPr>
          <w:p w:rsidR="008D2EE1" w:rsidRPr="006F76BA" w:rsidRDefault="008D2EE1" w:rsidP="00963408">
            <w:pPr>
              <w:rPr>
                <w:rFonts w:cs="Arial"/>
                <w:sz w:val="18"/>
                <w:szCs w:val="18"/>
              </w:rPr>
            </w:pPr>
            <w:r>
              <w:rPr>
                <w:rFonts w:cs="Arial"/>
                <w:sz w:val="18"/>
                <w:szCs w:val="18"/>
              </w:rPr>
              <w:lastRenderedPageBreak/>
              <w:t>N/A</w:t>
            </w:r>
          </w:p>
        </w:tc>
      </w:tr>
      <w:tr w:rsidR="008D2EE1" w:rsidRPr="006F76BA" w:rsidTr="007B3C60">
        <w:tc>
          <w:tcPr>
            <w:tcW w:w="470" w:type="pct"/>
          </w:tcPr>
          <w:p w:rsidR="008D2EE1" w:rsidRPr="006F76BA" w:rsidRDefault="008D2EE1" w:rsidP="00963408">
            <w:pPr>
              <w:rPr>
                <w:rFonts w:eastAsia="Calibri" w:cs="Arial"/>
                <w:sz w:val="18"/>
                <w:szCs w:val="18"/>
              </w:rPr>
            </w:pPr>
            <w:r w:rsidRPr="006F76BA">
              <w:rPr>
                <w:rFonts w:eastAsia="Calibri" w:cs="Arial"/>
                <w:sz w:val="18"/>
                <w:szCs w:val="18"/>
              </w:rPr>
              <w:t>Pike et al. 2016</w:t>
            </w:r>
          </w:p>
        </w:tc>
        <w:tc>
          <w:tcPr>
            <w:tcW w:w="898" w:type="pct"/>
          </w:tcPr>
          <w:p w:rsidR="008D2EE1" w:rsidRPr="006F76BA" w:rsidRDefault="008D2EE1" w:rsidP="00963408">
            <w:pPr>
              <w:rPr>
                <w:rFonts w:cs="Arial"/>
                <w:sz w:val="18"/>
                <w:szCs w:val="18"/>
              </w:rPr>
            </w:pPr>
            <w:r>
              <w:rPr>
                <w:rFonts w:cs="Arial"/>
                <w:sz w:val="18"/>
                <w:szCs w:val="18"/>
              </w:rPr>
              <w:t>N/A</w:t>
            </w:r>
          </w:p>
        </w:tc>
        <w:tc>
          <w:tcPr>
            <w:tcW w:w="1085" w:type="pct"/>
          </w:tcPr>
          <w:p w:rsidR="008D2EE1" w:rsidRPr="006F76BA" w:rsidRDefault="008D2EE1" w:rsidP="00963408">
            <w:pPr>
              <w:rPr>
                <w:rFonts w:cs="Arial"/>
                <w:sz w:val="18"/>
                <w:szCs w:val="18"/>
              </w:rPr>
            </w:pPr>
            <w:r>
              <w:rPr>
                <w:rFonts w:cs="Arial"/>
                <w:sz w:val="18"/>
                <w:szCs w:val="18"/>
              </w:rPr>
              <w:t>N/A</w:t>
            </w:r>
          </w:p>
        </w:tc>
        <w:tc>
          <w:tcPr>
            <w:tcW w:w="1227" w:type="pct"/>
          </w:tcPr>
          <w:p w:rsidR="008D2EE1" w:rsidRPr="006F76BA" w:rsidRDefault="008D2EE1" w:rsidP="00963408">
            <w:pPr>
              <w:rPr>
                <w:rFonts w:cs="Arial"/>
                <w:sz w:val="18"/>
                <w:szCs w:val="18"/>
              </w:rPr>
            </w:pPr>
            <w:r>
              <w:rPr>
                <w:rFonts w:cs="Arial"/>
                <w:sz w:val="18"/>
                <w:szCs w:val="18"/>
              </w:rPr>
              <w:t>N/A</w:t>
            </w:r>
          </w:p>
        </w:tc>
        <w:tc>
          <w:tcPr>
            <w:tcW w:w="755" w:type="pct"/>
          </w:tcPr>
          <w:p w:rsidR="008D2EE1" w:rsidRPr="006F76BA" w:rsidRDefault="008D2EE1" w:rsidP="00963408">
            <w:pPr>
              <w:rPr>
                <w:rFonts w:cs="Arial"/>
                <w:sz w:val="18"/>
                <w:szCs w:val="18"/>
              </w:rPr>
            </w:pPr>
            <w:r>
              <w:rPr>
                <w:rFonts w:cs="Arial"/>
                <w:sz w:val="18"/>
                <w:szCs w:val="18"/>
              </w:rPr>
              <w:t>N/A</w:t>
            </w:r>
          </w:p>
        </w:tc>
        <w:tc>
          <w:tcPr>
            <w:tcW w:w="566" w:type="pct"/>
          </w:tcPr>
          <w:p w:rsidR="008D2EE1" w:rsidRPr="006F76BA" w:rsidRDefault="008D2EE1" w:rsidP="00963408">
            <w:pPr>
              <w:rPr>
                <w:rFonts w:cs="Arial"/>
                <w:sz w:val="18"/>
                <w:szCs w:val="18"/>
              </w:rPr>
            </w:pPr>
            <w:r>
              <w:rPr>
                <w:rFonts w:cs="Arial"/>
                <w:sz w:val="18"/>
                <w:szCs w:val="18"/>
              </w:rPr>
              <w:t>N/A</w:t>
            </w:r>
          </w:p>
        </w:tc>
      </w:tr>
    </w:tbl>
    <w:p w:rsidR="00590F5F" w:rsidRDefault="00590F5F" w:rsidP="00590F5F">
      <w:pPr>
        <w:sectPr w:rsidR="00590F5F" w:rsidSect="00590F5F">
          <w:footerReference w:type="default" r:id="rId44"/>
          <w:footerReference w:type="first" r:id="rId45"/>
          <w:pgSz w:w="16838" w:h="11906" w:orient="landscape"/>
          <w:pgMar w:top="1440" w:right="1440" w:bottom="1440" w:left="1440" w:header="709" w:footer="0" w:gutter="0"/>
          <w:cols w:space="708"/>
          <w:titlePg/>
          <w:docGrid w:linePitch="360"/>
        </w:sectPr>
      </w:pPr>
    </w:p>
    <w:p w:rsidR="00F91147" w:rsidRPr="005A5EC6" w:rsidRDefault="00590F5F" w:rsidP="00764F5D">
      <w:pPr>
        <w:pStyle w:val="Heading3"/>
        <w:numPr>
          <w:ilvl w:val="0"/>
          <w:numId w:val="0"/>
        </w:numPr>
      </w:pPr>
      <w:bookmarkStart w:id="135" w:name="_Toc65251816"/>
      <w:bookmarkStart w:id="136" w:name="_Ref40699064"/>
      <w:r>
        <w:rPr>
          <w:rFonts w:eastAsia="Calibri"/>
          <w:lang w:val="en-AU" w:eastAsia="en-US"/>
        </w:rPr>
        <w:lastRenderedPageBreak/>
        <w:t xml:space="preserve">Appendix 5: </w:t>
      </w:r>
      <w:r w:rsidR="00764F5D">
        <w:rPr>
          <w:rFonts w:eastAsia="Calibri"/>
          <w:lang w:val="en-AU" w:eastAsia="en-US"/>
        </w:rPr>
        <w:t>Charac</w:t>
      </w:r>
      <w:r w:rsidR="00A92DC1">
        <w:rPr>
          <w:rFonts w:eastAsia="Calibri"/>
          <w:lang w:val="en-AU" w:eastAsia="en-US"/>
        </w:rPr>
        <w:t xml:space="preserve">teristics </w:t>
      </w:r>
      <w:r w:rsidR="00764F5D">
        <w:rPr>
          <w:rFonts w:eastAsia="Calibri"/>
          <w:lang w:val="en-AU" w:eastAsia="en-US"/>
        </w:rPr>
        <w:t>of included studies for Support Coordination</w:t>
      </w:r>
      <w:bookmarkEnd w:id="135"/>
      <w:r w:rsidR="00764F5D">
        <w:rPr>
          <w:rFonts w:eastAsia="Calibri"/>
          <w:lang w:val="en-AU" w:eastAsia="en-US"/>
        </w:rPr>
        <w:t xml:space="preserve"> </w:t>
      </w:r>
      <w:bookmarkEnd w:id="136"/>
    </w:p>
    <w:p w:rsidR="00F91147" w:rsidRPr="00337C8B" w:rsidRDefault="00F91147" w:rsidP="00A826E0">
      <w:pPr>
        <w:pStyle w:val="Heading6"/>
      </w:pPr>
    </w:p>
    <w:tbl>
      <w:tblPr>
        <w:tblStyle w:val="TableGrid"/>
        <w:tblW w:w="9209" w:type="dxa"/>
        <w:tblLook w:val="04A0" w:firstRow="1" w:lastRow="0" w:firstColumn="1" w:lastColumn="0" w:noHBand="0" w:noVBand="1"/>
        <w:tblDescription w:val="Table showing characteristics and Quality Appraisal of included studies for Support Coordination Systematic Review"/>
      </w:tblPr>
      <w:tblGrid>
        <w:gridCol w:w="1941"/>
        <w:gridCol w:w="1943"/>
        <w:gridCol w:w="1882"/>
        <w:gridCol w:w="3443"/>
      </w:tblGrid>
      <w:tr w:rsidR="00F91147" w:rsidRPr="005A5EC6" w:rsidTr="00695AF6">
        <w:trPr>
          <w:tblHeader/>
        </w:trPr>
        <w:tc>
          <w:tcPr>
            <w:tcW w:w="1941" w:type="dxa"/>
          </w:tcPr>
          <w:p w:rsidR="00F91147" w:rsidRPr="00764F5D" w:rsidRDefault="00695AF6" w:rsidP="00A826E0">
            <w:pPr>
              <w:rPr>
                <w:rFonts w:cs="Arial"/>
                <w:sz w:val="20"/>
                <w:szCs w:val="20"/>
              </w:rPr>
            </w:pPr>
            <w:r>
              <w:rPr>
                <w:rFonts w:cs="Arial"/>
                <w:sz w:val="20"/>
                <w:szCs w:val="20"/>
              </w:rPr>
              <w:t>Author</w:t>
            </w:r>
          </w:p>
        </w:tc>
        <w:tc>
          <w:tcPr>
            <w:tcW w:w="1943" w:type="dxa"/>
          </w:tcPr>
          <w:p w:rsidR="00F91147" w:rsidRPr="00764F5D" w:rsidRDefault="00F91147" w:rsidP="00A826E0">
            <w:pPr>
              <w:rPr>
                <w:rFonts w:cs="Arial"/>
                <w:sz w:val="20"/>
                <w:szCs w:val="20"/>
              </w:rPr>
            </w:pPr>
            <w:r w:rsidRPr="00764F5D">
              <w:rPr>
                <w:rFonts w:cs="Arial"/>
                <w:sz w:val="20"/>
                <w:szCs w:val="20"/>
              </w:rPr>
              <w:t>Type of study/ method</w:t>
            </w:r>
          </w:p>
        </w:tc>
        <w:tc>
          <w:tcPr>
            <w:tcW w:w="1882" w:type="dxa"/>
          </w:tcPr>
          <w:p w:rsidR="00F91147" w:rsidRPr="00764F5D" w:rsidRDefault="00F91147" w:rsidP="00A826E0">
            <w:pPr>
              <w:rPr>
                <w:rFonts w:cs="Arial"/>
                <w:sz w:val="20"/>
                <w:szCs w:val="20"/>
              </w:rPr>
            </w:pPr>
            <w:r w:rsidRPr="00764F5D">
              <w:rPr>
                <w:rFonts w:cs="Arial"/>
                <w:sz w:val="20"/>
                <w:szCs w:val="20"/>
              </w:rPr>
              <w:t>Studies included</w:t>
            </w:r>
          </w:p>
        </w:tc>
        <w:tc>
          <w:tcPr>
            <w:tcW w:w="3443" w:type="dxa"/>
          </w:tcPr>
          <w:p w:rsidR="00F91147" w:rsidRPr="00764F5D" w:rsidRDefault="00F91147" w:rsidP="00A826E0">
            <w:pPr>
              <w:rPr>
                <w:rFonts w:cs="Arial"/>
                <w:sz w:val="20"/>
                <w:szCs w:val="20"/>
              </w:rPr>
            </w:pPr>
            <w:r w:rsidRPr="00764F5D">
              <w:rPr>
                <w:rFonts w:cs="Arial"/>
                <w:sz w:val="20"/>
                <w:szCs w:val="20"/>
              </w:rPr>
              <w:t>Participant Characteristics</w:t>
            </w:r>
          </w:p>
        </w:tc>
      </w:tr>
      <w:tr w:rsidR="00F91147" w:rsidRPr="005A5EC6" w:rsidTr="00A826E0">
        <w:tc>
          <w:tcPr>
            <w:tcW w:w="1941" w:type="dxa"/>
          </w:tcPr>
          <w:p w:rsidR="00F91147" w:rsidRPr="00764F5D" w:rsidRDefault="00F91147" w:rsidP="00A826E0">
            <w:pPr>
              <w:rPr>
                <w:rFonts w:cs="Arial"/>
                <w:sz w:val="20"/>
                <w:szCs w:val="20"/>
              </w:rPr>
            </w:pPr>
            <w:r w:rsidRPr="00764F5D">
              <w:rPr>
                <w:rFonts w:cs="Arial"/>
                <w:sz w:val="20"/>
                <w:szCs w:val="20"/>
              </w:rPr>
              <w:t>Fleming (2019)</w:t>
            </w:r>
          </w:p>
        </w:tc>
        <w:tc>
          <w:tcPr>
            <w:tcW w:w="1943" w:type="dxa"/>
          </w:tcPr>
          <w:p w:rsidR="00F91147" w:rsidRPr="00764F5D" w:rsidRDefault="00F91147" w:rsidP="00A826E0">
            <w:pPr>
              <w:rPr>
                <w:rFonts w:cs="Arial"/>
                <w:sz w:val="20"/>
                <w:szCs w:val="20"/>
              </w:rPr>
            </w:pPr>
            <w:r w:rsidRPr="00764F5D">
              <w:rPr>
                <w:rFonts w:cs="Arial"/>
                <w:sz w:val="20"/>
                <w:szCs w:val="20"/>
              </w:rPr>
              <w:t xml:space="preserve">Systematic Review </w:t>
            </w:r>
          </w:p>
        </w:tc>
        <w:tc>
          <w:tcPr>
            <w:tcW w:w="1882" w:type="dxa"/>
          </w:tcPr>
          <w:p w:rsidR="00F91147" w:rsidRPr="00764F5D" w:rsidRDefault="00F91147" w:rsidP="00A826E0">
            <w:pPr>
              <w:rPr>
                <w:rFonts w:eastAsiaTheme="minorHAnsi" w:cs="Arial"/>
                <w:sz w:val="20"/>
                <w:szCs w:val="20"/>
                <w:lang w:val="en-AU"/>
              </w:rPr>
            </w:pPr>
            <w:r w:rsidRPr="00764F5D">
              <w:rPr>
                <w:rFonts w:eastAsiaTheme="minorHAnsi" w:cs="Arial"/>
                <w:sz w:val="20"/>
                <w:szCs w:val="20"/>
                <w:lang w:val="en-AU"/>
              </w:rPr>
              <w:t>73 (4 quantitative studies, 66 qualitative, 3 mixed</w:t>
            </w:r>
            <w:r w:rsidRPr="00764F5D">
              <w:rPr>
                <w:rFonts w:ascii="Cambria Math" w:eastAsiaTheme="minorHAnsi" w:hAnsi="Cambria Math" w:cs="Cambria Math"/>
                <w:sz w:val="20"/>
                <w:szCs w:val="20"/>
                <w:lang w:val="en-AU"/>
              </w:rPr>
              <w:t>‐</w:t>
            </w:r>
            <w:r w:rsidRPr="00764F5D">
              <w:rPr>
                <w:rFonts w:eastAsiaTheme="minorHAnsi" w:cs="Arial"/>
                <w:sz w:val="20"/>
                <w:szCs w:val="20"/>
                <w:lang w:val="en-AU"/>
              </w:rPr>
              <w:t xml:space="preserve">methods) </w:t>
            </w:r>
          </w:p>
          <w:p w:rsidR="00F91147" w:rsidRPr="00764F5D" w:rsidRDefault="00F91147" w:rsidP="00A826E0">
            <w:pPr>
              <w:rPr>
                <w:rFonts w:cs="Arial"/>
                <w:sz w:val="20"/>
                <w:szCs w:val="20"/>
              </w:rPr>
            </w:pPr>
          </w:p>
        </w:tc>
        <w:tc>
          <w:tcPr>
            <w:tcW w:w="3443" w:type="dxa"/>
          </w:tcPr>
          <w:p w:rsidR="00F91147" w:rsidRPr="00764F5D" w:rsidRDefault="00F91147" w:rsidP="00A826E0">
            <w:pPr>
              <w:rPr>
                <w:rFonts w:cs="Arial"/>
                <w:sz w:val="20"/>
                <w:szCs w:val="20"/>
              </w:rPr>
            </w:pPr>
            <w:r w:rsidRPr="00764F5D">
              <w:rPr>
                <w:rFonts w:cs="Arial"/>
                <w:sz w:val="20"/>
                <w:szCs w:val="20"/>
                <w:lang w:val="en-AU"/>
              </w:rPr>
              <w:t>People with disabilities in receipt of individualized funding (data for 14,000 people)</w:t>
            </w:r>
          </w:p>
        </w:tc>
      </w:tr>
      <w:tr w:rsidR="00F91147" w:rsidRPr="005A5EC6" w:rsidTr="00A826E0">
        <w:tc>
          <w:tcPr>
            <w:tcW w:w="1941" w:type="dxa"/>
          </w:tcPr>
          <w:p w:rsidR="00F91147" w:rsidRPr="00764F5D" w:rsidRDefault="00F91147" w:rsidP="00A826E0">
            <w:pPr>
              <w:rPr>
                <w:rFonts w:cs="Arial"/>
                <w:sz w:val="20"/>
                <w:szCs w:val="20"/>
              </w:rPr>
            </w:pPr>
            <w:r w:rsidRPr="00764F5D">
              <w:rPr>
                <w:rFonts w:cs="Arial"/>
                <w:sz w:val="20"/>
                <w:szCs w:val="20"/>
              </w:rPr>
              <w:t>Lakhani (2019)</w:t>
            </w:r>
          </w:p>
        </w:tc>
        <w:tc>
          <w:tcPr>
            <w:tcW w:w="1943" w:type="dxa"/>
          </w:tcPr>
          <w:p w:rsidR="00F91147" w:rsidRPr="00764F5D" w:rsidRDefault="00F91147" w:rsidP="00A826E0">
            <w:pPr>
              <w:rPr>
                <w:rFonts w:cs="Arial"/>
                <w:sz w:val="20"/>
                <w:szCs w:val="20"/>
              </w:rPr>
            </w:pPr>
            <w:r w:rsidRPr="00764F5D">
              <w:rPr>
                <w:rFonts w:cs="Arial"/>
                <w:sz w:val="20"/>
                <w:szCs w:val="20"/>
              </w:rPr>
              <w:t xml:space="preserve">Systematic Review </w:t>
            </w:r>
          </w:p>
        </w:tc>
        <w:tc>
          <w:tcPr>
            <w:tcW w:w="1882" w:type="dxa"/>
          </w:tcPr>
          <w:p w:rsidR="00F91147" w:rsidRPr="00764F5D" w:rsidRDefault="00F91147" w:rsidP="00A826E0">
            <w:pPr>
              <w:rPr>
                <w:rFonts w:cs="Arial"/>
                <w:sz w:val="20"/>
                <w:szCs w:val="20"/>
              </w:rPr>
            </w:pPr>
            <w:r w:rsidRPr="00764F5D">
              <w:rPr>
                <w:rFonts w:cs="Arial"/>
                <w:sz w:val="20"/>
                <w:szCs w:val="20"/>
              </w:rPr>
              <w:t>18 (3 systematic reviews, 12 qualitative, 2 mixed method, 1 cross-sectional)</w:t>
            </w:r>
          </w:p>
        </w:tc>
        <w:tc>
          <w:tcPr>
            <w:tcW w:w="3443" w:type="dxa"/>
          </w:tcPr>
          <w:p w:rsidR="00F91147" w:rsidRPr="00764F5D" w:rsidRDefault="00F91147" w:rsidP="00A826E0">
            <w:pPr>
              <w:rPr>
                <w:rFonts w:cs="Arial"/>
                <w:sz w:val="20"/>
                <w:szCs w:val="20"/>
              </w:rPr>
            </w:pPr>
            <w:r w:rsidRPr="00764F5D">
              <w:rPr>
                <w:rFonts w:cs="Arial"/>
                <w:sz w:val="20"/>
                <w:szCs w:val="20"/>
                <w:lang w:val="en-AU"/>
              </w:rPr>
              <w:t xml:space="preserve">People (or their family/ carers) in receipt of </w:t>
            </w:r>
            <w:r w:rsidRPr="00764F5D">
              <w:rPr>
                <w:rFonts w:cs="Arial"/>
                <w:sz w:val="20"/>
                <w:szCs w:val="20"/>
              </w:rPr>
              <w:t>self-directed disability services and supports</w:t>
            </w:r>
            <w:r w:rsidRPr="00764F5D">
              <w:rPr>
                <w:rFonts w:cs="Arial"/>
                <w:sz w:val="20"/>
                <w:szCs w:val="20"/>
                <w:lang w:val="en-AU"/>
              </w:rPr>
              <w:t xml:space="preserve"> (total number of participants unclear)</w:t>
            </w:r>
          </w:p>
        </w:tc>
      </w:tr>
      <w:tr w:rsidR="00F91147" w:rsidRPr="005A5EC6" w:rsidTr="00A826E0">
        <w:tc>
          <w:tcPr>
            <w:tcW w:w="1941" w:type="dxa"/>
          </w:tcPr>
          <w:p w:rsidR="00F91147" w:rsidRPr="00764F5D" w:rsidRDefault="00F91147" w:rsidP="00A826E0">
            <w:pPr>
              <w:rPr>
                <w:rFonts w:cs="Arial"/>
                <w:sz w:val="20"/>
                <w:szCs w:val="20"/>
              </w:rPr>
            </w:pPr>
            <w:r w:rsidRPr="00764F5D">
              <w:rPr>
                <w:rFonts w:cs="Arial"/>
                <w:bCs/>
                <w:sz w:val="20"/>
                <w:szCs w:val="20"/>
              </w:rPr>
              <w:t>Harry (2017)</w:t>
            </w:r>
          </w:p>
        </w:tc>
        <w:tc>
          <w:tcPr>
            <w:tcW w:w="1943" w:type="dxa"/>
          </w:tcPr>
          <w:p w:rsidR="00F91147" w:rsidRPr="00764F5D" w:rsidRDefault="00F91147" w:rsidP="00A826E0">
            <w:pPr>
              <w:rPr>
                <w:rFonts w:cs="Arial"/>
                <w:bCs/>
                <w:sz w:val="20"/>
                <w:szCs w:val="20"/>
                <w:vertAlign w:val="superscript"/>
              </w:rPr>
            </w:pPr>
            <w:r w:rsidRPr="00764F5D">
              <w:rPr>
                <w:rFonts w:cs="Arial"/>
                <w:bCs/>
                <w:sz w:val="20"/>
                <w:szCs w:val="20"/>
              </w:rPr>
              <w:t>Quantitative (secondary analysis of sub-group data from randomized controlled</w:t>
            </w:r>
          </w:p>
          <w:p w:rsidR="00F91147" w:rsidRPr="00764F5D" w:rsidRDefault="00F91147" w:rsidP="00A826E0">
            <w:pPr>
              <w:rPr>
                <w:rFonts w:cs="Arial"/>
                <w:sz w:val="20"/>
                <w:szCs w:val="20"/>
              </w:rPr>
            </w:pPr>
            <w:r w:rsidRPr="00764F5D">
              <w:rPr>
                <w:rFonts w:cs="Arial"/>
                <w:bCs/>
                <w:sz w:val="20"/>
                <w:szCs w:val="20"/>
              </w:rPr>
              <w:t xml:space="preserve">trial) </w:t>
            </w:r>
          </w:p>
        </w:tc>
        <w:tc>
          <w:tcPr>
            <w:tcW w:w="1882" w:type="dxa"/>
          </w:tcPr>
          <w:p w:rsidR="00F91147" w:rsidRPr="00764F5D" w:rsidRDefault="00F91147" w:rsidP="00A826E0">
            <w:pPr>
              <w:rPr>
                <w:rFonts w:cs="Arial"/>
                <w:sz w:val="20"/>
                <w:szCs w:val="20"/>
              </w:rPr>
            </w:pPr>
            <w:r w:rsidRPr="00764F5D">
              <w:rPr>
                <w:rFonts w:cs="Arial"/>
                <w:sz w:val="20"/>
                <w:szCs w:val="20"/>
              </w:rPr>
              <w:t>N/A</w:t>
            </w:r>
          </w:p>
        </w:tc>
        <w:tc>
          <w:tcPr>
            <w:tcW w:w="3443" w:type="dxa"/>
          </w:tcPr>
          <w:p w:rsidR="00F91147" w:rsidRPr="00764F5D" w:rsidRDefault="00F91147" w:rsidP="00A826E0">
            <w:pPr>
              <w:rPr>
                <w:rFonts w:cs="Arial"/>
                <w:sz w:val="20"/>
                <w:szCs w:val="20"/>
              </w:rPr>
            </w:pPr>
            <w:r w:rsidRPr="00764F5D">
              <w:rPr>
                <w:rFonts w:cs="Arial"/>
                <w:sz w:val="20"/>
                <w:szCs w:val="20"/>
              </w:rPr>
              <w:t>456 participants (or their proxies) aged 18 to 30 randomized to treatment groups with the opportunity to receive Cash and Counseling or control groups eligible for agency-based care (Florida, Arkansas, New Jersey, USA)</w:t>
            </w:r>
          </w:p>
          <w:p w:rsidR="00F91147" w:rsidRPr="00764F5D" w:rsidRDefault="00F91147" w:rsidP="00A826E0">
            <w:pPr>
              <w:rPr>
                <w:rFonts w:cs="Arial"/>
                <w:sz w:val="20"/>
                <w:szCs w:val="20"/>
              </w:rPr>
            </w:pPr>
          </w:p>
        </w:tc>
      </w:tr>
      <w:tr w:rsidR="00F91147" w:rsidRPr="005A5EC6" w:rsidTr="00A826E0">
        <w:tc>
          <w:tcPr>
            <w:tcW w:w="1941" w:type="dxa"/>
          </w:tcPr>
          <w:p w:rsidR="00F91147" w:rsidRPr="00764F5D" w:rsidRDefault="00F91147" w:rsidP="00A826E0">
            <w:pPr>
              <w:rPr>
                <w:rFonts w:cs="Arial"/>
                <w:sz w:val="20"/>
                <w:szCs w:val="20"/>
              </w:rPr>
            </w:pPr>
            <w:r w:rsidRPr="00764F5D">
              <w:rPr>
                <w:rFonts w:cs="Arial"/>
                <w:sz w:val="20"/>
                <w:szCs w:val="20"/>
              </w:rPr>
              <w:t>Bogenschutz (2019)</w:t>
            </w:r>
          </w:p>
        </w:tc>
        <w:tc>
          <w:tcPr>
            <w:tcW w:w="1943" w:type="dxa"/>
          </w:tcPr>
          <w:p w:rsidR="00F91147" w:rsidRPr="00764F5D" w:rsidRDefault="00F91147" w:rsidP="00A826E0">
            <w:pPr>
              <w:rPr>
                <w:rFonts w:cs="Arial"/>
                <w:sz w:val="20"/>
                <w:szCs w:val="20"/>
              </w:rPr>
            </w:pPr>
            <w:r w:rsidRPr="00764F5D">
              <w:rPr>
                <w:rFonts w:cs="Arial"/>
                <w:bCs/>
                <w:sz w:val="20"/>
                <w:szCs w:val="20"/>
              </w:rPr>
              <w:t xml:space="preserve">Qualitative </w:t>
            </w:r>
            <w:r w:rsidRPr="00764F5D">
              <w:rPr>
                <w:rFonts w:cs="Arial"/>
                <w:sz w:val="20"/>
                <w:szCs w:val="20"/>
              </w:rPr>
              <w:t>(online survey and semi-structured interviews and focus groups)</w:t>
            </w:r>
          </w:p>
        </w:tc>
        <w:tc>
          <w:tcPr>
            <w:tcW w:w="1882" w:type="dxa"/>
          </w:tcPr>
          <w:p w:rsidR="00F91147" w:rsidRPr="00764F5D" w:rsidRDefault="00F91147" w:rsidP="00A826E0">
            <w:pPr>
              <w:rPr>
                <w:rFonts w:cs="Arial"/>
                <w:sz w:val="20"/>
                <w:szCs w:val="20"/>
              </w:rPr>
            </w:pPr>
            <w:r w:rsidRPr="00764F5D">
              <w:rPr>
                <w:rFonts w:cs="Arial"/>
                <w:sz w:val="20"/>
                <w:szCs w:val="20"/>
              </w:rPr>
              <w:t>N/A</w:t>
            </w:r>
          </w:p>
        </w:tc>
        <w:tc>
          <w:tcPr>
            <w:tcW w:w="3443" w:type="dxa"/>
          </w:tcPr>
          <w:p w:rsidR="00F91147" w:rsidRPr="00764F5D" w:rsidRDefault="00F91147" w:rsidP="00A826E0">
            <w:pPr>
              <w:rPr>
                <w:rFonts w:cs="Arial"/>
                <w:sz w:val="20"/>
                <w:szCs w:val="20"/>
              </w:rPr>
            </w:pPr>
            <w:r w:rsidRPr="00764F5D">
              <w:rPr>
                <w:rFonts w:cs="Arial"/>
                <w:sz w:val="20"/>
                <w:szCs w:val="20"/>
              </w:rPr>
              <w:t xml:space="preserve">35 service directors, </w:t>
            </w:r>
          </w:p>
          <w:p w:rsidR="00F91147" w:rsidRPr="00764F5D" w:rsidRDefault="00F91147" w:rsidP="00A826E0">
            <w:pPr>
              <w:rPr>
                <w:rFonts w:cs="Arial"/>
                <w:sz w:val="20"/>
                <w:szCs w:val="20"/>
              </w:rPr>
            </w:pPr>
            <w:r w:rsidRPr="00764F5D">
              <w:rPr>
                <w:rFonts w:cs="Arial"/>
                <w:sz w:val="20"/>
                <w:szCs w:val="20"/>
              </w:rPr>
              <w:t xml:space="preserve">113 Case Managers and their supervisors who provided service for individuals with intellectual and developmental disabilities (Virginia, USA) </w:t>
            </w:r>
          </w:p>
        </w:tc>
      </w:tr>
      <w:tr w:rsidR="00F91147" w:rsidRPr="005A5EC6" w:rsidTr="00A826E0">
        <w:tc>
          <w:tcPr>
            <w:tcW w:w="1941" w:type="dxa"/>
          </w:tcPr>
          <w:p w:rsidR="00F91147" w:rsidRPr="00764F5D" w:rsidRDefault="00F91147" w:rsidP="00A826E0">
            <w:pPr>
              <w:rPr>
                <w:rFonts w:cs="Arial"/>
                <w:sz w:val="20"/>
                <w:szCs w:val="20"/>
              </w:rPr>
            </w:pPr>
            <w:r w:rsidRPr="00764F5D">
              <w:rPr>
                <w:rFonts w:cs="Arial"/>
                <w:sz w:val="20"/>
                <w:szCs w:val="20"/>
              </w:rPr>
              <w:t>Collings (2018)</w:t>
            </w:r>
          </w:p>
        </w:tc>
        <w:tc>
          <w:tcPr>
            <w:tcW w:w="1943" w:type="dxa"/>
          </w:tcPr>
          <w:p w:rsidR="00F91147" w:rsidRPr="00764F5D" w:rsidRDefault="00F91147" w:rsidP="00A826E0">
            <w:pPr>
              <w:rPr>
                <w:rFonts w:cs="Arial"/>
                <w:sz w:val="20"/>
                <w:szCs w:val="20"/>
              </w:rPr>
            </w:pPr>
            <w:r w:rsidRPr="00764F5D">
              <w:rPr>
                <w:rFonts w:cs="Arial"/>
                <w:bCs/>
                <w:sz w:val="20"/>
                <w:szCs w:val="20"/>
              </w:rPr>
              <w:t>Qualitative (</w:t>
            </w:r>
            <w:r w:rsidRPr="00764F5D">
              <w:rPr>
                <w:rFonts w:cs="Arial"/>
                <w:sz w:val="20"/>
                <w:szCs w:val="20"/>
              </w:rPr>
              <w:t>focus</w:t>
            </w:r>
          </w:p>
          <w:p w:rsidR="00F91147" w:rsidRPr="00764F5D" w:rsidRDefault="00F91147" w:rsidP="00A826E0">
            <w:pPr>
              <w:rPr>
                <w:rFonts w:cs="Arial"/>
                <w:sz w:val="20"/>
                <w:szCs w:val="20"/>
              </w:rPr>
            </w:pPr>
            <w:r w:rsidRPr="00764F5D">
              <w:rPr>
                <w:rFonts w:cs="Arial"/>
                <w:sz w:val="20"/>
                <w:szCs w:val="20"/>
              </w:rPr>
              <w:t>groups)</w:t>
            </w:r>
          </w:p>
        </w:tc>
        <w:tc>
          <w:tcPr>
            <w:tcW w:w="1882" w:type="dxa"/>
          </w:tcPr>
          <w:p w:rsidR="00F91147" w:rsidRPr="00764F5D" w:rsidRDefault="00F91147" w:rsidP="00A826E0">
            <w:pPr>
              <w:rPr>
                <w:rFonts w:cs="Arial"/>
                <w:sz w:val="20"/>
                <w:szCs w:val="20"/>
              </w:rPr>
            </w:pPr>
            <w:r w:rsidRPr="00764F5D">
              <w:rPr>
                <w:rFonts w:cs="Arial"/>
                <w:sz w:val="20"/>
                <w:szCs w:val="20"/>
              </w:rPr>
              <w:t>N/A</w:t>
            </w:r>
          </w:p>
        </w:tc>
        <w:tc>
          <w:tcPr>
            <w:tcW w:w="3443" w:type="dxa"/>
          </w:tcPr>
          <w:p w:rsidR="00F91147" w:rsidRPr="00764F5D" w:rsidRDefault="00F91147" w:rsidP="00A826E0">
            <w:pPr>
              <w:rPr>
                <w:rFonts w:cs="Arial"/>
                <w:sz w:val="20"/>
                <w:szCs w:val="20"/>
              </w:rPr>
            </w:pPr>
            <w:r w:rsidRPr="00764F5D">
              <w:rPr>
                <w:rFonts w:cs="Arial"/>
                <w:sz w:val="20"/>
                <w:szCs w:val="20"/>
              </w:rPr>
              <w:t>99 planning practitioners for people with cognitive disability and complex support needs. (Metropolitan and regional locations</w:t>
            </w:r>
          </w:p>
          <w:p w:rsidR="00F91147" w:rsidRPr="00764F5D" w:rsidRDefault="00F91147" w:rsidP="00A826E0">
            <w:pPr>
              <w:rPr>
                <w:rFonts w:cs="Arial"/>
                <w:sz w:val="20"/>
                <w:szCs w:val="20"/>
              </w:rPr>
            </w:pPr>
            <w:r w:rsidRPr="00764F5D">
              <w:rPr>
                <w:rFonts w:cs="Arial"/>
                <w:sz w:val="20"/>
                <w:szCs w:val="20"/>
              </w:rPr>
              <w:t>in New South Wales, Australia)</w:t>
            </w:r>
          </w:p>
        </w:tc>
      </w:tr>
      <w:tr w:rsidR="00F91147" w:rsidRPr="005A5EC6" w:rsidTr="00A826E0">
        <w:tc>
          <w:tcPr>
            <w:tcW w:w="1941" w:type="dxa"/>
          </w:tcPr>
          <w:p w:rsidR="00F91147" w:rsidRPr="00764F5D" w:rsidRDefault="00F91147" w:rsidP="00A826E0">
            <w:pPr>
              <w:rPr>
                <w:rFonts w:cs="Arial"/>
                <w:sz w:val="20"/>
                <w:szCs w:val="20"/>
              </w:rPr>
            </w:pPr>
            <w:r w:rsidRPr="00764F5D">
              <w:rPr>
                <w:rFonts w:cs="Arial"/>
                <w:sz w:val="20"/>
                <w:szCs w:val="20"/>
              </w:rPr>
              <w:t>Mahoney (2019)</w:t>
            </w:r>
          </w:p>
        </w:tc>
        <w:tc>
          <w:tcPr>
            <w:tcW w:w="1943" w:type="dxa"/>
          </w:tcPr>
          <w:p w:rsidR="00F91147" w:rsidRPr="00764F5D" w:rsidRDefault="00F91147" w:rsidP="00A826E0">
            <w:pPr>
              <w:rPr>
                <w:rFonts w:cs="Arial"/>
                <w:bCs/>
                <w:sz w:val="20"/>
                <w:szCs w:val="20"/>
              </w:rPr>
            </w:pPr>
            <w:r w:rsidRPr="00764F5D">
              <w:rPr>
                <w:rFonts w:cs="Arial"/>
                <w:bCs/>
                <w:sz w:val="20"/>
                <w:szCs w:val="20"/>
              </w:rPr>
              <w:t xml:space="preserve">Qualitative (secondary analysis of </w:t>
            </w:r>
          </w:p>
          <w:p w:rsidR="00F91147" w:rsidRPr="00764F5D" w:rsidRDefault="00F91147" w:rsidP="00A826E0">
            <w:pPr>
              <w:rPr>
                <w:rFonts w:cs="Arial"/>
                <w:sz w:val="20"/>
                <w:szCs w:val="20"/>
              </w:rPr>
            </w:pPr>
            <w:r w:rsidRPr="00764F5D">
              <w:rPr>
                <w:rFonts w:cs="Arial"/>
                <w:bCs/>
                <w:sz w:val="20"/>
                <w:szCs w:val="20"/>
              </w:rPr>
              <w:t xml:space="preserve">ethnographic case study data collected during randomized controlled trial)  </w:t>
            </w:r>
          </w:p>
        </w:tc>
        <w:tc>
          <w:tcPr>
            <w:tcW w:w="1882" w:type="dxa"/>
          </w:tcPr>
          <w:p w:rsidR="00F91147" w:rsidRPr="00764F5D" w:rsidRDefault="00F91147" w:rsidP="00A826E0">
            <w:pPr>
              <w:rPr>
                <w:rFonts w:cs="Arial"/>
                <w:sz w:val="20"/>
                <w:szCs w:val="20"/>
              </w:rPr>
            </w:pPr>
            <w:r w:rsidRPr="00764F5D">
              <w:rPr>
                <w:rFonts w:cs="Arial"/>
                <w:sz w:val="20"/>
                <w:szCs w:val="20"/>
              </w:rPr>
              <w:t>N/A</w:t>
            </w:r>
          </w:p>
        </w:tc>
        <w:tc>
          <w:tcPr>
            <w:tcW w:w="3443" w:type="dxa"/>
          </w:tcPr>
          <w:p w:rsidR="00F91147" w:rsidRPr="00764F5D" w:rsidRDefault="00F91147" w:rsidP="00A826E0">
            <w:pPr>
              <w:rPr>
                <w:rFonts w:cs="Arial"/>
                <w:sz w:val="20"/>
                <w:szCs w:val="20"/>
              </w:rPr>
            </w:pPr>
            <w:r w:rsidRPr="00764F5D">
              <w:rPr>
                <w:rFonts w:cs="Arial"/>
                <w:sz w:val="20"/>
                <w:szCs w:val="20"/>
              </w:rPr>
              <w:t>76 case stories developed from in-home interviews of a representative sample of participants randomized to Cash and Counseling group, their caregivers, and when possible, support brokers (“care units’) (Florida, Arkansas, New Jersey, USA)</w:t>
            </w:r>
          </w:p>
        </w:tc>
      </w:tr>
    </w:tbl>
    <w:p w:rsidR="00F91147" w:rsidRPr="005A5EC6" w:rsidRDefault="00F91147" w:rsidP="00F91147">
      <w:pPr>
        <w:rPr>
          <w:rFonts w:cs="Arial"/>
        </w:rPr>
      </w:pPr>
    </w:p>
    <w:p w:rsidR="00F91147" w:rsidRPr="00A14EA8" w:rsidRDefault="00A14EA8" w:rsidP="00A14EA8">
      <w:pPr>
        <w:spacing w:line="276" w:lineRule="auto"/>
        <w:rPr>
          <w:rFonts w:eastAsiaTheme="majorEastAsia" w:cstheme="majorBidi"/>
          <w:b/>
          <w:bCs/>
          <w:i/>
          <w:iCs/>
          <w:color w:val="7F7F7F" w:themeColor="text1" w:themeTint="80"/>
          <w:spacing w:val="-2"/>
          <w:sz w:val="20"/>
          <w:szCs w:val="20"/>
          <w:lang w:eastAsia="en-US"/>
        </w:rPr>
      </w:pPr>
      <w:r>
        <w:rPr>
          <w:rStyle w:val="Heading6Char"/>
        </w:rPr>
        <w:br w:type="page"/>
      </w:r>
      <w:r>
        <w:rPr>
          <w:rStyle w:val="Heading6Char"/>
        </w:rPr>
        <w:lastRenderedPageBreak/>
        <w:t>CASP Assessment of the Methodological Quality of</w:t>
      </w:r>
      <w:r w:rsidR="00F91147" w:rsidRPr="00A826E0">
        <w:rPr>
          <w:rStyle w:val="Heading6Char"/>
        </w:rPr>
        <w:t xml:space="preserve"> included studies</w:t>
      </w:r>
    </w:p>
    <w:tbl>
      <w:tblPr>
        <w:tblStyle w:val="TableGrid"/>
        <w:tblW w:w="4374" w:type="pct"/>
        <w:tblLook w:val="04A0" w:firstRow="1" w:lastRow="0" w:firstColumn="1" w:lastColumn="0" w:noHBand="0" w:noVBand="1"/>
        <w:tblDescription w:val="Table showing questions for systematic reviews, randomised controlled trials and qualitative studies"/>
      </w:tblPr>
      <w:tblGrid>
        <w:gridCol w:w="2428"/>
        <w:gridCol w:w="477"/>
        <w:gridCol w:w="465"/>
        <w:gridCol w:w="465"/>
        <w:gridCol w:w="477"/>
        <w:gridCol w:w="477"/>
        <w:gridCol w:w="477"/>
        <w:gridCol w:w="477"/>
        <w:gridCol w:w="465"/>
        <w:gridCol w:w="465"/>
        <w:gridCol w:w="607"/>
        <w:gridCol w:w="607"/>
      </w:tblGrid>
      <w:tr w:rsidR="00F91147" w:rsidRPr="005A5EC6" w:rsidTr="00695AF6">
        <w:trPr>
          <w:trHeight w:val="320"/>
          <w:tblHeader/>
        </w:trPr>
        <w:tc>
          <w:tcPr>
            <w:tcW w:w="1539" w:type="pct"/>
            <w:noWrap/>
          </w:tcPr>
          <w:p w:rsidR="00F91147" w:rsidRPr="005A5EC6" w:rsidRDefault="00F91147" w:rsidP="00A826E0">
            <w:pPr>
              <w:rPr>
                <w:rFonts w:cs="Arial"/>
                <w:b/>
                <w:sz w:val="20"/>
                <w:szCs w:val="20"/>
                <w:vertAlign w:val="superscript"/>
              </w:rPr>
            </w:pPr>
            <w:r w:rsidRPr="005A5EC6">
              <w:rPr>
                <w:rFonts w:cs="Arial"/>
                <w:b/>
                <w:sz w:val="20"/>
                <w:szCs w:val="20"/>
              </w:rPr>
              <w:t xml:space="preserve">Systematic Reviews </w:t>
            </w:r>
            <w:r w:rsidRPr="005A5EC6">
              <w:rPr>
                <w:rFonts w:cs="Arial"/>
                <w:b/>
                <w:sz w:val="20"/>
                <w:szCs w:val="20"/>
                <w:vertAlign w:val="superscript"/>
              </w:rPr>
              <w:t>a</w:t>
            </w:r>
          </w:p>
        </w:tc>
        <w:tc>
          <w:tcPr>
            <w:tcW w:w="302" w:type="pct"/>
            <w:noWrap/>
            <w:hideMark/>
          </w:tcPr>
          <w:p w:rsidR="00F91147" w:rsidRPr="005A5EC6" w:rsidRDefault="00F91147" w:rsidP="00A826E0">
            <w:pPr>
              <w:rPr>
                <w:rFonts w:cs="Arial"/>
                <w:sz w:val="18"/>
                <w:szCs w:val="18"/>
              </w:rPr>
            </w:pPr>
            <w:r w:rsidRPr="005A5EC6">
              <w:rPr>
                <w:rFonts w:cs="Arial"/>
                <w:sz w:val="18"/>
                <w:szCs w:val="18"/>
              </w:rPr>
              <w:t>Q1</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Q2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Q3 </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Q4 </w:t>
            </w:r>
          </w:p>
        </w:tc>
        <w:tc>
          <w:tcPr>
            <w:tcW w:w="302" w:type="pct"/>
            <w:noWrap/>
            <w:hideMark/>
          </w:tcPr>
          <w:p w:rsidR="00F91147" w:rsidRPr="005A5EC6" w:rsidRDefault="00F91147" w:rsidP="00A826E0">
            <w:pPr>
              <w:rPr>
                <w:rFonts w:cs="Arial"/>
                <w:sz w:val="18"/>
                <w:szCs w:val="18"/>
              </w:rPr>
            </w:pPr>
            <w:r w:rsidRPr="005A5EC6">
              <w:rPr>
                <w:rFonts w:cs="Arial"/>
                <w:sz w:val="18"/>
                <w:szCs w:val="18"/>
              </w:rPr>
              <w:t>Q5</w:t>
            </w:r>
          </w:p>
        </w:tc>
        <w:tc>
          <w:tcPr>
            <w:tcW w:w="302" w:type="pct"/>
            <w:noWrap/>
            <w:hideMark/>
          </w:tcPr>
          <w:p w:rsidR="00F91147" w:rsidRPr="005A5EC6" w:rsidRDefault="00F91147" w:rsidP="00A826E0">
            <w:pPr>
              <w:rPr>
                <w:rFonts w:cs="Arial"/>
                <w:sz w:val="18"/>
                <w:szCs w:val="18"/>
              </w:rPr>
            </w:pPr>
            <w:r w:rsidRPr="005A5EC6">
              <w:rPr>
                <w:rFonts w:cs="Arial"/>
                <w:sz w:val="18"/>
                <w:szCs w:val="18"/>
              </w:rPr>
              <w:t>Q6</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Q7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Q8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Q9 </w:t>
            </w:r>
          </w:p>
        </w:tc>
        <w:tc>
          <w:tcPr>
            <w:tcW w:w="385" w:type="pct"/>
            <w:noWrap/>
            <w:hideMark/>
          </w:tcPr>
          <w:p w:rsidR="00F91147" w:rsidRPr="005A5EC6" w:rsidRDefault="00F91147" w:rsidP="00A826E0">
            <w:pPr>
              <w:rPr>
                <w:rFonts w:cs="Arial"/>
                <w:sz w:val="18"/>
                <w:szCs w:val="18"/>
              </w:rPr>
            </w:pPr>
            <w:r w:rsidRPr="005A5EC6">
              <w:rPr>
                <w:rFonts w:cs="Arial"/>
                <w:sz w:val="18"/>
                <w:szCs w:val="18"/>
              </w:rPr>
              <w:t>Q 10</w:t>
            </w:r>
          </w:p>
        </w:tc>
        <w:tc>
          <w:tcPr>
            <w:tcW w:w="385" w:type="pct"/>
            <w:noWrap/>
            <w:hideMark/>
          </w:tcPr>
          <w:p w:rsidR="00F91147" w:rsidRPr="005A5EC6" w:rsidRDefault="00F91147" w:rsidP="00A826E0">
            <w:pPr>
              <w:rPr>
                <w:rFonts w:cs="Arial"/>
                <w:sz w:val="18"/>
                <w:szCs w:val="18"/>
              </w:rPr>
            </w:pPr>
          </w:p>
        </w:tc>
      </w:tr>
      <w:tr w:rsidR="00F91147" w:rsidRPr="005A5EC6" w:rsidTr="00F91147">
        <w:trPr>
          <w:trHeight w:val="320"/>
        </w:trPr>
        <w:tc>
          <w:tcPr>
            <w:tcW w:w="1539" w:type="pct"/>
            <w:noWrap/>
          </w:tcPr>
          <w:p w:rsidR="00F91147" w:rsidRPr="005A5EC6" w:rsidRDefault="00F91147" w:rsidP="00A826E0">
            <w:pPr>
              <w:rPr>
                <w:rFonts w:cs="Arial"/>
                <w:sz w:val="20"/>
                <w:szCs w:val="20"/>
              </w:rPr>
            </w:pPr>
            <w:r w:rsidRPr="005A5EC6">
              <w:rPr>
                <w:rFonts w:cs="Arial"/>
                <w:sz w:val="20"/>
                <w:szCs w:val="20"/>
              </w:rPr>
              <w:t>Fleming (2019)</w:t>
            </w:r>
          </w:p>
        </w:tc>
        <w:tc>
          <w:tcPr>
            <w:tcW w:w="302"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41AA812E" wp14:editId="452AAA63">
                  <wp:extent cx="158237" cy="130313"/>
                  <wp:effectExtent l="0" t="0" r="0" b="3175"/>
                  <wp:docPr id="84" name="Picture 84" descr="Chart showing an anlysis of questions for systemmatic reviews, randomised controlled trial studies and qualitativ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10D77F4B" wp14:editId="363B263B">
                  <wp:extent cx="158237" cy="130313"/>
                  <wp:effectExtent l="0" t="0" r="0" b="3175"/>
                  <wp:docPr id="85" name="Picture 85"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163671F0" wp14:editId="41BDC91F">
                  <wp:extent cx="158237" cy="130313"/>
                  <wp:effectExtent l="0" t="0" r="0" b="3175"/>
                  <wp:docPr id="86" name="Picture 86"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28D9884C" wp14:editId="3C4EA3E0">
                  <wp:extent cx="158237" cy="130313"/>
                  <wp:effectExtent l="0" t="0" r="0" b="3175"/>
                  <wp:docPr id="24" name="Picture 24"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2FF1A12B" wp14:editId="63C0AB76">
                  <wp:extent cx="158237" cy="130313"/>
                  <wp:effectExtent l="0" t="0" r="0" b="3175"/>
                  <wp:docPr id="35" name="Picture 35"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hideMark/>
          </w:tcPr>
          <w:p w:rsidR="00F91147" w:rsidRPr="005A5EC6" w:rsidRDefault="00F91147" w:rsidP="00A826E0">
            <w:pPr>
              <w:rPr>
                <w:rFonts w:cs="Arial"/>
                <w:sz w:val="18"/>
                <w:szCs w:val="18"/>
              </w:rPr>
            </w:pPr>
            <w:r w:rsidRPr="005A5EC6">
              <w:rPr>
                <w:rFonts w:cs="Arial"/>
                <w:sz w:val="18"/>
                <w:szCs w:val="18"/>
              </w:rPr>
              <w:t>NA</w:t>
            </w:r>
          </w:p>
        </w:tc>
        <w:tc>
          <w:tcPr>
            <w:tcW w:w="302" w:type="pct"/>
            <w:noWrap/>
            <w:hideMark/>
          </w:tcPr>
          <w:p w:rsidR="00F91147" w:rsidRPr="005A5EC6" w:rsidRDefault="00F91147" w:rsidP="00A826E0">
            <w:pPr>
              <w:rPr>
                <w:rFonts w:cs="Arial"/>
                <w:sz w:val="18"/>
                <w:szCs w:val="18"/>
              </w:rPr>
            </w:pPr>
            <w:r w:rsidRPr="005A5EC6">
              <w:rPr>
                <w:rFonts w:cs="Arial"/>
                <w:sz w:val="18"/>
                <w:szCs w:val="18"/>
              </w:rPr>
              <w:t>NA</w:t>
            </w:r>
          </w:p>
        </w:tc>
        <w:tc>
          <w:tcPr>
            <w:tcW w:w="295"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717EBA96" wp14:editId="25C8FBD6">
                  <wp:extent cx="158237" cy="130313"/>
                  <wp:effectExtent l="0" t="0" r="0" b="3175"/>
                  <wp:docPr id="40" name="Picture 40"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2A721796" wp14:editId="75FF9CF9">
                  <wp:extent cx="158237" cy="130313"/>
                  <wp:effectExtent l="0" t="0" r="0" b="3175"/>
                  <wp:docPr id="41" name="Picture 41"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hideMark/>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6A35E13C" wp14:editId="300EA07A">
                  <wp:extent cx="158237" cy="130313"/>
                  <wp:effectExtent l="0" t="0" r="0" b="3175"/>
                  <wp:docPr id="87" name="Picture 87"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hideMark/>
          </w:tcPr>
          <w:p w:rsidR="00F91147" w:rsidRPr="005A5EC6" w:rsidRDefault="00F91147" w:rsidP="00A826E0">
            <w:pPr>
              <w:rPr>
                <w:rFonts w:cs="Arial"/>
                <w:sz w:val="18"/>
                <w:szCs w:val="18"/>
              </w:rPr>
            </w:pPr>
          </w:p>
        </w:tc>
      </w:tr>
      <w:tr w:rsidR="00F91147" w:rsidRPr="005A5EC6" w:rsidTr="00F91147">
        <w:trPr>
          <w:trHeight w:val="320"/>
        </w:trPr>
        <w:tc>
          <w:tcPr>
            <w:tcW w:w="1539" w:type="pct"/>
            <w:noWrap/>
          </w:tcPr>
          <w:p w:rsidR="00F91147" w:rsidRPr="005A5EC6" w:rsidRDefault="00F91147" w:rsidP="00A826E0">
            <w:pPr>
              <w:rPr>
                <w:rFonts w:cs="Arial"/>
                <w:sz w:val="20"/>
                <w:szCs w:val="20"/>
              </w:rPr>
            </w:pPr>
            <w:r w:rsidRPr="005A5EC6">
              <w:rPr>
                <w:rFonts w:cs="Arial"/>
                <w:sz w:val="20"/>
                <w:szCs w:val="20"/>
              </w:rPr>
              <w:t>Lakhani (2019)</w:t>
            </w:r>
          </w:p>
        </w:tc>
        <w:tc>
          <w:tcPr>
            <w:tcW w:w="302" w:type="pct"/>
            <w:noWrap/>
          </w:tcPr>
          <w:p w:rsidR="00F91147" w:rsidRPr="005A5EC6" w:rsidRDefault="00F91147" w:rsidP="00A826E0">
            <w:pPr>
              <w:rPr>
                <w:rFonts w:cs="Arial"/>
                <w:sz w:val="18"/>
                <w:szCs w:val="18"/>
              </w:rPr>
            </w:pPr>
            <w:r w:rsidRPr="005A5EC6">
              <w:rPr>
                <w:rFonts w:cs="Arial"/>
                <w:sz w:val="18"/>
                <w:szCs w:val="18"/>
              </w:rPr>
              <w:t>+/−</w:t>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3C2F2E74" wp14:editId="7915F293">
                  <wp:extent cx="158237" cy="130313"/>
                  <wp:effectExtent l="0" t="0" r="0" b="3175"/>
                  <wp:docPr id="65" name="Picture 65"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5A07FAD2" wp14:editId="7F2E2938">
                  <wp:extent cx="136525" cy="128724"/>
                  <wp:effectExtent l="0" t="0" r="0" b="5080"/>
                  <wp:docPr id="46" name="Picture 46" descr="text box with symbol for w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21 at 3.29.20 pm.png"/>
                          <pic:cNvPicPr/>
                        </pic:nvPicPr>
                        <pic:blipFill>
                          <a:blip r:embed="rId47">
                            <a:extLst>
                              <a:ext uri="{28A0092B-C50C-407E-A947-70E740481C1C}">
                                <a14:useLocalDpi xmlns:a14="http://schemas.microsoft.com/office/drawing/2010/main" val="0"/>
                              </a:ext>
                            </a:extLst>
                          </a:blip>
                          <a:stretch>
                            <a:fillRect/>
                          </a:stretch>
                        </pic:blipFill>
                        <pic:spPr>
                          <a:xfrm>
                            <a:off x="0" y="0"/>
                            <a:ext cx="158617" cy="149553"/>
                          </a:xfrm>
                          <a:prstGeom prst="rect">
                            <a:avLst/>
                          </a:prstGeom>
                        </pic:spPr>
                      </pic:pic>
                    </a:graphicData>
                  </a:graphic>
                </wp:inline>
              </w:drawing>
            </w:r>
          </w:p>
        </w:tc>
        <w:tc>
          <w:tcPr>
            <w:tcW w:w="302" w:type="pct"/>
            <w:noWrap/>
          </w:tcPr>
          <w:p w:rsidR="00F91147" w:rsidRPr="005A5EC6" w:rsidRDefault="00F91147" w:rsidP="00A826E0">
            <w:pPr>
              <w:rPr>
                <w:rFonts w:cs="Arial"/>
                <w:sz w:val="18"/>
                <w:szCs w:val="18"/>
              </w:rPr>
            </w:pPr>
            <w:r w:rsidRPr="005A5EC6">
              <w:rPr>
                <w:rFonts w:cs="Arial"/>
                <w:sz w:val="18"/>
                <w:szCs w:val="18"/>
              </w:rPr>
              <w:t>+/−</w:t>
            </w:r>
          </w:p>
        </w:tc>
        <w:tc>
          <w:tcPr>
            <w:tcW w:w="302" w:type="pct"/>
            <w:noWrap/>
          </w:tcPr>
          <w:p w:rsidR="00F91147" w:rsidRPr="005A5EC6" w:rsidRDefault="00F91147" w:rsidP="00A826E0">
            <w:pPr>
              <w:rPr>
                <w:rFonts w:cs="Arial"/>
                <w:sz w:val="18"/>
                <w:szCs w:val="18"/>
              </w:rPr>
            </w:pPr>
            <w:r w:rsidRPr="005A5EC6">
              <w:rPr>
                <w:rFonts w:cs="Arial"/>
                <w:sz w:val="18"/>
                <w:szCs w:val="18"/>
              </w:rPr>
              <w:t>+/−</w:t>
            </w:r>
          </w:p>
        </w:tc>
        <w:tc>
          <w:tcPr>
            <w:tcW w:w="302" w:type="pct"/>
            <w:noWrap/>
          </w:tcPr>
          <w:p w:rsidR="00F91147" w:rsidRPr="005A5EC6" w:rsidRDefault="00F91147" w:rsidP="00A826E0">
            <w:pPr>
              <w:rPr>
                <w:rFonts w:cs="Arial"/>
                <w:sz w:val="18"/>
                <w:szCs w:val="18"/>
              </w:rPr>
            </w:pPr>
            <w:r w:rsidRPr="005A5EC6">
              <w:rPr>
                <w:rFonts w:cs="Arial"/>
                <w:sz w:val="18"/>
                <w:szCs w:val="18"/>
              </w:rPr>
              <w:t>NA</w:t>
            </w:r>
          </w:p>
        </w:tc>
        <w:tc>
          <w:tcPr>
            <w:tcW w:w="302" w:type="pct"/>
            <w:noWrap/>
          </w:tcPr>
          <w:p w:rsidR="00F91147" w:rsidRPr="005A5EC6" w:rsidRDefault="00F91147" w:rsidP="00A826E0">
            <w:pPr>
              <w:rPr>
                <w:rFonts w:cs="Arial"/>
                <w:sz w:val="18"/>
                <w:szCs w:val="18"/>
              </w:rPr>
            </w:pPr>
            <w:r w:rsidRPr="005A5EC6">
              <w:rPr>
                <w:rFonts w:cs="Arial"/>
                <w:sz w:val="18"/>
                <w:szCs w:val="18"/>
              </w:rPr>
              <w:t>NA</w:t>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28F04EDE" wp14:editId="260E6880">
                  <wp:extent cx="158237" cy="130313"/>
                  <wp:effectExtent l="0" t="0" r="0" b="3175"/>
                  <wp:docPr id="21" name="Picture 21"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11CBC5C7" wp14:editId="516F1D83">
                  <wp:extent cx="158237" cy="130313"/>
                  <wp:effectExtent l="0" t="0" r="0" b="3175"/>
                  <wp:docPr id="66" name="Picture 66"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2ECC099A" wp14:editId="649918B5">
                  <wp:extent cx="158237" cy="130313"/>
                  <wp:effectExtent l="0" t="0" r="0" b="3175"/>
                  <wp:docPr id="23" name="Picture 23"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20"/>
                <w:szCs w:val="20"/>
              </w:rPr>
            </w:pPr>
          </w:p>
        </w:tc>
      </w:tr>
      <w:tr w:rsidR="00F91147" w:rsidRPr="005A5EC6" w:rsidTr="00F91147">
        <w:trPr>
          <w:trHeight w:val="335"/>
        </w:trPr>
        <w:tc>
          <w:tcPr>
            <w:tcW w:w="1539" w:type="pct"/>
            <w:noWrap/>
            <w:hideMark/>
          </w:tcPr>
          <w:p w:rsidR="00F91147" w:rsidRPr="005A5EC6" w:rsidRDefault="00F91147" w:rsidP="00A826E0">
            <w:pPr>
              <w:rPr>
                <w:rFonts w:cs="Arial"/>
                <w:b/>
                <w:bCs/>
                <w:sz w:val="20"/>
                <w:szCs w:val="20"/>
                <w:vertAlign w:val="superscript"/>
              </w:rPr>
            </w:pPr>
            <w:r w:rsidRPr="005A5EC6">
              <w:rPr>
                <w:rFonts w:cs="Arial"/>
                <w:b/>
                <w:bCs/>
                <w:sz w:val="20"/>
                <w:szCs w:val="20"/>
              </w:rPr>
              <w:t>Randomized controlled</w:t>
            </w:r>
          </w:p>
          <w:p w:rsidR="00F91147" w:rsidRPr="005A5EC6" w:rsidRDefault="00F91147" w:rsidP="00A826E0">
            <w:pPr>
              <w:rPr>
                <w:rFonts w:cs="Arial"/>
                <w:b/>
                <w:bCs/>
                <w:sz w:val="20"/>
                <w:szCs w:val="20"/>
              </w:rPr>
            </w:pPr>
            <w:r w:rsidRPr="005A5EC6">
              <w:rPr>
                <w:rFonts w:cs="Arial"/>
                <w:b/>
                <w:bCs/>
                <w:sz w:val="20"/>
                <w:szCs w:val="20"/>
              </w:rPr>
              <w:t xml:space="preserve">trial studies </w:t>
            </w:r>
            <w:r w:rsidRPr="005A5EC6">
              <w:rPr>
                <w:rFonts w:cs="Arial"/>
                <w:b/>
                <w:bCs/>
                <w:sz w:val="20"/>
                <w:szCs w:val="20"/>
                <w:vertAlign w:val="superscript"/>
              </w:rPr>
              <w:t>b</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Q1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Q2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Q3 </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Q4 </w:t>
            </w:r>
          </w:p>
        </w:tc>
        <w:tc>
          <w:tcPr>
            <w:tcW w:w="302" w:type="pct"/>
            <w:noWrap/>
            <w:hideMark/>
          </w:tcPr>
          <w:p w:rsidR="00F91147" w:rsidRPr="005A5EC6" w:rsidRDefault="00F91147" w:rsidP="00A826E0">
            <w:pPr>
              <w:rPr>
                <w:rFonts w:cs="Arial"/>
                <w:sz w:val="18"/>
                <w:szCs w:val="18"/>
              </w:rPr>
            </w:pPr>
            <w:r w:rsidRPr="005A5EC6">
              <w:rPr>
                <w:rFonts w:cs="Arial"/>
                <w:sz w:val="18"/>
                <w:szCs w:val="18"/>
              </w:rPr>
              <w:t>Q5</w:t>
            </w:r>
          </w:p>
        </w:tc>
        <w:tc>
          <w:tcPr>
            <w:tcW w:w="302" w:type="pct"/>
            <w:noWrap/>
          </w:tcPr>
          <w:p w:rsidR="00F91147" w:rsidRPr="005A5EC6" w:rsidRDefault="00F91147" w:rsidP="00A826E0">
            <w:pPr>
              <w:rPr>
                <w:rFonts w:cs="Arial"/>
                <w:sz w:val="18"/>
                <w:szCs w:val="18"/>
              </w:rPr>
            </w:pPr>
            <w:r w:rsidRPr="005A5EC6">
              <w:rPr>
                <w:rFonts w:cs="Arial"/>
                <w:sz w:val="18"/>
                <w:szCs w:val="18"/>
              </w:rPr>
              <w:t>Q6</w:t>
            </w:r>
          </w:p>
        </w:tc>
        <w:tc>
          <w:tcPr>
            <w:tcW w:w="302" w:type="pct"/>
            <w:noWrap/>
          </w:tcPr>
          <w:p w:rsidR="00F91147" w:rsidRPr="005A5EC6" w:rsidRDefault="00F91147" w:rsidP="00A826E0">
            <w:pPr>
              <w:rPr>
                <w:rFonts w:cs="Arial"/>
                <w:sz w:val="18"/>
                <w:szCs w:val="18"/>
              </w:rPr>
            </w:pPr>
            <w:r w:rsidRPr="005A5EC6">
              <w:rPr>
                <w:rFonts w:cs="Arial"/>
                <w:sz w:val="18"/>
                <w:szCs w:val="18"/>
              </w:rPr>
              <w:t xml:space="preserve">Q7 </w:t>
            </w:r>
          </w:p>
        </w:tc>
        <w:tc>
          <w:tcPr>
            <w:tcW w:w="295" w:type="pct"/>
            <w:noWrap/>
          </w:tcPr>
          <w:p w:rsidR="00F91147" w:rsidRPr="005A5EC6" w:rsidRDefault="00F91147" w:rsidP="00A826E0">
            <w:pPr>
              <w:rPr>
                <w:rFonts w:cs="Arial"/>
                <w:sz w:val="18"/>
                <w:szCs w:val="18"/>
              </w:rPr>
            </w:pPr>
            <w:r w:rsidRPr="005A5EC6">
              <w:rPr>
                <w:rFonts w:cs="Arial"/>
                <w:sz w:val="18"/>
                <w:szCs w:val="18"/>
              </w:rPr>
              <w:t xml:space="preserve">Q8 </w:t>
            </w:r>
          </w:p>
        </w:tc>
        <w:tc>
          <w:tcPr>
            <w:tcW w:w="295" w:type="pct"/>
            <w:noWrap/>
          </w:tcPr>
          <w:p w:rsidR="00F91147" w:rsidRPr="005A5EC6" w:rsidRDefault="00F91147" w:rsidP="00A826E0">
            <w:pPr>
              <w:rPr>
                <w:rFonts w:cs="Arial"/>
                <w:sz w:val="18"/>
                <w:szCs w:val="18"/>
              </w:rPr>
            </w:pPr>
            <w:r w:rsidRPr="005A5EC6">
              <w:rPr>
                <w:rFonts w:cs="Arial"/>
                <w:sz w:val="18"/>
                <w:szCs w:val="18"/>
              </w:rPr>
              <w:t xml:space="preserve">Q9 </w:t>
            </w:r>
          </w:p>
        </w:tc>
        <w:tc>
          <w:tcPr>
            <w:tcW w:w="385" w:type="pct"/>
            <w:noWrap/>
          </w:tcPr>
          <w:p w:rsidR="00F91147" w:rsidRPr="005A5EC6" w:rsidRDefault="00F91147" w:rsidP="00A826E0">
            <w:pPr>
              <w:rPr>
                <w:rFonts w:cs="Arial"/>
                <w:sz w:val="18"/>
                <w:szCs w:val="18"/>
              </w:rPr>
            </w:pPr>
            <w:r w:rsidRPr="005A5EC6">
              <w:rPr>
                <w:rFonts w:cs="Arial"/>
                <w:sz w:val="18"/>
                <w:szCs w:val="18"/>
              </w:rPr>
              <w:t>Q 10</w:t>
            </w:r>
          </w:p>
        </w:tc>
        <w:tc>
          <w:tcPr>
            <w:tcW w:w="385" w:type="pct"/>
            <w:noWrap/>
          </w:tcPr>
          <w:p w:rsidR="00F91147" w:rsidRPr="005A5EC6" w:rsidRDefault="00F91147" w:rsidP="00A826E0">
            <w:pPr>
              <w:rPr>
                <w:rFonts w:cs="Arial"/>
                <w:sz w:val="18"/>
                <w:szCs w:val="18"/>
              </w:rPr>
            </w:pPr>
            <w:r w:rsidRPr="005A5EC6">
              <w:rPr>
                <w:rFonts w:cs="Arial"/>
                <w:sz w:val="18"/>
                <w:szCs w:val="18"/>
              </w:rPr>
              <w:t>Q 11</w:t>
            </w:r>
          </w:p>
        </w:tc>
      </w:tr>
      <w:tr w:rsidR="00F91147" w:rsidRPr="005A5EC6" w:rsidTr="00F91147">
        <w:trPr>
          <w:trHeight w:val="335"/>
        </w:trPr>
        <w:tc>
          <w:tcPr>
            <w:tcW w:w="1539" w:type="pct"/>
            <w:noWrap/>
          </w:tcPr>
          <w:p w:rsidR="00F91147" w:rsidRPr="005A5EC6" w:rsidRDefault="00F91147" w:rsidP="00A826E0">
            <w:pPr>
              <w:rPr>
                <w:rFonts w:cs="Arial"/>
                <w:bCs/>
                <w:sz w:val="20"/>
                <w:szCs w:val="20"/>
              </w:rPr>
            </w:pPr>
            <w:r w:rsidRPr="005A5EC6">
              <w:rPr>
                <w:rFonts w:cs="Arial"/>
                <w:bCs/>
                <w:sz w:val="20"/>
                <w:szCs w:val="20"/>
              </w:rPr>
              <w:t>Harry (2017)</w:t>
            </w:r>
          </w:p>
        </w:tc>
        <w:tc>
          <w:tcPr>
            <w:tcW w:w="302"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6055C7B2" wp14:editId="55DADFBD">
                  <wp:extent cx="158237" cy="130313"/>
                  <wp:effectExtent l="0" t="0" r="0" b="3175"/>
                  <wp:docPr id="33" name="Picture 33"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48C63AF7" wp14:editId="77D0DF62">
                  <wp:extent cx="158237" cy="130313"/>
                  <wp:effectExtent l="0" t="0" r="0" b="3175"/>
                  <wp:docPr id="34" name="Picture 34"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2316A1A6" wp14:editId="36441846">
                  <wp:extent cx="136525" cy="128724"/>
                  <wp:effectExtent l="0" t="0" r="0" b="5080"/>
                  <wp:docPr id="36" name="Picture 36" descr="text box with symbol for w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21 at 3.29.20 pm.png"/>
                          <pic:cNvPicPr/>
                        </pic:nvPicPr>
                        <pic:blipFill>
                          <a:blip r:embed="rId47">
                            <a:extLst>
                              <a:ext uri="{28A0092B-C50C-407E-A947-70E740481C1C}">
                                <a14:useLocalDpi xmlns:a14="http://schemas.microsoft.com/office/drawing/2010/main" val="0"/>
                              </a:ext>
                            </a:extLst>
                          </a:blip>
                          <a:stretch>
                            <a:fillRect/>
                          </a:stretch>
                        </pic:blipFill>
                        <pic:spPr>
                          <a:xfrm>
                            <a:off x="0" y="0"/>
                            <a:ext cx="158617" cy="149553"/>
                          </a:xfrm>
                          <a:prstGeom prst="rect">
                            <a:avLst/>
                          </a:prstGeom>
                        </pic:spPr>
                      </pic:pic>
                    </a:graphicData>
                  </a:graphic>
                </wp:inline>
              </w:drawing>
            </w:r>
          </w:p>
        </w:tc>
        <w:tc>
          <w:tcPr>
            <w:tcW w:w="302"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6D640D65" wp14:editId="3262BEF9">
                  <wp:extent cx="136525" cy="128724"/>
                  <wp:effectExtent l="0" t="0" r="0" b="5080"/>
                  <wp:docPr id="37" name="Picture 37" descr="text box with symbol for w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21 at 3.29.20 pm.png"/>
                          <pic:cNvPicPr/>
                        </pic:nvPicPr>
                        <pic:blipFill>
                          <a:blip r:embed="rId47">
                            <a:extLst>
                              <a:ext uri="{28A0092B-C50C-407E-A947-70E740481C1C}">
                                <a14:useLocalDpi xmlns:a14="http://schemas.microsoft.com/office/drawing/2010/main" val="0"/>
                              </a:ext>
                            </a:extLst>
                          </a:blip>
                          <a:stretch>
                            <a:fillRect/>
                          </a:stretch>
                        </pic:blipFill>
                        <pic:spPr>
                          <a:xfrm>
                            <a:off x="0" y="0"/>
                            <a:ext cx="158617" cy="149553"/>
                          </a:xfrm>
                          <a:prstGeom prst="rect">
                            <a:avLst/>
                          </a:prstGeom>
                        </pic:spPr>
                      </pic:pic>
                    </a:graphicData>
                  </a:graphic>
                </wp:inline>
              </w:drawing>
            </w:r>
          </w:p>
        </w:tc>
        <w:tc>
          <w:tcPr>
            <w:tcW w:w="302"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114523DC" wp14:editId="247D7AC0">
                  <wp:extent cx="158237" cy="130313"/>
                  <wp:effectExtent l="0" t="0" r="0" b="3175"/>
                  <wp:docPr id="38" name="Picture 38"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7CDAEAB1" wp14:editId="756A8B6C">
                  <wp:extent cx="158237" cy="130313"/>
                  <wp:effectExtent l="0" t="0" r="0" b="3175"/>
                  <wp:docPr id="39" name="Picture 39"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sz w:val="18"/>
                <w:szCs w:val="18"/>
              </w:rPr>
            </w:pPr>
            <w:r w:rsidRPr="005A5EC6">
              <w:rPr>
                <w:rFonts w:cs="Arial"/>
                <w:sz w:val="18"/>
                <w:szCs w:val="18"/>
              </w:rPr>
              <w:t>NA</w:t>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1373A9A5" wp14:editId="573FD8B6">
                  <wp:extent cx="158237" cy="130313"/>
                  <wp:effectExtent l="0" t="0" r="0" b="3175"/>
                  <wp:docPr id="45" name="Picture 45"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476999AE" wp14:editId="393980B4">
                  <wp:extent cx="158237" cy="130313"/>
                  <wp:effectExtent l="0" t="0" r="0" b="3175"/>
                  <wp:docPr id="42" name="Picture 42"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6E0B40B8" wp14:editId="40BED00D">
                  <wp:extent cx="158237" cy="130313"/>
                  <wp:effectExtent l="0" t="0" r="0" b="3175"/>
                  <wp:docPr id="43" name="Picture 43"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18"/>
                <w:szCs w:val="18"/>
              </w:rPr>
            </w:pPr>
            <w:r w:rsidRPr="005A5EC6">
              <w:rPr>
                <w:rFonts w:cs="Arial"/>
                <w:noProof/>
                <w:sz w:val="18"/>
                <w:szCs w:val="18"/>
                <w:lang w:val="en-AU" w:eastAsia="en-AU"/>
              </w:rPr>
              <w:drawing>
                <wp:inline distT="0" distB="0" distL="0" distR="0" wp14:anchorId="73404A47" wp14:editId="046E718B">
                  <wp:extent cx="158237" cy="130313"/>
                  <wp:effectExtent l="0" t="0" r="0" b="3175"/>
                  <wp:docPr id="44" name="Picture 44"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r>
      <w:tr w:rsidR="00F91147" w:rsidRPr="005A5EC6" w:rsidTr="00F91147">
        <w:trPr>
          <w:trHeight w:val="320"/>
        </w:trPr>
        <w:tc>
          <w:tcPr>
            <w:tcW w:w="1539" w:type="pct"/>
            <w:noWrap/>
            <w:hideMark/>
          </w:tcPr>
          <w:p w:rsidR="00F91147" w:rsidRPr="005A5EC6" w:rsidRDefault="00F91147" w:rsidP="00A826E0">
            <w:pPr>
              <w:rPr>
                <w:rFonts w:cs="Arial"/>
                <w:b/>
                <w:bCs/>
                <w:sz w:val="20"/>
                <w:szCs w:val="20"/>
                <w:vertAlign w:val="superscript"/>
              </w:rPr>
            </w:pPr>
            <w:r w:rsidRPr="005A5EC6">
              <w:rPr>
                <w:rFonts w:cs="Arial"/>
                <w:b/>
                <w:bCs/>
                <w:sz w:val="20"/>
                <w:szCs w:val="20"/>
              </w:rPr>
              <w:t xml:space="preserve">Qualitative studies </w:t>
            </w:r>
            <w:r w:rsidRPr="005A5EC6">
              <w:rPr>
                <w:rFonts w:cs="Arial"/>
                <w:b/>
                <w:bCs/>
                <w:sz w:val="20"/>
                <w:szCs w:val="20"/>
                <w:vertAlign w:val="superscript"/>
              </w:rPr>
              <w:t>c</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Q1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Q2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Q3 </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Q4 </w:t>
            </w:r>
          </w:p>
        </w:tc>
        <w:tc>
          <w:tcPr>
            <w:tcW w:w="302" w:type="pct"/>
            <w:noWrap/>
            <w:hideMark/>
          </w:tcPr>
          <w:p w:rsidR="00F91147" w:rsidRPr="005A5EC6" w:rsidRDefault="00F91147" w:rsidP="00A826E0">
            <w:pPr>
              <w:rPr>
                <w:rFonts w:cs="Arial"/>
                <w:sz w:val="18"/>
                <w:szCs w:val="18"/>
              </w:rPr>
            </w:pPr>
            <w:r w:rsidRPr="005A5EC6">
              <w:rPr>
                <w:rFonts w:cs="Arial"/>
                <w:sz w:val="18"/>
                <w:szCs w:val="18"/>
              </w:rPr>
              <w:t>Q5</w:t>
            </w:r>
          </w:p>
        </w:tc>
        <w:tc>
          <w:tcPr>
            <w:tcW w:w="302" w:type="pct"/>
            <w:noWrap/>
            <w:hideMark/>
          </w:tcPr>
          <w:p w:rsidR="00F91147" w:rsidRPr="005A5EC6" w:rsidRDefault="00F91147" w:rsidP="00A826E0">
            <w:pPr>
              <w:rPr>
                <w:rFonts w:cs="Arial"/>
                <w:sz w:val="18"/>
                <w:szCs w:val="18"/>
              </w:rPr>
            </w:pPr>
            <w:r w:rsidRPr="005A5EC6">
              <w:rPr>
                <w:rFonts w:cs="Arial"/>
                <w:sz w:val="18"/>
                <w:szCs w:val="18"/>
              </w:rPr>
              <w:t>Q6</w:t>
            </w:r>
          </w:p>
        </w:tc>
        <w:tc>
          <w:tcPr>
            <w:tcW w:w="302" w:type="pct"/>
            <w:noWrap/>
            <w:hideMark/>
          </w:tcPr>
          <w:p w:rsidR="00F91147" w:rsidRPr="005A5EC6" w:rsidRDefault="00F91147" w:rsidP="00A826E0">
            <w:pPr>
              <w:rPr>
                <w:rFonts w:cs="Arial"/>
                <w:sz w:val="18"/>
                <w:szCs w:val="18"/>
              </w:rPr>
            </w:pPr>
            <w:r w:rsidRPr="005A5EC6">
              <w:rPr>
                <w:rFonts w:cs="Arial"/>
                <w:sz w:val="18"/>
                <w:szCs w:val="18"/>
              </w:rPr>
              <w:t xml:space="preserve">Q7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Q8 </w:t>
            </w:r>
          </w:p>
        </w:tc>
        <w:tc>
          <w:tcPr>
            <w:tcW w:w="295" w:type="pct"/>
            <w:noWrap/>
            <w:hideMark/>
          </w:tcPr>
          <w:p w:rsidR="00F91147" w:rsidRPr="005A5EC6" w:rsidRDefault="00F91147" w:rsidP="00A826E0">
            <w:pPr>
              <w:rPr>
                <w:rFonts w:cs="Arial"/>
                <w:sz w:val="18"/>
                <w:szCs w:val="18"/>
              </w:rPr>
            </w:pPr>
            <w:r w:rsidRPr="005A5EC6">
              <w:rPr>
                <w:rFonts w:cs="Arial"/>
                <w:sz w:val="18"/>
                <w:szCs w:val="18"/>
              </w:rPr>
              <w:t xml:space="preserve">Q9 </w:t>
            </w:r>
          </w:p>
        </w:tc>
        <w:tc>
          <w:tcPr>
            <w:tcW w:w="385" w:type="pct"/>
            <w:noWrap/>
            <w:hideMark/>
          </w:tcPr>
          <w:p w:rsidR="00F91147" w:rsidRPr="005A5EC6" w:rsidRDefault="00F91147" w:rsidP="00A826E0">
            <w:pPr>
              <w:rPr>
                <w:rFonts w:cs="Arial"/>
                <w:sz w:val="18"/>
                <w:szCs w:val="18"/>
              </w:rPr>
            </w:pPr>
            <w:r w:rsidRPr="005A5EC6">
              <w:rPr>
                <w:rFonts w:cs="Arial"/>
                <w:sz w:val="18"/>
                <w:szCs w:val="18"/>
              </w:rPr>
              <w:t>Q 10</w:t>
            </w:r>
          </w:p>
        </w:tc>
        <w:tc>
          <w:tcPr>
            <w:tcW w:w="385" w:type="pct"/>
            <w:noWrap/>
          </w:tcPr>
          <w:p w:rsidR="00F91147" w:rsidRPr="005A5EC6" w:rsidRDefault="00F91147" w:rsidP="00A826E0">
            <w:pPr>
              <w:rPr>
                <w:rFonts w:cs="Arial"/>
                <w:sz w:val="18"/>
                <w:szCs w:val="18"/>
              </w:rPr>
            </w:pPr>
          </w:p>
        </w:tc>
      </w:tr>
      <w:tr w:rsidR="00F91147" w:rsidRPr="005A5EC6" w:rsidTr="00F91147">
        <w:trPr>
          <w:trHeight w:val="320"/>
        </w:trPr>
        <w:tc>
          <w:tcPr>
            <w:tcW w:w="1539" w:type="pct"/>
            <w:noWrap/>
          </w:tcPr>
          <w:p w:rsidR="00F91147" w:rsidRPr="005A5EC6" w:rsidRDefault="00F91147" w:rsidP="00A826E0">
            <w:pPr>
              <w:rPr>
                <w:rFonts w:cs="Arial"/>
                <w:sz w:val="20"/>
                <w:szCs w:val="20"/>
              </w:rPr>
            </w:pPr>
            <w:r w:rsidRPr="005A5EC6">
              <w:rPr>
                <w:rFonts w:cs="Arial"/>
                <w:sz w:val="20"/>
                <w:szCs w:val="20"/>
              </w:rPr>
              <w:t>Bogenschutz (2019)</w:t>
            </w:r>
          </w:p>
        </w:tc>
        <w:tc>
          <w:tcPr>
            <w:tcW w:w="302"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1C069CC4" wp14:editId="44B8D8AE">
                  <wp:extent cx="158237" cy="130313"/>
                  <wp:effectExtent l="0" t="0" r="0" b="3175"/>
                  <wp:docPr id="47" name="Picture 47"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025D5E03" wp14:editId="52EC418D">
                  <wp:extent cx="158237" cy="130313"/>
                  <wp:effectExtent l="0" t="0" r="0" b="3175"/>
                  <wp:docPr id="48" name="Picture 48"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4C9B9B5C" wp14:editId="08A400CD">
                  <wp:extent cx="158237" cy="130313"/>
                  <wp:effectExtent l="0" t="0" r="0" b="3175"/>
                  <wp:docPr id="49" name="Picture 49"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16BF6CED" wp14:editId="48C27945">
                  <wp:extent cx="158237" cy="130313"/>
                  <wp:effectExtent l="0" t="0" r="0" b="3175"/>
                  <wp:docPr id="50" name="Picture 50"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noProof/>
                <w:sz w:val="18"/>
                <w:szCs w:val="18"/>
                <w:lang w:eastAsia="en-AU"/>
              </w:rPr>
            </w:pPr>
            <w:r w:rsidRPr="005A5EC6">
              <w:rPr>
                <w:rFonts w:cs="Arial"/>
                <w:sz w:val="18"/>
                <w:szCs w:val="18"/>
              </w:rPr>
              <w:t>+/−</w:t>
            </w:r>
          </w:p>
        </w:tc>
        <w:tc>
          <w:tcPr>
            <w:tcW w:w="302" w:type="pct"/>
            <w:noWrap/>
          </w:tcPr>
          <w:p w:rsidR="00F91147" w:rsidRPr="005A5EC6" w:rsidRDefault="00F91147" w:rsidP="00A826E0">
            <w:pPr>
              <w:rPr>
                <w:rFonts w:cs="Arial"/>
                <w:sz w:val="20"/>
                <w:szCs w:val="20"/>
              </w:rPr>
            </w:pPr>
            <w:r w:rsidRPr="005A5EC6">
              <w:rPr>
                <w:rFonts w:cs="Arial"/>
                <w:sz w:val="18"/>
                <w:szCs w:val="18"/>
              </w:rPr>
              <w:t>+/−</w:t>
            </w:r>
          </w:p>
        </w:tc>
        <w:tc>
          <w:tcPr>
            <w:tcW w:w="302" w:type="pct"/>
            <w:noWrap/>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67B3163E" wp14:editId="5C6941FB">
                  <wp:extent cx="158237" cy="130313"/>
                  <wp:effectExtent l="0" t="0" r="0" b="3175"/>
                  <wp:docPr id="51" name="Picture 51"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4D1524E2" wp14:editId="3F34BEC1">
                  <wp:extent cx="158237" cy="130313"/>
                  <wp:effectExtent l="0" t="0" r="0" b="3175"/>
                  <wp:docPr id="52" name="Picture 52"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6586C4FB" wp14:editId="7E3FCD56">
                  <wp:extent cx="158237" cy="130313"/>
                  <wp:effectExtent l="0" t="0" r="0" b="3175"/>
                  <wp:docPr id="53" name="Picture 53"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70B55B9E" wp14:editId="7888B481">
                  <wp:extent cx="158237" cy="130313"/>
                  <wp:effectExtent l="0" t="0" r="0" b="3175"/>
                  <wp:docPr id="54" name="Picture 54"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20"/>
                <w:szCs w:val="20"/>
              </w:rPr>
            </w:pPr>
          </w:p>
        </w:tc>
      </w:tr>
      <w:tr w:rsidR="00F91147" w:rsidRPr="005A5EC6" w:rsidTr="00F91147">
        <w:trPr>
          <w:trHeight w:val="320"/>
        </w:trPr>
        <w:tc>
          <w:tcPr>
            <w:tcW w:w="1539" w:type="pct"/>
            <w:noWrap/>
          </w:tcPr>
          <w:p w:rsidR="00F91147" w:rsidRPr="005A5EC6" w:rsidRDefault="00F91147" w:rsidP="00A826E0">
            <w:pPr>
              <w:rPr>
                <w:rFonts w:cs="Arial"/>
                <w:sz w:val="20"/>
                <w:szCs w:val="20"/>
              </w:rPr>
            </w:pPr>
            <w:r w:rsidRPr="005A5EC6">
              <w:rPr>
                <w:rFonts w:cs="Arial"/>
                <w:sz w:val="20"/>
                <w:szCs w:val="20"/>
              </w:rPr>
              <w:t>Collings (2018)</w:t>
            </w:r>
          </w:p>
        </w:tc>
        <w:tc>
          <w:tcPr>
            <w:tcW w:w="302"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2F81BFA9" wp14:editId="1FA2878B">
                  <wp:extent cx="158237" cy="130313"/>
                  <wp:effectExtent l="0" t="0" r="0" b="3175"/>
                  <wp:docPr id="56" name="Picture 56"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3936AE79" wp14:editId="01D01CAC">
                  <wp:extent cx="158237" cy="130313"/>
                  <wp:effectExtent l="0" t="0" r="0" b="3175"/>
                  <wp:docPr id="57" name="Picture 57"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27E89541" wp14:editId="20B29CE2">
                  <wp:extent cx="158237" cy="130313"/>
                  <wp:effectExtent l="0" t="0" r="0" b="3175"/>
                  <wp:docPr id="58" name="Picture 58"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7F395267" wp14:editId="551B447C">
                  <wp:extent cx="158237" cy="130313"/>
                  <wp:effectExtent l="0" t="0" r="0" b="3175"/>
                  <wp:docPr id="59" name="Picture 59"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121F27AF" wp14:editId="504227DC">
                  <wp:extent cx="158237" cy="130313"/>
                  <wp:effectExtent l="0" t="0" r="0" b="3175"/>
                  <wp:docPr id="60" name="Picture 60"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tcPr>
          <w:p w:rsidR="00F91147" w:rsidRPr="005A5EC6" w:rsidRDefault="00F91147" w:rsidP="00A826E0">
            <w:pPr>
              <w:rPr>
                <w:rFonts w:cs="Arial"/>
                <w:sz w:val="20"/>
                <w:szCs w:val="20"/>
              </w:rPr>
            </w:pPr>
            <w:r w:rsidRPr="005A5EC6">
              <w:rPr>
                <w:rFonts w:cs="Arial"/>
                <w:sz w:val="18"/>
                <w:szCs w:val="18"/>
              </w:rPr>
              <w:t>+/−</w:t>
            </w:r>
          </w:p>
        </w:tc>
        <w:tc>
          <w:tcPr>
            <w:tcW w:w="302" w:type="pct"/>
            <w:noWrap/>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1500011C" wp14:editId="3C374F03">
                  <wp:extent cx="158237" cy="130313"/>
                  <wp:effectExtent l="0" t="0" r="0" b="3175"/>
                  <wp:docPr id="61" name="Picture 61"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30DEF6A4" wp14:editId="74A8AF2B">
                  <wp:extent cx="158237" cy="130313"/>
                  <wp:effectExtent l="0" t="0" r="0" b="3175"/>
                  <wp:docPr id="62" name="Picture 62" descr="tetx box with symbv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tcPr>
          <w:p w:rsidR="00F91147" w:rsidRPr="005A5EC6" w:rsidRDefault="00F91147" w:rsidP="00A826E0">
            <w:pPr>
              <w:rPr>
                <w:rFonts w:cs="Arial"/>
                <w:noProof/>
                <w:sz w:val="18"/>
                <w:szCs w:val="18"/>
                <w:lang w:eastAsia="en-AU"/>
              </w:rPr>
            </w:pPr>
            <w:r w:rsidRPr="005A5EC6">
              <w:rPr>
                <w:rFonts w:cs="Arial"/>
                <w:noProof/>
                <w:sz w:val="18"/>
                <w:szCs w:val="18"/>
                <w:lang w:val="en-AU" w:eastAsia="en-AU"/>
              </w:rPr>
              <w:drawing>
                <wp:inline distT="0" distB="0" distL="0" distR="0" wp14:anchorId="0654EA4D" wp14:editId="02AD522F">
                  <wp:extent cx="158237" cy="130313"/>
                  <wp:effectExtent l="0" t="0" r="0" b="3175"/>
                  <wp:docPr id="63" name="Picture 63"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4E36901E" wp14:editId="1E43ADD6">
                  <wp:extent cx="158237" cy="130313"/>
                  <wp:effectExtent l="0" t="0" r="0" b="3175"/>
                  <wp:docPr id="64" name="Picture 64"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tcPr>
          <w:p w:rsidR="00F91147" w:rsidRPr="005A5EC6" w:rsidRDefault="00F91147" w:rsidP="00A826E0">
            <w:pPr>
              <w:rPr>
                <w:rFonts w:cs="Arial"/>
                <w:sz w:val="20"/>
                <w:szCs w:val="20"/>
              </w:rPr>
            </w:pPr>
          </w:p>
        </w:tc>
      </w:tr>
      <w:tr w:rsidR="00F91147" w:rsidRPr="005A5EC6" w:rsidTr="00F91147">
        <w:trPr>
          <w:trHeight w:val="320"/>
        </w:trPr>
        <w:tc>
          <w:tcPr>
            <w:tcW w:w="1539" w:type="pct"/>
            <w:noWrap/>
            <w:hideMark/>
          </w:tcPr>
          <w:p w:rsidR="00F91147" w:rsidRPr="005A5EC6" w:rsidRDefault="00F91147" w:rsidP="00A826E0">
            <w:pPr>
              <w:rPr>
                <w:rFonts w:cs="Arial"/>
                <w:sz w:val="20"/>
                <w:szCs w:val="20"/>
              </w:rPr>
            </w:pPr>
            <w:r w:rsidRPr="005A5EC6">
              <w:rPr>
                <w:rFonts w:cs="Arial"/>
                <w:sz w:val="20"/>
                <w:szCs w:val="20"/>
              </w:rPr>
              <w:t>Mahoney (2019)</w:t>
            </w:r>
          </w:p>
        </w:tc>
        <w:tc>
          <w:tcPr>
            <w:tcW w:w="302"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2570BA8B" wp14:editId="70B12B21">
                  <wp:extent cx="158237" cy="130313"/>
                  <wp:effectExtent l="0" t="0" r="0" b="3175"/>
                  <wp:docPr id="26" name="Picture 26"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57D07983" wp14:editId="73D27F69">
                  <wp:extent cx="158237" cy="130313"/>
                  <wp:effectExtent l="0" t="0" r="0" b="3175"/>
                  <wp:docPr id="27" name="Picture 27"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6D6EE3C4" wp14:editId="5224C386">
                  <wp:extent cx="158237" cy="130313"/>
                  <wp:effectExtent l="0" t="0" r="0" b="3175"/>
                  <wp:docPr id="28" name="Picture 28"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676DC61E" wp14:editId="79564FF3">
                  <wp:extent cx="158237" cy="130313"/>
                  <wp:effectExtent l="0" t="0" r="0" b="3175"/>
                  <wp:docPr id="29" name="Picture 29"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7F46226C" wp14:editId="40A380E5">
                  <wp:extent cx="158237" cy="130313"/>
                  <wp:effectExtent l="0" t="0" r="0" b="3175"/>
                  <wp:docPr id="30" name="Picture 30"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02" w:type="pct"/>
            <w:noWrap/>
            <w:hideMark/>
          </w:tcPr>
          <w:p w:rsidR="00F91147" w:rsidRPr="005A5EC6" w:rsidRDefault="00F91147" w:rsidP="00A826E0">
            <w:pPr>
              <w:rPr>
                <w:rFonts w:cs="Arial"/>
                <w:sz w:val="20"/>
                <w:szCs w:val="20"/>
              </w:rPr>
            </w:pPr>
            <w:r w:rsidRPr="005A5EC6">
              <w:rPr>
                <w:rFonts w:cs="Arial"/>
                <w:sz w:val="18"/>
                <w:szCs w:val="18"/>
              </w:rPr>
              <w:t>+/−</w:t>
            </w:r>
          </w:p>
        </w:tc>
        <w:tc>
          <w:tcPr>
            <w:tcW w:w="302" w:type="pct"/>
            <w:noWrap/>
            <w:hideMark/>
          </w:tcPr>
          <w:p w:rsidR="00F91147" w:rsidRPr="005A5EC6" w:rsidRDefault="00F91147" w:rsidP="00A826E0">
            <w:pPr>
              <w:rPr>
                <w:rFonts w:cs="Arial"/>
                <w:sz w:val="20"/>
                <w:szCs w:val="20"/>
              </w:rPr>
            </w:pPr>
            <w:r w:rsidRPr="005A5EC6">
              <w:rPr>
                <w:rFonts w:cs="Arial"/>
                <w:sz w:val="18"/>
                <w:szCs w:val="18"/>
              </w:rPr>
              <w:t>+/−</w:t>
            </w:r>
          </w:p>
        </w:tc>
        <w:tc>
          <w:tcPr>
            <w:tcW w:w="295"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5B94AE2D" wp14:editId="71EADE25">
                  <wp:extent cx="158237" cy="130313"/>
                  <wp:effectExtent l="0" t="0" r="0" b="3175"/>
                  <wp:docPr id="31" name="Picture 31"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295"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5A591D90" wp14:editId="27CFFB59">
                  <wp:extent cx="158237" cy="130313"/>
                  <wp:effectExtent l="0" t="0" r="0" b="3175"/>
                  <wp:docPr id="32" name="Picture 32"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hideMark/>
          </w:tcPr>
          <w:p w:rsidR="00F91147" w:rsidRPr="005A5EC6" w:rsidRDefault="00F91147" w:rsidP="00A826E0">
            <w:pPr>
              <w:rPr>
                <w:rFonts w:cs="Arial"/>
                <w:sz w:val="20"/>
                <w:szCs w:val="20"/>
              </w:rPr>
            </w:pPr>
            <w:r w:rsidRPr="005A5EC6">
              <w:rPr>
                <w:rFonts w:cs="Arial"/>
                <w:noProof/>
                <w:sz w:val="18"/>
                <w:szCs w:val="18"/>
                <w:lang w:val="en-AU" w:eastAsia="en-AU"/>
              </w:rPr>
              <w:drawing>
                <wp:inline distT="0" distB="0" distL="0" distR="0" wp14:anchorId="70EA5D98" wp14:editId="6A158F5F">
                  <wp:extent cx="158237" cy="130313"/>
                  <wp:effectExtent l="0" t="0" r="0" b="3175"/>
                  <wp:docPr id="55" name="Picture 55"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p>
        </w:tc>
        <w:tc>
          <w:tcPr>
            <w:tcW w:w="385" w:type="pct"/>
            <w:noWrap/>
            <w:hideMark/>
          </w:tcPr>
          <w:p w:rsidR="00F91147" w:rsidRPr="005A5EC6" w:rsidRDefault="00F91147" w:rsidP="00A826E0">
            <w:pPr>
              <w:rPr>
                <w:rFonts w:cs="Arial"/>
                <w:sz w:val="20"/>
                <w:szCs w:val="20"/>
              </w:rPr>
            </w:pPr>
          </w:p>
        </w:tc>
      </w:tr>
    </w:tbl>
    <w:p w:rsidR="00F91147" w:rsidRPr="005A5EC6" w:rsidRDefault="00F91147" w:rsidP="00F91147">
      <w:pPr>
        <w:rPr>
          <w:rFonts w:cs="Arial"/>
        </w:rPr>
      </w:pPr>
    </w:p>
    <w:p w:rsidR="00F91147" w:rsidRPr="005A5EC6" w:rsidRDefault="00F91147" w:rsidP="00F91147">
      <w:pPr>
        <w:spacing w:line="276" w:lineRule="auto"/>
        <w:rPr>
          <w:rFonts w:cs="Arial"/>
          <w:sz w:val="18"/>
          <w:szCs w:val="18"/>
        </w:rPr>
      </w:pPr>
      <w:r w:rsidRPr="005A5EC6">
        <w:rPr>
          <w:rFonts w:cs="Arial"/>
          <w:sz w:val="18"/>
          <w:szCs w:val="18"/>
          <w:vertAlign w:val="superscript"/>
        </w:rPr>
        <w:t xml:space="preserve">a </w:t>
      </w:r>
      <w:r w:rsidRPr="005A5EC6">
        <w:rPr>
          <w:rFonts w:cs="Arial"/>
          <w:sz w:val="18"/>
          <w:szCs w:val="18"/>
        </w:rPr>
        <w:t xml:space="preserve">Questions for systematic review: Q1 = “Did the review address a clearly focused question?”, Q2 “Did the authors look for the right type of papers?”, Q3 “Do you think all the important, relevant studies were included?”, Q4 “ Did the review’s authors do enough to assess quality of the included studies?”, Q5 “If the results of the review have been combined, was it reasonable to do so?”, Q6 “ What are the overall results of the review?”, Q7 “How precise are the results?”, Q 8 “ Can the results be applied to the local population?”, Q9 “ Were all important outcomes considered?”, Q 10 Are the benefits worth the harms and costs?” </w:t>
      </w:r>
    </w:p>
    <w:p w:rsidR="00F91147" w:rsidRPr="005A5EC6" w:rsidRDefault="00F91147" w:rsidP="00F91147">
      <w:pPr>
        <w:spacing w:line="276" w:lineRule="auto"/>
        <w:rPr>
          <w:rFonts w:cs="Arial"/>
          <w:sz w:val="18"/>
          <w:szCs w:val="18"/>
        </w:rPr>
      </w:pPr>
      <w:r w:rsidRPr="005A5EC6">
        <w:rPr>
          <w:rFonts w:cs="Arial"/>
          <w:sz w:val="18"/>
          <w:szCs w:val="18"/>
          <w:vertAlign w:val="superscript"/>
        </w:rPr>
        <w:t xml:space="preserve">b </w:t>
      </w:r>
      <w:r w:rsidRPr="005A5EC6">
        <w:rPr>
          <w:rFonts w:cs="Arial"/>
          <w:sz w:val="18"/>
          <w:szCs w:val="18"/>
        </w:rPr>
        <w:t>Questions for randomized controlled trials assessment: Q1 = “Did the trial address a clearly focused issue?”, Q2 = “Was the assignment of patients to treatments randomized?”, Q3 = “Were all of the patients who entered the trial properly accounted for at its conclusion?”, Q4 = “Were patients, health workers and study personnel ‘blind’ to treatment? ”, Q5 = “Were the groups similar at the start of the trial?”, Q6 = “Aside from the experimental intervention, were the groups treated equally? ”, Q7 = “How large was the treatment effect? ”, Q8 = “How precise was the estimate of the treatment effect?”, Q9 = “Can the results be applied to the local population, or in your context? ”, Q10 = “Were all clinically important outcomes considered? ”, Q11 = “Are the benefits worth the harms and costs? ”</w:t>
      </w:r>
    </w:p>
    <w:p w:rsidR="00F91147" w:rsidRPr="005A5EC6" w:rsidRDefault="00F91147" w:rsidP="00F91147">
      <w:pPr>
        <w:spacing w:line="276" w:lineRule="auto"/>
        <w:rPr>
          <w:rFonts w:cs="Arial"/>
          <w:sz w:val="18"/>
          <w:szCs w:val="18"/>
        </w:rPr>
      </w:pPr>
      <w:r w:rsidRPr="005A5EC6">
        <w:rPr>
          <w:rFonts w:cs="Arial"/>
          <w:sz w:val="18"/>
          <w:szCs w:val="18"/>
          <w:vertAlign w:val="superscript"/>
        </w:rPr>
        <w:t xml:space="preserve">c </w:t>
      </w:r>
      <w:r w:rsidRPr="005A5EC6">
        <w:rPr>
          <w:rFonts w:cs="Arial"/>
          <w:sz w:val="18"/>
          <w:szCs w:val="18"/>
        </w:rPr>
        <w:t xml:space="preserve">Questions for qualitative studies assessment: Q1 = “Was there a clear statement of the aims of the research?”, Q2 = “Is a qualitative methodology appropriate?”, Q3 = “Was the research design appropriate to address the aims of the research?”, Q4 = “Was the recruitment strategy appropriate to the aims of the research? ”, Q5 = “Was the data collected in a way that addressed the research issue? ”, Q6 = “Has the relationship between researcher and participants been adequately considered? ”, Q7 = “Have ethical issues been taken into consideration? ”, Q8 = “Was the data analysis sufficiently rigorous? ”, Q9 = “Is there a clear statement of findings? ”, Q10 = “How valuable is the research? ”. </w:t>
      </w:r>
    </w:p>
    <w:p w:rsidR="00F91147" w:rsidRPr="005A5EC6" w:rsidRDefault="00F91147" w:rsidP="00F91147">
      <w:pPr>
        <w:spacing w:line="276" w:lineRule="auto"/>
        <w:rPr>
          <w:rFonts w:cs="Arial"/>
          <w:sz w:val="18"/>
          <w:szCs w:val="18"/>
        </w:rPr>
      </w:pPr>
      <w:r w:rsidRPr="005A5EC6">
        <w:rPr>
          <w:rFonts w:cs="Arial"/>
          <w:sz w:val="18"/>
          <w:szCs w:val="18"/>
        </w:rPr>
        <w:t xml:space="preserve">Answers legend: </w:t>
      </w:r>
      <w:r w:rsidRPr="005A5EC6">
        <w:rPr>
          <w:rFonts w:cs="Arial"/>
          <w:noProof/>
          <w:sz w:val="18"/>
          <w:szCs w:val="18"/>
          <w:lang w:val="en-AU" w:eastAsia="en-AU"/>
        </w:rPr>
        <w:drawing>
          <wp:inline distT="0" distB="0" distL="0" distR="0" wp14:anchorId="582A12CA" wp14:editId="611FC312">
            <wp:extent cx="158237" cy="130313"/>
            <wp:effectExtent l="0" t="0" r="0" b="3175"/>
            <wp:docPr id="88" name="Picture 88" descr="text box with symbol for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1 at 3.29.00 pm.png"/>
                    <pic:cNvPicPr/>
                  </pic:nvPicPr>
                  <pic:blipFill>
                    <a:blip r:embed="rId46">
                      <a:extLst>
                        <a:ext uri="{28A0092B-C50C-407E-A947-70E740481C1C}">
                          <a14:useLocalDpi xmlns:a14="http://schemas.microsoft.com/office/drawing/2010/main" val="0"/>
                        </a:ext>
                      </a:extLst>
                    </a:blip>
                    <a:stretch>
                      <a:fillRect/>
                    </a:stretch>
                  </pic:blipFill>
                  <pic:spPr>
                    <a:xfrm>
                      <a:off x="0" y="0"/>
                      <a:ext cx="171031" cy="140849"/>
                    </a:xfrm>
                    <a:prstGeom prst="rect">
                      <a:avLst/>
                    </a:prstGeom>
                  </pic:spPr>
                </pic:pic>
              </a:graphicData>
            </a:graphic>
          </wp:inline>
        </w:drawing>
      </w:r>
      <w:r w:rsidRPr="005A5EC6">
        <w:rPr>
          <w:rFonts w:cs="Arial"/>
          <w:sz w:val="18"/>
          <w:szCs w:val="18"/>
        </w:rPr>
        <w:t xml:space="preserve">  = yes or strong;  </w:t>
      </w:r>
      <w:r w:rsidRPr="005A5EC6">
        <w:rPr>
          <w:rFonts w:cs="Arial"/>
          <w:noProof/>
          <w:sz w:val="18"/>
          <w:szCs w:val="18"/>
          <w:lang w:val="en-AU" w:eastAsia="en-AU"/>
        </w:rPr>
        <w:drawing>
          <wp:inline distT="0" distB="0" distL="0" distR="0" wp14:anchorId="1A8B74C4" wp14:editId="730B33E7">
            <wp:extent cx="136525" cy="128724"/>
            <wp:effectExtent l="0" t="0" r="0" b="5080"/>
            <wp:docPr id="67" name="Picture 67" descr="text boc with symbol for w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21 at 3.29.20 pm.png"/>
                    <pic:cNvPicPr/>
                  </pic:nvPicPr>
                  <pic:blipFill>
                    <a:blip r:embed="rId47">
                      <a:extLst>
                        <a:ext uri="{28A0092B-C50C-407E-A947-70E740481C1C}">
                          <a14:useLocalDpi xmlns:a14="http://schemas.microsoft.com/office/drawing/2010/main" val="0"/>
                        </a:ext>
                      </a:extLst>
                    </a:blip>
                    <a:stretch>
                      <a:fillRect/>
                    </a:stretch>
                  </pic:blipFill>
                  <pic:spPr>
                    <a:xfrm>
                      <a:off x="0" y="0"/>
                      <a:ext cx="158617" cy="149553"/>
                    </a:xfrm>
                    <a:prstGeom prst="rect">
                      <a:avLst/>
                    </a:prstGeom>
                  </pic:spPr>
                </pic:pic>
              </a:graphicData>
            </a:graphic>
          </wp:inline>
        </w:drawing>
      </w:r>
      <w:r w:rsidRPr="005A5EC6">
        <w:rPr>
          <w:rFonts w:cs="Arial"/>
          <w:sz w:val="18"/>
          <w:szCs w:val="18"/>
        </w:rPr>
        <w:t xml:space="preserve"> = no or weak; +/− = can’t tell; NA = not applicable</w:t>
      </w:r>
    </w:p>
    <w:p w:rsidR="00F91147" w:rsidRPr="005A5EC6" w:rsidRDefault="00F91147" w:rsidP="00F91147">
      <w:pPr>
        <w:rPr>
          <w:rFonts w:cs="Arial"/>
        </w:rPr>
      </w:pPr>
    </w:p>
    <w:sectPr w:rsidR="00F91147" w:rsidRPr="005A5EC6" w:rsidSect="00764F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FB6" w:rsidRDefault="00EF4FB6" w:rsidP="007219F1">
      <w:pPr>
        <w:spacing w:after="0" w:line="240" w:lineRule="auto"/>
      </w:pPr>
      <w:r>
        <w:separator/>
      </w:r>
    </w:p>
    <w:p w:rsidR="00EF4FB6" w:rsidRDefault="00EF4FB6"/>
  </w:endnote>
  <w:endnote w:type="continuationSeparator" w:id="0">
    <w:p w:rsidR="00EF4FB6" w:rsidRDefault="00EF4FB6" w:rsidP="007219F1">
      <w:pPr>
        <w:spacing w:after="0" w:line="240" w:lineRule="auto"/>
      </w:pPr>
      <w:r>
        <w:continuationSeparator/>
      </w:r>
    </w:p>
    <w:p w:rsidR="00EF4FB6" w:rsidRDefault="00EF4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796024"/>
      <w:docPartObj>
        <w:docPartGallery w:val="Page Numbers (Bottom of Page)"/>
        <w:docPartUnique/>
      </w:docPartObj>
    </w:sdtPr>
    <w:sdtEndPr>
      <w:rPr>
        <w:rStyle w:val="PageNumber"/>
      </w:rPr>
    </w:sdtEndPr>
    <w:sdtContent>
      <w:p w:rsidR="00EF4FB6" w:rsidRDefault="004B494E" w:rsidP="008808FE">
        <w:pPr>
          <w:pStyle w:val="Footer"/>
          <w:framePr w:wrap="none" w:vAnchor="text" w:hAnchor="margin" w:xAlign="right" w:y="1"/>
          <w:rPr>
            <w:rStyle w:val="PageNumber"/>
          </w:rPr>
        </w:pPr>
      </w:p>
    </w:sdtContent>
  </w:sdt>
  <w:p w:rsidR="00EF4FB6" w:rsidRDefault="00EF4FB6" w:rsidP="00880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790534"/>
      <w:docPartObj>
        <w:docPartGallery w:val="Page Numbers (Bottom of Page)"/>
        <w:docPartUnique/>
      </w:docPartObj>
    </w:sdtPr>
    <w:sdtEndPr>
      <w:rPr>
        <w:noProof/>
      </w:rPr>
    </w:sdtEndPr>
    <w:sdtContent>
      <w:p w:rsidR="0035716E" w:rsidRPr="007219F1" w:rsidRDefault="0035716E" w:rsidP="004B494E">
        <w:pPr>
          <w:spacing w:after="600"/>
          <w:ind w:left="3600" w:hanging="1838"/>
          <w:rPr>
            <w:rFonts w:ascii="FS Me Light" w:hAnsi="FS Me Light"/>
            <w:color w:val="5E2D73"/>
            <w:sz w:val="32"/>
            <w:szCs w:val="32"/>
          </w:rPr>
        </w:pPr>
        <w:r w:rsidRPr="00FB5514">
          <w:rPr>
            <w:rFonts w:cs="Arial"/>
            <w:b/>
            <w:color w:val="5E2D73"/>
            <w:sz w:val="32"/>
            <w:szCs w:val="32"/>
          </w:rPr>
          <w:t>ndis.gov.au</w:t>
        </w:r>
        <w:r w:rsidRPr="00FB5514">
          <w:rPr>
            <w:rFonts w:cs="Arial"/>
            <w:b/>
            <w:color w:val="5E2D73"/>
            <w:sz w:val="32"/>
            <w:szCs w:val="32"/>
          </w:rPr>
          <w:ptab w:relativeTo="margin" w:alignment="center" w:leader="none"/>
        </w:r>
        <w:r w:rsidR="000F5124">
          <w:t xml:space="preserve"> </w:t>
        </w:r>
        <w:r w:rsidR="000F5124" w:rsidRPr="000F5124">
          <w:rPr>
            <w:sz w:val="16"/>
            <w:szCs w:val="16"/>
          </w:rPr>
          <w:t>July 2020 | International Models of Support Coordination and Local Area Coordination:Evidence Review Report</w:t>
        </w:r>
        <w:r w:rsidRPr="000F5124">
          <w:rPr>
            <w:rFonts w:ascii="FS Me Light" w:hAnsi="FS Me Light"/>
            <w:color w:val="5E2D73"/>
            <w:sz w:val="16"/>
            <w:szCs w:val="16"/>
          </w:rPr>
          <w:ptab w:relativeTo="margin" w:alignment="right" w:leader="none"/>
        </w:r>
      </w:p>
      <w:p w:rsidR="00EF4FB6" w:rsidRDefault="00EF4FB6">
        <w:pPr>
          <w:pStyle w:val="Footer"/>
          <w:jc w:val="right"/>
        </w:pPr>
        <w:r>
          <w:fldChar w:fldCharType="begin"/>
        </w:r>
        <w:r>
          <w:instrText xml:space="preserve"> PAGE   \* MERGEFORMAT </w:instrText>
        </w:r>
        <w:r>
          <w:fldChar w:fldCharType="separate"/>
        </w:r>
        <w:r w:rsidR="004B494E">
          <w:rPr>
            <w:noProof/>
          </w:rPr>
          <w:t>10</w:t>
        </w:r>
        <w:r>
          <w:rPr>
            <w:noProof/>
          </w:rPr>
          <w:fldChar w:fldCharType="end"/>
        </w:r>
      </w:p>
    </w:sdtContent>
  </w:sdt>
  <w:p w:rsidR="00EF4FB6" w:rsidRDefault="0035716E">
    <w:r w:rsidRPr="00FB5514">
      <w:rPr>
        <w:rFonts w:cs="Arial"/>
        <w:b/>
        <w:noProof/>
        <w:lang w:val="en-AU" w:eastAsia="en-AU"/>
      </w:rPr>
      <w:drawing>
        <wp:inline distT="0" distB="0" distL="0" distR="0" wp14:anchorId="7C191B83" wp14:editId="6A417A4E">
          <wp:extent cx="1536065" cy="798195"/>
          <wp:effectExtent l="0" t="0" r="6985" b="1905"/>
          <wp:docPr id="22" name="Picture 2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B6" w:rsidRPr="00980C50" w:rsidRDefault="00EF4FB6" w:rsidP="00FB5514">
    <w:pPr>
      <w:spacing w:after="600"/>
    </w:pP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rPr>
        <w:sz w:val="16"/>
        <w:szCs w:val="16"/>
      </w:rPr>
      <w:t>July</w:t>
    </w:r>
    <w:r w:rsidRPr="00DE34C3">
      <w:rPr>
        <w:sz w:val="16"/>
        <w:szCs w:val="16"/>
      </w:rPr>
      <w:t xml:space="preserve"> 2020 | International Models of Support Coordination and Local Area Coordination:  Evidence Review Report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020832"/>
      <w:docPartObj>
        <w:docPartGallery w:val="Page Numbers (Bottom of Page)"/>
        <w:docPartUnique/>
      </w:docPartObj>
    </w:sdtPr>
    <w:sdtEndPr>
      <w:rPr>
        <w:noProof/>
      </w:rPr>
    </w:sdtEndPr>
    <w:sdtContent>
      <w:p w:rsidR="00EF4FB6" w:rsidRDefault="00EF4FB6">
        <w:pPr>
          <w:pStyle w:val="Footer"/>
          <w:jc w:val="right"/>
        </w:pPr>
        <w:r>
          <w:fldChar w:fldCharType="begin"/>
        </w:r>
        <w:r>
          <w:instrText xml:space="preserve"> PAGE   \* MERGEFORMAT </w:instrText>
        </w:r>
        <w:r>
          <w:fldChar w:fldCharType="separate"/>
        </w:r>
        <w:r w:rsidR="004B494E">
          <w:rPr>
            <w:noProof/>
          </w:rPr>
          <w:t>69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B6" w:rsidRPr="00F9484F" w:rsidRDefault="00EF4FB6" w:rsidP="00FB5514">
    <w:pPr>
      <w:spacing w:after="600"/>
    </w:pPr>
    <w:r w:rsidRPr="00FB5514">
      <w:rPr>
        <w:rFonts w:cs="Arial"/>
        <w:b/>
        <w:noProof/>
        <w:lang w:val="en-AU" w:eastAsia="en-AU"/>
      </w:rPr>
      <w:drawing>
        <wp:inline distT="0" distB="0" distL="0" distR="0">
          <wp:extent cx="1536065" cy="798195"/>
          <wp:effectExtent l="0" t="0" r="6985" b="1905"/>
          <wp:docPr id="7" name="Picture 7" descr="Table showing International Models of Support Coordination and Local Area Coord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inline>
      </w:drawing>
    </w:r>
    <w:r w:rsidRPr="00FB5514">
      <w:rPr>
        <w:rFonts w:cs="Arial"/>
        <w:b/>
        <w:color w:val="5E2D73"/>
        <w:sz w:val="32"/>
        <w:szCs w:val="32"/>
      </w:rPr>
      <w:t>ndis.gov.au</w:t>
    </w:r>
    <w:r w:rsidRPr="007219F1">
      <w:t xml:space="preserve"> </w:t>
    </w:r>
    <w:r>
      <w:t>July</w:t>
    </w:r>
    <w:r w:rsidRPr="009642BB">
      <w:t xml:space="preserve"> 2020 | International Models of Support Coordination </w:t>
    </w:r>
    <w:r>
      <w:br/>
    </w:r>
    <w:r w:rsidRPr="009642BB">
      <w:t>and Local Area Coordination:  Evidence Review Report</w:t>
    </w:r>
    <w:r w:rsidRPr="007219F1">
      <w:rPr>
        <w:rFonts w:ascii="FS Me Light" w:hAnsi="FS Me Light"/>
        <w:color w:val="5E2D73"/>
        <w:sz w:val="32"/>
        <w:szCs w:val="3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FB6" w:rsidRDefault="00EF4FB6" w:rsidP="007219F1">
      <w:pPr>
        <w:spacing w:after="0" w:line="240" w:lineRule="auto"/>
      </w:pPr>
      <w:r>
        <w:separator/>
      </w:r>
    </w:p>
    <w:p w:rsidR="00EF4FB6" w:rsidRDefault="00EF4FB6"/>
  </w:footnote>
  <w:footnote w:type="continuationSeparator" w:id="0">
    <w:p w:rsidR="00EF4FB6" w:rsidRDefault="00EF4FB6" w:rsidP="007219F1">
      <w:pPr>
        <w:spacing w:after="0" w:line="240" w:lineRule="auto"/>
      </w:pPr>
      <w:r>
        <w:continuationSeparator/>
      </w:r>
    </w:p>
    <w:p w:rsidR="00EF4FB6" w:rsidRDefault="00EF4FB6"/>
  </w:footnote>
  <w:footnote w:id="1">
    <w:p w:rsidR="00EF4FB6" w:rsidRPr="00221722" w:rsidRDefault="00EF4FB6" w:rsidP="0026509A">
      <w:pPr>
        <w:pStyle w:val="FootnoteText"/>
        <w:rPr>
          <w:lang w:val="en-AU"/>
        </w:rPr>
      </w:pPr>
      <w:r>
        <w:rPr>
          <w:rStyle w:val="FootnoteReference"/>
        </w:rPr>
        <w:footnoteRef/>
      </w:r>
      <w:r>
        <w:t xml:space="preserve"> </w:t>
      </w:r>
      <w:r>
        <w:rPr>
          <w:lang w:val="en-AU"/>
        </w:rPr>
        <w:t>Please note that one of the reports compares LACs in Thurrock and Derby City Councils</w:t>
      </w:r>
    </w:p>
  </w:footnote>
  <w:footnote w:id="2">
    <w:p w:rsidR="00EF4FB6" w:rsidRPr="00B549D6" w:rsidRDefault="00EF4FB6" w:rsidP="0026509A">
      <w:pPr>
        <w:pStyle w:val="FootnoteText"/>
        <w:rPr>
          <w:lang w:val="en-AU"/>
        </w:rPr>
      </w:pPr>
      <w:r>
        <w:rPr>
          <w:rStyle w:val="FootnoteReference"/>
        </w:rPr>
        <w:footnoteRef/>
      </w:r>
      <w:r>
        <w:t xml:space="preserve"> “Other </w:t>
      </w:r>
      <w:r w:rsidRPr="00466E83">
        <w:t>services</w:t>
      </w:r>
      <w:r>
        <w:t>” are</w:t>
      </w:r>
      <w:r w:rsidRPr="00466E83">
        <w:t xml:space="preserve"> Adult Social Care, Housing Associations, Police, and Fire brigade. </w:t>
      </w:r>
      <w:r>
        <w:t>“</w:t>
      </w:r>
      <w:r w:rsidRPr="00466E83">
        <w:t>Health practitioners</w:t>
      </w:r>
      <w:r>
        <w:t>”</w:t>
      </w:r>
      <w:r w:rsidRPr="00466E83">
        <w:t xml:space="preserve"> </w:t>
      </w:r>
      <w:r>
        <w:t>refers to</w:t>
      </w:r>
      <w:r w:rsidRPr="00466E83">
        <w:t xml:space="preserve"> GPs, Community Mental Health Teams, and Health Visitors</w:t>
      </w:r>
    </w:p>
  </w:footnote>
  <w:footnote w:id="3">
    <w:p w:rsidR="00EF4FB6" w:rsidRPr="00FB1D92" w:rsidRDefault="00EF4FB6">
      <w:pPr>
        <w:pStyle w:val="FootnoteText"/>
        <w:rPr>
          <w:lang w:val="en-AU"/>
        </w:rPr>
      </w:pPr>
      <w:r>
        <w:rPr>
          <w:rStyle w:val="FootnoteReference"/>
        </w:rPr>
        <w:footnoteRef/>
      </w:r>
      <w:r>
        <w:t xml:space="preserve"> </w:t>
      </w:r>
      <w:r w:rsidRPr="00FB1D92">
        <w:t>Kako E, Sweetland R, Melda K, Coombs E, Smith M, Agosta J. The Balancing Incentive Program: Implementation Manual. San Francisco, CA: Mission Analytics Group, February 2013.</w:t>
      </w:r>
    </w:p>
  </w:footnote>
  <w:footnote w:id="4">
    <w:p w:rsidR="00EF4FB6" w:rsidRPr="0011469C" w:rsidRDefault="00EF4FB6" w:rsidP="00590F5F">
      <w:pPr>
        <w:pStyle w:val="FootnoteText"/>
        <w:rPr>
          <w:sz w:val="18"/>
          <w:szCs w:val="18"/>
          <w:lang w:val="en-AU"/>
        </w:rPr>
      </w:pPr>
      <w:r w:rsidRPr="0011469C">
        <w:rPr>
          <w:rStyle w:val="FootnoteReference"/>
          <w:sz w:val="18"/>
          <w:szCs w:val="18"/>
        </w:rPr>
        <w:footnoteRef/>
      </w:r>
      <w:r w:rsidRPr="0011469C">
        <w:rPr>
          <w:sz w:val="18"/>
          <w:szCs w:val="18"/>
        </w:rPr>
        <w:t xml:space="preserve"> </w:t>
      </w:r>
      <w:hyperlink r:id="rId1" w:history="1">
        <w:r w:rsidRPr="0011469C">
          <w:rPr>
            <w:rStyle w:val="Hyperlink"/>
            <w:sz w:val="18"/>
            <w:szCs w:val="18"/>
          </w:rPr>
          <w:t>https://lacnetwork.org</w:t>
        </w:r>
      </w:hyperlink>
      <w:r w:rsidRPr="0011469C">
        <w:rPr>
          <w:sz w:val="18"/>
          <w:szCs w:val="18"/>
        </w:rPr>
        <w:t xml:space="preserve"> (last accessed on 23/04/2020)</w:t>
      </w:r>
    </w:p>
  </w:footnote>
  <w:footnote w:id="5">
    <w:p w:rsidR="00EF4FB6" w:rsidRPr="003D4803" w:rsidRDefault="00EF4FB6" w:rsidP="00590F5F">
      <w:pPr>
        <w:pStyle w:val="FootnoteText"/>
        <w:rPr>
          <w:sz w:val="18"/>
          <w:szCs w:val="18"/>
        </w:rPr>
      </w:pPr>
      <w:r w:rsidRPr="0011469C">
        <w:rPr>
          <w:rStyle w:val="FootnoteReference"/>
          <w:sz w:val="18"/>
          <w:szCs w:val="18"/>
        </w:rPr>
        <w:footnoteRef/>
      </w:r>
      <w:r w:rsidRPr="0011469C">
        <w:rPr>
          <w:sz w:val="18"/>
          <w:szCs w:val="18"/>
        </w:rPr>
        <w:t xml:space="preserve"> </w:t>
      </w:r>
      <w:hyperlink r:id="rId2" w:history="1">
        <w:r w:rsidRPr="0011469C">
          <w:rPr>
            <w:rStyle w:val="Hyperlink"/>
            <w:sz w:val="18"/>
            <w:szCs w:val="18"/>
          </w:rPr>
          <w:t>http://inclusiveneighbourhoods.co.uk</w:t>
        </w:r>
      </w:hyperlink>
      <w:r w:rsidRPr="0011469C">
        <w:rPr>
          <w:sz w:val="18"/>
          <w:szCs w:val="18"/>
        </w:rPr>
        <w:t xml:space="preserve"> (last accessed on 27/03/2020)</w:t>
      </w:r>
    </w:p>
  </w:footnote>
  <w:footnote w:id="6">
    <w:p w:rsidR="00EF4FB6" w:rsidRPr="0011469C" w:rsidRDefault="00EF4FB6" w:rsidP="00590F5F">
      <w:pPr>
        <w:pStyle w:val="FootnoteText"/>
        <w:rPr>
          <w:sz w:val="18"/>
          <w:szCs w:val="18"/>
          <w:lang w:val="en-AU"/>
        </w:rPr>
      </w:pPr>
      <w:r w:rsidRPr="0011469C">
        <w:rPr>
          <w:rStyle w:val="FootnoteReference"/>
          <w:sz w:val="18"/>
          <w:szCs w:val="18"/>
        </w:rPr>
        <w:footnoteRef/>
      </w:r>
      <w:r w:rsidRPr="0011469C">
        <w:rPr>
          <w:sz w:val="18"/>
          <w:szCs w:val="18"/>
        </w:rPr>
        <w:t xml:space="preserve"> </w:t>
      </w:r>
      <w:hyperlink r:id="rId3" w:history="1">
        <w:r w:rsidRPr="0011469C">
          <w:rPr>
            <w:rStyle w:val="Hyperlink"/>
            <w:sz w:val="18"/>
            <w:szCs w:val="18"/>
          </w:rPr>
          <w:t>https://www.centreforwelfarereform.org/about-us/centre-team/simon-duffy.html</w:t>
        </w:r>
      </w:hyperlink>
      <w:r w:rsidRPr="0011469C">
        <w:rPr>
          <w:sz w:val="18"/>
          <w:szCs w:val="18"/>
        </w:rPr>
        <w:t xml:space="preserve"> (last accessed on 27/03/2020) </w:t>
      </w:r>
    </w:p>
  </w:footnote>
  <w:footnote w:id="7">
    <w:p w:rsidR="00EF4FB6" w:rsidRPr="0011469C" w:rsidRDefault="00EF4FB6" w:rsidP="00590F5F">
      <w:pPr>
        <w:pStyle w:val="FootnoteText"/>
        <w:rPr>
          <w:sz w:val="18"/>
          <w:szCs w:val="18"/>
          <w:lang w:val="en-AU"/>
        </w:rPr>
      </w:pPr>
      <w:r w:rsidRPr="0011469C">
        <w:rPr>
          <w:rStyle w:val="FootnoteReference"/>
          <w:sz w:val="18"/>
          <w:szCs w:val="18"/>
        </w:rPr>
        <w:footnoteRef/>
      </w:r>
      <w:r w:rsidRPr="0011469C">
        <w:rPr>
          <w:sz w:val="18"/>
          <w:szCs w:val="18"/>
        </w:rPr>
        <w:t xml:space="preserve"> </w:t>
      </w:r>
      <w:hyperlink r:id="rId4" w:history="1">
        <w:r w:rsidRPr="0011469C">
          <w:rPr>
            <w:rStyle w:val="Hyperlink"/>
            <w:sz w:val="18"/>
            <w:szCs w:val="18"/>
          </w:rPr>
          <w:t>https://www.kendrickconsulting.org/</w:t>
        </w:r>
      </w:hyperlink>
      <w:r w:rsidRPr="0011469C">
        <w:rPr>
          <w:sz w:val="18"/>
          <w:szCs w:val="18"/>
        </w:rPr>
        <w:t xml:space="preserve"> (last accessed on 27/03/2020) </w:t>
      </w:r>
    </w:p>
  </w:footnote>
  <w:footnote w:id="8">
    <w:p w:rsidR="00EF4FB6" w:rsidRPr="0011469C" w:rsidRDefault="00EF4FB6" w:rsidP="00590F5F">
      <w:pPr>
        <w:pStyle w:val="FootnoteText"/>
        <w:rPr>
          <w:sz w:val="18"/>
          <w:szCs w:val="18"/>
          <w:lang w:val="en-AU"/>
        </w:rPr>
      </w:pPr>
      <w:r w:rsidRPr="0011469C">
        <w:rPr>
          <w:rStyle w:val="FootnoteReference"/>
          <w:sz w:val="18"/>
          <w:szCs w:val="18"/>
        </w:rPr>
        <w:footnoteRef/>
      </w:r>
      <w:r w:rsidRPr="0011469C">
        <w:rPr>
          <w:sz w:val="18"/>
          <w:szCs w:val="18"/>
        </w:rPr>
        <w:t xml:space="preserve"> </w:t>
      </w:r>
      <w:hyperlink r:id="rId5" w:history="1">
        <w:r w:rsidRPr="0011469C">
          <w:rPr>
            <w:rStyle w:val="Hyperlink"/>
            <w:sz w:val="18"/>
            <w:szCs w:val="18"/>
          </w:rPr>
          <w:t>https://www.derby.gov.uk</w:t>
        </w:r>
      </w:hyperlink>
      <w:r w:rsidRPr="0011469C">
        <w:rPr>
          <w:sz w:val="18"/>
          <w:szCs w:val="18"/>
        </w:rPr>
        <w:t xml:space="preserve"> (last accessed on 27/03/2020)</w:t>
      </w:r>
    </w:p>
  </w:footnote>
  <w:footnote w:id="9">
    <w:p w:rsidR="00EF4FB6" w:rsidRPr="0011469C" w:rsidRDefault="00EF4FB6" w:rsidP="00590F5F">
      <w:pPr>
        <w:pStyle w:val="FootnoteText"/>
        <w:rPr>
          <w:sz w:val="18"/>
          <w:szCs w:val="18"/>
          <w:lang w:val="en-AU"/>
        </w:rPr>
      </w:pPr>
      <w:r w:rsidRPr="0011469C">
        <w:rPr>
          <w:rStyle w:val="FootnoteReference"/>
          <w:sz w:val="18"/>
          <w:szCs w:val="18"/>
        </w:rPr>
        <w:footnoteRef/>
      </w:r>
      <w:r w:rsidRPr="0011469C">
        <w:rPr>
          <w:sz w:val="18"/>
          <w:szCs w:val="18"/>
        </w:rPr>
        <w:t xml:space="preserve"> </w:t>
      </w:r>
      <w:hyperlink r:id="rId6" w:history="1">
        <w:r w:rsidRPr="0011469C">
          <w:rPr>
            <w:rStyle w:val="Hyperlink"/>
            <w:sz w:val="18"/>
            <w:szCs w:val="18"/>
          </w:rPr>
          <w:t>https://www.thurrock.gov.uk/local-area-coordinators-help-in-community/overview</w:t>
        </w:r>
      </w:hyperlink>
      <w:r w:rsidRPr="0011469C">
        <w:rPr>
          <w:sz w:val="18"/>
          <w:szCs w:val="18"/>
        </w:rPr>
        <w:t xml:space="preserve"> (last accessed on 27/03/2020) </w:t>
      </w:r>
    </w:p>
  </w:footnote>
  <w:footnote w:id="10">
    <w:p w:rsidR="00EF4FB6" w:rsidRPr="0011469C" w:rsidRDefault="00EF4FB6" w:rsidP="00590F5F">
      <w:pPr>
        <w:pStyle w:val="FootnoteText"/>
        <w:rPr>
          <w:sz w:val="18"/>
          <w:szCs w:val="18"/>
          <w:lang w:val="en-AU"/>
        </w:rPr>
      </w:pPr>
      <w:r w:rsidRPr="0011469C">
        <w:rPr>
          <w:rStyle w:val="FootnoteReference"/>
          <w:sz w:val="18"/>
          <w:szCs w:val="18"/>
        </w:rPr>
        <w:footnoteRef/>
      </w:r>
      <w:r w:rsidRPr="0011469C">
        <w:rPr>
          <w:sz w:val="18"/>
          <w:szCs w:val="18"/>
        </w:rPr>
        <w:t xml:space="preserve"> </w:t>
      </w:r>
      <w:hyperlink r:id="rId7" w:history="1">
        <w:r w:rsidRPr="0011469C">
          <w:rPr>
            <w:rStyle w:val="Hyperlink"/>
            <w:sz w:val="18"/>
            <w:szCs w:val="18"/>
          </w:rPr>
          <w:t>https://www.communitycatalyst.org</w:t>
        </w:r>
      </w:hyperlink>
      <w:r w:rsidRPr="0011469C">
        <w:rPr>
          <w:sz w:val="18"/>
          <w:szCs w:val="18"/>
        </w:rPr>
        <w:t xml:space="preserve"> (last accessed on 27/03/2020) </w:t>
      </w:r>
    </w:p>
  </w:footnote>
  <w:footnote w:id="11">
    <w:p w:rsidR="00EF4FB6" w:rsidRPr="006D1233" w:rsidRDefault="00EF4FB6" w:rsidP="00590F5F">
      <w:pPr>
        <w:pStyle w:val="FootnoteText"/>
        <w:rPr>
          <w:lang w:val="en-AU"/>
        </w:rPr>
      </w:pPr>
      <w:r w:rsidRPr="0011469C">
        <w:rPr>
          <w:rStyle w:val="FootnoteReference"/>
          <w:sz w:val="18"/>
          <w:szCs w:val="18"/>
        </w:rPr>
        <w:footnoteRef/>
      </w:r>
      <w:r w:rsidRPr="0011469C">
        <w:rPr>
          <w:sz w:val="18"/>
          <w:szCs w:val="18"/>
        </w:rPr>
        <w:t xml:space="preserve"> </w:t>
      </w:r>
      <w:hyperlink r:id="rId8" w:history="1">
        <w:r w:rsidRPr="0011469C">
          <w:rPr>
            <w:rStyle w:val="Hyperlink"/>
            <w:sz w:val="18"/>
            <w:szCs w:val="18"/>
          </w:rPr>
          <w:t>https://www.mysupportbroker.com/</w:t>
        </w:r>
      </w:hyperlink>
      <w:r w:rsidRPr="0011469C">
        <w:rPr>
          <w:sz w:val="18"/>
          <w:szCs w:val="18"/>
        </w:rPr>
        <w:t xml:space="preserve"> (last accessed on 27/03/2020)</w:t>
      </w:r>
      <w:r>
        <w:t xml:space="preserve"> </w:t>
      </w:r>
    </w:p>
  </w:footnote>
  <w:footnote w:id="12">
    <w:p w:rsidR="00EF4FB6" w:rsidRPr="0011469C" w:rsidRDefault="00EF4FB6" w:rsidP="00590F5F">
      <w:pPr>
        <w:pStyle w:val="FootnoteText"/>
        <w:rPr>
          <w:lang w:val="en-AU"/>
        </w:rPr>
      </w:pPr>
      <w:r w:rsidRPr="0011469C">
        <w:rPr>
          <w:rStyle w:val="FootnoteReference"/>
          <w:rFonts w:cs="Arial"/>
          <w:sz w:val="18"/>
          <w:szCs w:val="18"/>
        </w:rPr>
        <w:footnoteRef/>
      </w:r>
      <w:r w:rsidRPr="0011469C">
        <w:rPr>
          <w:rFonts w:cs="Arial"/>
          <w:sz w:val="18"/>
          <w:szCs w:val="18"/>
        </w:rPr>
        <w:t xml:space="preserve"> www.covidence.org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4B"/>
    <w:multiLevelType w:val="multilevel"/>
    <w:tmpl w:val="04CED36A"/>
    <w:lvl w:ilvl="0">
      <w:start w:val="1"/>
      <w:numFmt w:val="decimal"/>
      <w:lvlText w:val="%1."/>
      <w:lvlJc w:val="left"/>
      <w:pPr>
        <w:ind w:left="720" w:hanging="720"/>
      </w:pPr>
      <w:rPr>
        <w:rFonts w:hint="default"/>
        <w:color w:val="6A2875"/>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46D751D"/>
    <w:multiLevelType w:val="hybridMultilevel"/>
    <w:tmpl w:val="CAB6345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56D5628"/>
    <w:multiLevelType w:val="hybridMultilevel"/>
    <w:tmpl w:val="D83AE3F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85A6C16"/>
    <w:multiLevelType w:val="hybridMultilevel"/>
    <w:tmpl w:val="B994DF5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9C54FDF"/>
    <w:multiLevelType w:val="hybridMultilevel"/>
    <w:tmpl w:val="AB4AA5B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8EE6668"/>
    <w:multiLevelType w:val="hybridMultilevel"/>
    <w:tmpl w:val="06E28F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8FE634D"/>
    <w:multiLevelType w:val="hybridMultilevel"/>
    <w:tmpl w:val="E140088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B2E4441"/>
    <w:multiLevelType w:val="hybridMultilevel"/>
    <w:tmpl w:val="D0722A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CE762D"/>
    <w:multiLevelType w:val="hybridMultilevel"/>
    <w:tmpl w:val="68BA1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F30EE28">
      <w:start w:val="26"/>
      <w:numFmt w:val="bullet"/>
      <w:lvlText w:val="•"/>
      <w:lvlJc w:val="left"/>
      <w:pPr>
        <w:ind w:left="2520" w:hanging="720"/>
      </w:pPr>
      <w:rPr>
        <w:rFonts w:ascii="Arial" w:eastAsiaTheme="minorEastAsia"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0F1C14"/>
    <w:multiLevelType w:val="hybridMultilevel"/>
    <w:tmpl w:val="C4F8F964"/>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5BE7BC6"/>
    <w:multiLevelType w:val="hybridMultilevel"/>
    <w:tmpl w:val="9250A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64EC7"/>
    <w:multiLevelType w:val="hybridMultilevel"/>
    <w:tmpl w:val="9E86EDB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39FA6C01"/>
    <w:multiLevelType w:val="hybridMultilevel"/>
    <w:tmpl w:val="90241FA0"/>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88B455C"/>
    <w:multiLevelType w:val="hybridMultilevel"/>
    <w:tmpl w:val="54C0CD4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A4B71E6"/>
    <w:multiLevelType w:val="hybridMultilevel"/>
    <w:tmpl w:val="F0DA66B4"/>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DF26F72"/>
    <w:multiLevelType w:val="hybridMultilevel"/>
    <w:tmpl w:val="1B18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73836"/>
    <w:multiLevelType w:val="hybridMultilevel"/>
    <w:tmpl w:val="7B8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D6408"/>
    <w:multiLevelType w:val="hybridMultilevel"/>
    <w:tmpl w:val="57D2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B38D8"/>
    <w:multiLevelType w:val="hybridMultilevel"/>
    <w:tmpl w:val="EAC8C36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8AC5BA7"/>
    <w:multiLevelType w:val="hybridMultilevel"/>
    <w:tmpl w:val="B2E8051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9B62D65"/>
    <w:multiLevelType w:val="hybridMultilevel"/>
    <w:tmpl w:val="F2A8B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BA1F02"/>
    <w:multiLevelType w:val="multilevel"/>
    <w:tmpl w:val="FC2E0792"/>
    <w:lvl w:ilvl="0">
      <w:start w:val="1"/>
      <w:numFmt w:val="decimal"/>
      <w:pStyle w:val="Heading2"/>
      <w:lvlText w:val="%1."/>
      <w:lvlJc w:val="left"/>
      <w:pPr>
        <w:ind w:left="720" w:hanging="720"/>
      </w:pPr>
      <w:rPr>
        <w:rFonts w:hint="default"/>
        <w:color w:val="6A2875"/>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90C040F"/>
    <w:multiLevelType w:val="hybridMultilevel"/>
    <w:tmpl w:val="C1767A1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4" w15:restartNumberingAfterBreak="0">
    <w:nsid w:val="7CA10F50"/>
    <w:multiLevelType w:val="hybridMultilevel"/>
    <w:tmpl w:val="2E84F77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F5E7B29"/>
    <w:multiLevelType w:val="hybridMultilevel"/>
    <w:tmpl w:val="5BEA77B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22"/>
  </w:num>
  <w:num w:numId="3">
    <w:abstractNumId w:val="16"/>
  </w:num>
  <w:num w:numId="4">
    <w:abstractNumId w:val="23"/>
  </w:num>
  <w:num w:numId="5">
    <w:abstractNumId w:val="17"/>
  </w:num>
  <w:num w:numId="6">
    <w:abstractNumId w:val="10"/>
  </w:num>
  <w:num w:numId="7">
    <w:abstractNumId w:val="8"/>
  </w:num>
  <w:num w:numId="8">
    <w:abstractNumId w:val="18"/>
  </w:num>
  <w:num w:numId="9">
    <w:abstractNumId w:val="13"/>
  </w:num>
  <w:num w:numId="10">
    <w:abstractNumId w:val="9"/>
  </w:num>
  <w:num w:numId="11">
    <w:abstractNumId w:val="15"/>
  </w:num>
  <w:num w:numId="12">
    <w:abstractNumId w:val="4"/>
  </w:num>
  <w:num w:numId="13">
    <w:abstractNumId w:val="6"/>
  </w:num>
  <w:num w:numId="14">
    <w:abstractNumId w:val="2"/>
  </w:num>
  <w:num w:numId="15">
    <w:abstractNumId w:val="19"/>
  </w:num>
  <w:num w:numId="16">
    <w:abstractNumId w:val="25"/>
  </w:num>
  <w:num w:numId="17">
    <w:abstractNumId w:val="12"/>
  </w:num>
  <w:num w:numId="18">
    <w:abstractNumId w:val="5"/>
  </w:num>
  <w:num w:numId="19">
    <w:abstractNumId w:val="14"/>
  </w:num>
  <w:num w:numId="20">
    <w:abstractNumId w:val="24"/>
  </w:num>
  <w:num w:numId="21">
    <w:abstractNumId w:val="20"/>
  </w:num>
  <w:num w:numId="22">
    <w:abstractNumId w:val="1"/>
  </w:num>
  <w:num w:numId="23">
    <w:abstractNumId w:val="3"/>
  </w:num>
  <w:num w:numId="24">
    <w:abstractNumId w:val="7"/>
  </w:num>
  <w:num w:numId="25">
    <w:abstractNumId w:val="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2876"/>
    <w:rsid w:val="00006254"/>
    <w:rsid w:val="000139DE"/>
    <w:rsid w:val="000208EB"/>
    <w:rsid w:val="00025C98"/>
    <w:rsid w:val="000260E1"/>
    <w:rsid w:val="00041FD1"/>
    <w:rsid w:val="00097BD3"/>
    <w:rsid w:val="000C4F42"/>
    <w:rsid w:val="000E1461"/>
    <w:rsid w:val="000E4A17"/>
    <w:rsid w:val="000F5124"/>
    <w:rsid w:val="0013299B"/>
    <w:rsid w:val="00133F6E"/>
    <w:rsid w:val="00135DE9"/>
    <w:rsid w:val="001566A1"/>
    <w:rsid w:val="00192692"/>
    <w:rsid w:val="00196523"/>
    <w:rsid w:val="001E630D"/>
    <w:rsid w:val="001F277E"/>
    <w:rsid w:val="00210314"/>
    <w:rsid w:val="00232759"/>
    <w:rsid w:val="002362C1"/>
    <w:rsid w:val="00240B18"/>
    <w:rsid w:val="00243DCB"/>
    <w:rsid w:val="00250529"/>
    <w:rsid w:val="002528B2"/>
    <w:rsid w:val="00260335"/>
    <w:rsid w:val="00260355"/>
    <w:rsid w:val="0026509A"/>
    <w:rsid w:val="002672B4"/>
    <w:rsid w:val="00280040"/>
    <w:rsid w:val="00280F4C"/>
    <w:rsid w:val="002822AC"/>
    <w:rsid w:val="00296D0C"/>
    <w:rsid w:val="002C42E3"/>
    <w:rsid w:val="002D3FB3"/>
    <w:rsid w:val="00323BB7"/>
    <w:rsid w:val="0035716E"/>
    <w:rsid w:val="0037044B"/>
    <w:rsid w:val="0037584B"/>
    <w:rsid w:val="00385C98"/>
    <w:rsid w:val="003A3C74"/>
    <w:rsid w:val="003B1985"/>
    <w:rsid w:val="003B2BB8"/>
    <w:rsid w:val="003D3421"/>
    <w:rsid w:val="003D34FF"/>
    <w:rsid w:val="003D6491"/>
    <w:rsid w:val="003F17EB"/>
    <w:rsid w:val="0040062A"/>
    <w:rsid w:val="0043676A"/>
    <w:rsid w:val="00437886"/>
    <w:rsid w:val="004413E8"/>
    <w:rsid w:val="00470F71"/>
    <w:rsid w:val="00486AF1"/>
    <w:rsid w:val="00492F67"/>
    <w:rsid w:val="004A2995"/>
    <w:rsid w:val="004B494E"/>
    <w:rsid w:val="004B54CA"/>
    <w:rsid w:val="004D32B5"/>
    <w:rsid w:val="004E5CBF"/>
    <w:rsid w:val="004F3568"/>
    <w:rsid w:val="004F4E30"/>
    <w:rsid w:val="004F53AD"/>
    <w:rsid w:val="00515E25"/>
    <w:rsid w:val="00521A99"/>
    <w:rsid w:val="00530AE7"/>
    <w:rsid w:val="005350F1"/>
    <w:rsid w:val="00580F63"/>
    <w:rsid w:val="00590F5F"/>
    <w:rsid w:val="0059251A"/>
    <w:rsid w:val="005928FE"/>
    <w:rsid w:val="00594A3F"/>
    <w:rsid w:val="005965BB"/>
    <w:rsid w:val="00596DF3"/>
    <w:rsid w:val="005A7DE7"/>
    <w:rsid w:val="005B277A"/>
    <w:rsid w:val="005C3AA9"/>
    <w:rsid w:val="005C4031"/>
    <w:rsid w:val="005E04FF"/>
    <w:rsid w:val="00605435"/>
    <w:rsid w:val="00630967"/>
    <w:rsid w:val="006439AC"/>
    <w:rsid w:val="006610D5"/>
    <w:rsid w:val="006754FF"/>
    <w:rsid w:val="006761AA"/>
    <w:rsid w:val="00680978"/>
    <w:rsid w:val="00695111"/>
    <w:rsid w:val="00695AF6"/>
    <w:rsid w:val="006A0BB7"/>
    <w:rsid w:val="006A4CE7"/>
    <w:rsid w:val="006A7E47"/>
    <w:rsid w:val="006D074B"/>
    <w:rsid w:val="007219F1"/>
    <w:rsid w:val="00721F87"/>
    <w:rsid w:val="0073762D"/>
    <w:rsid w:val="0075137F"/>
    <w:rsid w:val="007578BC"/>
    <w:rsid w:val="00764F5D"/>
    <w:rsid w:val="00771A31"/>
    <w:rsid w:val="00784C2F"/>
    <w:rsid w:val="00785261"/>
    <w:rsid w:val="00791094"/>
    <w:rsid w:val="007934F4"/>
    <w:rsid w:val="007A57D3"/>
    <w:rsid w:val="007B0256"/>
    <w:rsid w:val="007B3C60"/>
    <w:rsid w:val="007B406C"/>
    <w:rsid w:val="007B6A23"/>
    <w:rsid w:val="007C1472"/>
    <w:rsid w:val="007D3AD2"/>
    <w:rsid w:val="00805AF9"/>
    <w:rsid w:val="0081359C"/>
    <w:rsid w:val="00831C18"/>
    <w:rsid w:val="00846DEA"/>
    <w:rsid w:val="00871B53"/>
    <w:rsid w:val="00873E2F"/>
    <w:rsid w:val="00874E1A"/>
    <w:rsid w:val="008808FE"/>
    <w:rsid w:val="008822B8"/>
    <w:rsid w:val="00887965"/>
    <w:rsid w:val="008A1B26"/>
    <w:rsid w:val="008A66F8"/>
    <w:rsid w:val="008B10FB"/>
    <w:rsid w:val="008C1375"/>
    <w:rsid w:val="008D2EE1"/>
    <w:rsid w:val="008E6C0F"/>
    <w:rsid w:val="008F4CFF"/>
    <w:rsid w:val="00903E03"/>
    <w:rsid w:val="009225F0"/>
    <w:rsid w:val="00923ED2"/>
    <w:rsid w:val="00963408"/>
    <w:rsid w:val="009642BB"/>
    <w:rsid w:val="009827B6"/>
    <w:rsid w:val="00986242"/>
    <w:rsid w:val="009A628F"/>
    <w:rsid w:val="009D75D6"/>
    <w:rsid w:val="009F29E7"/>
    <w:rsid w:val="00A03104"/>
    <w:rsid w:val="00A14EA8"/>
    <w:rsid w:val="00A60EBA"/>
    <w:rsid w:val="00A66A06"/>
    <w:rsid w:val="00A74222"/>
    <w:rsid w:val="00A760BF"/>
    <w:rsid w:val="00A826E0"/>
    <w:rsid w:val="00A91268"/>
    <w:rsid w:val="00A91419"/>
    <w:rsid w:val="00A92DC1"/>
    <w:rsid w:val="00AB0D06"/>
    <w:rsid w:val="00AC7D94"/>
    <w:rsid w:val="00AE5CA8"/>
    <w:rsid w:val="00AF21C8"/>
    <w:rsid w:val="00AF4C9F"/>
    <w:rsid w:val="00B1295A"/>
    <w:rsid w:val="00B33A30"/>
    <w:rsid w:val="00B64678"/>
    <w:rsid w:val="00BA24A0"/>
    <w:rsid w:val="00BA2DB9"/>
    <w:rsid w:val="00BA6316"/>
    <w:rsid w:val="00BC75D0"/>
    <w:rsid w:val="00BE27FF"/>
    <w:rsid w:val="00BE632A"/>
    <w:rsid w:val="00BE7148"/>
    <w:rsid w:val="00C04D61"/>
    <w:rsid w:val="00C1435B"/>
    <w:rsid w:val="00C407D5"/>
    <w:rsid w:val="00C43554"/>
    <w:rsid w:val="00C759B8"/>
    <w:rsid w:val="00C9007B"/>
    <w:rsid w:val="00CA4B26"/>
    <w:rsid w:val="00CF6E5D"/>
    <w:rsid w:val="00D0183D"/>
    <w:rsid w:val="00D2360D"/>
    <w:rsid w:val="00D26124"/>
    <w:rsid w:val="00D40DE9"/>
    <w:rsid w:val="00D41C99"/>
    <w:rsid w:val="00D51CE0"/>
    <w:rsid w:val="00D66FC7"/>
    <w:rsid w:val="00D81397"/>
    <w:rsid w:val="00DA5DF8"/>
    <w:rsid w:val="00DD5C71"/>
    <w:rsid w:val="00DE34C3"/>
    <w:rsid w:val="00DE6560"/>
    <w:rsid w:val="00DE7444"/>
    <w:rsid w:val="00E36F57"/>
    <w:rsid w:val="00E4101E"/>
    <w:rsid w:val="00E55FBE"/>
    <w:rsid w:val="00E626C7"/>
    <w:rsid w:val="00E6710A"/>
    <w:rsid w:val="00E85A76"/>
    <w:rsid w:val="00E90557"/>
    <w:rsid w:val="00E93E8C"/>
    <w:rsid w:val="00EA7D94"/>
    <w:rsid w:val="00EE54E1"/>
    <w:rsid w:val="00EF0CA3"/>
    <w:rsid w:val="00EF4FB6"/>
    <w:rsid w:val="00F01CA9"/>
    <w:rsid w:val="00F43CD2"/>
    <w:rsid w:val="00F67CF9"/>
    <w:rsid w:val="00F91147"/>
    <w:rsid w:val="00F9484F"/>
    <w:rsid w:val="00F96E05"/>
    <w:rsid w:val="00FA7ED1"/>
    <w:rsid w:val="00FB1D92"/>
    <w:rsid w:val="00FB5514"/>
    <w:rsid w:val="00FD5E45"/>
    <w:rsid w:val="00FE1596"/>
    <w:rsid w:val="00FF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8AE18B0"/>
  <w15:docId w15:val="{6DAE9059-4FD3-4166-8A6E-890DA4AF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numPr>
        <w:numId w:val="2"/>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numPr>
        <w:ilvl w:val="1"/>
        <w:numId w:val="2"/>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590F5F"/>
    <w:pPr>
      <w:tabs>
        <w:tab w:val="right" w:leader="dot" w:pos="9016"/>
      </w:tabs>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TableofFigures">
    <w:name w:val="table of figures"/>
    <w:basedOn w:val="Normal"/>
    <w:next w:val="Normal"/>
    <w:uiPriority w:val="99"/>
    <w:unhideWhenUsed/>
    <w:rsid w:val="00F9484F"/>
    <w:pPr>
      <w:spacing w:after="0"/>
    </w:p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F9484F"/>
    <w:rPr>
      <w:rFonts w:ascii="Arial" w:eastAsiaTheme="minorEastAsia" w:hAnsi="Arial"/>
      <w:szCs w:val="24"/>
      <w:lang w:val="en-US" w:eastAsia="ja-JP"/>
    </w:rPr>
  </w:style>
  <w:style w:type="character" w:customStyle="1" w:styleId="e24kjd">
    <w:name w:val="e24kjd"/>
    <w:basedOn w:val="DefaultParagraphFont"/>
    <w:rsid w:val="00F9484F"/>
  </w:style>
  <w:style w:type="character" w:styleId="CommentReference">
    <w:name w:val="annotation reference"/>
    <w:basedOn w:val="DefaultParagraphFont"/>
    <w:uiPriority w:val="99"/>
    <w:semiHidden/>
    <w:unhideWhenUsed/>
    <w:rsid w:val="00F9484F"/>
    <w:rPr>
      <w:sz w:val="16"/>
      <w:szCs w:val="16"/>
    </w:rPr>
  </w:style>
  <w:style w:type="paragraph" w:styleId="CommentText">
    <w:name w:val="annotation text"/>
    <w:basedOn w:val="Normal"/>
    <w:link w:val="CommentTextChar"/>
    <w:uiPriority w:val="99"/>
    <w:unhideWhenUsed/>
    <w:rsid w:val="00F9484F"/>
    <w:pPr>
      <w:spacing w:line="240" w:lineRule="auto"/>
    </w:pPr>
    <w:rPr>
      <w:sz w:val="20"/>
      <w:szCs w:val="20"/>
    </w:rPr>
  </w:style>
  <w:style w:type="character" w:customStyle="1" w:styleId="CommentTextChar">
    <w:name w:val="Comment Text Char"/>
    <w:basedOn w:val="DefaultParagraphFont"/>
    <w:link w:val="CommentText"/>
    <w:uiPriority w:val="99"/>
    <w:rsid w:val="00F9484F"/>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F9484F"/>
    <w:rPr>
      <w:b/>
      <w:bCs/>
    </w:rPr>
  </w:style>
  <w:style w:type="character" w:customStyle="1" w:styleId="CommentSubjectChar">
    <w:name w:val="Comment Subject Char"/>
    <w:basedOn w:val="CommentTextChar"/>
    <w:link w:val="CommentSubject"/>
    <w:uiPriority w:val="99"/>
    <w:semiHidden/>
    <w:rsid w:val="00F9484F"/>
    <w:rPr>
      <w:rFonts w:ascii="Arial" w:eastAsiaTheme="minorEastAsia" w:hAnsi="Arial"/>
      <w:b/>
      <w:bCs/>
      <w:sz w:val="20"/>
      <w:szCs w:val="20"/>
      <w:lang w:val="en-US" w:eastAsia="ja-JP"/>
    </w:rPr>
  </w:style>
  <w:style w:type="paragraph" w:styleId="FootnoteText">
    <w:name w:val="footnote text"/>
    <w:basedOn w:val="Normal"/>
    <w:link w:val="FootnoteTextChar"/>
    <w:uiPriority w:val="99"/>
    <w:semiHidden/>
    <w:unhideWhenUsed/>
    <w:rsid w:val="00F94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84F"/>
    <w:rPr>
      <w:rFonts w:ascii="Arial" w:eastAsiaTheme="minorEastAsia" w:hAnsi="Arial"/>
      <w:sz w:val="20"/>
      <w:szCs w:val="20"/>
      <w:lang w:val="en-US" w:eastAsia="ja-JP"/>
    </w:rPr>
  </w:style>
  <w:style w:type="character" w:styleId="FootnoteReference">
    <w:name w:val="footnote reference"/>
    <w:basedOn w:val="DefaultParagraphFont"/>
    <w:uiPriority w:val="99"/>
    <w:unhideWhenUsed/>
    <w:rsid w:val="00F9484F"/>
    <w:rPr>
      <w:vertAlign w:val="superscript"/>
    </w:rPr>
  </w:style>
  <w:style w:type="character" w:customStyle="1" w:styleId="UnresolvedMention1">
    <w:name w:val="Unresolved Mention1"/>
    <w:basedOn w:val="DefaultParagraphFont"/>
    <w:uiPriority w:val="99"/>
    <w:semiHidden/>
    <w:unhideWhenUsed/>
    <w:rsid w:val="00F9484F"/>
    <w:rPr>
      <w:color w:val="605E5C"/>
      <w:shd w:val="clear" w:color="auto" w:fill="E1DFDD"/>
    </w:rPr>
  </w:style>
  <w:style w:type="table" w:styleId="TableGrid">
    <w:name w:val="Table Grid"/>
    <w:aliases w:val="HealthConsult"/>
    <w:basedOn w:val="TableNormal"/>
    <w:uiPriority w:val="39"/>
    <w:rsid w:val="00F9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484F"/>
    <w:pPr>
      <w:widowControl w:val="0"/>
      <w:autoSpaceDE w:val="0"/>
      <w:autoSpaceDN w:val="0"/>
      <w:spacing w:after="0" w:line="240" w:lineRule="auto"/>
    </w:pPr>
    <w:rPr>
      <w:rFonts w:ascii="Georgia" w:eastAsia="Georgia" w:hAnsi="Georgia" w:cs="Georgia"/>
      <w:szCs w:val="22"/>
      <w:lang w:val="nb" w:eastAsia="nb" w:bidi="nb"/>
    </w:rPr>
  </w:style>
  <w:style w:type="paragraph" w:styleId="Revision">
    <w:name w:val="Revision"/>
    <w:hidden/>
    <w:uiPriority w:val="99"/>
    <w:semiHidden/>
    <w:rsid w:val="00F9484F"/>
    <w:pPr>
      <w:spacing w:after="0" w:line="240" w:lineRule="auto"/>
    </w:pPr>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F9484F"/>
    <w:rPr>
      <w:color w:val="800080" w:themeColor="followedHyperlink"/>
      <w:u w:val="single"/>
    </w:rPr>
  </w:style>
  <w:style w:type="character" w:customStyle="1" w:styleId="UnresolvedMention">
    <w:name w:val="Unresolved Mention"/>
    <w:basedOn w:val="DefaultParagraphFont"/>
    <w:uiPriority w:val="99"/>
    <w:semiHidden/>
    <w:unhideWhenUsed/>
    <w:rsid w:val="007A57D3"/>
    <w:rPr>
      <w:color w:val="605E5C"/>
      <w:shd w:val="clear" w:color="auto" w:fill="E1DFDD"/>
    </w:rPr>
  </w:style>
  <w:style w:type="paragraph" w:customStyle="1" w:styleId="EndNoteBibliographyTitle">
    <w:name w:val="EndNote Bibliography Title"/>
    <w:basedOn w:val="Normal"/>
    <w:link w:val="EndNoteBibliographyTitleChar"/>
    <w:rsid w:val="00F91147"/>
    <w:pPr>
      <w:spacing w:after="0" w:line="240" w:lineRule="auto"/>
      <w:jc w:val="center"/>
    </w:pPr>
    <w:rPr>
      <w:rFonts w:ascii="Calibri" w:eastAsia="Times New Roman" w:hAnsi="Calibri" w:cs="Calibri"/>
      <w:sz w:val="24"/>
      <w:lang w:eastAsia="en-US"/>
    </w:rPr>
  </w:style>
  <w:style w:type="character" w:customStyle="1" w:styleId="EndNoteBibliographyTitleChar">
    <w:name w:val="EndNote Bibliography Title Char"/>
    <w:basedOn w:val="DefaultParagraphFont"/>
    <w:link w:val="EndNoteBibliographyTitle"/>
    <w:rsid w:val="00F91147"/>
    <w:rPr>
      <w:rFonts w:ascii="Calibri" w:eastAsia="Times New Roman" w:hAnsi="Calibri" w:cs="Calibri"/>
      <w:sz w:val="24"/>
      <w:szCs w:val="24"/>
      <w:lang w:val="en-US"/>
    </w:rPr>
  </w:style>
  <w:style w:type="paragraph" w:customStyle="1" w:styleId="EndNoteBibliography">
    <w:name w:val="EndNote Bibliography"/>
    <w:basedOn w:val="Normal"/>
    <w:link w:val="EndNoteBibliographyChar"/>
    <w:rsid w:val="00F91147"/>
    <w:pPr>
      <w:spacing w:after="0" w:line="240" w:lineRule="auto"/>
    </w:pPr>
    <w:rPr>
      <w:rFonts w:ascii="Calibri" w:eastAsia="Times New Roman" w:hAnsi="Calibri" w:cs="Calibri"/>
      <w:sz w:val="24"/>
      <w:lang w:eastAsia="en-US"/>
    </w:rPr>
  </w:style>
  <w:style w:type="character" w:customStyle="1" w:styleId="EndNoteBibliographyChar">
    <w:name w:val="EndNote Bibliography Char"/>
    <w:basedOn w:val="DefaultParagraphFont"/>
    <w:link w:val="EndNoteBibliography"/>
    <w:rsid w:val="00F91147"/>
    <w:rPr>
      <w:rFonts w:ascii="Calibri" w:eastAsia="Times New Roman" w:hAnsi="Calibri" w:cs="Calibri"/>
      <w:sz w:val="24"/>
      <w:szCs w:val="24"/>
      <w:lang w:val="en-US"/>
    </w:rPr>
  </w:style>
  <w:style w:type="paragraph" w:styleId="NormalWeb">
    <w:name w:val="Normal (Web)"/>
    <w:basedOn w:val="Normal"/>
    <w:uiPriority w:val="99"/>
    <w:semiHidden/>
    <w:unhideWhenUsed/>
    <w:rsid w:val="00F91147"/>
    <w:pPr>
      <w:spacing w:after="0" w:line="240" w:lineRule="auto"/>
    </w:pPr>
    <w:rPr>
      <w:rFonts w:ascii="Times New Roman" w:eastAsia="Times New Roman" w:hAnsi="Times New Roman" w:cs="Times New Roman"/>
      <w:sz w:val="24"/>
      <w:lang w:val="en-AU" w:eastAsia="en-US"/>
    </w:rPr>
  </w:style>
  <w:style w:type="paragraph" w:customStyle="1" w:styleId="inline">
    <w:name w:val="inline"/>
    <w:basedOn w:val="Normal"/>
    <w:rsid w:val="00F91147"/>
    <w:pPr>
      <w:spacing w:before="100" w:beforeAutospacing="1" w:after="100" w:afterAutospacing="1" w:line="240" w:lineRule="auto"/>
    </w:pPr>
    <w:rPr>
      <w:rFonts w:ascii="Times New Roman" w:eastAsia="Times New Roman" w:hAnsi="Times New Roman" w:cs="Times New Roman"/>
      <w:sz w:val="24"/>
      <w:lang w:val="en-AU" w:eastAsia="en-US"/>
    </w:rPr>
  </w:style>
  <w:style w:type="table" w:styleId="GridTable1Light">
    <w:name w:val="Grid Table 1 Light"/>
    <w:basedOn w:val="TableNormal"/>
    <w:uiPriority w:val="46"/>
    <w:rsid w:val="00F43C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ference">
    <w:name w:val="reference"/>
    <w:basedOn w:val="Heading3"/>
    <w:qFormat/>
    <w:rsid w:val="00F01CA9"/>
    <w:pPr>
      <w:numPr>
        <w:ilvl w:val="0"/>
        <w:numId w:val="0"/>
      </w:numPr>
    </w:pPr>
  </w:style>
  <w:style w:type="paragraph" w:customStyle="1" w:styleId="APA6th">
    <w:name w:val="APA 6th"/>
    <w:basedOn w:val="Normal"/>
    <w:link w:val="APA6thChar"/>
    <w:qFormat/>
    <w:rsid w:val="001F277E"/>
    <w:pPr>
      <w:framePr w:hSpace="180" w:wrap="around" w:vAnchor="text" w:hAnchor="margin" w:xAlign="center" w:y="-1439"/>
      <w:spacing w:after="0"/>
    </w:pPr>
    <w:rPr>
      <w:lang w:val="en-AU" w:eastAsia="en-US"/>
    </w:rPr>
  </w:style>
  <w:style w:type="character" w:customStyle="1" w:styleId="APA6thChar">
    <w:name w:val="APA 6th Char"/>
    <w:basedOn w:val="DefaultParagraphFont"/>
    <w:link w:val="APA6th"/>
    <w:rsid w:val="001F277E"/>
    <w:rPr>
      <w:rFonts w:ascii="Arial" w:eastAsiaTheme="minorEastAsia" w:hAnsi="Arial"/>
      <w:szCs w:val="24"/>
    </w:rPr>
  </w:style>
  <w:style w:type="table" w:customStyle="1" w:styleId="TableGrid2">
    <w:name w:val="Table Grid2"/>
    <w:basedOn w:val="TableNormal"/>
    <w:next w:val="TableGrid"/>
    <w:uiPriority w:val="39"/>
    <w:rsid w:val="00963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0295">
      <w:bodyDiv w:val="1"/>
      <w:marLeft w:val="0"/>
      <w:marRight w:val="0"/>
      <w:marTop w:val="0"/>
      <w:marBottom w:val="0"/>
      <w:divBdr>
        <w:top w:val="none" w:sz="0" w:space="0" w:color="auto"/>
        <w:left w:val="none" w:sz="0" w:space="0" w:color="auto"/>
        <w:bottom w:val="none" w:sz="0" w:space="0" w:color="auto"/>
        <w:right w:val="none" w:sz="0" w:space="0" w:color="auto"/>
      </w:divBdr>
    </w:div>
    <w:div w:id="744914163">
      <w:bodyDiv w:val="1"/>
      <w:marLeft w:val="0"/>
      <w:marRight w:val="0"/>
      <w:marTop w:val="0"/>
      <w:marBottom w:val="0"/>
      <w:divBdr>
        <w:top w:val="none" w:sz="0" w:space="0" w:color="auto"/>
        <w:left w:val="none" w:sz="0" w:space="0" w:color="auto"/>
        <w:bottom w:val="none" w:sz="0" w:space="0" w:color="auto"/>
        <w:right w:val="none" w:sz="0" w:space="0" w:color="auto"/>
      </w:divBdr>
    </w:div>
    <w:div w:id="1380208011">
      <w:bodyDiv w:val="1"/>
      <w:marLeft w:val="0"/>
      <w:marRight w:val="0"/>
      <w:marTop w:val="0"/>
      <w:marBottom w:val="0"/>
      <w:divBdr>
        <w:top w:val="none" w:sz="0" w:space="0" w:color="auto"/>
        <w:left w:val="none" w:sz="0" w:space="0" w:color="auto"/>
        <w:bottom w:val="none" w:sz="0" w:space="0" w:color="auto"/>
        <w:right w:val="none" w:sz="0" w:space="0" w:color="auto"/>
      </w:divBdr>
    </w:div>
    <w:div w:id="21313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jpeg"/><Relationship Id="rId26" Type="http://schemas.microsoft.com/office/2007/relationships/diagramDrawing" Target="diagrams/drawing1.xml"/><Relationship Id="rId39" Type="http://schemas.openxmlformats.org/officeDocument/2006/relationships/hyperlink" Target="https://lacnetwork.org/wp-content/uploads/2019/06/evaluation-of-local-area-coordination-1.pdf" TargetMode="Externa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hyperlink" Target="file:///C:\Users\AIF935.NDIASTAFF\AppData\Local\Microsoft\Windows\INetCache\Content.Outlook\QBLIG33E\linktolacnetwork%20in%20Thurrock%20summary%20report%2023" TargetMode="External"/><Relationship Id="rId42" Type="http://schemas.openxmlformats.org/officeDocument/2006/relationships/hyperlink" Target="about:blank" TargetMode="External"/><Relationship Id="rId47"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diagramColors" Target="diagrams/colors1.xml"/><Relationship Id="rId33" Type="http://schemas.openxmlformats.org/officeDocument/2006/relationships/hyperlink" Target="https://lacnetwork.org/wp-content/uploads/2018/02/Learning_Outcomes_for_Thurrock_and_Derby_March_2016.pdf" TargetMode="External"/><Relationship Id="rId38" Type="http://schemas.openxmlformats.org/officeDocument/2006/relationships/hyperlink" Target="https://lacnetwork.org/wp-content/uploads/2016/07/Local-Area-Coordination-Evaluation-Report-.pdf" TargetMode="External"/><Relationship Id="rId46"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hyperlink" Target="https://lacnetwork.org/wp-content/uploads/2018/02/Leicestershire-LAC-Evaluation-Final-Report.pdf" TargetMode="External"/><Relationship Id="rId41" Type="http://schemas.openxmlformats.org/officeDocument/2006/relationships/hyperlink" Target="https://lacnetwork.org/wp-content/uploads/2014/11/Thurrock-141119-LAC-Final-Report-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diagramQuickStyle" Target="diagrams/quickStyle1.xml"/><Relationship Id="rId32" Type="http://schemas.openxmlformats.org/officeDocument/2006/relationships/hyperlink" Target="about:blank" TargetMode="External"/><Relationship Id="rId37" Type="http://schemas.openxmlformats.org/officeDocument/2006/relationships/hyperlink" Target="https://lacnetwork.org/wp-content/uploads/2019/06/LAC-Evaluation-of-IOW-Full-version.pdf" TargetMode="External"/><Relationship Id="rId40" Type="http://schemas.openxmlformats.org/officeDocument/2006/relationships/hyperlink" Target="about:blank"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Layout" Target="diagrams/layout1.xml"/><Relationship Id="rId28" Type="http://schemas.openxmlformats.org/officeDocument/2006/relationships/hyperlink" Target="https://wessexahsn.org.uk/img/projects/IoW%20-%20Local%20Area%20Coordinator%20Evaluation%20Report%20FINAL.pdf" TargetMode="External"/><Relationship Id="rId36" Type="http://schemas.openxmlformats.org/officeDocument/2006/relationships/hyperlink" Target="https://www.thinklocalactpersonal.org.uk/_assets/Resources/BCC/Assured-SROI-Report-for-Local-Area-Coordination-in-Derby-March-2016.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about:blank"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1.xml"/><Relationship Id="rId27" Type="http://schemas.openxmlformats.org/officeDocument/2006/relationships/hyperlink" Target="about:blank" TargetMode="External"/><Relationship Id="rId30" Type="http://schemas.openxmlformats.org/officeDocument/2006/relationships/hyperlink" Target="https://lacnetwork.org/wp-content/uploads/2018/10/WF-LAC-Evaluation-2018-FINAL-version.pdf" TargetMode="External"/><Relationship Id="rId35" Type="http://schemas.openxmlformats.org/officeDocument/2006/relationships/hyperlink" Target="https://lacnetwork.org/wp-content/uploads/2019/04/190415-Local-Area-Coordination-Summative-Report-15_-4_19FINAL.pdf" TargetMode="External"/><Relationship Id="rId43" Type="http://schemas.openxmlformats.org/officeDocument/2006/relationships/hyperlink" Target="https://lacnetwork.org/wp-content/uploads/2018/11/LAC-Evaluation-Report.pdf"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rgbClr val="660066"/>
                </a:solidFill>
                <a:latin typeface="+mn-lt"/>
                <a:ea typeface="+mn-ea"/>
                <a:cs typeface="+mn-cs"/>
              </a:defRPr>
            </a:pPr>
            <a:r>
              <a:rPr lang="en-US">
                <a:solidFill>
                  <a:srgbClr val="660066"/>
                </a:solidFill>
              </a:rPr>
              <a:t>Methods of introduction</a:t>
            </a:r>
          </a:p>
        </c:rich>
      </c:tx>
      <c:overlay val="0"/>
      <c:spPr>
        <a:noFill/>
        <a:ln>
          <a:noFill/>
        </a:ln>
        <a:effectLst/>
      </c:spPr>
      <c:txPr>
        <a:bodyPr rot="0" spcFirstLastPara="1" vertOverflow="ellipsis" vert="horz" wrap="square" anchor="ctr" anchorCtr="1"/>
        <a:lstStyle/>
        <a:p>
          <a:pPr>
            <a:defRPr sz="1600" b="1" i="0" u="none" strike="noStrike" kern="1200" baseline="0">
              <a:solidFill>
                <a:srgbClr val="660066"/>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94983960338291"/>
          <c:y val="0.15686507936507937"/>
          <c:w val="0.75130941965587639"/>
          <c:h val="0.68808180227471583"/>
        </c:manualLayout>
      </c:layout>
      <c:bar3DChart>
        <c:barDir val="bar"/>
        <c:grouping val="clustered"/>
        <c:varyColors val="0"/>
        <c:ser>
          <c:idx val="0"/>
          <c:order val="0"/>
          <c:tx>
            <c:strRef>
              <c:f>Sheet1!$B$1</c:f>
              <c:strCache>
                <c:ptCount val="1"/>
                <c:pt idx="0">
                  <c:v>Number of records</c:v>
                </c:pt>
              </c:strCache>
            </c:strRef>
          </c:tx>
          <c:spPr>
            <a:solidFill>
              <a:srgbClr val="66006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Faith</c:v>
                </c:pt>
                <c:pt idx="1">
                  <c:v>By LAC</c:v>
                </c:pt>
                <c:pt idx="2">
                  <c:v>Not reported</c:v>
                </c:pt>
                <c:pt idx="3">
                  <c:v>Family/carers</c:v>
                </c:pt>
                <c:pt idx="4">
                  <c:v>Self introduction</c:v>
                </c:pt>
                <c:pt idx="5">
                  <c:v>Community members</c:v>
                </c:pt>
                <c:pt idx="6">
                  <c:v>Community groups</c:v>
                </c:pt>
                <c:pt idx="7">
                  <c:v>Health practitioners</c:v>
                </c:pt>
                <c:pt idx="8">
                  <c:v>Other services</c:v>
                </c:pt>
              </c:strCache>
            </c:strRef>
          </c:cat>
          <c:val>
            <c:numRef>
              <c:f>Sheet1!$B$2:$B$10</c:f>
              <c:numCache>
                <c:formatCode>General</c:formatCode>
                <c:ptCount val="9"/>
                <c:pt idx="0">
                  <c:v>1</c:v>
                </c:pt>
                <c:pt idx="1">
                  <c:v>1</c:v>
                </c:pt>
                <c:pt idx="2">
                  <c:v>2</c:v>
                </c:pt>
                <c:pt idx="3">
                  <c:v>3</c:v>
                </c:pt>
                <c:pt idx="4">
                  <c:v>4</c:v>
                </c:pt>
                <c:pt idx="5">
                  <c:v>4</c:v>
                </c:pt>
                <c:pt idx="6">
                  <c:v>4</c:v>
                </c:pt>
                <c:pt idx="7">
                  <c:v>5</c:v>
                </c:pt>
                <c:pt idx="8">
                  <c:v>8</c:v>
                </c:pt>
              </c:numCache>
            </c:numRef>
          </c:val>
          <c:shape val="cylinder"/>
          <c:extLst>
            <c:ext xmlns:c16="http://schemas.microsoft.com/office/drawing/2014/chart" uri="{C3380CC4-5D6E-409C-BE32-E72D297353CC}">
              <c16:uniqueId val="{00000000-8A49-FF42-B3DA-EDB7C2F794B9}"/>
            </c:ext>
          </c:extLst>
        </c:ser>
        <c:dLbls>
          <c:showLegendKey val="0"/>
          <c:showVal val="1"/>
          <c:showCatName val="0"/>
          <c:showSerName val="0"/>
          <c:showPercent val="0"/>
          <c:showBubbleSize val="0"/>
        </c:dLbls>
        <c:gapWidth val="150"/>
        <c:shape val="box"/>
        <c:axId val="427490752"/>
        <c:axId val="427491928"/>
        <c:axId val="0"/>
      </c:bar3DChart>
      <c:catAx>
        <c:axId val="42749075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t" anchorCtr="0"/>
          <a:lstStyle/>
          <a:p>
            <a:pPr>
              <a:defRPr sz="900" b="0" i="0" u="none" strike="noStrike" kern="1200" baseline="0">
                <a:solidFill>
                  <a:srgbClr val="660066"/>
                </a:solidFill>
                <a:latin typeface="+mn-lt"/>
                <a:ea typeface="+mn-ea"/>
                <a:cs typeface="+mn-cs"/>
              </a:defRPr>
            </a:pPr>
            <a:endParaRPr lang="en-US"/>
          </a:p>
        </c:txPr>
        <c:crossAx val="427491928"/>
        <c:crosses val="autoZero"/>
        <c:auto val="1"/>
        <c:lblAlgn val="ctr"/>
        <c:lblOffset val="100"/>
        <c:noMultiLvlLbl val="0"/>
      </c:catAx>
      <c:valAx>
        <c:axId val="427491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t" anchorCtr="0"/>
          <a:lstStyle/>
          <a:p>
            <a:pPr>
              <a:defRPr sz="900" b="0" i="0" u="none" strike="noStrike" kern="1200" baseline="0">
                <a:solidFill>
                  <a:srgbClr val="660066"/>
                </a:solidFill>
                <a:latin typeface="+mn-lt"/>
                <a:ea typeface="+mn-ea"/>
                <a:cs typeface="+mn-cs"/>
              </a:defRPr>
            </a:pPr>
            <a:endParaRPr lang="en-US"/>
          </a:p>
        </c:txPr>
        <c:crossAx val="42749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660066"/>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7EEF7"/>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32643325317521643"/>
          <c:y val="0.10445263278017021"/>
          <c:w val="0.40226028527029489"/>
          <c:h val="0.69574767112920954"/>
        </c:manualLayout>
      </c:layout>
      <c:doughnutChart>
        <c:varyColors val="1"/>
        <c:ser>
          <c:idx val="0"/>
          <c:order val="0"/>
          <c:tx>
            <c:strRef>
              <c:f>Sheet1!$B$1</c:f>
              <c:strCache>
                <c:ptCount val="1"/>
                <c:pt idx="0">
                  <c:v>LAC Funding</c:v>
                </c:pt>
              </c:strCache>
            </c:strRef>
          </c:tx>
          <c:dPt>
            <c:idx val="0"/>
            <c:bubble3D val="0"/>
            <c:explosion val="2"/>
            <c:spPr>
              <a:solidFill>
                <a:schemeClr val="accent4">
                  <a:shade val="45000"/>
                </a:schemeClr>
              </a:solidFill>
              <a:ln w="19050">
                <a:solidFill>
                  <a:schemeClr val="lt1"/>
                </a:solidFill>
              </a:ln>
              <a:effectLst/>
            </c:spPr>
            <c:extLst>
              <c:ext xmlns:c16="http://schemas.microsoft.com/office/drawing/2014/chart" uri="{C3380CC4-5D6E-409C-BE32-E72D297353CC}">
                <c16:uniqueId val="{00000001-0DB7-2F45-ADA8-56BB93C3F8D3}"/>
              </c:ext>
            </c:extLst>
          </c:dPt>
          <c:dPt>
            <c:idx val="1"/>
            <c:bubble3D val="0"/>
            <c:spPr>
              <a:solidFill>
                <a:schemeClr val="accent4">
                  <a:shade val="61000"/>
                </a:schemeClr>
              </a:solidFill>
              <a:ln w="19050">
                <a:solidFill>
                  <a:schemeClr val="lt1"/>
                </a:solidFill>
              </a:ln>
              <a:effectLst/>
            </c:spPr>
            <c:extLst>
              <c:ext xmlns:c16="http://schemas.microsoft.com/office/drawing/2014/chart" uri="{C3380CC4-5D6E-409C-BE32-E72D297353CC}">
                <c16:uniqueId val="{00000003-0DB7-2F45-ADA8-56BB93C3F8D3}"/>
              </c:ext>
            </c:extLst>
          </c:dPt>
          <c:dPt>
            <c:idx val="2"/>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5-0DB7-2F45-ADA8-56BB93C3F8D3}"/>
              </c:ext>
            </c:extLst>
          </c:dPt>
          <c:dPt>
            <c:idx val="3"/>
            <c:bubble3D val="0"/>
            <c:spPr>
              <a:solidFill>
                <a:schemeClr val="accent4">
                  <a:shade val="92000"/>
                </a:schemeClr>
              </a:solidFill>
              <a:ln w="19050">
                <a:solidFill>
                  <a:schemeClr val="lt1"/>
                </a:solidFill>
              </a:ln>
              <a:effectLst/>
            </c:spPr>
            <c:extLst>
              <c:ext xmlns:c16="http://schemas.microsoft.com/office/drawing/2014/chart" uri="{C3380CC4-5D6E-409C-BE32-E72D297353CC}">
                <c16:uniqueId val="{00000007-0DB7-2F45-ADA8-56BB93C3F8D3}"/>
              </c:ext>
            </c:extLst>
          </c:dPt>
          <c:dPt>
            <c:idx val="4"/>
            <c:bubble3D val="0"/>
            <c:spPr>
              <a:solidFill>
                <a:schemeClr val="accent4">
                  <a:tint val="93000"/>
                </a:schemeClr>
              </a:solidFill>
              <a:ln w="19050">
                <a:solidFill>
                  <a:schemeClr val="lt1"/>
                </a:solidFill>
              </a:ln>
              <a:effectLst/>
            </c:spPr>
            <c:extLst>
              <c:ext xmlns:c16="http://schemas.microsoft.com/office/drawing/2014/chart" uri="{C3380CC4-5D6E-409C-BE32-E72D297353CC}">
                <c16:uniqueId val="{00000009-0DB7-2F45-ADA8-56BB93C3F8D3}"/>
              </c:ext>
            </c:extLst>
          </c:dPt>
          <c:dPt>
            <c:idx val="5"/>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B-0DB7-2F45-ADA8-56BB93C3F8D3}"/>
              </c:ext>
            </c:extLst>
          </c:dPt>
          <c:dPt>
            <c:idx val="6"/>
            <c:bubble3D val="0"/>
            <c:spPr>
              <a:solidFill>
                <a:schemeClr val="accent4">
                  <a:tint val="62000"/>
                </a:schemeClr>
              </a:solidFill>
              <a:ln w="19050">
                <a:solidFill>
                  <a:schemeClr val="lt1"/>
                </a:solidFill>
              </a:ln>
              <a:effectLst/>
            </c:spPr>
            <c:extLst>
              <c:ext xmlns:c16="http://schemas.microsoft.com/office/drawing/2014/chart" uri="{C3380CC4-5D6E-409C-BE32-E72D297353CC}">
                <c16:uniqueId val="{0000000D-0DB7-2F45-ADA8-56BB93C3F8D3}"/>
              </c:ext>
            </c:extLst>
          </c:dPt>
          <c:dPt>
            <c:idx val="7"/>
            <c:bubble3D val="0"/>
            <c:spPr>
              <a:solidFill>
                <a:schemeClr val="accent4">
                  <a:tint val="46000"/>
                </a:schemeClr>
              </a:solidFill>
              <a:ln w="19050">
                <a:solidFill>
                  <a:schemeClr val="lt1"/>
                </a:solidFill>
              </a:ln>
              <a:effectLst/>
            </c:spPr>
            <c:extLst>
              <c:ext xmlns:c16="http://schemas.microsoft.com/office/drawing/2014/chart" uri="{C3380CC4-5D6E-409C-BE32-E72D297353CC}">
                <c16:uniqueId val="{0000000F-0DB7-2F45-ADA8-56BB93C3F8D3}"/>
              </c:ext>
            </c:extLst>
          </c:dPt>
          <c:dLbls>
            <c:dLbl>
              <c:idx val="0"/>
              <c:layout>
                <c:manualLayout>
                  <c:x val="0.22548700080781503"/>
                  <c:y val="-8.42809415017066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B7-2F45-ADA8-56BB93C3F8D3}"/>
                </c:ext>
              </c:extLst>
            </c:dLbl>
            <c:dLbl>
              <c:idx val="1"/>
              <c:layout>
                <c:manualLayout>
                  <c:x val="0.15009535009098807"/>
                  <c:y val="5.857615824085607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B7-2F45-ADA8-56BB93C3F8D3}"/>
                </c:ext>
              </c:extLst>
            </c:dLbl>
            <c:dLbl>
              <c:idx val="2"/>
              <c:layout>
                <c:manualLayout>
                  <c:x val="0.20066152149944874"/>
                  <c:y val="2.28832951945080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B7-2F45-ADA8-56BB93C3F8D3}"/>
                </c:ext>
              </c:extLst>
            </c:dLbl>
            <c:dLbl>
              <c:idx val="3"/>
              <c:layout>
                <c:manualLayout>
                  <c:x val="0.29189707424396016"/>
                  <c:y val="0.1294818360430128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B7-2F45-ADA8-56BB93C3F8D3}"/>
                </c:ext>
              </c:extLst>
            </c:dLbl>
            <c:dLbl>
              <c:idx val="4"/>
              <c:layout>
                <c:manualLayout>
                  <c:x val="-0.28962751526212116"/>
                  <c:y val="0.137204799859963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DB7-2F45-ADA8-56BB93C3F8D3}"/>
                </c:ext>
              </c:extLst>
            </c:dLbl>
            <c:dLbl>
              <c:idx val="5"/>
              <c:layout>
                <c:manualLayout>
                  <c:x val="-0.22707942584065979"/>
                  <c:y val="-4.5310448689122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DB7-2F45-ADA8-56BB93C3F8D3}"/>
                </c:ext>
              </c:extLst>
            </c:dLbl>
            <c:dLbl>
              <c:idx val="6"/>
              <c:layout>
                <c:manualLayout>
                  <c:x val="-0.17854631676469201"/>
                  <c:y val="-0.1641845459237105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DB7-2F45-ADA8-56BB93C3F8D3}"/>
                </c:ext>
              </c:extLst>
            </c:dLbl>
            <c:dLbl>
              <c:idx val="7"/>
              <c:layout>
                <c:manualLayout>
                  <c:x val="-0.1767926776713292"/>
                  <c:y val="-0.162427605230833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DB7-2F45-ADA8-56BB93C3F8D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Sheet1!$A$2:$A$9</c:f>
              <c:strCache>
                <c:ptCount val="8"/>
                <c:pt idx="0">
                  <c:v>Better Care Fund</c:v>
                </c:pt>
                <c:pt idx="1">
                  <c:v>Local Authority</c:v>
                </c:pt>
                <c:pt idx="2">
                  <c:v>Local services and Better Care Fund </c:v>
                </c:pt>
                <c:pt idx="3">
                  <c:v>Primary and Acute Care Systems </c:v>
                </c:pt>
                <c:pt idx="4">
                  <c:v>North East Improvement and Efficiency Partnership </c:v>
                </c:pt>
                <c:pt idx="5">
                  <c:v>Transformation Challenge Award </c:v>
                </c:pt>
                <c:pt idx="6">
                  <c:v>Enhanced Individualised Funding </c:v>
                </c:pt>
                <c:pt idx="7">
                  <c:v>Not reported</c:v>
                </c:pt>
              </c:strCache>
            </c:strRef>
          </c:cat>
          <c:val>
            <c:numRef>
              <c:f>Sheet1!$B$2:$B$9</c:f>
              <c:numCache>
                <c:formatCode>General</c:formatCode>
                <c:ptCount val="8"/>
                <c:pt idx="0">
                  <c:v>3</c:v>
                </c:pt>
                <c:pt idx="1">
                  <c:v>2</c:v>
                </c:pt>
                <c:pt idx="2">
                  <c:v>2</c:v>
                </c:pt>
                <c:pt idx="3">
                  <c:v>1</c:v>
                </c:pt>
                <c:pt idx="4">
                  <c:v>1</c:v>
                </c:pt>
                <c:pt idx="5">
                  <c:v>1</c:v>
                </c:pt>
                <c:pt idx="6">
                  <c:v>1</c:v>
                </c:pt>
                <c:pt idx="7">
                  <c:v>5</c:v>
                </c:pt>
              </c:numCache>
            </c:numRef>
          </c:val>
          <c:extLst>
            <c:ext xmlns:c16="http://schemas.microsoft.com/office/drawing/2014/chart" uri="{C3380CC4-5D6E-409C-BE32-E72D297353CC}">
              <c16:uniqueId val="{00000010-0DB7-2F45-ADA8-56BB93C3F8D3}"/>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BBE7C9-CA40-4039-AFF5-044FB23120FA}" type="doc">
      <dgm:prSet loTypeId="urn:microsoft.com/office/officeart/2005/8/layout/equation2" loCatId="relationship" qsTypeId="urn:microsoft.com/office/officeart/2005/8/quickstyle/simple1" qsCatId="simple" csTypeId="urn:microsoft.com/office/officeart/2005/8/colors/accent1_2" csCatId="accent1" phldr="1"/>
      <dgm:spPr/>
    </dgm:pt>
    <dgm:pt modelId="{913C805D-C42C-401B-8616-F4261327F366}">
      <dgm:prSet/>
      <dgm:spPr>
        <a:solidFill>
          <a:srgbClr val="660066"/>
        </a:solidFill>
      </dgm:spPr>
      <dgm:t>
        <a:bodyPr/>
        <a:lstStyle/>
        <a:p>
          <a:r>
            <a:rPr lang="en-AU"/>
            <a:t>£1 </a:t>
          </a:r>
          <a:r>
            <a:rPr lang="en-AU">
              <a:solidFill>
                <a:srgbClr val="F7EEF7"/>
              </a:solidFill>
              <a:latin typeface="Arial" panose="020B0604020202020204" pitchFamily="34" charset="0"/>
              <a:cs typeface="Arial" panose="020B0604020202020204" pitchFamily="34" charset="0"/>
            </a:rPr>
            <a:t>invested</a:t>
          </a:r>
          <a:r>
            <a:rPr lang="en-AU"/>
            <a:t> </a:t>
          </a:r>
        </a:p>
      </dgm:t>
    </dgm:pt>
    <dgm:pt modelId="{4BF88284-D385-4B1E-97BB-1BB44987BC9B}" type="parTrans" cxnId="{7B65661A-F60D-4833-A7AA-0486EF70B9C8}">
      <dgm:prSet/>
      <dgm:spPr/>
      <dgm:t>
        <a:bodyPr/>
        <a:lstStyle/>
        <a:p>
          <a:endParaRPr lang="en-AU"/>
        </a:p>
      </dgm:t>
    </dgm:pt>
    <dgm:pt modelId="{AA1C7009-C1AA-4A26-9D4D-6EA89DDF10D2}" type="sibTrans" cxnId="{7B65661A-F60D-4833-A7AA-0486EF70B9C8}">
      <dgm:prSet/>
      <dgm:spPr>
        <a:solidFill>
          <a:srgbClr val="660066"/>
        </a:solidFill>
      </dgm:spPr>
      <dgm:t>
        <a:bodyPr/>
        <a:lstStyle/>
        <a:p>
          <a:endParaRPr lang="en-AU"/>
        </a:p>
      </dgm:t>
    </dgm:pt>
    <dgm:pt modelId="{29193D4C-C8F3-4EE1-9DCD-2D8E568D146E}">
      <dgm:prSet/>
      <dgm:spPr>
        <a:solidFill>
          <a:srgbClr val="660066"/>
        </a:solidFill>
      </dgm:spPr>
      <dgm:t>
        <a:bodyPr/>
        <a:lstStyle/>
        <a:p>
          <a:r>
            <a:rPr lang="en-AU">
              <a:latin typeface="Arial" panose="020B0604020202020204" pitchFamily="34" charset="0"/>
              <a:cs typeface="Arial" panose="020B0604020202020204" pitchFamily="34" charset="0"/>
            </a:rPr>
            <a:t> £4 return </a:t>
          </a:r>
        </a:p>
      </dgm:t>
    </dgm:pt>
    <dgm:pt modelId="{56D039A9-091D-4875-9EDF-2C178ABE0480}" type="parTrans" cxnId="{3AFF46CE-25D6-4A3F-861D-4AF7E1C7EA48}">
      <dgm:prSet/>
      <dgm:spPr/>
      <dgm:t>
        <a:bodyPr/>
        <a:lstStyle/>
        <a:p>
          <a:endParaRPr lang="en-AU"/>
        </a:p>
      </dgm:t>
    </dgm:pt>
    <dgm:pt modelId="{9FFE6750-6581-4AC2-A87D-CA8C8283E9C4}" type="sibTrans" cxnId="{3AFF46CE-25D6-4A3F-861D-4AF7E1C7EA48}">
      <dgm:prSet/>
      <dgm:spPr/>
      <dgm:t>
        <a:bodyPr/>
        <a:lstStyle/>
        <a:p>
          <a:endParaRPr lang="en-AU"/>
        </a:p>
      </dgm:t>
    </dgm:pt>
    <dgm:pt modelId="{26987F1C-0F67-4FE8-91F0-73B482FD609D}" type="pres">
      <dgm:prSet presAssocID="{E3BBE7C9-CA40-4039-AFF5-044FB23120FA}" presName="Name0" presStyleCnt="0">
        <dgm:presLayoutVars>
          <dgm:dir/>
          <dgm:resizeHandles val="exact"/>
        </dgm:presLayoutVars>
      </dgm:prSet>
      <dgm:spPr/>
    </dgm:pt>
    <dgm:pt modelId="{DFDF013A-B46A-4FE0-86FE-85F336C7129D}" type="pres">
      <dgm:prSet presAssocID="{E3BBE7C9-CA40-4039-AFF5-044FB23120FA}" presName="vNodes" presStyleCnt="0"/>
      <dgm:spPr/>
    </dgm:pt>
    <dgm:pt modelId="{C6CA00A3-D3A6-4570-92D0-11C1B2370A0C}" type="pres">
      <dgm:prSet presAssocID="{913C805D-C42C-401B-8616-F4261327F366}" presName="node" presStyleLbl="node1" presStyleIdx="0" presStyleCnt="2" custScaleX="55052" custScaleY="55052">
        <dgm:presLayoutVars>
          <dgm:bulletEnabled val="1"/>
        </dgm:presLayoutVars>
      </dgm:prSet>
      <dgm:spPr/>
      <dgm:t>
        <a:bodyPr/>
        <a:lstStyle/>
        <a:p>
          <a:endParaRPr lang="en-US"/>
        </a:p>
      </dgm:t>
    </dgm:pt>
    <dgm:pt modelId="{4F73DADA-92C4-4AEE-AAB3-8C3C832CA53E}" type="pres">
      <dgm:prSet presAssocID="{E3BBE7C9-CA40-4039-AFF5-044FB23120FA}" presName="sibTransLast" presStyleLbl="sibTrans2D1" presStyleIdx="0" presStyleCnt="1" custScaleY="41741"/>
      <dgm:spPr/>
      <dgm:t>
        <a:bodyPr/>
        <a:lstStyle/>
        <a:p>
          <a:endParaRPr lang="en-US"/>
        </a:p>
      </dgm:t>
    </dgm:pt>
    <dgm:pt modelId="{4854DAFC-7096-4906-8FD1-3EAF9ACE842A}" type="pres">
      <dgm:prSet presAssocID="{E3BBE7C9-CA40-4039-AFF5-044FB23120FA}" presName="connectorText" presStyleLbl="sibTrans2D1" presStyleIdx="0" presStyleCnt="1"/>
      <dgm:spPr/>
      <dgm:t>
        <a:bodyPr/>
        <a:lstStyle/>
        <a:p>
          <a:endParaRPr lang="en-US"/>
        </a:p>
      </dgm:t>
    </dgm:pt>
    <dgm:pt modelId="{F87D98A4-7094-4883-A626-2A2D9A33E530}" type="pres">
      <dgm:prSet presAssocID="{E3BBE7C9-CA40-4039-AFF5-044FB23120FA}" presName="lastNode" presStyleLbl="node1" presStyleIdx="1" presStyleCnt="2">
        <dgm:presLayoutVars>
          <dgm:bulletEnabled val="1"/>
        </dgm:presLayoutVars>
      </dgm:prSet>
      <dgm:spPr/>
      <dgm:t>
        <a:bodyPr/>
        <a:lstStyle/>
        <a:p>
          <a:endParaRPr lang="en-US"/>
        </a:p>
      </dgm:t>
    </dgm:pt>
  </dgm:ptLst>
  <dgm:cxnLst>
    <dgm:cxn modelId="{5DC92B75-88B8-4090-9902-E9613A3EB218}" type="presOf" srcId="{913C805D-C42C-401B-8616-F4261327F366}" destId="{C6CA00A3-D3A6-4570-92D0-11C1B2370A0C}" srcOrd="0" destOrd="0" presId="urn:microsoft.com/office/officeart/2005/8/layout/equation2"/>
    <dgm:cxn modelId="{9E2C5DED-EA06-4565-895E-44C2503D557B}" type="presOf" srcId="{AA1C7009-C1AA-4A26-9D4D-6EA89DDF10D2}" destId="{4F73DADA-92C4-4AEE-AAB3-8C3C832CA53E}" srcOrd="0" destOrd="0" presId="urn:microsoft.com/office/officeart/2005/8/layout/equation2"/>
    <dgm:cxn modelId="{B8C7150A-DBFA-4071-A7B4-886CB5C31957}" type="presOf" srcId="{AA1C7009-C1AA-4A26-9D4D-6EA89DDF10D2}" destId="{4854DAFC-7096-4906-8FD1-3EAF9ACE842A}" srcOrd="1" destOrd="0" presId="urn:microsoft.com/office/officeart/2005/8/layout/equation2"/>
    <dgm:cxn modelId="{0901901B-97AC-4CF2-9764-8C81A962A3DB}" type="presOf" srcId="{E3BBE7C9-CA40-4039-AFF5-044FB23120FA}" destId="{26987F1C-0F67-4FE8-91F0-73B482FD609D}" srcOrd="0" destOrd="0" presId="urn:microsoft.com/office/officeart/2005/8/layout/equation2"/>
    <dgm:cxn modelId="{7B65661A-F60D-4833-A7AA-0486EF70B9C8}" srcId="{E3BBE7C9-CA40-4039-AFF5-044FB23120FA}" destId="{913C805D-C42C-401B-8616-F4261327F366}" srcOrd="0" destOrd="0" parTransId="{4BF88284-D385-4B1E-97BB-1BB44987BC9B}" sibTransId="{AA1C7009-C1AA-4A26-9D4D-6EA89DDF10D2}"/>
    <dgm:cxn modelId="{00343A67-9C88-4BD6-838B-F3B1F2F21256}" type="presOf" srcId="{29193D4C-C8F3-4EE1-9DCD-2D8E568D146E}" destId="{F87D98A4-7094-4883-A626-2A2D9A33E530}" srcOrd="0" destOrd="0" presId="urn:microsoft.com/office/officeart/2005/8/layout/equation2"/>
    <dgm:cxn modelId="{3AFF46CE-25D6-4A3F-861D-4AF7E1C7EA48}" srcId="{E3BBE7C9-CA40-4039-AFF5-044FB23120FA}" destId="{29193D4C-C8F3-4EE1-9DCD-2D8E568D146E}" srcOrd="1" destOrd="0" parTransId="{56D039A9-091D-4875-9EDF-2C178ABE0480}" sibTransId="{9FFE6750-6581-4AC2-A87D-CA8C8283E9C4}"/>
    <dgm:cxn modelId="{73BBF0F2-C3C5-45CF-9770-222010CE5806}" type="presParOf" srcId="{26987F1C-0F67-4FE8-91F0-73B482FD609D}" destId="{DFDF013A-B46A-4FE0-86FE-85F336C7129D}" srcOrd="0" destOrd="0" presId="urn:microsoft.com/office/officeart/2005/8/layout/equation2"/>
    <dgm:cxn modelId="{72B62B6A-7FF8-4FAE-A17F-F35E23C4D953}" type="presParOf" srcId="{DFDF013A-B46A-4FE0-86FE-85F336C7129D}" destId="{C6CA00A3-D3A6-4570-92D0-11C1B2370A0C}" srcOrd="0" destOrd="0" presId="urn:microsoft.com/office/officeart/2005/8/layout/equation2"/>
    <dgm:cxn modelId="{B620F2D8-9C66-4BE7-AF77-C6BDD6B9CFAD}" type="presParOf" srcId="{26987F1C-0F67-4FE8-91F0-73B482FD609D}" destId="{4F73DADA-92C4-4AEE-AAB3-8C3C832CA53E}" srcOrd="1" destOrd="0" presId="urn:microsoft.com/office/officeart/2005/8/layout/equation2"/>
    <dgm:cxn modelId="{B932F1AE-5717-4477-B57E-79ABC0868A3F}" type="presParOf" srcId="{4F73DADA-92C4-4AEE-AAB3-8C3C832CA53E}" destId="{4854DAFC-7096-4906-8FD1-3EAF9ACE842A}" srcOrd="0" destOrd="0" presId="urn:microsoft.com/office/officeart/2005/8/layout/equation2"/>
    <dgm:cxn modelId="{31008E4F-40B3-45F1-A44B-B78C02F0D5CF}" type="presParOf" srcId="{26987F1C-0F67-4FE8-91F0-73B482FD609D}" destId="{F87D98A4-7094-4883-A626-2A2D9A33E530}" srcOrd="2" destOrd="0" presId="urn:microsoft.com/office/officeart/2005/8/layout/equation2"/>
  </dgm:cxnLst>
  <dgm:bg>
    <a:solidFill>
      <a:srgbClr val="F7EEF7"/>
    </a:solidFill>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A00A3-D3A6-4570-92D0-11C1B2370A0C}">
      <dsp:nvSpPr>
        <dsp:cNvPr id="0" name=""/>
        <dsp:cNvSpPr/>
      </dsp:nvSpPr>
      <dsp:spPr>
        <a:xfrm>
          <a:off x="991" y="863191"/>
          <a:ext cx="1474017" cy="1474017"/>
        </a:xfrm>
        <a:prstGeom prst="ellipse">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AU" sz="2000" kern="1200"/>
            <a:t>£1 </a:t>
          </a:r>
          <a:r>
            <a:rPr lang="en-AU" sz="2000" kern="1200">
              <a:solidFill>
                <a:srgbClr val="F7EEF7"/>
              </a:solidFill>
              <a:latin typeface="Arial" panose="020B0604020202020204" pitchFamily="34" charset="0"/>
              <a:cs typeface="Arial" panose="020B0604020202020204" pitchFamily="34" charset="0"/>
            </a:rPr>
            <a:t>invested</a:t>
          </a:r>
          <a:r>
            <a:rPr lang="en-AU" sz="2000" kern="1200"/>
            <a:t> </a:t>
          </a:r>
        </a:p>
      </dsp:txBody>
      <dsp:txXfrm>
        <a:off x="216856" y="1079056"/>
        <a:ext cx="1042287" cy="1042287"/>
      </dsp:txXfrm>
    </dsp:sp>
    <dsp:sp modelId="{4F73DADA-92C4-4AEE-AAB3-8C3C832CA53E}">
      <dsp:nvSpPr>
        <dsp:cNvPr id="0" name=""/>
        <dsp:cNvSpPr/>
      </dsp:nvSpPr>
      <dsp:spPr>
        <a:xfrm>
          <a:off x="1876633" y="1392323"/>
          <a:ext cx="851445" cy="415752"/>
        </a:xfrm>
        <a:prstGeom prst="rightArrow">
          <a:avLst>
            <a:gd name="adj1" fmla="val 60000"/>
            <a:gd name="adj2" fmla="val 50000"/>
          </a:avLst>
        </a:prstGeom>
        <a:solidFill>
          <a:srgbClr val="6600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AU" sz="1600" kern="1200"/>
        </a:p>
      </dsp:txBody>
      <dsp:txXfrm>
        <a:off x="1876633" y="1475473"/>
        <a:ext cx="726719" cy="249452"/>
      </dsp:txXfrm>
    </dsp:sp>
    <dsp:sp modelId="{F87D98A4-7094-4883-A626-2A2D9A33E530}">
      <dsp:nvSpPr>
        <dsp:cNvPr id="0" name=""/>
        <dsp:cNvSpPr/>
      </dsp:nvSpPr>
      <dsp:spPr>
        <a:xfrm>
          <a:off x="3081508" y="261450"/>
          <a:ext cx="2677500" cy="2677500"/>
        </a:xfrm>
        <a:prstGeom prst="ellipse">
          <a:avLst/>
        </a:prstGeom>
        <a:solidFill>
          <a:srgbClr val="66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AU" sz="2000" kern="1200">
              <a:latin typeface="Arial" panose="020B0604020202020204" pitchFamily="34" charset="0"/>
              <a:cs typeface="Arial" panose="020B0604020202020204" pitchFamily="34" charset="0"/>
            </a:rPr>
            <a:t> £4 return </a:t>
          </a:r>
        </a:p>
      </dsp:txBody>
      <dsp:txXfrm>
        <a:off x="3473619" y="653561"/>
        <a:ext cx="1893278" cy="189327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5BC32D30-8ECC-4774-B97D-08B21D6372F2}">
  <ds:schemaRefs>
    <ds:schemaRef ds:uri="http://schemas.microsoft.com/sharepoint/v3"/>
    <ds:schemaRef ds:uri="http://schemas.openxmlformats.org/package/2006/metadata/core-properties"/>
    <ds:schemaRef ds:uri="http://purl.org/dc/terms/"/>
    <ds:schemaRef ds:uri="http://schemas.microsoft.com/office/2006/documentManagement/types"/>
    <ds:schemaRef ds:uri="http://purl.org/dc/dcmitype/"/>
    <ds:schemaRef ds:uri="58569e35-c074-42ac-b0e0-5012f8e6d690"/>
    <ds:schemaRef ds:uri="http://purl.org/dc/elements/1.1/"/>
    <ds:schemaRef ds:uri="4eda4ad6-7ef7-4305-ba1e-934f809bdd01"/>
    <ds:schemaRef ds:uri="http://schemas.microsoft.com/office/2006/metadata/properties"/>
    <ds:schemaRef ds:uri="http://schemas.microsoft.com/office/infopath/2007/PartnerControl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F24DB25D-5F63-40B3-84B0-3A1A732E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2AF3ADF3-627D-4668-AE29-66E35BE8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69</Pages>
  <Words>15412</Words>
  <Characters>87855</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Foster, Alastair</cp:lastModifiedBy>
  <cp:revision>15</cp:revision>
  <dcterms:created xsi:type="dcterms:W3CDTF">2021-02-26T00:59:00Z</dcterms:created>
  <dcterms:modified xsi:type="dcterms:W3CDTF">2021-02-26T06:45:00Z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