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40EB" w14:textId="5FECA818" w:rsidR="00BD4A22" w:rsidRPr="00C578EB" w:rsidRDefault="00BD4A22" w:rsidP="00BD4A22">
      <w:pPr>
        <w:pStyle w:val="BodyText1"/>
        <w:rPr>
          <w:b/>
          <w:color w:val="FFFFFF" w:themeColor="background1"/>
          <w:sz w:val="96"/>
          <w:szCs w:val="96"/>
        </w:rPr>
      </w:pPr>
    </w:p>
    <w:p w14:paraId="67AF5421" w14:textId="77777777" w:rsidR="00BD4A22" w:rsidRPr="00C578EB" w:rsidRDefault="00BD4A22" w:rsidP="00BD4A22">
      <w:pPr>
        <w:pStyle w:val="BodyText1"/>
        <w:rPr>
          <w:b/>
          <w:color w:val="FFFFFF" w:themeColor="background1"/>
          <w:sz w:val="64"/>
          <w:szCs w:val="64"/>
        </w:rPr>
      </w:pPr>
      <w:r w:rsidRPr="00C578EB">
        <w:rPr>
          <w:b/>
          <w:color w:val="FFFFFF" w:themeColor="background1"/>
          <w:sz w:val="96"/>
          <w:szCs w:val="96"/>
        </w:rPr>
        <w:t xml:space="preserve">National Disability Insurance Scheme </w:t>
      </w:r>
    </w:p>
    <w:p w14:paraId="4C3B713F" w14:textId="77777777" w:rsidR="00BD4A22" w:rsidRPr="00C578EB" w:rsidRDefault="00BD4A22" w:rsidP="00BD4A22">
      <w:pPr>
        <w:pStyle w:val="BodyText1"/>
        <w:rPr>
          <w:b/>
          <w:color w:val="FFFFFF" w:themeColor="background1"/>
          <w:sz w:val="64"/>
          <w:szCs w:val="64"/>
        </w:rPr>
      </w:pPr>
    </w:p>
    <w:p w14:paraId="1F745003" w14:textId="281F8AAD" w:rsidR="00BD4A22" w:rsidRPr="00C578EB" w:rsidRDefault="00354523" w:rsidP="00BD4A22">
      <w:pPr>
        <w:pStyle w:val="BodyText1"/>
        <w:rPr>
          <w:b/>
          <w:noProof/>
          <w:color w:val="FFFFFF" w:themeColor="background1"/>
          <w:sz w:val="64"/>
          <w:szCs w:val="64"/>
          <w:lang w:eastAsia="en-AU"/>
        </w:rPr>
      </w:pPr>
      <w:r w:rsidRPr="00C578EB">
        <w:rPr>
          <w:b/>
          <w:noProof/>
          <w:color w:val="FFFFFF" w:themeColor="background1"/>
          <w:sz w:val="64"/>
          <w:szCs w:val="64"/>
          <w:lang w:eastAsia="en-AU"/>
        </w:rPr>
        <w:drawing>
          <wp:anchor distT="0" distB="0" distL="114300" distR="114300" simplePos="0" relativeHeight="251659264" behindDoc="1" locked="0" layoutInCell="1" allowOverlap="1" wp14:anchorId="13DB5915" wp14:editId="24E06633">
            <wp:simplePos x="0" y="0"/>
            <wp:positionH relativeFrom="page">
              <wp:posOffset>331470</wp:posOffset>
            </wp:positionH>
            <wp:positionV relativeFrom="page">
              <wp:posOffset>360045</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8">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226D8F" w:rsidRPr="00C578EB">
        <w:rPr>
          <w:b/>
          <w:noProof/>
          <w:color w:val="FFFFFF" w:themeColor="background1"/>
          <w:sz w:val="64"/>
          <w:szCs w:val="64"/>
          <w:lang w:eastAsia="en-AU"/>
        </w:rPr>
        <w:t xml:space="preserve">Annual </w:t>
      </w:r>
      <w:r w:rsidR="00BD4A22" w:rsidRPr="00C578EB">
        <w:rPr>
          <w:b/>
          <w:noProof/>
          <w:color w:val="FFFFFF" w:themeColor="background1"/>
          <w:sz w:val="64"/>
          <w:szCs w:val="64"/>
          <w:lang w:eastAsia="en-AU"/>
        </w:rPr>
        <w:t>Financial Sustainability Report</w:t>
      </w:r>
      <w:r w:rsidR="00963201" w:rsidRPr="00C578EB">
        <w:rPr>
          <w:b/>
          <w:noProof/>
          <w:color w:val="FFFFFF" w:themeColor="background1"/>
          <w:sz w:val="64"/>
          <w:szCs w:val="64"/>
          <w:lang w:eastAsia="en-AU"/>
        </w:rPr>
        <w:t xml:space="preserve"> Summary</w:t>
      </w:r>
    </w:p>
    <w:p w14:paraId="1987CEFD" w14:textId="1487C2CC" w:rsidR="00963201" w:rsidRPr="00C578EB" w:rsidRDefault="00963201" w:rsidP="00963201">
      <w:pPr>
        <w:pStyle w:val="BodyText1"/>
        <w:numPr>
          <w:ilvl w:val="0"/>
          <w:numId w:val="72"/>
        </w:numPr>
        <w:rPr>
          <w:b/>
          <w:color w:val="FFFFFF" w:themeColor="background1"/>
          <w:sz w:val="64"/>
          <w:szCs w:val="64"/>
        </w:rPr>
      </w:pPr>
      <w:r w:rsidRPr="00C578EB">
        <w:rPr>
          <w:b/>
          <w:color w:val="FFFFFF" w:themeColor="background1"/>
          <w:sz w:val="64"/>
          <w:szCs w:val="64"/>
        </w:rPr>
        <w:t>Interim update</w:t>
      </w:r>
    </w:p>
    <w:p w14:paraId="2463252D" w14:textId="196ACA11" w:rsidR="00BD4A22" w:rsidRPr="00C578EB" w:rsidRDefault="00BD4A22" w:rsidP="00BD4A22">
      <w:pPr>
        <w:pStyle w:val="BodyText1"/>
        <w:rPr>
          <w:b/>
          <w:color w:val="FFFFFF" w:themeColor="background1"/>
          <w:sz w:val="52"/>
          <w:szCs w:val="52"/>
        </w:rPr>
      </w:pPr>
      <w:r w:rsidRPr="00C578EB">
        <w:rPr>
          <w:b/>
          <w:color w:val="FFFFFF" w:themeColor="background1"/>
          <w:sz w:val="96"/>
          <w:szCs w:val="96"/>
        </w:rPr>
        <w:br/>
      </w:r>
    </w:p>
    <w:p w14:paraId="25C4D8D7" w14:textId="77777777" w:rsidR="00BD4A22" w:rsidRPr="00C578EB" w:rsidRDefault="00BD4A22" w:rsidP="00BD4A22"/>
    <w:p w14:paraId="0BBF6981" w14:textId="77777777" w:rsidR="00BD4A22" w:rsidRPr="00C578EB" w:rsidRDefault="00BD4A22" w:rsidP="00BD4A22">
      <w:pPr>
        <w:rPr>
          <w:b/>
          <w:color w:val="FFFFFF" w:themeColor="background1"/>
        </w:rPr>
      </w:pPr>
      <w:r w:rsidRPr="00C578EB">
        <w:rPr>
          <w:b/>
          <w:color w:val="FFFFFF" w:themeColor="background1"/>
        </w:rPr>
        <w:t>Sarah Johnson BCom FIAA</w:t>
      </w:r>
    </w:p>
    <w:p w14:paraId="493F3295" w14:textId="59695421" w:rsidR="00BD4A22" w:rsidRDefault="00BD4A22" w:rsidP="00BD4A22">
      <w:pPr>
        <w:rPr>
          <w:b/>
          <w:color w:val="FFFFFF" w:themeColor="background1"/>
        </w:rPr>
      </w:pPr>
      <w:r w:rsidRPr="00C578EB">
        <w:rPr>
          <w:b/>
          <w:color w:val="FFFFFF" w:themeColor="background1"/>
        </w:rPr>
        <w:t>Scheme Actuary</w:t>
      </w:r>
    </w:p>
    <w:p w14:paraId="38CD53B9" w14:textId="76158C3D" w:rsidR="00C30CCF" w:rsidRPr="00C578EB" w:rsidRDefault="00C30CCF" w:rsidP="00BD4A22">
      <w:pPr>
        <w:rPr>
          <w:b/>
          <w:color w:val="FFFFFF" w:themeColor="background1"/>
        </w:rPr>
      </w:pPr>
      <w:r>
        <w:rPr>
          <w:b/>
          <w:color w:val="FFFFFF" w:themeColor="background1"/>
        </w:rPr>
        <w:t>July 2021</w:t>
      </w:r>
    </w:p>
    <w:p w14:paraId="18846B3A" w14:textId="77777777" w:rsidR="00BD4A22" w:rsidRPr="00C578EB" w:rsidRDefault="00BD4A22" w:rsidP="00BD4A22"/>
    <w:p w14:paraId="51162CA1" w14:textId="1A879208" w:rsidR="00E27451" w:rsidRPr="00C578EB" w:rsidRDefault="00BD4A22">
      <w:pPr>
        <w:spacing w:after="160" w:line="259" w:lineRule="auto"/>
      </w:pPr>
      <w:r w:rsidRPr="00C578EB">
        <w:br w:type="page"/>
      </w:r>
      <w:bookmarkStart w:id="0" w:name="_Ref489526146"/>
      <w:bookmarkStart w:id="1" w:name="_Toc16268366"/>
    </w:p>
    <w:sdt>
      <w:sdtPr>
        <w:rPr>
          <w:rFonts w:ascii="Arial" w:eastAsiaTheme="minorEastAsia" w:hAnsi="Arial" w:cstheme="minorBidi"/>
          <w:b w:val="0"/>
          <w:color w:val="auto"/>
          <w:sz w:val="22"/>
          <w:szCs w:val="24"/>
          <w:lang w:eastAsia="ja-JP"/>
        </w:rPr>
        <w:id w:val="-1319571241"/>
        <w:docPartObj>
          <w:docPartGallery w:val="Table of Contents"/>
          <w:docPartUnique/>
        </w:docPartObj>
      </w:sdtPr>
      <w:sdtEndPr>
        <w:rPr>
          <w:bCs/>
          <w:noProof/>
        </w:rPr>
      </w:sdtEndPr>
      <w:sdtContent>
        <w:p w14:paraId="481AA8D8" w14:textId="71D62101" w:rsidR="00E27451" w:rsidRPr="00F27EF7" w:rsidRDefault="00E27451">
          <w:pPr>
            <w:pStyle w:val="TOCHeading"/>
            <w:rPr>
              <w:rFonts w:ascii="Arial" w:hAnsi="Arial" w:cs="Arial"/>
            </w:rPr>
          </w:pPr>
          <w:r w:rsidRPr="00F27EF7">
            <w:rPr>
              <w:rFonts w:ascii="Arial" w:hAnsi="Arial" w:cs="Arial"/>
            </w:rPr>
            <w:t>Table of Contents</w:t>
          </w:r>
        </w:p>
        <w:p w14:paraId="6AADD6C2" w14:textId="4F316F5A" w:rsidR="00773395" w:rsidRDefault="00E27451">
          <w:pPr>
            <w:pStyle w:val="TOC2"/>
            <w:tabs>
              <w:tab w:val="right" w:leader="dot" w:pos="9016"/>
            </w:tabs>
            <w:rPr>
              <w:rFonts w:asciiTheme="minorHAnsi" w:hAnsiTheme="minorHAnsi"/>
              <w:noProof/>
              <w:szCs w:val="22"/>
              <w:lang w:eastAsia="en-AU"/>
            </w:rPr>
          </w:pPr>
          <w:r w:rsidRPr="00C578EB">
            <w:fldChar w:fldCharType="begin"/>
          </w:r>
          <w:r w:rsidRPr="00C578EB">
            <w:instrText xml:space="preserve"> TOC \o "1-3" \h \z \u </w:instrText>
          </w:r>
          <w:r w:rsidRPr="00C578EB">
            <w:fldChar w:fldCharType="separate"/>
          </w:r>
          <w:hyperlink w:anchor="_Toc76132718" w:history="1">
            <w:r w:rsidR="00773395" w:rsidRPr="00343F75">
              <w:rPr>
                <w:rStyle w:val="Hyperlink"/>
                <w:noProof/>
              </w:rPr>
              <w:t>Acronyms and definitions</w:t>
            </w:r>
            <w:r w:rsidR="00773395">
              <w:rPr>
                <w:noProof/>
                <w:webHidden/>
              </w:rPr>
              <w:tab/>
            </w:r>
            <w:r w:rsidR="00773395">
              <w:rPr>
                <w:noProof/>
                <w:webHidden/>
              </w:rPr>
              <w:fldChar w:fldCharType="begin"/>
            </w:r>
            <w:r w:rsidR="00773395">
              <w:rPr>
                <w:noProof/>
                <w:webHidden/>
              </w:rPr>
              <w:instrText xml:space="preserve"> PAGEREF _Toc76132718 \h </w:instrText>
            </w:r>
            <w:r w:rsidR="00773395">
              <w:rPr>
                <w:noProof/>
                <w:webHidden/>
              </w:rPr>
            </w:r>
            <w:r w:rsidR="00773395">
              <w:rPr>
                <w:noProof/>
                <w:webHidden/>
              </w:rPr>
              <w:fldChar w:fldCharType="separate"/>
            </w:r>
            <w:r w:rsidR="00773395">
              <w:rPr>
                <w:noProof/>
                <w:webHidden/>
              </w:rPr>
              <w:t>3</w:t>
            </w:r>
            <w:r w:rsidR="00773395">
              <w:rPr>
                <w:noProof/>
                <w:webHidden/>
              </w:rPr>
              <w:fldChar w:fldCharType="end"/>
            </w:r>
          </w:hyperlink>
        </w:p>
        <w:p w14:paraId="2A14C6CA" w14:textId="318BF7F1" w:rsidR="00773395" w:rsidRDefault="00E674EE">
          <w:pPr>
            <w:pStyle w:val="TOC2"/>
            <w:tabs>
              <w:tab w:val="right" w:leader="dot" w:pos="9016"/>
            </w:tabs>
            <w:rPr>
              <w:rFonts w:asciiTheme="minorHAnsi" w:hAnsiTheme="minorHAnsi"/>
              <w:noProof/>
              <w:szCs w:val="22"/>
              <w:lang w:eastAsia="en-AU"/>
            </w:rPr>
          </w:pPr>
          <w:hyperlink w:anchor="_Toc76132719" w:history="1">
            <w:r w:rsidR="00773395" w:rsidRPr="00343F75">
              <w:rPr>
                <w:rStyle w:val="Hyperlink"/>
                <w:noProof/>
              </w:rPr>
              <w:t>Overview</w:t>
            </w:r>
            <w:r w:rsidR="00773395">
              <w:rPr>
                <w:noProof/>
                <w:webHidden/>
              </w:rPr>
              <w:tab/>
            </w:r>
            <w:r w:rsidR="00773395">
              <w:rPr>
                <w:noProof/>
                <w:webHidden/>
              </w:rPr>
              <w:fldChar w:fldCharType="begin"/>
            </w:r>
            <w:r w:rsidR="00773395">
              <w:rPr>
                <w:noProof/>
                <w:webHidden/>
              </w:rPr>
              <w:instrText xml:space="preserve"> PAGEREF _Toc76132719 \h </w:instrText>
            </w:r>
            <w:r w:rsidR="00773395">
              <w:rPr>
                <w:noProof/>
                <w:webHidden/>
              </w:rPr>
            </w:r>
            <w:r w:rsidR="00773395">
              <w:rPr>
                <w:noProof/>
                <w:webHidden/>
              </w:rPr>
              <w:fldChar w:fldCharType="separate"/>
            </w:r>
            <w:r w:rsidR="00773395">
              <w:rPr>
                <w:noProof/>
                <w:webHidden/>
              </w:rPr>
              <w:t>6</w:t>
            </w:r>
            <w:r w:rsidR="00773395">
              <w:rPr>
                <w:noProof/>
                <w:webHidden/>
              </w:rPr>
              <w:fldChar w:fldCharType="end"/>
            </w:r>
          </w:hyperlink>
        </w:p>
        <w:p w14:paraId="7A1B05F3" w14:textId="24ACF804" w:rsidR="00773395" w:rsidRDefault="00E674EE">
          <w:pPr>
            <w:pStyle w:val="TOC2"/>
            <w:tabs>
              <w:tab w:val="left" w:pos="660"/>
              <w:tab w:val="right" w:leader="dot" w:pos="9016"/>
            </w:tabs>
            <w:rPr>
              <w:rFonts w:asciiTheme="minorHAnsi" w:hAnsiTheme="minorHAnsi"/>
              <w:noProof/>
              <w:szCs w:val="22"/>
              <w:lang w:eastAsia="en-AU"/>
            </w:rPr>
          </w:pPr>
          <w:hyperlink w:anchor="_Toc76132720" w:history="1">
            <w:r w:rsidR="00773395" w:rsidRPr="00343F75">
              <w:rPr>
                <w:rStyle w:val="Hyperlink"/>
                <w:noProof/>
                <w14:scene3d>
                  <w14:camera w14:prst="orthographicFront"/>
                  <w14:lightRig w14:rig="threePt" w14:dir="t">
                    <w14:rot w14:lat="0" w14:lon="0" w14:rev="0"/>
                  </w14:lightRig>
                </w14:scene3d>
              </w:rPr>
              <w:t>1.</w:t>
            </w:r>
            <w:r w:rsidR="00773395">
              <w:rPr>
                <w:rFonts w:asciiTheme="minorHAnsi" w:hAnsiTheme="minorHAnsi"/>
                <w:noProof/>
                <w:szCs w:val="22"/>
                <w:lang w:eastAsia="en-AU"/>
              </w:rPr>
              <w:tab/>
            </w:r>
            <w:r w:rsidR="00773395" w:rsidRPr="00343F75">
              <w:rPr>
                <w:rStyle w:val="Hyperlink"/>
                <w:noProof/>
              </w:rPr>
              <w:t>Introduction</w:t>
            </w:r>
            <w:r w:rsidR="00773395">
              <w:rPr>
                <w:noProof/>
                <w:webHidden/>
              </w:rPr>
              <w:tab/>
            </w:r>
            <w:r w:rsidR="00773395">
              <w:rPr>
                <w:noProof/>
                <w:webHidden/>
              </w:rPr>
              <w:fldChar w:fldCharType="begin"/>
            </w:r>
            <w:r w:rsidR="00773395">
              <w:rPr>
                <w:noProof/>
                <w:webHidden/>
              </w:rPr>
              <w:instrText xml:space="preserve"> PAGEREF _Toc76132720 \h </w:instrText>
            </w:r>
            <w:r w:rsidR="00773395">
              <w:rPr>
                <w:noProof/>
                <w:webHidden/>
              </w:rPr>
            </w:r>
            <w:r w:rsidR="00773395">
              <w:rPr>
                <w:noProof/>
                <w:webHidden/>
              </w:rPr>
              <w:fldChar w:fldCharType="separate"/>
            </w:r>
            <w:r w:rsidR="00773395">
              <w:rPr>
                <w:noProof/>
                <w:webHidden/>
              </w:rPr>
              <w:t>16</w:t>
            </w:r>
            <w:r w:rsidR="00773395">
              <w:rPr>
                <w:noProof/>
                <w:webHidden/>
              </w:rPr>
              <w:fldChar w:fldCharType="end"/>
            </w:r>
          </w:hyperlink>
        </w:p>
        <w:p w14:paraId="79C041EC" w14:textId="283FC54B" w:rsidR="00773395" w:rsidRDefault="00E674EE">
          <w:pPr>
            <w:pStyle w:val="TOC2"/>
            <w:tabs>
              <w:tab w:val="left" w:pos="660"/>
              <w:tab w:val="right" w:leader="dot" w:pos="9016"/>
            </w:tabs>
            <w:rPr>
              <w:rFonts w:asciiTheme="minorHAnsi" w:hAnsiTheme="minorHAnsi"/>
              <w:noProof/>
              <w:szCs w:val="22"/>
              <w:lang w:eastAsia="en-AU"/>
            </w:rPr>
          </w:pPr>
          <w:hyperlink w:anchor="_Toc76132721" w:history="1">
            <w:r w:rsidR="00773395" w:rsidRPr="00343F75">
              <w:rPr>
                <w:rStyle w:val="Hyperlink"/>
                <w:noProof/>
                <w14:scene3d>
                  <w14:camera w14:prst="orthographicFront"/>
                  <w14:lightRig w14:rig="threePt" w14:dir="t">
                    <w14:rot w14:lat="0" w14:lon="0" w14:rev="0"/>
                  </w14:lightRig>
                </w14:scene3d>
              </w:rPr>
              <w:t>2.</w:t>
            </w:r>
            <w:r w:rsidR="00773395">
              <w:rPr>
                <w:rFonts w:asciiTheme="minorHAnsi" w:hAnsiTheme="minorHAnsi"/>
                <w:noProof/>
                <w:szCs w:val="22"/>
                <w:lang w:eastAsia="en-AU"/>
              </w:rPr>
              <w:tab/>
            </w:r>
            <w:r w:rsidR="00773395" w:rsidRPr="00343F75">
              <w:rPr>
                <w:rStyle w:val="Hyperlink"/>
                <w:noProof/>
              </w:rPr>
              <w:t>Information and data integrity</w:t>
            </w:r>
            <w:r w:rsidR="00773395">
              <w:rPr>
                <w:noProof/>
                <w:webHidden/>
              </w:rPr>
              <w:tab/>
            </w:r>
            <w:r w:rsidR="00773395">
              <w:rPr>
                <w:noProof/>
                <w:webHidden/>
              </w:rPr>
              <w:fldChar w:fldCharType="begin"/>
            </w:r>
            <w:r w:rsidR="00773395">
              <w:rPr>
                <w:noProof/>
                <w:webHidden/>
              </w:rPr>
              <w:instrText xml:space="preserve"> PAGEREF _Toc76132721 \h </w:instrText>
            </w:r>
            <w:r w:rsidR="00773395">
              <w:rPr>
                <w:noProof/>
                <w:webHidden/>
              </w:rPr>
            </w:r>
            <w:r w:rsidR="00773395">
              <w:rPr>
                <w:noProof/>
                <w:webHidden/>
              </w:rPr>
              <w:fldChar w:fldCharType="separate"/>
            </w:r>
            <w:r w:rsidR="00773395">
              <w:rPr>
                <w:noProof/>
                <w:webHidden/>
              </w:rPr>
              <w:t>21</w:t>
            </w:r>
            <w:r w:rsidR="00773395">
              <w:rPr>
                <w:noProof/>
                <w:webHidden/>
              </w:rPr>
              <w:fldChar w:fldCharType="end"/>
            </w:r>
          </w:hyperlink>
        </w:p>
        <w:p w14:paraId="5FADE44F" w14:textId="73FE729D" w:rsidR="00773395" w:rsidRDefault="00E674EE">
          <w:pPr>
            <w:pStyle w:val="TOC2"/>
            <w:tabs>
              <w:tab w:val="left" w:pos="660"/>
              <w:tab w:val="right" w:leader="dot" w:pos="9016"/>
            </w:tabs>
            <w:rPr>
              <w:rFonts w:asciiTheme="minorHAnsi" w:hAnsiTheme="minorHAnsi"/>
              <w:noProof/>
              <w:szCs w:val="22"/>
              <w:lang w:eastAsia="en-AU"/>
            </w:rPr>
          </w:pPr>
          <w:hyperlink w:anchor="_Toc76132722" w:history="1">
            <w:r w:rsidR="00773395" w:rsidRPr="00343F75">
              <w:rPr>
                <w:rStyle w:val="Hyperlink"/>
                <w:noProof/>
                <w14:scene3d>
                  <w14:camera w14:prst="orthographicFront"/>
                  <w14:lightRig w14:rig="threePt" w14:dir="t">
                    <w14:rot w14:lat="0" w14:lon="0" w14:rev="0"/>
                  </w14:lightRig>
                </w14:scene3d>
              </w:rPr>
              <w:t>3.</w:t>
            </w:r>
            <w:r w:rsidR="00773395">
              <w:rPr>
                <w:rFonts w:asciiTheme="minorHAnsi" w:hAnsiTheme="minorHAnsi"/>
                <w:noProof/>
                <w:szCs w:val="22"/>
                <w:lang w:eastAsia="en-AU"/>
              </w:rPr>
              <w:tab/>
            </w:r>
            <w:r w:rsidR="00773395" w:rsidRPr="00343F75">
              <w:rPr>
                <w:rStyle w:val="Hyperlink"/>
                <w:noProof/>
              </w:rPr>
              <w:t>Modelling approach</w:t>
            </w:r>
            <w:r w:rsidR="00773395">
              <w:rPr>
                <w:noProof/>
                <w:webHidden/>
              </w:rPr>
              <w:tab/>
            </w:r>
            <w:r w:rsidR="00773395">
              <w:rPr>
                <w:noProof/>
                <w:webHidden/>
              </w:rPr>
              <w:fldChar w:fldCharType="begin"/>
            </w:r>
            <w:r w:rsidR="00773395">
              <w:rPr>
                <w:noProof/>
                <w:webHidden/>
              </w:rPr>
              <w:instrText xml:space="preserve"> PAGEREF _Toc76132722 \h </w:instrText>
            </w:r>
            <w:r w:rsidR="00773395">
              <w:rPr>
                <w:noProof/>
                <w:webHidden/>
              </w:rPr>
            </w:r>
            <w:r w:rsidR="00773395">
              <w:rPr>
                <w:noProof/>
                <w:webHidden/>
              </w:rPr>
              <w:fldChar w:fldCharType="separate"/>
            </w:r>
            <w:r w:rsidR="00773395">
              <w:rPr>
                <w:noProof/>
                <w:webHidden/>
              </w:rPr>
              <w:t>23</w:t>
            </w:r>
            <w:r w:rsidR="00773395">
              <w:rPr>
                <w:noProof/>
                <w:webHidden/>
              </w:rPr>
              <w:fldChar w:fldCharType="end"/>
            </w:r>
          </w:hyperlink>
        </w:p>
        <w:p w14:paraId="2D1C81FE" w14:textId="4E8763B1" w:rsidR="00773395" w:rsidRDefault="00E674EE">
          <w:pPr>
            <w:pStyle w:val="TOC2"/>
            <w:tabs>
              <w:tab w:val="left" w:pos="660"/>
              <w:tab w:val="right" w:leader="dot" w:pos="9016"/>
            </w:tabs>
            <w:rPr>
              <w:rFonts w:asciiTheme="minorHAnsi" w:hAnsiTheme="minorHAnsi"/>
              <w:noProof/>
              <w:szCs w:val="22"/>
              <w:lang w:eastAsia="en-AU"/>
            </w:rPr>
          </w:pPr>
          <w:hyperlink w:anchor="_Toc76132723" w:history="1">
            <w:r w:rsidR="00773395" w:rsidRPr="00343F75">
              <w:rPr>
                <w:rStyle w:val="Hyperlink"/>
                <w:noProof/>
                <w14:scene3d>
                  <w14:camera w14:prst="orthographicFront"/>
                  <w14:lightRig w14:rig="threePt" w14:dir="t">
                    <w14:rot w14:lat="0" w14:lon="0" w14:rev="0"/>
                  </w14:lightRig>
                </w14:scene3d>
              </w:rPr>
              <w:t>4.</w:t>
            </w:r>
            <w:r w:rsidR="00773395">
              <w:rPr>
                <w:rFonts w:asciiTheme="minorHAnsi" w:hAnsiTheme="minorHAnsi"/>
                <w:noProof/>
                <w:szCs w:val="22"/>
                <w:lang w:eastAsia="en-AU"/>
              </w:rPr>
              <w:tab/>
            </w:r>
            <w:r w:rsidR="00773395" w:rsidRPr="00343F75">
              <w:rPr>
                <w:rStyle w:val="Hyperlink"/>
                <w:noProof/>
              </w:rPr>
              <w:t>Scheme experience</w:t>
            </w:r>
            <w:r w:rsidR="00773395">
              <w:rPr>
                <w:noProof/>
                <w:webHidden/>
              </w:rPr>
              <w:tab/>
            </w:r>
            <w:r w:rsidR="00773395">
              <w:rPr>
                <w:noProof/>
                <w:webHidden/>
              </w:rPr>
              <w:fldChar w:fldCharType="begin"/>
            </w:r>
            <w:r w:rsidR="00773395">
              <w:rPr>
                <w:noProof/>
                <w:webHidden/>
              </w:rPr>
              <w:instrText xml:space="preserve"> PAGEREF _Toc76132723 \h </w:instrText>
            </w:r>
            <w:r w:rsidR="00773395">
              <w:rPr>
                <w:noProof/>
                <w:webHidden/>
              </w:rPr>
            </w:r>
            <w:r w:rsidR="00773395">
              <w:rPr>
                <w:noProof/>
                <w:webHidden/>
              </w:rPr>
              <w:fldChar w:fldCharType="separate"/>
            </w:r>
            <w:r w:rsidR="00773395">
              <w:rPr>
                <w:noProof/>
                <w:webHidden/>
              </w:rPr>
              <w:t>26</w:t>
            </w:r>
            <w:r w:rsidR="00773395">
              <w:rPr>
                <w:noProof/>
                <w:webHidden/>
              </w:rPr>
              <w:fldChar w:fldCharType="end"/>
            </w:r>
          </w:hyperlink>
        </w:p>
        <w:p w14:paraId="39B3B834" w14:textId="1F17E35F" w:rsidR="00773395" w:rsidRDefault="00E674EE">
          <w:pPr>
            <w:pStyle w:val="TOC3"/>
            <w:tabs>
              <w:tab w:val="left" w:pos="1100"/>
              <w:tab w:val="right" w:leader="dot" w:pos="9016"/>
            </w:tabs>
            <w:rPr>
              <w:rFonts w:asciiTheme="minorHAnsi" w:hAnsiTheme="minorHAnsi"/>
              <w:noProof/>
              <w:szCs w:val="22"/>
              <w:lang w:eastAsia="en-AU"/>
            </w:rPr>
          </w:pPr>
          <w:hyperlink w:anchor="_Toc76132724" w:history="1">
            <w:r w:rsidR="00773395" w:rsidRPr="00343F75">
              <w:rPr>
                <w:rStyle w:val="Hyperlink"/>
                <w:noProof/>
              </w:rPr>
              <w:t>4.1</w:t>
            </w:r>
            <w:r w:rsidR="00773395">
              <w:rPr>
                <w:rFonts w:asciiTheme="minorHAnsi" w:hAnsiTheme="minorHAnsi"/>
                <w:noProof/>
                <w:szCs w:val="22"/>
                <w:lang w:eastAsia="en-AU"/>
              </w:rPr>
              <w:tab/>
            </w:r>
            <w:r w:rsidR="00773395" w:rsidRPr="00343F75">
              <w:rPr>
                <w:rStyle w:val="Hyperlink"/>
                <w:noProof/>
              </w:rPr>
              <w:t>Participant numbers</w:t>
            </w:r>
            <w:r w:rsidR="00773395">
              <w:rPr>
                <w:noProof/>
                <w:webHidden/>
              </w:rPr>
              <w:tab/>
            </w:r>
            <w:r w:rsidR="00773395">
              <w:rPr>
                <w:noProof/>
                <w:webHidden/>
              </w:rPr>
              <w:fldChar w:fldCharType="begin"/>
            </w:r>
            <w:r w:rsidR="00773395">
              <w:rPr>
                <w:noProof/>
                <w:webHidden/>
              </w:rPr>
              <w:instrText xml:space="preserve"> PAGEREF _Toc76132724 \h </w:instrText>
            </w:r>
            <w:r w:rsidR="00773395">
              <w:rPr>
                <w:noProof/>
                <w:webHidden/>
              </w:rPr>
            </w:r>
            <w:r w:rsidR="00773395">
              <w:rPr>
                <w:noProof/>
                <w:webHidden/>
              </w:rPr>
              <w:fldChar w:fldCharType="separate"/>
            </w:r>
            <w:r w:rsidR="00773395">
              <w:rPr>
                <w:noProof/>
                <w:webHidden/>
              </w:rPr>
              <w:t>27</w:t>
            </w:r>
            <w:r w:rsidR="00773395">
              <w:rPr>
                <w:noProof/>
                <w:webHidden/>
              </w:rPr>
              <w:fldChar w:fldCharType="end"/>
            </w:r>
          </w:hyperlink>
        </w:p>
        <w:p w14:paraId="3EAE6EF1" w14:textId="4FC88431" w:rsidR="00773395" w:rsidRDefault="00E674EE">
          <w:pPr>
            <w:pStyle w:val="TOC3"/>
            <w:tabs>
              <w:tab w:val="left" w:pos="1100"/>
              <w:tab w:val="right" w:leader="dot" w:pos="9016"/>
            </w:tabs>
            <w:rPr>
              <w:rFonts w:asciiTheme="minorHAnsi" w:hAnsiTheme="minorHAnsi"/>
              <w:noProof/>
              <w:szCs w:val="22"/>
              <w:lang w:eastAsia="en-AU"/>
            </w:rPr>
          </w:pPr>
          <w:hyperlink w:anchor="_Toc76132725" w:history="1">
            <w:r w:rsidR="00773395" w:rsidRPr="00343F75">
              <w:rPr>
                <w:rStyle w:val="Hyperlink"/>
                <w:noProof/>
              </w:rPr>
              <w:t>4.2</w:t>
            </w:r>
            <w:r w:rsidR="00773395">
              <w:rPr>
                <w:rFonts w:asciiTheme="minorHAnsi" w:hAnsiTheme="minorHAnsi"/>
                <w:noProof/>
                <w:szCs w:val="22"/>
                <w:lang w:eastAsia="en-AU"/>
              </w:rPr>
              <w:tab/>
            </w:r>
            <w:r w:rsidR="00773395" w:rsidRPr="00343F75">
              <w:rPr>
                <w:rStyle w:val="Hyperlink"/>
                <w:noProof/>
              </w:rPr>
              <w:t>Average payments</w:t>
            </w:r>
            <w:r w:rsidR="00773395">
              <w:rPr>
                <w:noProof/>
                <w:webHidden/>
              </w:rPr>
              <w:tab/>
            </w:r>
            <w:r w:rsidR="00773395">
              <w:rPr>
                <w:noProof/>
                <w:webHidden/>
              </w:rPr>
              <w:fldChar w:fldCharType="begin"/>
            </w:r>
            <w:r w:rsidR="00773395">
              <w:rPr>
                <w:noProof/>
                <w:webHidden/>
              </w:rPr>
              <w:instrText xml:space="preserve"> PAGEREF _Toc76132725 \h </w:instrText>
            </w:r>
            <w:r w:rsidR="00773395">
              <w:rPr>
                <w:noProof/>
                <w:webHidden/>
              </w:rPr>
            </w:r>
            <w:r w:rsidR="00773395">
              <w:rPr>
                <w:noProof/>
                <w:webHidden/>
              </w:rPr>
              <w:fldChar w:fldCharType="separate"/>
            </w:r>
            <w:r w:rsidR="00773395">
              <w:rPr>
                <w:noProof/>
                <w:webHidden/>
              </w:rPr>
              <w:t>38</w:t>
            </w:r>
            <w:r w:rsidR="00773395">
              <w:rPr>
                <w:noProof/>
                <w:webHidden/>
              </w:rPr>
              <w:fldChar w:fldCharType="end"/>
            </w:r>
          </w:hyperlink>
        </w:p>
        <w:p w14:paraId="44E2FB67" w14:textId="5A48644C" w:rsidR="00773395" w:rsidRDefault="00E674EE">
          <w:pPr>
            <w:pStyle w:val="TOC3"/>
            <w:tabs>
              <w:tab w:val="left" w:pos="1100"/>
              <w:tab w:val="right" w:leader="dot" w:pos="9016"/>
            </w:tabs>
            <w:rPr>
              <w:rFonts w:asciiTheme="minorHAnsi" w:hAnsiTheme="minorHAnsi"/>
              <w:noProof/>
              <w:szCs w:val="22"/>
              <w:lang w:eastAsia="en-AU"/>
            </w:rPr>
          </w:pPr>
          <w:hyperlink w:anchor="_Toc76132726" w:history="1">
            <w:r w:rsidR="00773395" w:rsidRPr="00343F75">
              <w:rPr>
                <w:rStyle w:val="Hyperlink"/>
                <w:noProof/>
              </w:rPr>
              <w:t>4.3</w:t>
            </w:r>
            <w:r w:rsidR="00773395">
              <w:rPr>
                <w:rFonts w:asciiTheme="minorHAnsi" w:hAnsiTheme="minorHAnsi"/>
                <w:noProof/>
                <w:szCs w:val="22"/>
                <w:lang w:eastAsia="en-AU"/>
              </w:rPr>
              <w:tab/>
            </w:r>
            <w:r w:rsidR="00773395" w:rsidRPr="00343F75">
              <w:rPr>
                <w:rStyle w:val="Hyperlink"/>
                <w:noProof/>
              </w:rPr>
              <w:t>Total payments</w:t>
            </w:r>
            <w:r w:rsidR="00773395">
              <w:rPr>
                <w:noProof/>
                <w:webHidden/>
              </w:rPr>
              <w:tab/>
            </w:r>
            <w:r w:rsidR="00773395">
              <w:rPr>
                <w:noProof/>
                <w:webHidden/>
              </w:rPr>
              <w:fldChar w:fldCharType="begin"/>
            </w:r>
            <w:r w:rsidR="00773395">
              <w:rPr>
                <w:noProof/>
                <w:webHidden/>
              </w:rPr>
              <w:instrText xml:space="preserve"> PAGEREF _Toc76132726 \h </w:instrText>
            </w:r>
            <w:r w:rsidR="00773395">
              <w:rPr>
                <w:noProof/>
                <w:webHidden/>
              </w:rPr>
            </w:r>
            <w:r w:rsidR="00773395">
              <w:rPr>
                <w:noProof/>
                <w:webHidden/>
              </w:rPr>
              <w:fldChar w:fldCharType="separate"/>
            </w:r>
            <w:r w:rsidR="00773395">
              <w:rPr>
                <w:noProof/>
                <w:webHidden/>
              </w:rPr>
              <w:t>50</w:t>
            </w:r>
            <w:r w:rsidR="00773395">
              <w:rPr>
                <w:noProof/>
                <w:webHidden/>
              </w:rPr>
              <w:fldChar w:fldCharType="end"/>
            </w:r>
          </w:hyperlink>
        </w:p>
        <w:p w14:paraId="52D36ED1" w14:textId="62F0C147" w:rsidR="00773395" w:rsidRDefault="00E674EE">
          <w:pPr>
            <w:pStyle w:val="TOC3"/>
            <w:tabs>
              <w:tab w:val="left" w:pos="1100"/>
              <w:tab w:val="right" w:leader="dot" w:pos="9016"/>
            </w:tabs>
            <w:rPr>
              <w:rFonts w:asciiTheme="minorHAnsi" w:hAnsiTheme="minorHAnsi"/>
              <w:noProof/>
              <w:szCs w:val="22"/>
              <w:lang w:eastAsia="en-AU"/>
            </w:rPr>
          </w:pPr>
          <w:hyperlink w:anchor="_Toc76132727" w:history="1">
            <w:r w:rsidR="00773395" w:rsidRPr="00343F75">
              <w:rPr>
                <w:rStyle w:val="Hyperlink"/>
                <w:noProof/>
              </w:rPr>
              <w:t>4.4</w:t>
            </w:r>
            <w:r w:rsidR="00773395">
              <w:rPr>
                <w:rFonts w:asciiTheme="minorHAnsi" w:hAnsiTheme="minorHAnsi"/>
                <w:noProof/>
                <w:szCs w:val="22"/>
                <w:lang w:eastAsia="en-AU"/>
              </w:rPr>
              <w:tab/>
            </w:r>
            <w:r w:rsidR="00773395" w:rsidRPr="00343F75">
              <w:rPr>
                <w:rStyle w:val="Hyperlink"/>
                <w:noProof/>
              </w:rPr>
              <w:t>Scheme experience since 31 December 2020</w:t>
            </w:r>
            <w:r w:rsidR="00773395">
              <w:rPr>
                <w:noProof/>
                <w:webHidden/>
              </w:rPr>
              <w:tab/>
            </w:r>
            <w:r w:rsidR="00773395">
              <w:rPr>
                <w:noProof/>
                <w:webHidden/>
              </w:rPr>
              <w:fldChar w:fldCharType="begin"/>
            </w:r>
            <w:r w:rsidR="00773395">
              <w:rPr>
                <w:noProof/>
                <w:webHidden/>
              </w:rPr>
              <w:instrText xml:space="preserve"> PAGEREF _Toc76132727 \h </w:instrText>
            </w:r>
            <w:r w:rsidR="00773395">
              <w:rPr>
                <w:noProof/>
                <w:webHidden/>
              </w:rPr>
            </w:r>
            <w:r w:rsidR="00773395">
              <w:rPr>
                <w:noProof/>
                <w:webHidden/>
              </w:rPr>
              <w:fldChar w:fldCharType="separate"/>
            </w:r>
            <w:r w:rsidR="00773395">
              <w:rPr>
                <w:noProof/>
                <w:webHidden/>
              </w:rPr>
              <w:t>53</w:t>
            </w:r>
            <w:r w:rsidR="00773395">
              <w:rPr>
                <w:noProof/>
                <w:webHidden/>
              </w:rPr>
              <w:fldChar w:fldCharType="end"/>
            </w:r>
          </w:hyperlink>
        </w:p>
        <w:p w14:paraId="144F1DF2" w14:textId="4E8C6332" w:rsidR="00773395" w:rsidRDefault="00E674EE">
          <w:pPr>
            <w:pStyle w:val="TOC2"/>
            <w:tabs>
              <w:tab w:val="left" w:pos="660"/>
              <w:tab w:val="right" w:leader="dot" w:pos="9016"/>
            </w:tabs>
            <w:rPr>
              <w:rFonts w:asciiTheme="minorHAnsi" w:hAnsiTheme="minorHAnsi"/>
              <w:noProof/>
              <w:szCs w:val="22"/>
              <w:lang w:eastAsia="en-AU"/>
            </w:rPr>
          </w:pPr>
          <w:hyperlink w:anchor="_Toc76132728" w:history="1">
            <w:r w:rsidR="00773395" w:rsidRPr="00343F75">
              <w:rPr>
                <w:rStyle w:val="Hyperlink"/>
                <w:noProof/>
                <w14:scene3d>
                  <w14:camera w14:prst="orthographicFront"/>
                  <w14:lightRig w14:rig="threePt" w14:dir="t">
                    <w14:rot w14:lat="0" w14:lon="0" w14:rev="0"/>
                  </w14:lightRig>
                </w14:scene3d>
              </w:rPr>
              <w:t>5.</w:t>
            </w:r>
            <w:r w:rsidR="00773395">
              <w:rPr>
                <w:rFonts w:asciiTheme="minorHAnsi" w:hAnsiTheme="minorHAnsi"/>
                <w:noProof/>
                <w:szCs w:val="22"/>
                <w:lang w:eastAsia="en-AU"/>
              </w:rPr>
              <w:tab/>
            </w:r>
            <w:r w:rsidR="00773395" w:rsidRPr="00343F75">
              <w:rPr>
                <w:rStyle w:val="Hyperlink"/>
                <w:noProof/>
              </w:rPr>
              <w:t>Projections</w:t>
            </w:r>
            <w:r w:rsidR="00773395">
              <w:rPr>
                <w:noProof/>
                <w:webHidden/>
              </w:rPr>
              <w:tab/>
            </w:r>
            <w:r w:rsidR="00773395">
              <w:rPr>
                <w:noProof/>
                <w:webHidden/>
              </w:rPr>
              <w:fldChar w:fldCharType="begin"/>
            </w:r>
            <w:r w:rsidR="00773395">
              <w:rPr>
                <w:noProof/>
                <w:webHidden/>
              </w:rPr>
              <w:instrText xml:space="preserve"> PAGEREF _Toc76132728 \h </w:instrText>
            </w:r>
            <w:r w:rsidR="00773395">
              <w:rPr>
                <w:noProof/>
                <w:webHidden/>
              </w:rPr>
            </w:r>
            <w:r w:rsidR="00773395">
              <w:rPr>
                <w:noProof/>
                <w:webHidden/>
              </w:rPr>
              <w:fldChar w:fldCharType="separate"/>
            </w:r>
            <w:r w:rsidR="00773395">
              <w:rPr>
                <w:noProof/>
                <w:webHidden/>
              </w:rPr>
              <w:t>54</w:t>
            </w:r>
            <w:r w:rsidR="00773395">
              <w:rPr>
                <w:noProof/>
                <w:webHidden/>
              </w:rPr>
              <w:fldChar w:fldCharType="end"/>
            </w:r>
          </w:hyperlink>
        </w:p>
        <w:p w14:paraId="3A3C9479" w14:textId="7F878419" w:rsidR="00773395" w:rsidRDefault="00E674EE">
          <w:pPr>
            <w:pStyle w:val="TOC3"/>
            <w:tabs>
              <w:tab w:val="left" w:pos="1100"/>
              <w:tab w:val="right" w:leader="dot" w:pos="9016"/>
            </w:tabs>
            <w:rPr>
              <w:rFonts w:asciiTheme="minorHAnsi" w:hAnsiTheme="minorHAnsi"/>
              <w:noProof/>
              <w:szCs w:val="22"/>
              <w:lang w:eastAsia="en-AU"/>
            </w:rPr>
          </w:pPr>
          <w:hyperlink w:anchor="_Toc76132729" w:history="1">
            <w:r w:rsidR="00773395" w:rsidRPr="00343F75">
              <w:rPr>
                <w:rStyle w:val="Hyperlink"/>
                <w:noProof/>
              </w:rPr>
              <w:t>5.1</w:t>
            </w:r>
            <w:r w:rsidR="00773395">
              <w:rPr>
                <w:rFonts w:asciiTheme="minorHAnsi" w:hAnsiTheme="minorHAnsi"/>
                <w:noProof/>
                <w:szCs w:val="22"/>
                <w:lang w:eastAsia="en-AU"/>
              </w:rPr>
              <w:tab/>
            </w:r>
            <w:r w:rsidR="00773395" w:rsidRPr="00343F75">
              <w:rPr>
                <w:rStyle w:val="Hyperlink"/>
                <w:noProof/>
              </w:rPr>
              <w:t>Participant projections</w:t>
            </w:r>
            <w:r w:rsidR="00773395">
              <w:rPr>
                <w:noProof/>
                <w:webHidden/>
              </w:rPr>
              <w:tab/>
            </w:r>
            <w:r w:rsidR="00773395">
              <w:rPr>
                <w:noProof/>
                <w:webHidden/>
              </w:rPr>
              <w:fldChar w:fldCharType="begin"/>
            </w:r>
            <w:r w:rsidR="00773395">
              <w:rPr>
                <w:noProof/>
                <w:webHidden/>
              </w:rPr>
              <w:instrText xml:space="preserve"> PAGEREF _Toc76132729 \h </w:instrText>
            </w:r>
            <w:r w:rsidR="00773395">
              <w:rPr>
                <w:noProof/>
                <w:webHidden/>
              </w:rPr>
            </w:r>
            <w:r w:rsidR="00773395">
              <w:rPr>
                <w:noProof/>
                <w:webHidden/>
              </w:rPr>
              <w:fldChar w:fldCharType="separate"/>
            </w:r>
            <w:r w:rsidR="00773395">
              <w:rPr>
                <w:noProof/>
                <w:webHidden/>
              </w:rPr>
              <w:t>54</w:t>
            </w:r>
            <w:r w:rsidR="00773395">
              <w:rPr>
                <w:noProof/>
                <w:webHidden/>
              </w:rPr>
              <w:fldChar w:fldCharType="end"/>
            </w:r>
          </w:hyperlink>
        </w:p>
        <w:p w14:paraId="4118AB57" w14:textId="33360A40" w:rsidR="00773395" w:rsidRDefault="00E674EE">
          <w:pPr>
            <w:pStyle w:val="TOC3"/>
            <w:tabs>
              <w:tab w:val="left" w:pos="1100"/>
              <w:tab w:val="right" w:leader="dot" w:pos="9016"/>
            </w:tabs>
            <w:rPr>
              <w:rFonts w:asciiTheme="minorHAnsi" w:hAnsiTheme="minorHAnsi"/>
              <w:noProof/>
              <w:szCs w:val="22"/>
              <w:lang w:eastAsia="en-AU"/>
            </w:rPr>
          </w:pPr>
          <w:hyperlink w:anchor="_Toc76132730" w:history="1">
            <w:r w:rsidR="00773395" w:rsidRPr="00343F75">
              <w:rPr>
                <w:rStyle w:val="Hyperlink"/>
                <w:noProof/>
              </w:rPr>
              <w:t>5.2</w:t>
            </w:r>
            <w:r w:rsidR="00773395">
              <w:rPr>
                <w:rFonts w:asciiTheme="minorHAnsi" w:hAnsiTheme="minorHAnsi"/>
                <w:noProof/>
                <w:szCs w:val="22"/>
                <w:lang w:eastAsia="en-AU"/>
              </w:rPr>
              <w:tab/>
            </w:r>
            <w:r w:rsidR="00773395" w:rsidRPr="00343F75">
              <w:rPr>
                <w:rStyle w:val="Hyperlink"/>
                <w:noProof/>
              </w:rPr>
              <w:t>Average payment assumptions</w:t>
            </w:r>
            <w:r w:rsidR="00773395">
              <w:rPr>
                <w:noProof/>
                <w:webHidden/>
              </w:rPr>
              <w:tab/>
            </w:r>
            <w:r w:rsidR="00773395">
              <w:rPr>
                <w:noProof/>
                <w:webHidden/>
              </w:rPr>
              <w:fldChar w:fldCharType="begin"/>
            </w:r>
            <w:r w:rsidR="00773395">
              <w:rPr>
                <w:noProof/>
                <w:webHidden/>
              </w:rPr>
              <w:instrText xml:space="preserve"> PAGEREF _Toc76132730 \h </w:instrText>
            </w:r>
            <w:r w:rsidR="00773395">
              <w:rPr>
                <w:noProof/>
                <w:webHidden/>
              </w:rPr>
            </w:r>
            <w:r w:rsidR="00773395">
              <w:rPr>
                <w:noProof/>
                <w:webHidden/>
              </w:rPr>
              <w:fldChar w:fldCharType="separate"/>
            </w:r>
            <w:r w:rsidR="00773395">
              <w:rPr>
                <w:noProof/>
                <w:webHidden/>
              </w:rPr>
              <w:t>58</w:t>
            </w:r>
            <w:r w:rsidR="00773395">
              <w:rPr>
                <w:noProof/>
                <w:webHidden/>
              </w:rPr>
              <w:fldChar w:fldCharType="end"/>
            </w:r>
          </w:hyperlink>
        </w:p>
        <w:p w14:paraId="6A720A16" w14:textId="2B5A6E44" w:rsidR="00773395" w:rsidRDefault="00E674EE">
          <w:pPr>
            <w:pStyle w:val="TOC3"/>
            <w:tabs>
              <w:tab w:val="left" w:pos="1100"/>
              <w:tab w:val="right" w:leader="dot" w:pos="9016"/>
            </w:tabs>
            <w:rPr>
              <w:rFonts w:asciiTheme="minorHAnsi" w:hAnsiTheme="minorHAnsi"/>
              <w:noProof/>
              <w:szCs w:val="22"/>
              <w:lang w:eastAsia="en-AU"/>
            </w:rPr>
          </w:pPr>
          <w:hyperlink w:anchor="_Toc76132731" w:history="1">
            <w:r w:rsidR="00773395" w:rsidRPr="00343F75">
              <w:rPr>
                <w:rStyle w:val="Hyperlink"/>
                <w:noProof/>
              </w:rPr>
              <w:t>5.3</w:t>
            </w:r>
            <w:r w:rsidR="00773395">
              <w:rPr>
                <w:rFonts w:asciiTheme="minorHAnsi" w:hAnsiTheme="minorHAnsi"/>
                <w:noProof/>
                <w:szCs w:val="22"/>
                <w:lang w:eastAsia="en-AU"/>
              </w:rPr>
              <w:tab/>
            </w:r>
            <w:r w:rsidR="00773395" w:rsidRPr="00343F75">
              <w:rPr>
                <w:rStyle w:val="Hyperlink"/>
                <w:noProof/>
              </w:rPr>
              <w:t>Inflation assumptions</w:t>
            </w:r>
            <w:r w:rsidR="00773395">
              <w:rPr>
                <w:noProof/>
                <w:webHidden/>
              </w:rPr>
              <w:tab/>
            </w:r>
            <w:r w:rsidR="00773395">
              <w:rPr>
                <w:noProof/>
                <w:webHidden/>
              </w:rPr>
              <w:fldChar w:fldCharType="begin"/>
            </w:r>
            <w:r w:rsidR="00773395">
              <w:rPr>
                <w:noProof/>
                <w:webHidden/>
              </w:rPr>
              <w:instrText xml:space="preserve"> PAGEREF _Toc76132731 \h </w:instrText>
            </w:r>
            <w:r w:rsidR="00773395">
              <w:rPr>
                <w:noProof/>
                <w:webHidden/>
              </w:rPr>
            </w:r>
            <w:r w:rsidR="00773395">
              <w:rPr>
                <w:noProof/>
                <w:webHidden/>
              </w:rPr>
              <w:fldChar w:fldCharType="separate"/>
            </w:r>
            <w:r w:rsidR="00773395">
              <w:rPr>
                <w:noProof/>
                <w:webHidden/>
              </w:rPr>
              <w:t>60</w:t>
            </w:r>
            <w:r w:rsidR="00773395">
              <w:rPr>
                <w:noProof/>
                <w:webHidden/>
              </w:rPr>
              <w:fldChar w:fldCharType="end"/>
            </w:r>
          </w:hyperlink>
        </w:p>
        <w:p w14:paraId="33F9D3E5" w14:textId="28D86C1F" w:rsidR="00773395" w:rsidRDefault="00E674EE">
          <w:pPr>
            <w:pStyle w:val="TOC3"/>
            <w:tabs>
              <w:tab w:val="left" w:pos="1100"/>
              <w:tab w:val="right" w:leader="dot" w:pos="9016"/>
            </w:tabs>
            <w:rPr>
              <w:rFonts w:asciiTheme="minorHAnsi" w:hAnsiTheme="minorHAnsi"/>
              <w:noProof/>
              <w:szCs w:val="22"/>
              <w:lang w:eastAsia="en-AU"/>
            </w:rPr>
          </w:pPr>
          <w:hyperlink w:anchor="_Toc76132732" w:history="1">
            <w:r w:rsidR="00773395" w:rsidRPr="00343F75">
              <w:rPr>
                <w:rStyle w:val="Hyperlink"/>
                <w:noProof/>
              </w:rPr>
              <w:t>5.4</w:t>
            </w:r>
            <w:r w:rsidR="00773395">
              <w:rPr>
                <w:rFonts w:asciiTheme="minorHAnsi" w:hAnsiTheme="minorHAnsi"/>
                <w:noProof/>
                <w:szCs w:val="22"/>
                <w:lang w:eastAsia="en-AU"/>
              </w:rPr>
              <w:tab/>
            </w:r>
            <w:r w:rsidR="00773395" w:rsidRPr="00343F75">
              <w:rPr>
                <w:rStyle w:val="Hyperlink"/>
                <w:noProof/>
              </w:rPr>
              <w:t>Total participant cost projections</w:t>
            </w:r>
            <w:r w:rsidR="00773395">
              <w:rPr>
                <w:noProof/>
                <w:webHidden/>
              </w:rPr>
              <w:tab/>
            </w:r>
            <w:r w:rsidR="00773395">
              <w:rPr>
                <w:noProof/>
                <w:webHidden/>
              </w:rPr>
              <w:fldChar w:fldCharType="begin"/>
            </w:r>
            <w:r w:rsidR="00773395">
              <w:rPr>
                <w:noProof/>
                <w:webHidden/>
              </w:rPr>
              <w:instrText xml:space="preserve"> PAGEREF _Toc76132732 \h </w:instrText>
            </w:r>
            <w:r w:rsidR="00773395">
              <w:rPr>
                <w:noProof/>
                <w:webHidden/>
              </w:rPr>
            </w:r>
            <w:r w:rsidR="00773395">
              <w:rPr>
                <w:noProof/>
                <w:webHidden/>
              </w:rPr>
              <w:fldChar w:fldCharType="separate"/>
            </w:r>
            <w:r w:rsidR="00773395">
              <w:rPr>
                <w:noProof/>
                <w:webHidden/>
              </w:rPr>
              <w:t>66</w:t>
            </w:r>
            <w:r w:rsidR="00773395">
              <w:rPr>
                <w:noProof/>
                <w:webHidden/>
              </w:rPr>
              <w:fldChar w:fldCharType="end"/>
            </w:r>
          </w:hyperlink>
        </w:p>
        <w:p w14:paraId="1242D33B" w14:textId="49EC3730" w:rsidR="00773395" w:rsidRDefault="00E674EE">
          <w:pPr>
            <w:pStyle w:val="TOC3"/>
            <w:tabs>
              <w:tab w:val="left" w:pos="1100"/>
              <w:tab w:val="right" w:leader="dot" w:pos="9016"/>
            </w:tabs>
            <w:rPr>
              <w:rFonts w:asciiTheme="minorHAnsi" w:hAnsiTheme="minorHAnsi"/>
              <w:noProof/>
              <w:szCs w:val="22"/>
              <w:lang w:eastAsia="en-AU"/>
            </w:rPr>
          </w:pPr>
          <w:hyperlink w:anchor="_Toc76132733" w:history="1">
            <w:r w:rsidR="00773395" w:rsidRPr="00343F75">
              <w:rPr>
                <w:rStyle w:val="Hyperlink"/>
                <w:noProof/>
              </w:rPr>
              <w:t>5.5</w:t>
            </w:r>
            <w:r w:rsidR="00773395">
              <w:rPr>
                <w:rFonts w:asciiTheme="minorHAnsi" w:hAnsiTheme="minorHAnsi"/>
                <w:noProof/>
                <w:szCs w:val="22"/>
                <w:lang w:eastAsia="en-AU"/>
              </w:rPr>
              <w:tab/>
            </w:r>
            <w:r w:rsidR="00773395" w:rsidRPr="00343F75">
              <w:rPr>
                <w:rStyle w:val="Hyperlink"/>
                <w:noProof/>
              </w:rPr>
              <w:t>Comparison with PBS estimates and the Productivity Commission estimates</w:t>
            </w:r>
            <w:r w:rsidR="00773395">
              <w:rPr>
                <w:noProof/>
                <w:webHidden/>
              </w:rPr>
              <w:tab/>
            </w:r>
            <w:r w:rsidR="00773395">
              <w:rPr>
                <w:noProof/>
                <w:webHidden/>
              </w:rPr>
              <w:fldChar w:fldCharType="begin"/>
            </w:r>
            <w:r w:rsidR="00773395">
              <w:rPr>
                <w:noProof/>
                <w:webHidden/>
              </w:rPr>
              <w:instrText xml:space="preserve"> PAGEREF _Toc76132733 \h </w:instrText>
            </w:r>
            <w:r w:rsidR="00773395">
              <w:rPr>
                <w:noProof/>
                <w:webHidden/>
              </w:rPr>
            </w:r>
            <w:r w:rsidR="00773395">
              <w:rPr>
                <w:noProof/>
                <w:webHidden/>
              </w:rPr>
              <w:fldChar w:fldCharType="separate"/>
            </w:r>
            <w:r w:rsidR="00773395">
              <w:rPr>
                <w:noProof/>
                <w:webHidden/>
              </w:rPr>
              <w:t>68</w:t>
            </w:r>
            <w:r w:rsidR="00773395">
              <w:rPr>
                <w:noProof/>
                <w:webHidden/>
              </w:rPr>
              <w:fldChar w:fldCharType="end"/>
            </w:r>
          </w:hyperlink>
        </w:p>
        <w:p w14:paraId="28AE4C83" w14:textId="27EA923B" w:rsidR="00773395" w:rsidRDefault="00E674EE">
          <w:pPr>
            <w:pStyle w:val="TOC3"/>
            <w:tabs>
              <w:tab w:val="left" w:pos="1100"/>
              <w:tab w:val="right" w:leader="dot" w:pos="9016"/>
            </w:tabs>
            <w:rPr>
              <w:rFonts w:asciiTheme="minorHAnsi" w:hAnsiTheme="minorHAnsi"/>
              <w:noProof/>
              <w:szCs w:val="22"/>
              <w:lang w:eastAsia="en-AU"/>
            </w:rPr>
          </w:pPr>
          <w:hyperlink w:anchor="_Toc76132734" w:history="1">
            <w:r w:rsidR="00773395" w:rsidRPr="00343F75">
              <w:rPr>
                <w:rStyle w:val="Hyperlink"/>
                <w:noProof/>
              </w:rPr>
              <w:t>5.6</w:t>
            </w:r>
            <w:r w:rsidR="00773395">
              <w:rPr>
                <w:rFonts w:asciiTheme="minorHAnsi" w:hAnsiTheme="minorHAnsi"/>
                <w:noProof/>
                <w:szCs w:val="22"/>
                <w:lang w:eastAsia="en-AU"/>
              </w:rPr>
              <w:tab/>
            </w:r>
            <w:r w:rsidR="00773395" w:rsidRPr="00343F75">
              <w:rPr>
                <w:rStyle w:val="Hyperlink"/>
                <w:noProof/>
              </w:rPr>
              <w:t>Impact of recent experience post 31 December 2020</w:t>
            </w:r>
            <w:r w:rsidR="00773395">
              <w:rPr>
                <w:noProof/>
                <w:webHidden/>
              </w:rPr>
              <w:tab/>
            </w:r>
            <w:r w:rsidR="00773395">
              <w:rPr>
                <w:noProof/>
                <w:webHidden/>
              </w:rPr>
              <w:fldChar w:fldCharType="begin"/>
            </w:r>
            <w:r w:rsidR="00773395">
              <w:rPr>
                <w:noProof/>
                <w:webHidden/>
              </w:rPr>
              <w:instrText xml:space="preserve"> PAGEREF _Toc76132734 \h </w:instrText>
            </w:r>
            <w:r w:rsidR="00773395">
              <w:rPr>
                <w:noProof/>
                <w:webHidden/>
              </w:rPr>
            </w:r>
            <w:r w:rsidR="00773395">
              <w:rPr>
                <w:noProof/>
                <w:webHidden/>
              </w:rPr>
              <w:fldChar w:fldCharType="separate"/>
            </w:r>
            <w:r w:rsidR="00773395">
              <w:rPr>
                <w:noProof/>
                <w:webHidden/>
              </w:rPr>
              <w:t>69</w:t>
            </w:r>
            <w:r w:rsidR="00773395">
              <w:rPr>
                <w:noProof/>
                <w:webHidden/>
              </w:rPr>
              <w:fldChar w:fldCharType="end"/>
            </w:r>
          </w:hyperlink>
        </w:p>
        <w:p w14:paraId="41B9FB68" w14:textId="44167977" w:rsidR="00773395" w:rsidRDefault="00E674EE">
          <w:pPr>
            <w:pStyle w:val="TOC3"/>
            <w:tabs>
              <w:tab w:val="left" w:pos="1100"/>
              <w:tab w:val="right" w:leader="dot" w:pos="9016"/>
            </w:tabs>
            <w:rPr>
              <w:rFonts w:asciiTheme="minorHAnsi" w:hAnsiTheme="minorHAnsi"/>
              <w:noProof/>
              <w:szCs w:val="22"/>
              <w:lang w:eastAsia="en-AU"/>
            </w:rPr>
          </w:pPr>
          <w:hyperlink w:anchor="_Toc76132735" w:history="1">
            <w:r w:rsidR="00773395" w:rsidRPr="00343F75">
              <w:rPr>
                <w:rStyle w:val="Hyperlink"/>
                <w:noProof/>
              </w:rPr>
              <w:t>5.7</w:t>
            </w:r>
            <w:r w:rsidR="00773395">
              <w:rPr>
                <w:rFonts w:asciiTheme="minorHAnsi" w:hAnsiTheme="minorHAnsi"/>
                <w:noProof/>
                <w:szCs w:val="22"/>
                <w:lang w:eastAsia="en-AU"/>
              </w:rPr>
              <w:tab/>
            </w:r>
            <w:r w:rsidR="00773395" w:rsidRPr="00343F75">
              <w:rPr>
                <w:rStyle w:val="Hyperlink"/>
                <w:noProof/>
              </w:rPr>
              <w:t>Scheme reform</w:t>
            </w:r>
            <w:r w:rsidR="00773395">
              <w:rPr>
                <w:noProof/>
                <w:webHidden/>
              </w:rPr>
              <w:tab/>
            </w:r>
            <w:r w:rsidR="00773395">
              <w:rPr>
                <w:noProof/>
                <w:webHidden/>
              </w:rPr>
              <w:fldChar w:fldCharType="begin"/>
            </w:r>
            <w:r w:rsidR="00773395">
              <w:rPr>
                <w:noProof/>
                <w:webHidden/>
              </w:rPr>
              <w:instrText xml:space="preserve"> PAGEREF _Toc76132735 \h </w:instrText>
            </w:r>
            <w:r w:rsidR="00773395">
              <w:rPr>
                <w:noProof/>
                <w:webHidden/>
              </w:rPr>
            </w:r>
            <w:r w:rsidR="00773395">
              <w:rPr>
                <w:noProof/>
                <w:webHidden/>
              </w:rPr>
              <w:fldChar w:fldCharType="separate"/>
            </w:r>
            <w:r w:rsidR="00773395">
              <w:rPr>
                <w:noProof/>
                <w:webHidden/>
              </w:rPr>
              <w:t>70</w:t>
            </w:r>
            <w:r w:rsidR="00773395">
              <w:rPr>
                <w:noProof/>
                <w:webHidden/>
              </w:rPr>
              <w:fldChar w:fldCharType="end"/>
            </w:r>
          </w:hyperlink>
        </w:p>
        <w:p w14:paraId="16EE9901" w14:textId="12BC6EB3" w:rsidR="00773395" w:rsidRDefault="00E674EE">
          <w:pPr>
            <w:pStyle w:val="TOC2"/>
            <w:tabs>
              <w:tab w:val="left" w:pos="660"/>
              <w:tab w:val="right" w:leader="dot" w:pos="9016"/>
            </w:tabs>
            <w:rPr>
              <w:rFonts w:asciiTheme="minorHAnsi" w:hAnsiTheme="minorHAnsi"/>
              <w:noProof/>
              <w:szCs w:val="22"/>
              <w:lang w:eastAsia="en-AU"/>
            </w:rPr>
          </w:pPr>
          <w:hyperlink w:anchor="_Toc76132736" w:history="1">
            <w:r w:rsidR="00773395" w:rsidRPr="00343F75">
              <w:rPr>
                <w:rStyle w:val="Hyperlink"/>
                <w:noProof/>
                <w14:scene3d>
                  <w14:camera w14:prst="orthographicFront"/>
                  <w14:lightRig w14:rig="threePt" w14:dir="t">
                    <w14:rot w14:lat="0" w14:lon="0" w14:rev="0"/>
                  </w14:lightRig>
                </w14:scene3d>
              </w:rPr>
              <w:t>6.</w:t>
            </w:r>
            <w:r w:rsidR="00773395">
              <w:rPr>
                <w:rFonts w:asciiTheme="minorHAnsi" w:hAnsiTheme="minorHAnsi"/>
                <w:noProof/>
                <w:szCs w:val="22"/>
                <w:lang w:eastAsia="en-AU"/>
              </w:rPr>
              <w:tab/>
            </w:r>
            <w:r w:rsidR="00773395" w:rsidRPr="00343F75">
              <w:rPr>
                <w:rStyle w:val="Hyperlink"/>
                <w:noProof/>
              </w:rPr>
              <w:t>Actuarial peer review</w:t>
            </w:r>
            <w:r w:rsidR="00773395">
              <w:rPr>
                <w:noProof/>
                <w:webHidden/>
              </w:rPr>
              <w:tab/>
            </w:r>
            <w:r w:rsidR="00773395">
              <w:rPr>
                <w:noProof/>
                <w:webHidden/>
              </w:rPr>
              <w:fldChar w:fldCharType="begin"/>
            </w:r>
            <w:r w:rsidR="00773395">
              <w:rPr>
                <w:noProof/>
                <w:webHidden/>
              </w:rPr>
              <w:instrText xml:space="preserve"> PAGEREF _Toc76132736 \h </w:instrText>
            </w:r>
            <w:r w:rsidR="00773395">
              <w:rPr>
                <w:noProof/>
                <w:webHidden/>
              </w:rPr>
            </w:r>
            <w:r w:rsidR="00773395">
              <w:rPr>
                <w:noProof/>
                <w:webHidden/>
              </w:rPr>
              <w:fldChar w:fldCharType="separate"/>
            </w:r>
            <w:r w:rsidR="00773395">
              <w:rPr>
                <w:noProof/>
                <w:webHidden/>
              </w:rPr>
              <w:t>71</w:t>
            </w:r>
            <w:r w:rsidR="00773395">
              <w:rPr>
                <w:noProof/>
                <w:webHidden/>
              </w:rPr>
              <w:fldChar w:fldCharType="end"/>
            </w:r>
          </w:hyperlink>
        </w:p>
        <w:p w14:paraId="5A707522" w14:textId="3F5FDFBE" w:rsidR="00773395" w:rsidRDefault="00E674EE">
          <w:pPr>
            <w:pStyle w:val="TOC2"/>
            <w:tabs>
              <w:tab w:val="right" w:leader="dot" w:pos="9016"/>
            </w:tabs>
            <w:rPr>
              <w:rFonts w:asciiTheme="minorHAnsi" w:hAnsiTheme="minorHAnsi"/>
              <w:noProof/>
              <w:szCs w:val="22"/>
              <w:lang w:eastAsia="en-AU"/>
            </w:rPr>
          </w:pPr>
          <w:hyperlink w:anchor="_Toc76132737" w:history="1">
            <w:r w:rsidR="00773395" w:rsidRPr="00343F75">
              <w:rPr>
                <w:rStyle w:val="Hyperlink"/>
                <w:noProof/>
              </w:rPr>
              <w:t>Appendix A: New incidence</w:t>
            </w:r>
            <w:r w:rsidR="00773395">
              <w:rPr>
                <w:noProof/>
                <w:webHidden/>
              </w:rPr>
              <w:tab/>
            </w:r>
            <w:r w:rsidR="00773395">
              <w:rPr>
                <w:noProof/>
                <w:webHidden/>
              </w:rPr>
              <w:fldChar w:fldCharType="begin"/>
            </w:r>
            <w:r w:rsidR="00773395">
              <w:rPr>
                <w:noProof/>
                <w:webHidden/>
              </w:rPr>
              <w:instrText xml:space="preserve"> PAGEREF _Toc76132737 \h </w:instrText>
            </w:r>
            <w:r w:rsidR="00773395">
              <w:rPr>
                <w:noProof/>
                <w:webHidden/>
              </w:rPr>
            </w:r>
            <w:r w:rsidR="00773395">
              <w:rPr>
                <w:noProof/>
                <w:webHidden/>
              </w:rPr>
              <w:fldChar w:fldCharType="separate"/>
            </w:r>
            <w:r w:rsidR="00773395">
              <w:rPr>
                <w:noProof/>
                <w:webHidden/>
              </w:rPr>
              <w:t>73</w:t>
            </w:r>
            <w:r w:rsidR="00773395">
              <w:rPr>
                <w:noProof/>
                <w:webHidden/>
              </w:rPr>
              <w:fldChar w:fldCharType="end"/>
            </w:r>
          </w:hyperlink>
        </w:p>
        <w:p w14:paraId="274A74EA" w14:textId="753B807B" w:rsidR="00773395" w:rsidRDefault="00E674EE">
          <w:pPr>
            <w:pStyle w:val="TOC2"/>
            <w:tabs>
              <w:tab w:val="right" w:leader="dot" w:pos="9016"/>
            </w:tabs>
            <w:rPr>
              <w:rFonts w:asciiTheme="minorHAnsi" w:hAnsiTheme="minorHAnsi"/>
              <w:noProof/>
              <w:szCs w:val="22"/>
              <w:lang w:eastAsia="en-AU"/>
            </w:rPr>
          </w:pPr>
          <w:hyperlink w:anchor="_Toc76132738" w:history="1">
            <w:r w:rsidR="00773395" w:rsidRPr="00343F75">
              <w:rPr>
                <w:rStyle w:val="Hyperlink"/>
                <w:noProof/>
              </w:rPr>
              <w:t>Appendix B: Exits</w:t>
            </w:r>
            <w:r w:rsidR="00773395">
              <w:rPr>
                <w:noProof/>
                <w:webHidden/>
              </w:rPr>
              <w:tab/>
            </w:r>
            <w:r w:rsidR="00773395">
              <w:rPr>
                <w:noProof/>
                <w:webHidden/>
              </w:rPr>
              <w:fldChar w:fldCharType="begin"/>
            </w:r>
            <w:r w:rsidR="00773395">
              <w:rPr>
                <w:noProof/>
                <w:webHidden/>
              </w:rPr>
              <w:instrText xml:space="preserve"> PAGEREF _Toc76132738 \h </w:instrText>
            </w:r>
            <w:r w:rsidR="00773395">
              <w:rPr>
                <w:noProof/>
                <w:webHidden/>
              </w:rPr>
            </w:r>
            <w:r w:rsidR="00773395">
              <w:rPr>
                <w:noProof/>
                <w:webHidden/>
              </w:rPr>
              <w:fldChar w:fldCharType="separate"/>
            </w:r>
            <w:r w:rsidR="00773395">
              <w:rPr>
                <w:noProof/>
                <w:webHidden/>
              </w:rPr>
              <w:t>75</w:t>
            </w:r>
            <w:r w:rsidR="00773395">
              <w:rPr>
                <w:noProof/>
                <w:webHidden/>
              </w:rPr>
              <w:fldChar w:fldCharType="end"/>
            </w:r>
          </w:hyperlink>
        </w:p>
        <w:p w14:paraId="6E740D7F" w14:textId="7B23C634" w:rsidR="00773395" w:rsidRDefault="00E674EE">
          <w:pPr>
            <w:pStyle w:val="TOC2"/>
            <w:tabs>
              <w:tab w:val="right" w:leader="dot" w:pos="9016"/>
            </w:tabs>
            <w:rPr>
              <w:rFonts w:asciiTheme="minorHAnsi" w:hAnsiTheme="minorHAnsi"/>
              <w:noProof/>
              <w:szCs w:val="22"/>
              <w:lang w:eastAsia="en-AU"/>
            </w:rPr>
          </w:pPr>
          <w:hyperlink w:anchor="_Toc76132739" w:history="1">
            <w:r w:rsidR="00773395" w:rsidRPr="00343F75">
              <w:rPr>
                <w:rStyle w:val="Hyperlink"/>
                <w:noProof/>
              </w:rPr>
              <w:t>Appendix C: Payments</w:t>
            </w:r>
            <w:r w:rsidR="00773395">
              <w:rPr>
                <w:noProof/>
                <w:webHidden/>
              </w:rPr>
              <w:tab/>
            </w:r>
            <w:r w:rsidR="00773395">
              <w:rPr>
                <w:noProof/>
                <w:webHidden/>
              </w:rPr>
              <w:fldChar w:fldCharType="begin"/>
            </w:r>
            <w:r w:rsidR="00773395">
              <w:rPr>
                <w:noProof/>
                <w:webHidden/>
              </w:rPr>
              <w:instrText xml:space="preserve"> PAGEREF _Toc76132739 \h </w:instrText>
            </w:r>
            <w:r w:rsidR="00773395">
              <w:rPr>
                <w:noProof/>
                <w:webHidden/>
              </w:rPr>
            </w:r>
            <w:r w:rsidR="00773395">
              <w:rPr>
                <w:noProof/>
                <w:webHidden/>
              </w:rPr>
              <w:fldChar w:fldCharType="separate"/>
            </w:r>
            <w:r w:rsidR="00773395">
              <w:rPr>
                <w:noProof/>
                <w:webHidden/>
              </w:rPr>
              <w:t>77</w:t>
            </w:r>
            <w:r w:rsidR="00773395">
              <w:rPr>
                <w:noProof/>
                <w:webHidden/>
              </w:rPr>
              <w:fldChar w:fldCharType="end"/>
            </w:r>
          </w:hyperlink>
        </w:p>
        <w:p w14:paraId="7536AED4" w14:textId="799799E4" w:rsidR="00773395" w:rsidRDefault="00E674EE">
          <w:pPr>
            <w:pStyle w:val="TOC2"/>
            <w:tabs>
              <w:tab w:val="right" w:leader="dot" w:pos="9016"/>
            </w:tabs>
            <w:rPr>
              <w:rFonts w:asciiTheme="minorHAnsi" w:hAnsiTheme="minorHAnsi"/>
              <w:noProof/>
              <w:szCs w:val="22"/>
              <w:lang w:eastAsia="en-AU"/>
            </w:rPr>
          </w:pPr>
          <w:hyperlink w:anchor="_Toc76132740" w:history="1">
            <w:r w:rsidR="00773395" w:rsidRPr="00343F75">
              <w:rPr>
                <w:rStyle w:val="Hyperlink"/>
                <w:noProof/>
              </w:rPr>
              <w:t>Appendix D: Utilisation over time</w:t>
            </w:r>
            <w:r w:rsidR="00773395">
              <w:rPr>
                <w:noProof/>
                <w:webHidden/>
              </w:rPr>
              <w:tab/>
            </w:r>
            <w:r w:rsidR="00773395">
              <w:rPr>
                <w:noProof/>
                <w:webHidden/>
              </w:rPr>
              <w:fldChar w:fldCharType="begin"/>
            </w:r>
            <w:r w:rsidR="00773395">
              <w:rPr>
                <w:noProof/>
                <w:webHidden/>
              </w:rPr>
              <w:instrText xml:space="preserve"> PAGEREF _Toc76132740 \h </w:instrText>
            </w:r>
            <w:r w:rsidR="00773395">
              <w:rPr>
                <w:noProof/>
                <w:webHidden/>
              </w:rPr>
            </w:r>
            <w:r w:rsidR="00773395">
              <w:rPr>
                <w:noProof/>
                <w:webHidden/>
              </w:rPr>
              <w:fldChar w:fldCharType="separate"/>
            </w:r>
            <w:r w:rsidR="00773395">
              <w:rPr>
                <w:noProof/>
                <w:webHidden/>
              </w:rPr>
              <w:t>79</w:t>
            </w:r>
            <w:r w:rsidR="00773395">
              <w:rPr>
                <w:noProof/>
                <w:webHidden/>
              </w:rPr>
              <w:fldChar w:fldCharType="end"/>
            </w:r>
          </w:hyperlink>
        </w:p>
        <w:p w14:paraId="4DDDF838" w14:textId="3F9065EE" w:rsidR="00773395" w:rsidRDefault="00E674EE">
          <w:pPr>
            <w:pStyle w:val="TOC2"/>
            <w:tabs>
              <w:tab w:val="right" w:leader="dot" w:pos="9016"/>
            </w:tabs>
            <w:rPr>
              <w:rFonts w:asciiTheme="minorHAnsi" w:hAnsiTheme="minorHAnsi"/>
              <w:noProof/>
              <w:szCs w:val="22"/>
              <w:lang w:eastAsia="en-AU"/>
            </w:rPr>
          </w:pPr>
          <w:hyperlink w:anchor="_Toc76132741" w:history="1">
            <w:r w:rsidR="00773395" w:rsidRPr="00343F75">
              <w:rPr>
                <w:rStyle w:val="Hyperlink"/>
                <w:noProof/>
              </w:rPr>
              <w:t>Appendix E: State/Territory breakdown</w:t>
            </w:r>
            <w:r w:rsidR="00773395">
              <w:rPr>
                <w:noProof/>
                <w:webHidden/>
              </w:rPr>
              <w:tab/>
            </w:r>
            <w:r w:rsidR="00773395">
              <w:rPr>
                <w:noProof/>
                <w:webHidden/>
              </w:rPr>
              <w:fldChar w:fldCharType="begin"/>
            </w:r>
            <w:r w:rsidR="00773395">
              <w:rPr>
                <w:noProof/>
                <w:webHidden/>
              </w:rPr>
              <w:instrText xml:space="preserve"> PAGEREF _Toc76132741 \h </w:instrText>
            </w:r>
            <w:r w:rsidR="00773395">
              <w:rPr>
                <w:noProof/>
                <w:webHidden/>
              </w:rPr>
            </w:r>
            <w:r w:rsidR="00773395">
              <w:rPr>
                <w:noProof/>
                <w:webHidden/>
              </w:rPr>
              <w:fldChar w:fldCharType="separate"/>
            </w:r>
            <w:r w:rsidR="00773395">
              <w:rPr>
                <w:noProof/>
                <w:webHidden/>
              </w:rPr>
              <w:t>81</w:t>
            </w:r>
            <w:r w:rsidR="00773395">
              <w:rPr>
                <w:noProof/>
                <w:webHidden/>
              </w:rPr>
              <w:fldChar w:fldCharType="end"/>
            </w:r>
          </w:hyperlink>
        </w:p>
        <w:p w14:paraId="57886A43" w14:textId="6465CCD2" w:rsidR="00773395" w:rsidRDefault="00E674EE">
          <w:pPr>
            <w:pStyle w:val="TOC2"/>
            <w:tabs>
              <w:tab w:val="right" w:leader="dot" w:pos="9016"/>
            </w:tabs>
            <w:rPr>
              <w:rFonts w:asciiTheme="minorHAnsi" w:hAnsiTheme="minorHAnsi"/>
              <w:noProof/>
              <w:szCs w:val="22"/>
              <w:lang w:eastAsia="en-AU"/>
            </w:rPr>
          </w:pPr>
          <w:hyperlink w:anchor="_Toc76132742" w:history="1">
            <w:r w:rsidR="00773395" w:rsidRPr="00343F75">
              <w:rPr>
                <w:rStyle w:val="Hyperlink"/>
                <w:noProof/>
              </w:rPr>
              <w:t>Appendix F: Participant projection comparison</w:t>
            </w:r>
            <w:r w:rsidR="00773395">
              <w:rPr>
                <w:noProof/>
                <w:webHidden/>
              </w:rPr>
              <w:tab/>
            </w:r>
            <w:r w:rsidR="00773395">
              <w:rPr>
                <w:noProof/>
                <w:webHidden/>
              </w:rPr>
              <w:fldChar w:fldCharType="begin"/>
            </w:r>
            <w:r w:rsidR="00773395">
              <w:rPr>
                <w:noProof/>
                <w:webHidden/>
              </w:rPr>
              <w:instrText xml:space="preserve"> PAGEREF _Toc76132742 \h </w:instrText>
            </w:r>
            <w:r w:rsidR="00773395">
              <w:rPr>
                <w:noProof/>
                <w:webHidden/>
              </w:rPr>
            </w:r>
            <w:r w:rsidR="00773395">
              <w:rPr>
                <w:noProof/>
                <w:webHidden/>
              </w:rPr>
              <w:fldChar w:fldCharType="separate"/>
            </w:r>
            <w:r w:rsidR="00773395">
              <w:rPr>
                <w:noProof/>
                <w:webHidden/>
              </w:rPr>
              <w:t>83</w:t>
            </w:r>
            <w:r w:rsidR="00773395">
              <w:rPr>
                <w:noProof/>
                <w:webHidden/>
              </w:rPr>
              <w:fldChar w:fldCharType="end"/>
            </w:r>
          </w:hyperlink>
        </w:p>
        <w:p w14:paraId="66C6FE3F" w14:textId="56112463" w:rsidR="0014246F" w:rsidRPr="00C578EB" w:rsidRDefault="00E27451" w:rsidP="0014246F">
          <w:pPr>
            <w:rPr>
              <w:bCs/>
              <w:noProof/>
            </w:rPr>
          </w:pPr>
          <w:r w:rsidRPr="00C578EB">
            <w:rPr>
              <w:b/>
              <w:bCs/>
              <w:noProof/>
            </w:rPr>
            <w:fldChar w:fldCharType="end"/>
          </w:r>
        </w:p>
      </w:sdtContent>
    </w:sdt>
    <w:p w14:paraId="5B84B850" w14:textId="501EC619" w:rsidR="005E3543" w:rsidRPr="00C578EB" w:rsidRDefault="00F7129B" w:rsidP="00EF79E0">
      <w:pPr>
        <w:pStyle w:val="Heading2"/>
        <w:numPr>
          <w:ilvl w:val="0"/>
          <w:numId w:val="0"/>
        </w:numPr>
        <w:spacing w:line="360" w:lineRule="auto"/>
      </w:pPr>
      <w:bookmarkStart w:id="2" w:name="_Toc76132718"/>
      <w:r w:rsidRPr="00C578EB">
        <w:lastRenderedPageBreak/>
        <w:t>Acronyms</w:t>
      </w:r>
      <w:r w:rsidR="005E3543" w:rsidRPr="00C578EB">
        <w:t xml:space="preserve"> and definitions</w:t>
      </w:r>
      <w:bookmarkEnd w:id="2"/>
    </w:p>
    <w:p w14:paraId="69E43BDF" w14:textId="065CE0BB" w:rsidR="00F7129B" w:rsidRPr="00C578EB" w:rsidRDefault="005E3543" w:rsidP="007306B8">
      <w:pPr>
        <w:pStyle w:val="FSRHeading4"/>
        <w:tabs>
          <w:tab w:val="left" w:pos="5917"/>
        </w:tabs>
      </w:pPr>
      <w:r w:rsidRPr="00C578EB">
        <w:t>Acronyms</w:t>
      </w:r>
      <w:r w:rsidR="007B5285" w:rsidRPr="00C578EB">
        <w:tab/>
      </w:r>
    </w:p>
    <w:tbl>
      <w:tblPr>
        <w:tblStyle w:val="TableGrid"/>
        <w:tblW w:w="0" w:type="auto"/>
        <w:tblLook w:val="04A0" w:firstRow="1" w:lastRow="0" w:firstColumn="1" w:lastColumn="0" w:noHBand="0" w:noVBand="1"/>
      </w:tblPr>
      <w:tblGrid>
        <w:gridCol w:w="1793"/>
        <w:gridCol w:w="7223"/>
      </w:tblGrid>
      <w:tr w:rsidR="005E3543" w:rsidRPr="00C578EB" w14:paraId="34B4453E" w14:textId="77777777" w:rsidTr="005E3543">
        <w:trPr>
          <w:trHeight w:val="340"/>
        </w:trPr>
        <w:tc>
          <w:tcPr>
            <w:tcW w:w="1793" w:type="dxa"/>
            <w:vAlign w:val="center"/>
          </w:tcPr>
          <w:p w14:paraId="595DEA0C" w14:textId="5E27DFBA" w:rsidR="005E3543" w:rsidRPr="00C578EB" w:rsidRDefault="005E3543" w:rsidP="005E3543">
            <w:pPr>
              <w:spacing w:after="0" w:line="40" w:lineRule="atLeast"/>
            </w:pPr>
            <w:r w:rsidRPr="00C578EB">
              <w:t>ABS</w:t>
            </w:r>
          </w:p>
        </w:tc>
        <w:tc>
          <w:tcPr>
            <w:tcW w:w="7223" w:type="dxa"/>
            <w:vAlign w:val="center"/>
          </w:tcPr>
          <w:p w14:paraId="02E8B6AA" w14:textId="3ABEBA76" w:rsidR="005E3543" w:rsidRPr="00C578EB" w:rsidRDefault="005E3543" w:rsidP="005E3543">
            <w:pPr>
              <w:spacing w:after="0" w:line="40" w:lineRule="atLeast"/>
            </w:pPr>
            <w:r w:rsidRPr="00C578EB">
              <w:t>Australian Bureau of Statistics</w:t>
            </w:r>
          </w:p>
        </w:tc>
      </w:tr>
      <w:tr w:rsidR="005E3543" w:rsidRPr="00C578EB" w14:paraId="16C57AF8" w14:textId="77777777" w:rsidTr="005E3543">
        <w:trPr>
          <w:trHeight w:val="340"/>
        </w:trPr>
        <w:tc>
          <w:tcPr>
            <w:tcW w:w="1793" w:type="dxa"/>
            <w:vAlign w:val="center"/>
          </w:tcPr>
          <w:p w14:paraId="79981BD7" w14:textId="5FE3CC61" w:rsidR="005E3543" w:rsidRPr="00C578EB" w:rsidRDefault="005E3543" w:rsidP="005E3543">
            <w:pPr>
              <w:spacing w:after="0" w:line="40" w:lineRule="atLeast"/>
            </w:pPr>
            <w:r w:rsidRPr="00C578EB">
              <w:t>AFSR</w:t>
            </w:r>
          </w:p>
        </w:tc>
        <w:tc>
          <w:tcPr>
            <w:tcW w:w="7223" w:type="dxa"/>
            <w:vAlign w:val="center"/>
          </w:tcPr>
          <w:p w14:paraId="5B70F074" w14:textId="41247FD4" w:rsidR="005E3543" w:rsidRPr="00C578EB" w:rsidRDefault="005E3543" w:rsidP="005E3543">
            <w:pPr>
              <w:spacing w:after="0" w:line="40" w:lineRule="atLeast"/>
            </w:pPr>
            <w:r w:rsidRPr="00C578EB">
              <w:t>Annual Financial Sustainability Report</w:t>
            </w:r>
          </w:p>
        </w:tc>
      </w:tr>
      <w:tr w:rsidR="005E3543" w:rsidRPr="00C578EB" w14:paraId="3B3E5CFB" w14:textId="77777777" w:rsidTr="005E3543">
        <w:trPr>
          <w:trHeight w:val="340"/>
        </w:trPr>
        <w:tc>
          <w:tcPr>
            <w:tcW w:w="1793" w:type="dxa"/>
            <w:vAlign w:val="center"/>
          </w:tcPr>
          <w:p w14:paraId="506FF82E" w14:textId="6DA27904" w:rsidR="005E3543" w:rsidRPr="00C578EB" w:rsidRDefault="005E3543" w:rsidP="005E3543">
            <w:pPr>
              <w:spacing w:after="0" w:line="40" w:lineRule="atLeast"/>
            </w:pPr>
            <w:r w:rsidRPr="00C578EB">
              <w:t>CB</w:t>
            </w:r>
          </w:p>
        </w:tc>
        <w:tc>
          <w:tcPr>
            <w:tcW w:w="7223" w:type="dxa"/>
            <w:vAlign w:val="center"/>
          </w:tcPr>
          <w:p w14:paraId="7290E216" w14:textId="0D0983DF" w:rsidR="005E3543" w:rsidRPr="00C578EB" w:rsidRDefault="005E3543" w:rsidP="005E3543">
            <w:pPr>
              <w:spacing w:after="0" w:line="40" w:lineRule="atLeast"/>
            </w:pPr>
            <w:r w:rsidRPr="00C578EB">
              <w:t>Capacity Building</w:t>
            </w:r>
          </w:p>
        </w:tc>
      </w:tr>
      <w:tr w:rsidR="005E3543" w:rsidRPr="00C578EB" w14:paraId="04EB5960" w14:textId="77777777" w:rsidTr="005E3543">
        <w:trPr>
          <w:trHeight w:val="340"/>
        </w:trPr>
        <w:tc>
          <w:tcPr>
            <w:tcW w:w="1793" w:type="dxa"/>
            <w:vAlign w:val="center"/>
          </w:tcPr>
          <w:p w14:paraId="39BF4DA3" w14:textId="38A1A61E" w:rsidR="005E3543" w:rsidRPr="00C578EB" w:rsidRDefault="005E3543" w:rsidP="005E3543">
            <w:pPr>
              <w:spacing w:after="0" w:line="40" w:lineRule="atLeast"/>
            </w:pPr>
            <w:r w:rsidRPr="00C578EB">
              <w:t>CRM</w:t>
            </w:r>
          </w:p>
        </w:tc>
        <w:tc>
          <w:tcPr>
            <w:tcW w:w="7223" w:type="dxa"/>
            <w:vAlign w:val="center"/>
          </w:tcPr>
          <w:p w14:paraId="7B123795" w14:textId="2C6E9E0C" w:rsidR="005E3543" w:rsidRPr="00C578EB" w:rsidRDefault="005E3543" w:rsidP="005E3543">
            <w:pPr>
              <w:spacing w:after="0" w:line="40" w:lineRule="atLeast"/>
            </w:pPr>
            <w:r w:rsidRPr="00C578EB">
              <w:t>Client Relationship Management</w:t>
            </w:r>
          </w:p>
        </w:tc>
      </w:tr>
      <w:tr w:rsidR="005E3543" w:rsidRPr="00C578EB" w14:paraId="1A7EA394" w14:textId="77777777" w:rsidTr="005E3543">
        <w:trPr>
          <w:trHeight w:val="340"/>
        </w:trPr>
        <w:tc>
          <w:tcPr>
            <w:tcW w:w="1793" w:type="dxa"/>
            <w:vAlign w:val="center"/>
          </w:tcPr>
          <w:p w14:paraId="1A370FEE" w14:textId="71CCCDC5" w:rsidR="005E3543" w:rsidRPr="00C578EB" w:rsidRDefault="005E3543" w:rsidP="005E3543">
            <w:pPr>
              <w:spacing w:after="0" w:line="40" w:lineRule="atLeast"/>
            </w:pPr>
            <w:r w:rsidRPr="00C578EB">
              <w:t>CY</w:t>
            </w:r>
          </w:p>
        </w:tc>
        <w:tc>
          <w:tcPr>
            <w:tcW w:w="7223" w:type="dxa"/>
            <w:vAlign w:val="center"/>
          </w:tcPr>
          <w:p w14:paraId="4D6AEFCE" w14:textId="58FEE332" w:rsidR="005E3543" w:rsidRPr="00C578EB" w:rsidRDefault="005E3543" w:rsidP="005E3543">
            <w:pPr>
              <w:spacing w:after="0" w:line="40" w:lineRule="atLeast"/>
            </w:pPr>
            <w:r w:rsidRPr="00C578EB">
              <w:t>Calendar Year</w:t>
            </w:r>
          </w:p>
        </w:tc>
      </w:tr>
      <w:tr w:rsidR="005E3543" w:rsidRPr="00C578EB" w14:paraId="72D0FB83" w14:textId="77777777" w:rsidTr="005E3543">
        <w:trPr>
          <w:trHeight w:val="340"/>
        </w:trPr>
        <w:tc>
          <w:tcPr>
            <w:tcW w:w="1793" w:type="dxa"/>
            <w:vAlign w:val="center"/>
          </w:tcPr>
          <w:p w14:paraId="1A69CE89" w14:textId="33243CB9" w:rsidR="005E3543" w:rsidRPr="00C578EB" w:rsidRDefault="005E3543" w:rsidP="005E3543">
            <w:pPr>
              <w:spacing w:after="0" w:line="40" w:lineRule="atLeast"/>
            </w:pPr>
            <w:r w:rsidRPr="00C578EB">
              <w:t>ECEI</w:t>
            </w:r>
          </w:p>
        </w:tc>
        <w:tc>
          <w:tcPr>
            <w:tcW w:w="7223" w:type="dxa"/>
            <w:vAlign w:val="center"/>
          </w:tcPr>
          <w:p w14:paraId="68251CDB" w14:textId="103A48F2" w:rsidR="005E3543" w:rsidRPr="00C578EB" w:rsidRDefault="005E3543" w:rsidP="005E3543">
            <w:pPr>
              <w:spacing w:after="0" w:line="40" w:lineRule="atLeast"/>
            </w:pPr>
            <w:r w:rsidRPr="00C578EB">
              <w:t>Early Childhood Early Intervention</w:t>
            </w:r>
          </w:p>
        </w:tc>
      </w:tr>
      <w:tr w:rsidR="005E3543" w:rsidRPr="00C578EB" w14:paraId="5F80DC3F" w14:textId="77777777" w:rsidTr="005E3543">
        <w:trPr>
          <w:trHeight w:val="340"/>
        </w:trPr>
        <w:tc>
          <w:tcPr>
            <w:tcW w:w="1793" w:type="dxa"/>
            <w:vAlign w:val="center"/>
          </w:tcPr>
          <w:p w14:paraId="08DE18E8" w14:textId="24FE693A" w:rsidR="005E3543" w:rsidRPr="00C578EB" w:rsidRDefault="005E3543" w:rsidP="005E3543">
            <w:pPr>
              <w:spacing w:after="0" w:line="40" w:lineRule="atLeast"/>
            </w:pPr>
            <w:r w:rsidRPr="00C578EB">
              <w:t>GDP</w:t>
            </w:r>
          </w:p>
        </w:tc>
        <w:tc>
          <w:tcPr>
            <w:tcW w:w="7223" w:type="dxa"/>
            <w:vAlign w:val="center"/>
          </w:tcPr>
          <w:p w14:paraId="4B6E3F57" w14:textId="4F179C5A" w:rsidR="005E3543" w:rsidRPr="00C578EB" w:rsidRDefault="005E3543" w:rsidP="005E3543">
            <w:pPr>
              <w:spacing w:after="0" w:line="40" w:lineRule="atLeast"/>
            </w:pPr>
            <w:r w:rsidRPr="00C578EB">
              <w:t>Gross Domestic Product</w:t>
            </w:r>
          </w:p>
        </w:tc>
      </w:tr>
      <w:tr w:rsidR="005E3543" w:rsidRPr="00C578EB" w14:paraId="2EF184A5" w14:textId="77777777" w:rsidTr="005E3543">
        <w:trPr>
          <w:trHeight w:val="340"/>
        </w:trPr>
        <w:tc>
          <w:tcPr>
            <w:tcW w:w="1793" w:type="dxa"/>
            <w:vAlign w:val="center"/>
          </w:tcPr>
          <w:p w14:paraId="4BAA9BD7" w14:textId="6494B547" w:rsidR="005E3543" w:rsidRPr="00C578EB" w:rsidRDefault="005E3543" w:rsidP="005E3543">
            <w:pPr>
              <w:spacing w:after="0" w:line="40" w:lineRule="atLeast"/>
            </w:pPr>
            <w:r w:rsidRPr="00C578EB">
              <w:t>ILO</w:t>
            </w:r>
          </w:p>
        </w:tc>
        <w:tc>
          <w:tcPr>
            <w:tcW w:w="7223" w:type="dxa"/>
            <w:vAlign w:val="center"/>
          </w:tcPr>
          <w:p w14:paraId="6B296AC2" w14:textId="37FB5D6E" w:rsidR="005E3543" w:rsidRPr="00C578EB" w:rsidRDefault="005E3543" w:rsidP="005E3543">
            <w:pPr>
              <w:spacing w:after="0" w:line="40" w:lineRule="atLeast"/>
            </w:pPr>
            <w:r w:rsidRPr="00C578EB">
              <w:t>Independent Living Option</w:t>
            </w:r>
          </w:p>
        </w:tc>
      </w:tr>
      <w:tr w:rsidR="001A25E4" w:rsidRPr="00C578EB" w14:paraId="57E15AE2" w14:textId="77777777" w:rsidTr="005E3543">
        <w:trPr>
          <w:trHeight w:val="340"/>
        </w:trPr>
        <w:tc>
          <w:tcPr>
            <w:tcW w:w="1793" w:type="dxa"/>
            <w:vAlign w:val="center"/>
          </w:tcPr>
          <w:p w14:paraId="0AFFEA53" w14:textId="7A7F6C23" w:rsidR="001A25E4" w:rsidRPr="00C578EB" w:rsidRDefault="001A25E4" w:rsidP="005E3543">
            <w:pPr>
              <w:spacing w:after="0" w:line="40" w:lineRule="atLeast"/>
            </w:pPr>
            <w:r w:rsidRPr="00C578EB">
              <w:t>NDIA</w:t>
            </w:r>
          </w:p>
        </w:tc>
        <w:tc>
          <w:tcPr>
            <w:tcW w:w="7223" w:type="dxa"/>
            <w:vAlign w:val="center"/>
          </w:tcPr>
          <w:p w14:paraId="16CD2A6D" w14:textId="5D09465A" w:rsidR="001A25E4" w:rsidRPr="00C578EB" w:rsidRDefault="001A25E4" w:rsidP="005E3543">
            <w:pPr>
              <w:spacing w:after="0" w:line="40" w:lineRule="atLeast"/>
            </w:pPr>
            <w:r w:rsidRPr="00C578EB">
              <w:t>National Disability Insurance Agency</w:t>
            </w:r>
          </w:p>
        </w:tc>
      </w:tr>
      <w:tr w:rsidR="005E3543" w:rsidRPr="00C578EB" w14:paraId="7DA50295" w14:textId="77777777" w:rsidTr="005E3543">
        <w:trPr>
          <w:trHeight w:val="340"/>
        </w:trPr>
        <w:tc>
          <w:tcPr>
            <w:tcW w:w="1793" w:type="dxa"/>
            <w:vAlign w:val="center"/>
          </w:tcPr>
          <w:p w14:paraId="606AF1A4" w14:textId="641F639C" w:rsidR="005E3543" w:rsidRPr="00C578EB" w:rsidRDefault="005E3543" w:rsidP="005E3543">
            <w:pPr>
              <w:spacing w:after="0" w:line="40" w:lineRule="atLeast"/>
            </w:pPr>
            <w:r w:rsidRPr="00C578EB">
              <w:t>NDIS</w:t>
            </w:r>
          </w:p>
        </w:tc>
        <w:tc>
          <w:tcPr>
            <w:tcW w:w="7223" w:type="dxa"/>
            <w:vAlign w:val="center"/>
          </w:tcPr>
          <w:p w14:paraId="01C50031" w14:textId="233D5388" w:rsidR="005E3543" w:rsidRPr="00C578EB" w:rsidRDefault="005E3543" w:rsidP="005E3543">
            <w:pPr>
              <w:spacing w:after="0" w:line="40" w:lineRule="atLeast"/>
            </w:pPr>
            <w:r w:rsidRPr="00C578EB">
              <w:t>National Disability Insurance Scheme</w:t>
            </w:r>
          </w:p>
        </w:tc>
      </w:tr>
      <w:tr w:rsidR="005E3543" w:rsidRPr="00C578EB" w14:paraId="5F9BECA2" w14:textId="77777777" w:rsidTr="005E3543">
        <w:trPr>
          <w:trHeight w:val="340"/>
        </w:trPr>
        <w:tc>
          <w:tcPr>
            <w:tcW w:w="1793" w:type="dxa"/>
            <w:vAlign w:val="center"/>
          </w:tcPr>
          <w:p w14:paraId="3E610378" w14:textId="02BA458D" w:rsidR="005E3543" w:rsidRPr="00C578EB" w:rsidRDefault="005E3543" w:rsidP="005E3543">
            <w:pPr>
              <w:spacing w:after="0" w:line="40" w:lineRule="atLeast"/>
            </w:pPr>
            <w:r w:rsidRPr="00C578EB">
              <w:t>NIIS</w:t>
            </w:r>
          </w:p>
        </w:tc>
        <w:tc>
          <w:tcPr>
            <w:tcW w:w="7223" w:type="dxa"/>
            <w:vAlign w:val="center"/>
          </w:tcPr>
          <w:p w14:paraId="2ACEEE62" w14:textId="3F0AEE17" w:rsidR="005E3543" w:rsidRPr="00C578EB" w:rsidRDefault="005E3543" w:rsidP="005E3543">
            <w:pPr>
              <w:spacing w:after="0" w:line="40" w:lineRule="atLeast"/>
            </w:pPr>
            <w:r w:rsidRPr="00C578EB">
              <w:t>National Injury Insurance Scheme</w:t>
            </w:r>
          </w:p>
        </w:tc>
      </w:tr>
      <w:tr w:rsidR="005E3543" w:rsidRPr="00C578EB" w14:paraId="4B8B20A8" w14:textId="77777777" w:rsidTr="005E3543">
        <w:trPr>
          <w:trHeight w:val="340"/>
        </w:trPr>
        <w:tc>
          <w:tcPr>
            <w:tcW w:w="1793" w:type="dxa"/>
            <w:vAlign w:val="center"/>
          </w:tcPr>
          <w:p w14:paraId="6774C771" w14:textId="62C0A858" w:rsidR="005E3543" w:rsidRPr="00C578EB" w:rsidRDefault="005E3543" w:rsidP="005E3543">
            <w:pPr>
              <w:spacing w:after="0" w:line="40" w:lineRule="atLeast"/>
            </w:pPr>
            <w:r w:rsidRPr="00C578EB">
              <w:t>PBS</w:t>
            </w:r>
          </w:p>
        </w:tc>
        <w:tc>
          <w:tcPr>
            <w:tcW w:w="7223" w:type="dxa"/>
            <w:vAlign w:val="center"/>
          </w:tcPr>
          <w:p w14:paraId="0614158B" w14:textId="140735C7" w:rsidR="005E3543" w:rsidRPr="00C578EB" w:rsidRDefault="005E3543" w:rsidP="005E3543">
            <w:pPr>
              <w:spacing w:after="0" w:line="40" w:lineRule="atLeast"/>
            </w:pPr>
            <w:r w:rsidRPr="00C578EB">
              <w:t>Portfolio Budget Statements</w:t>
            </w:r>
          </w:p>
        </w:tc>
      </w:tr>
      <w:tr w:rsidR="005E3543" w:rsidRPr="00C578EB" w14:paraId="2BC5F1C9" w14:textId="77777777" w:rsidTr="005E3543">
        <w:trPr>
          <w:trHeight w:val="340"/>
        </w:trPr>
        <w:tc>
          <w:tcPr>
            <w:tcW w:w="1793" w:type="dxa"/>
            <w:vAlign w:val="center"/>
          </w:tcPr>
          <w:p w14:paraId="3BCA300E" w14:textId="73A6C5CB" w:rsidR="005E3543" w:rsidRPr="00C578EB" w:rsidRDefault="005E3543" w:rsidP="005E3543">
            <w:pPr>
              <w:spacing w:after="0" w:line="40" w:lineRule="atLeast"/>
            </w:pPr>
            <w:r w:rsidRPr="00C578EB">
              <w:t>PC</w:t>
            </w:r>
          </w:p>
        </w:tc>
        <w:tc>
          <w:tcPr>
            <w:tcW w:w="7223" w:type="dxa"/>
            <w:vAlign w:val="center"/>
          </w:tcPr>
          <w:p w14:paraId="56A24F38" w14:textId="5FFEE6EB" w:rsidR="005E3543" w:rsidRPr="00C578EB" w:rsidRDefault="005E3543" w:rsidP="005E3543">
            <w:pPr>
              <w:spacing w:after="0" w:line="40" w:lineRule="atLeast"/>
            </w:pPr>
            <w:r w:rsidRPr="00C578EB">
              <w:t>Productivity Commission</w:t>
            </w:r>
          </w:p>
        </w:tc>
      </w:tr>
      <w:tr w:rsidR="005E3543" w:rsidRPr="00C578EB" w14:paraId="26938C6A" w14:textId="77777777" w:rsidTr="005E3543">
        <w:trPr>
          <w:trHeight w:val="340"/>
        </w:trPr>
        <w:tc>
          <w:tcPr>
            <w:tcW w:w="1793" w:type="dxa"/>
            <w:vAlign w:val="center"/>
          </w:tcPr>
          <w:p w14:paraId="707C2E42" w14:textId="3EE3156B" w:rsidR="005E3543" w:rsidRPr="00C578EB" w:rsidRDefault="005E3543" w:rsidP="005E3543">
            <w:pPr>
              <w:spacing w:after="0" w:line="40" w:lineRule="atLeast"/>
            </w:pPr>
            <w:r w:rsidRPr="00C578EB">
              <w:t>SDA</w:t>
            </w:r>
          </w:p>
        </w:tc>
        <w:tc>
          <w:tcPr>
            <w:tcW w:w="7223" w:type="dxa"/>
            <w:vAlign w:val="center"/>
          </w:tcPr>
          <w:p w14:paraId="67078559" w14:textId="28B9819D" w:rsidR="005E3543" w:rsidRPr="00C578EB" w:rsidRDefault="005E3543" w:rsidP="005E3543">
            <w:pPr>
              <w:spacing w:after="0" w:line="40" w:lineRule="atLeast"/>
              <w:rPr>
                <w:rFonts w:eastAsiaTheme="minorHAnsi"/>
                <w:lang w:eastAsia="en-US"/>
              </w:rPr>
            </w:pPr>
            <w:r w:rsidRPr="00C578EB">
              <w:t>Specialist Disability Accommodation</w:t>
            </w:r>
          </w:p>
        </w:tc>
      </w:tr>
      <w:tr w:rsidR="005E3543" w:rsidRPr="00C578EB" w14:paraId="49F41FE0" w14:textId="77777777" w:rsidTr="005E3543">
        <w:trPr>
          <w:trHeight w:val="340"/>
        </w:trPr>
        <w:tc>
          <w:tcPr>
            <w:tcW w:w="1793" w:type="dxa"/>
            <w:vAlign w:val="center"/>
          </w:tcPr>
          <w:p w14:paraId="057E7343" w14:textId="6FAE3268" w:rsidR="005E3543" w:rsidRPr="00C578EB" w:rsidRDefault="005E3543" w:rsidP="005E3543">
            <w:pPr>
              <w:spacing w:after="0" w:line="40" w:lineRule="atLeast"/>
            </w:pPr>
            <w:r w:rsidRPr="00C578EB">
              <w:t>SIL</w:t>
            </w:r>
          </w:p>
        </w:tc>
        <w:tc>
          <w:tcPr>
            <w:tcW w:w="7223" w:type="dxa"/>
            <w:vAlign w:val="center"/>
          </w:tcPr>
          <w:p w14:paraId="5F188005" w14:textId="08D0BFD6" w:rsidR="005E3543" w:rsidRPr="00C578EB" w:rsidRDefault="005E3543" w:rsidP="005E3543">
            <w:pPr>
              <w:spacing w:after="0" w:line="40" w:lineRule="atLeast"/>
              <w:rPr>
                <w:rFonts w:eastAsiaTheme="minorHAnsi"/>
                <w:lang w:eastAsia="en-US"/>
              </w:rPr>
            </w:pPr>
            <w:r w:rsidRPr="00C578EB">
              <w:t>Supported Independent Living</w:t>
            </w:r>
          </w:p>
        </w:tc>
      </w:tr>
      <w:tr w:rsidR="005E3543" w:rsidRPr="00C578EB" w14:paraId="55845679" w14:textId="77777777" w:rsidTr="005E3543">
        <w:trPr>
          <w:trHeight w:val="340"/>
        </w:trPr>
        <w:tc>
          <w:tcPr>
            <w:tcW w:w="1793" w:type="dxa"/>
            <w:vAlign w:val="center"/>
          </w:tcPr>
          <w:p w14:paraId="2615AC7C" w14:textId="0C9FA503" w:rsidR="005E3543" w:rsidRPr="00C578EB" w:rsidRDefault="005E3543" w:rsidP="005E3543">
            <w:pPr>
              <w:spacing w:after="0" w:line="40" w:lineRule="atLeast"/>
            </w:pPr>
            <w:r w:rsidRPr="00C578EB">
              <w:t>TTP</w:t>
            </w:r>
          </w:p>
        </w:tc>
        <w:tc>
          <w:tcPr>
            <w:tcW w:w="7223" w:type="dxa"/>
            <w:vAlign w:val="center"/>
          </w:tcPr>
          <w:p w14:paraId="2886C6C6" w14:textId="638A10E5" w:rsidR="005E3543" w:rsidRPr="00C578EB" w:rsidRDefault="005E3543" w:rsidP="005E3543">
            <w:pPr>
              <w:spacing w:after="0" w:line="40" w:lineRule="atLeast"/>
              <w:rPr>
                <w:rFonts w:eastAsiaTheme="minorHAnsi"/>
                <w:lang w:eastAsia="en-US"/>
              </w:rPr>
            </w:pPr>
            <w:r w:rsidRPr="00C578EB">
              <w:t>Temporary Transformation Payment</w:t>
            </w:r>
          </w:p>
        </w:tc>
      </w:tr>
    </w:tbl>
    <w:p w14:paraId="7FA22FD7" w14:textId="77777777" w:rsidR="005E3543" w:rsidRPr="00C578EB" w:rsidRDefault="005E3543" w:rsidP="002C0082">
      <w:pPr>
        <w:pStyle w:val="FSRnormal"/>
      </w:pPr>
    </w:p>
    <w:p w14:paraId="33F46C18" w14:textId="77777777" w:rsidR="00E52B9A" w:rsidRPr="00C578EB" w:rsidRDefault="00E52B9A" w:rsidP="002C0082">
      <w:pPr>
        <w:pStyle w:val="FSRnormal"/>
        <w:rPr>
          <w:color w:val="6B2976"/>
          <w:sz w:val="25"/>
        </w:rPr>
      </w:pPr>
      <w:r w:rsidRPr="00C578EB">
        <w:br w:type="page"/>
      </w:r>
    </w:p>
    <w:p w14:paraId="2EAE92D1" w14:textId="0BA7805F" w:rsidR="00F7129B" w:rsidRPr="00C578EB" w:rsidRDefault="00F7129B" w:rsidP="00594EEA">
      <w:pPr>
        <w:pStyle w:val="FSRHeading4"/>
      </w:pPr>
      <w:r w:rsidRPr="00C578EB">
        <w:lastRenderedPageBreak/>
        <w:t>Definitions</w:t>
      </w:r>
      <w:r w:rsidR="003E1593" w:rsidRPr="00C578EB">
        <w:t xml:space="preserve"> used in this report</w:t>
      </w:r>
    </w:p>
    <w:tbl>
      <w:tblPr>
        <w:tblStyle w:val="TableGrid"/>
        <w:tblW w:w="0" w:type="auto"/>
        <w:tblLook w:val="04A0" w:firstRow="1" w:lastRow="0" w:firstColumn="1" w:lastColumn="0" w:noHBand="0" w:noVBand="1"/>
      </w:tblPr>
      <w:tblGrid>
        <w:gridCol w:w="2479"/>
        <w:gridCol w:w="6537"/>
      </w:tblGrid>
      <w:tr w:rsidR="005E3543" w:rsidRPr="00C578EB" w14:paraId="070A97FA" w14:textId="77777777" w:rsidTr="00594EEA">
        <w:tc>
          <w:tcPr>
            <w:tcW w:w="2479" w:type="dxa"/>
          </w:tcPr>
          <w:p w14:paraId="209683EA" w14:textId="773FB405" w:rsidR="005E3543" w:rsidRPr="00C578EB" w:rsidRDefault="005E3543" w:rsidP="005E3543">
            <w:pPr>
              <w:spacing w:after="0" w:line="240" w:lineRule="auto"/>
            </w:pPr>
            <w:r w:rsidRPr="00C578EB">
              <w:t>Accrual basis</w:t>
            </w:r>
          </w:p>
        </w:tc>
        <w:tc>
          <w:tcPr>
            <w:tcW w:w="6537" w:type="dxa"/>
          </w:tcPr>
          <w:p w14:paraId="494F6CB8" w14:textId="70D5ADF3" w:rsidR="005E3543" w:rsidRPr="00C578EB" w:rsidRDefault="002C0082" w:rsidP="000A3FE1">
            <w:pPr>
              <w:spacing w:after="0" w:line="240" w:lineRule="auto"/>
            </w:pPr>
            <w:r w:rsidRPr="00C578EB">
              <w:t>Cost is b</w:t>
            </w:r>
            <w:r w:rsidR="00B0775F" w:rsidRPr="00C578EB">
              <w:t>ased on when the service was actually provided to the participant</w:t>
            </w:r>
            <w:r w:rsidR="00680EE3">
              <w:t xml:space="preserve"> </w:t>
            </w:r>
            <w:r w:rsidR="000A3FE1">
              <w:t xml:space="preserve">recognising some services are paid for after the </w:t>
            </w:r>
            <w:r w:rsidR="00921CFB">
              <w:t xml:space="preserve">end of the </w:t>
            </w:r>
            <w:r w:rsidR="000A3FE1">
              <w:t>period</w:t>
            </w:r>
            <w:r w:rsidR="00680EE3">
              <w:t>.</w:t>
            </w:r>
            <w:r w:rsidR="000A3FE1">
              <w:t xml:space="preserve"> </w:t>
            </w:r>
          </w:p>
        </w:tc>
      </w:tr>
      <w:tr w:rsidR="002009FD" w:rsidRPr="00C578EB" w14:paraId="5EF1E8C1" w14:textId="77777777" w:rsidTr="00594EEA">
        <w:tc>
          <w:tcPr>
            <w:tcW w:w="2479" w:type="dxa"/>
          </w:tcPr>
          <w:p w14:paraId="7A4328CD" w14:textId="33251CC8" w:rsidR="002009FD" w:rsidRPr="00C578EB" w:rsidRDefault="002009FD" w:rsidP="002009FD">
            <w:pPr>
              <w:spacing w:after="0" w:line="240" w:lineRule="auto"/>
            </w:pPr>
            <w:r w:rsidRPr="00C578EB">
              <w:t>the Agency</w:t>
            </w:r>
          </w:p>
        </w:tc>
        <w:tc>
          <w:tcPr>
            <w:tcW w:w="6537" w:type="dxa"/>
          </w:tcPr>
          <w:p w14:paraId="7D81283F" w14:textId="4589ACBE" w:rsidR="002009FD" w:rsidRPr="00C578EB" w:rsidRDefault="002009FD" w:rsidP="002009FD">
            <w:pPr>
              <w:spacing w:after="0" w:line="240" w:lineRule="auto"/>
            </w:pPr>
            <w:r w:rsidRPr="00C578EB">
              <w:t>National Disability Insurance Agency</w:t>
            </w:r>
          </w:p>
        </w:tc>
      </w:tr>
      <w:tr w:rsidR="002009FD" w:rsidRPr="00C578EB" w14:paraId="6368C934" w14:textId="77777777" w:rsidTr="00B624C7">
        <w:tc>
          <w:tcPr>
            <w:tcW w:w="2479" w:type="dxa"/>
          </w:tcPr>
          <w:p w14:paraId="5C8A928C" w14:textId="29987959" w:rsidR="002009FD" w:rsidRPr="00C578EB" w:rsidRDefault="002009FD" w:rsidP="002009FD">
            <w:pPr>
              <w:spacing w:after="0" w:line="240" w:lineRule="auto"/>
            </w:pPr>
            <w:r w:rsidRPr="00C578EB">
              <w:t>Bilateral agreements</w:t>
            </w:r>
          </w:p>
        </w:tc>
        <w:tc>
          <w:tcPr>
            <w:tcW w:w="6537" w:type="dxa"/>
          </w:tcPr>
          <w:p w14:paraId="4B24F21B" w14:textId="6FE24CEE" w:rsidR="002009FD" w:rsidRPr="00C578EB" w:rsidRDefault="002009FD" w:rsidP="002009FD">
            <w:pPr>
              <w:spacing w:after="0" w:line="240" w:lineRule="auto"/>
            </w:pPr>
            <w:r w:rsidRPr="00C578EB">
              <w:t>Agreements signed between the Commonwealth government and the States/Territories</w:t>
            </w:r>
          </w:p>
        </w:tc>
      </w:tr>
      <w:tr w:rsidR="002009FD" w:rsidRPr="00C578EB" w14:paraId="78B05A78" w14:textId="77777777" w:rsidTr="00594EEA">
        <w:tc>
          <w:tcPr>
            <w:tcW w:w="2479" w:type="dxa"/>
          </w:tcPr>
          <w:p w14:paraId="045AC6C8" w14:textId="4DB4C486" w:rsidR="002009FD" w:rsidRPr="00C578EB" w:rsidRDefault="002009FD" w:rsidP="002009FD">
            <w:pPr>
              <w:spacing w:after="0" w:line="240" w:lineRule="auto"/>
            </w:pPr>
            <w:r w:rsidRPr="00C578EB">
              <w:t>Cash basis</w:t>
            </w:r>
          </w:p>
        </w:tc>
        <w:tc>
          <w:tcPr>
            <w:tcW w:w="6537" w:type="dxa"/>
          </w:tcPr>
          <w:p w14:paraId="29889B08" w14:textId="62DC1903" w:rsidR="002009FD" w:rsidRPr="00C578EB" w:rsidRDefault="002009FD" w:rsidP="002009FD">
            <w:pPr>
              <w:spacing w:after="0" w:line="240" w:lineRule="auto"/>
              <w:rPr>
                <w:i/>
              </w:rPr>
            </w:pPr>
            <w:r w:rsidRPr="00C578EB">
              <w:t>Cost is based on when the cash is paid out by the Agency, regardless of when the support was provided</w:t>
            </w:r>
          </w:p>
        </w:tc>
      </w:tr>
      <w:tr w:rsidR="002009FD" w:rsidRPr="00C578EB" w14:paraId="1B6F4EED" w14:textId="77777777" w:rsidTr="00594EEA">
        <w:tc>
          <w:tcPr>
            <w:tcW w:w="2479" w:type="dxa"/>
          </w:tcPr>
          <w:p w14:paraId="0630F064" w14:textId="66303683" w:rsidR="002009FD" w:rsidRPr="00C578EB" w:rsidRDefault="002009FD" w:rsidP="002009FD">
            <w:pPr>
              <w:spacing w:after="0" w:line="240" w:lineRule="auto"/>
            </w:pPr>
            <w:r w:rsidRPr="00C578EB">
              <w:t>COVID-19 pandemic</w:t>
            </w:r>
          </w:p>
        </w:tc>
        <w:tc>
          <w:tcPr>
            <w:tcW w:w="6537" w:type="dxa"/>
          </w:tcPr>
          <w:p w14:paraId="1E82CFEC" w14:textId="63CAB7E7" w:rsidR="002009FD" w:rsidRPr="00C578EB" w:rsidRDefault="002009FD" w:rsidP="00E417B2">
            <w:pPr>
              <w:spacing w:after="0" w:line="240" w:lineRule="auto"/>
            </w:pPr>
            <w:r w:rsidRPr="00C578EB">
              <w:t>Ongoing global pandemic of coronavirus disease</w:t>
            </w:r>
            <w:r w:rsidR="00204484" w:rsidRPr="00C578EB">
              <w:t xml:space="preserve"> </w:t>
            </w:r>
            <w:r w:rsidR="00E417B2" w:rsidRPr="00C578EB">
              <w:t>(March 2020)</w:t>
            </w:r>
            <w:r w:rsidRPr="00C578EB">
              <w:t>, with references to the ‘first wave’, ‘second wave’ and later waves</w:t>
            </w:r>
          </w:p>
        </w:tc>
      </w:tr>
      <w:tr w:rsidR="002009FD" w:rsidRPr="00C578EB" w14:paraId="49200863" w14:textId="77777777" w:rsidTr="00594EEA">
        <w:tc>
          <w:tcPr>
            <w:tcW w:w="2479" w:type="dxa"/>
          </w:tcPr>
          <w:p w14:paraId="0F105812" w14:textId="7D913333" w:rsidR="002009FD" w:rsidRPr="00C578EB" w:rsidRDefault="002009FD" w:rsidP="002009FD">
            <w:pPr>
              <w:spacing w:after="0" w:line="240" w:lineRule="auto"/>
            </w:pPr>
            <w:r w:rsidRPr="00C578EB">
              <w:t>In-kind supports</w:t>
            </w:r>
          </w:p>
        </w:tc>
        <w:tc>
          <w:tcPr>
            <w:tcW w:w="6537" w:type="dxa"/>
          </w:tcPr>
          <w:p w14:paraId="010F759F" w14:textId="466633E6" w:rsidR="002009FD" w:rsidRPr="00C578EB" w:rsidRDefault="002009FD" w:rsidP="002009FD">
            <w:pPr>
              <w:spacing w:after="0" w:line="240" w:lineRule="auto"/>
            </w:pPr>
            <w:r w:rsidRPr="00C578EB">
              <w:t>Before the NDIS was established, States/Territories and the Commonwealth governments paid providers to deliver services to people with disability. States/Territories and the Commonwealth continue to pay for some services. State/Territory and Commonwealth governments receive a revenue offset.</w:t>
            </w:r>
          </w:p>
        </w:tc>
      </w:tr>
      <w:tr w:rsidR="002009FD" w:rsidRPr="00C578EB" w14:paraId="1CFCC9A5" w14:textId="77777777" w:rsidTr="00594EEA">
        <w:tc>
          <w:tcPr>
            <w:tcW w:w="2479" w:type="dxa"/>
          </w:tcPr>
          <w:p w14:paraId="127F2350" w14:textId="59E1C882" w:rsidR="002009FD" w:rsidRPr="00C578EB" w:rsidRDefault="002009FD" w:rsidP="002009FD">
            <w:pPr>
              <w:spacing w:after="0" w:line="240" w:lineRule="auto"/>
            </w:pPr>
            <w:r w:rsidRPr="00C578EB">
              <w:t>Level of function</w:t>
            </w:r>
          </w:p>
        </w:tc>
        <w:tc>
          <w:tcPr>
            <w:tcW w:w="6537" w:type="dxa"/>
          </w:tcPr>
          <w:p w14:paraId="327A6837" w14:textId="19B441EE" w:rsidR="002009FD" w:rsidRPr="00C578EB" w:rsidRDefault="002009FD" w:rsidP="002009FD">
            <w:pPr>
              <w:spacing w:after="0" w:line="240" w:lineRule="auto"/>
            </w:pPr>
            <w:r w:rsidRPr="00C578EB">
              <w:rPr>
                <w:szCs w:val="22"/>
              </w:rPr>
              <w:t>A participant’s functional ability, measured using a range of widely accepted and validated tools which were selected based on expert advice from professionals with specialist disability knowledge, such as disability organisations, clinicians and researchers.</w:t>
            </w:r>
          </w:p>
        </w:tc>
      </w:tr>
      <w:tr w:rsidR="002009FD" w:rsidRPr="00C578EB" w14:paraId="19EADDCB" w14:textId="77777777" w:rsidTr="00594EEA">
        <w:tc>
          <w:tcPr>
            <w:tcW w:w="2479" w:type="dxa"/>
          </w:tcPr>
          <w:p w14:paraId="2AE6E4DF" w14:textId="33520E58" w:rsidR="002009FD" w:rsidRPr="00C578EB" w:rsidRDefault="002009FD" w:rsidP="002009FD">
            <w:pPr>
              <w:spacing w:after="0" w:line="240" w:lineRule="auto"/>
            </w:pPr>
            <w:r w:rsidRPr="00C578EB">
              <w:t>Mature participants</w:t>
            </w:r>
          </w:p>
        </w:tc>
        <w:tc>
          <w:tcPr>
            <w:tcW w:w="6537" w:type="dxa"/>
          </w:tcPr>
          <w:p w14:paraId="76E713AD" w14:textId="25D5E76D" w:rsidR="002009FD" w:rsidRPr="00C578EB" w:rsidRDefault="002009FD" w:rsidP="002009FD">
            <w:pPr>
              <w:spacing w:after="0" w:line="240" w:lineRule="auto"/>
              <w:rPr>
                <w:i/>
              </w:rPr>
            </w:pPr>
            <w:r w:rsidRPr="00C578EB">
              <w:t xml:space="preserve">Participants </w:t>
            </w:r>
            <w:r w:rsidR="00836613" w:rsidRPr="00C578EB">
              <w:t>active at both 30 September 2020 and 31 December 2020, and had their first plan approved on or prior to 30 September 2019</w:t>
            </w:r>
            <w:r w:rsidRPr="00C578EB">
              <w:t>.</w:t>
            </w:r>
          </w:p>
        </w:tc>
      </w:tr>
      <w:tr w:rsidR="002009FD" w:rsidRPr="00C578EB" w14:paraId="3E91C0E4" w14:textId="77777777" w:rsidTr="00594EEA">
        <w:tc>
          <w:tcPr>
            <w:tcW w:w="2479" w:type="dxa"/>
          </w:tcPr>
          <w:p w14:paraId="006685BB" w14:textId="4CD7C6CE" w:rsidR="002009FD" w:rsidRPr="00C578EB" w:rsidRDefault="002009FD" w:rsidP="002009FD">
            <w:pPr>
              <w:spacing w:after="0" w:line="240" w:lineRule="auto"/>
            </w:pPr>
            <w:r w:rsidRPr="00C578EB">
              <w:t>NDIS Act</w:t>
            </w:r>
          </w:p>
        </w:tc>
        <w:tc>
          <w:tcPr>
            <w:tcW w:w="6537" w:type="dxa"/>
          </w:tcPr>
          <w:p w14:paraId="78250084" w14:textId="0CF2A135" w:rsidR="002009FD" w:rsidRPr="00C578EB" w:rsidRDefault="002009FD" w:rsidP="002009FD">
            <w:pPr>
              <w:spacing w:after="0" w:line="240" w:lineRule="auto"/>
            </w:pPr>
            <w:r w:rsidRPr="00C578EB">
              <w:rPr>
                <w:i/>
              </w:rPr>
              <w:t>National Disability Insurance Scheme Act 2013</w:t>
            </w:r>
            <w:r w:rsidRPr="00C578EB">
              <w:t>, as amended</w:t>
            </w:r>
          </w:p>
        </w:tc>
      </w:tr>
      <w:tr w:rsidR="002009FD" w:rsidRPr="00C578EB" w14:paraId="75BD6797" w14:textId="77777777" w:rsidTr="00594EEA">
        <w:tc>
          <w:tcPr>
            <w:tcW w:w="2479" w:type="dxa"/>
          </w:tcPr>
          <w:p w14:paraId="09A8150D" w14:textId="531F35F6" w:rsidR="002009FD" w:rsidRPr="00C578EB" w:rsidRDefault="002009FD" w:rsidP="002009FD">
            <w:pPr>
              <w:spacing w:after="0" w:line="240" w:lineRule="auto"/>
            </w:pPr>
            <w:r w:rsidRPr="00C578EB">
              <w:t>New entrants</w:t>
            </w:r>
          </w:p>
        </w:tc>
        <w:tc>
          <w:tcPr>
            <w:tcW w:w="6537" w:type="dxa"/>
          </w:tcPr>
          <w:p w14:paraId="103C560A" w14:textId="34F5C62E" w:rsidR="002009FD" w:rsidRPr="00C578EB" w:rsidRDefault="002009FD" w:rsidP="002009FD">
            <w:pPr>
              <w:spacing w:after="0" w:line="240" w:lineRule="auto"/>
              <w:rPr>
                <w:i/>
              </w:rPr>
            </w:pPr>
            <w:r w:rsidRPr="00C578EB">
              <w:t>All participants entering the Scheme</w:t>
            </w:r>
          </w:p>
        </w:tc>
      </w:tr>
      <w:tr w:rsidR="002009FD" w:rsidRPr="00C578EB" w14:paraId="0A796758" w14:textId="77777777" w:rsidTr="00594EEA">
        <w:tc>
          <w:tcPr>
            <w:tcW w:w="2479" w:type="dxa"/>
          </w:tcPr>
          <w:p w14:paraId="7E3C0144" w14:textId="53C09313" w:rsidR="002009FD" w:rsidRPr="00C578EB" w:rsidRDefault="002009FD" w:rsidP="002009FD">
            <w:pPr>
              <w:spacing w:after="0" w:line="240" w:lineRule="auto"/>
            </w:pPr>
            <w:r w:rsidRPr="00C578EB">
              <w:t>New incidence</w:t>
            </w:r>
          </w:p>
        </w:tc>
        <w:tc>
          <w:tcPr>
            <w:tcW w:w="6537" w:type="dxa"/>
          </w:tcPr>
          <w:p w14:paraId="5F097FD1" w14:textId="602E7DC1" w:rsidR="002009FD" w:rsidRPr="00C578EB" w:rsidRDefault="002009FD" w:rsidP="002009FD">
            <w:pPr>
              <w:spacing w:after="0" w:line="240" w:lineRule="auto"/>
              <w:rPr>
                <w:i/>
              </w:rPr>
            </w:pPr>
            <w:r w:rsidRPr="00C578EB">
              <w:t>Participants with a newly acquired disability accessing the Scheme</w:t>
            </w:r>
          </w:p>
        </w:tc>
      </w:tr>
      <w:tr w:rsidR="002009FD" w:rsidRPr="00C578EB" w14:paraId="651F5361" w14:textId="77777777" w:rsidTr="00594EEA">
        <w:tc>
          <w:tcPr>
            <w:tcW w:w="2479" w:type="dxa"/>
          </w:tcPr>
          <w:p w14:paraId="4653784B" w14:textId="729B3D69" w:rsidR="002009FD" w:rsidRPr="00C578EB" w:rsidRDefault="002009FD" w:rsidP="002009FD">
            <w:pPr>
              <w:spacing w:after="0" w:line="240" w:lineRule="auto"/>
            </w:pPr>
            <w:r w:rsidRPr="00C578EB">
              <w:t>Participant intake</w:t>
            </w:r>
          </w:p>
        </w:tc>
        <w:tc>
          <w:tcPr>
            <w:tcW w:w="6537" w:type="dxa"/>
          </w:tcPr>
          <w:p w14:paraId="0B3AAD84" w14:textId="5278636D" w:rsidR="002009FD" w:rsidRPr="00C578EB" w:rsidRDefault="002009FD" w:rsidP="002009FD">
            <w:pPr>
              <w:spacing w:after="0" w:line="240" w:lineRule="auto"/>
              <w:rPr>
                <w:i/>
              </w:rPr>
            </w:pPr>
            <w:r w:rsidRPr="00C578EB">
              <w:t>All participants entering the Scheme</w:t>
            </w:r>
          </w:p>
        </w:tc>
      </w:tr>
      <w:tr w:rsidR="00F658C5" w:rsidRPr="00C578EB" w14:paraId="4DC0AB14" w14:textId="77777777" w:rsidTr="00594EEA">
        <w:tc>
          <w:tcPr>
            <w:tcW w:w="2479" w:type="dxa"/>
          </w:tcPr>
          <w:p w14:paraId="0BD5677C" w14:textId="23EE903C" w:rsidR="00F658C5" w:rsidRPr="00C578EB" w:rsidRDefault="00F658C5" w:rsidP="002009FD">
            <w:pPr>
              <w:spacing w:after="0" w:line="240" w:lineRule="auto"/>
            </w:pPr>
            <w:r w:rsidRPr="00C578EB">
              <w:t>Participant plan provision</w:t>
            </w:r>
          </w:p>
        </w:tc>
        <w:tc>
          <w:tcPr>
            <w:tcW w:w="6537" w:type="dxa"/>
          </w:tcPr>
          <w:p w14:paraId="14EFC762" w14:textId="1CBFB865" w:rsidR="00F658C5" w:rsidRPr="00C578EB" w:rsidRDefault="00F73C03" w:rsidP="00EE67A1">
            <w:pPr>
              <w:spacing w:after="0" w:line="240" w:lineRule="auto"/>
            </w:pPr>
            <w:r w:rsidRPr="00C578EB">
              <w:t xml:space="preserve">A </w:t>
            </w:r>
            <w:r w:rsidR="00EE67A1" w:rsidRPr="00C578EB">
              <w:t xml:space="preserve">provision on the NDIA Balance Sheet </w:t>
            </w:r>
            <w:r w:rsidRPr="00C578EB">
              <w:t>for supports provided to participants but has not yet paid</w:t>
            </w:r>
            <w:r w:rsidR="00EE67A1" w:rsidRPr="00C578EB">
              <w:t>.</w:t>
            </w:r>
          </w:p>
        </w:tc>
      </w:tr>
      <w:tr w:rsidR="00B30DD9" w:rsidRPr="00C578EB" w14:paraId="31906F83" w14:textId="77777777" w:rsidTr="00594EEA">
        <w:tc>
          <w:tcPr>
            <w:tcW w:w="2479" w:type="dxa"/>
          </w:tcPr>
          <w:p w14:paraId="57667C9E" w14:textId="2A55073D" w:rsidR="00B30DD9" w:rsidRPr="00C578EB" w:rsidRDefault="00B30DD9" w:rsidP="002009FD">
            <w:pPr>
              <w:spacing w:after="0" w:line="240" w:lineRule="auto"/>
            </w:pPr>
            <w:r w:rsidRPr="00C578EB">
              <w:t>PC benchmark</w:t>
            </w:r>
          </w:p>
        </w:tc>
        <w:tc>
          <w:tcPr>
            <w:tcW w:w="6537" w:type="dxa"/>
          </w:tcPr>
          <w:p w14:paraId="11C79AF5" w14:textId="5C4549D0" w:rsidR="00B30DD9" w:rsidRPr="00C578EB" w:rsidRDefault="00B30DD9" w:rsidP="002009FD">
            <w:pPr>
              <w:spacing w:after="0" w:line="240" w:lineRule="auto"/>
            </w:pPr>
            <w:r w:rsidRPr="00C578EB">
              <w:t xml:space="preserve">Productivity Commission Inquiry Report. 2011. </w:t>
            </w:r>
            <w:r w:rsidRPr="00C578EB">
              <w:rPr>
                <w:i/>
              </w:rPr>
              <w:t>Disability Care and Support</w:t>
            </w:r>
          </w:p>
        </w:tc>
      </w:tr>
      <w:tr w:rsidR="002009FD" w:rsidRPr="00C578EB" w14:paraId="604FDD8A" w14:textId="77777777" w:rsidTr="00594EEA">
        <w:tc>
          <w:tcPr>
            <w:tcW w:w="2479" w:type="dxa"/>
          </w:tcPr>
          <w:p w14:paraId="3F301F22" w14:textId="31C5633F" w:rsidR="002009FD" w:rsidRPr="00C578EB" w:rsidRDefault="00B30DD9" w:rsidP="00A233A2">
            <w:pPr>
              <w:spacing w:after="0" w:line="240" w:lineRule="auto"/>
            </w:pPr>
            <w:r w:rsidRPr="00C578EB">
              <w:t xml:space="preserve">2011 </w:t>
            </w:r>
            <w:r w:rsidR="002009FD" w:rsidRPr="00C578EB">
              <w:t xml:space="preserve">PC </w:t>
            </w:r>
            <w:r w:rsidRPr="00C578EB">
              <w:t xml:space="preserve">report </w:t>
            </w:r>
          </w:p>
        </w:tc>
        <w:tc>
          <w:tcPr>
            <w:tcW w:w="6537" w:type="dxa"/>
          </w:tcPr>
          <w:p w14:paraId="34273CAF" w14:textId="2B8E1804" w:rsidR="002009FD" w:rsidRPr="00C578EB" w:rsidRDefault="002009FD" w:rsidP="002009FD">
            <w:pPr>
              <w:spacing w:after="0" w:line="240" w:lineRule="auto"/>
            </w:pPr>
            <w:r w:rsidRPr="00C578EB">
              <w:t xml:space="preserve">Productivity Commission Inquiry Report. 2011. </w:t>
            </w:r>
            <w:r w:rsidRPr="00C578EB">
              <w:rPr>
                <w:i/>
              </w:rPr>
              <w:t>Disability Care and Support</w:t>
            </w:r>
          </w:p>
        </w:tc>
      </w:tr>
      <w:tr w:rsidR="002009FD" w:rsidRPr="00C578EB" w14:paraId="68319399" w14:textId="77777777" w:rsidTr="00594EEA">
        <w:tc>
          <w:tcPr>
            <w:tcW w:w="2479" w:type="dxa"/>
          </w:tcPr>
          <w:p w14:paraId="72F2DA69" w14:textId="793D70D1" w:rsidR="002009FD" w:rsidRPr="00C578EB" w:rsidRDefault="002009FD" w:rsidP="002009FD">
            <w:pPr>
              <w:spacing w:after="0" w:line="240" w:lineRule="auto"/>
            </w:pPr>
            <w:r w:rsidRPr="00C578EB">
              <w:t xml:space="preserve">2017 PC </w:t>
            </w:r>
            <w:r w:rsidR="00A414DE" w:rsidRPr="00C578EB">
              <w:t xml:space="preserve">study </w:t>
            </w:r>
            <w:r w:rsidRPr="00C578EB">
              <w:t>report</w:t>
            </w:r>
          </w:p>
        </w:tc>
        <w:tc>
          <w:tcPr>
            <w:tcW w:w="6537" w:type="dxa"/>
          </w:tcPr>
          <w:p w14:paraId="69B1E1D5" w14:textId="6D535093" w:rsidR="002009FD" w:rsidRPr="00C578EB" w:rsidRDefault="002009FD" w:rsidP="002009FD">
            <w:pPr>
              <w:spacing w:after="0" w:line="240" w:lineRule="auto"/>
            </w:pPr>
            <w:r w:rsidRPr="00C578EB">
              <w:t xml:space="preserve">Productivity Commission 2017, </w:t>
            </w:r>
            <w:r w:rsidRPr="00C578EB">
              <w:rPr>
                <w:i/>
              </w:rPr>
              <w:t>National Disability Insurance Scheme (NDIS) Costs</w:t>
            </w:r>
            <w:r w:rsidRPr="00C578EB">
              <w:t>, Study Report, Canberra</w:t>
            </w:r>
          </w:p>
        </w:tc>
      </w:tr>
      <w:tr w:rsidR="002009FD" w:rsidRPr="00C578EB" w14:paraId="645F436B" w14:textId="77777777" w:rsidTr="00594EEA">
        <w:tc>
          <w:tcPr>
            <w:tcW w:w="2479" w:type="dxa"/>
          </w:tcPr>
          <w:p w14:paraId="40E75406" w14:textId="5E3536DB" w:rsidR="002009FD" w:rsidRPr="00C578EB" w:rsidRDefault="002009FD" w:rsidP="002009FD">
            <w:pPr>
              <w:spacing w:after="0" w:line="240" w:lineRule="auto"/>
            </w:pPr>
            <w:r w:rsidRPr="00C578EB">
              <w:t>Plan budgets</w:t>
            </w:r>
          </w:p>
        </w:tc>
        <w:tc>
          <w:tcPr>
            <w:tcW w:w="6537" w:type="dxa"/>
          </w:tcPr>
          <w:p w14:paraId="058F4539" w14:textId="084DEEC9" w:rsidR="002009FD" w:rsidRPr="00C578EB" w:rsidRDefault="002009FD" w:rsidP="002009FD">
            <w:pPr>
              <w:spacing w:after="0" w:line="240" w:lineRule="auto"/>
            </w:pPr>
            <w:r w:rsidRPr="00C578EB">
              <w:t>The reasonable and necessary supports outlined in a participant’s plan that will be funded for a specific duration, typically a year. Plan budgets represent the dollar amount of support that has been made available to participants in their plan.</w:t>
            </w:r>
          </w:p>
        </w:tc>
      </w:tr>
      <w:tr w:rsidR="00962832" w:rsidRPr="00C578EB" w14:paraId="749095FA" w14:textId="77777777" w:rsidTr="00B624C7">
        <w:tc>
          <w:tcPr>
            <w:tcW w:w="2479" w:type="dxa"/>
          </w:tcPr>
          <w:p w14:paraId="0AA02D2B" w14:textId="244CA7D1" w:rsidR="00962832" w:rsidRPr="00C578EB" w:rsidRDefault="00962832" w:rsidP="002009FD">
            <w:pPr>
              <w:spacing w:after="0" w:line="240" w:lineRule="auto"/>
            </w:pPr>
            <w:r>
              <w:t>Portfolio Budget Statements</w:t>
            </w:r>
          </w:p>
        </w:tc>
        <w:tc>
          <w:tcPr>
            <w:tcW w:w="6537" w:type="dxa"/>
          </w:tcPr>
          <w:p w14:paraId="3DF17E8C" w14:textId="17F7929B" w:rsidR="00962832" w:rsidRPr="00C578EB" w:rsidRDefault="00921CFB" w:rsidP="00921CFB">
            <w:pPr>
              <w:spacing w:after="0" w:line="240" w:lineRule="auto"/>
            </w:pPr>
            <w:r w:rsidRPr="00921CFB">
              <w:t>The purpose of the Portfolio Budget Statements is to inform Senators and Members of Parliament of the proposed allocation of resources to government outcomes by agencies within the relevant portfolio.</w:t>
            </w:r>
            <w:r>
              <w:t xml:space="preserve"> Estimates of government expenditure in the </w:t>
            </w:r>
            <w:r w:rsidRPr="00921CFB">
              <w:t xml:space="preserve">Portfolio Budget Statements </w:t>
            </w:r>
            <w:r>
              <w:t>are on an accrual basis.</w:t>
            </w:r>
          </w:p>
        </w:tc>
      </w:tr>
      <w:tr w:rsidR="002009FD" w:rsidRPr="00C578EB" w14:paraId="70F23665" w14:textId="77777777" w:rsidTr="00B624C7">
        <w:tc>
          <w:tcPr>
            <w:tcW w:w="2479" w:type="dxa"/>
          </w:tcPr>
          <w:p w14:paraId="05AF7125" w14:textId="2EA3CDEA" w:rsidR="002009FD" w:rsidRPr="00C578EB" w:rsidRDefault="002009FD" w:rsidP="002009FD">
            <w:pPr>
              <w:spacing w:after="0" w:line="240" w:lineRule="auto"/>
            </w:pPr>
            <w:r w:rsidRPr="00C578EB">
              <w:t>Previously unmet need</w:t>
            </w:r>
          </w:p>
        </w:tc>
        <w:tc>
          <w:tcPr>
            <w:tcW w:w="6537" w:type="dxa"/>
          </w:tcPr>
          <w:p w14:paraId="3694439A" w14:textId="5D1F4FD7" w:rsidR="002009FD" w:rsidRPr="00C578EB" w:rsidRDefault="002009FD" w:rsidP="002009FD">
            <w:pPr>
              <w:spacing w:after="0" w:line="240" w:lineRule="auto"/>
            </w:pPr>
            <w:r w:rsidRPr="00C578EB">
              <w:t>Participants with existing disability accessing disability supports for the first time.</w:t>
            </w:r>
          </w:p>
        </w:tc>
      </w:tr>
      <w:tr w:rsidR="002009FD" w:rsidRPr="00C578EB" w14:paraId="33D64FAF" w14:textId="77777777" w:rsidTr="00594EEA">
        <w:tc>
          <w:tcPr>
            <w:tcW w:w="2479" w:type="dxa"/>
          </w:tcPr>
          <w:p w14:paraId="35AA440D" w14:textId="010D7C68" w:rsidR="002009FD" w:rsidRPr="00C578EB" w:rsidRDefault="002009FD" w:rsidP="002009FD">
            <w:pPr>
              <w:spacing w:after="0" w:line="240" w:lineRule="auto"/>
            </w:pPr>
            <w:r w:rsidRPr="00C578EB">
              <w:lastRenderedPageBreak/>
              <w:t>Projection Group</w:t>
            </w:r>
          </w:p>
        </w:tc>
        <w:tc>
          <w:tcPr>
            <w:tcW w:w="6537" w:type="dxa"/>
          </w:tcPr>
          <w:p w14:paraId="60017AF1" w14:textId="7FB7F71F" w:rsidR="002009FD" w:rsidRPr="00C578EB" w:rsidRDefault="002009FD" w:rsidP="0075227D">
            <w:pPr>
              <w:spacing w:after="0" w:line="240" w:lineRule="auto"/>
            </w:pPr>
            <w:r w:rsidRPr="00C578EB">
              <w:t>A group of participants with similar characteristics. The Projection Groups have been determined by age band, primary disability, level of function, gender and whether the participant is in supported independent living.</w:t>
            </w:r>
          </w:p>
        </w:tc>
      </w:tr>
      <w:tr w:rsidR="00593E05" w:rsidRPr="00C578EB" w14:paraId="0133B95E" w14:textId="77777777" w:rsidTr="00A233A2">
        <w:tc>
          <w:tcPr>
            <w:tcW w:w="2479" w:type="dxa"/>
            <w:vAlign w:val="center"/>
          </w:tcPr>
          <w:p w14:paraId="16EA5138" w14:textId="321FFC38" w:rsidR="00593E05" w:rsidRPr="00C578EB" w:rsidRDefault="00593E05" w:rsidP="00593E05">
            <w:pPr>
              <w:spacing w:after="0" w:line="240" w:lineRule="auto"/>
            </w:pPr>
            <w:r w:rsidRPr="00C578EB">
              <w:t>SAP</w:t>
            </w:r>
          </w:p>
        </w:tc>
        <w:tc>
          <w:tcPr>
            <w:tcW w:w="6537" w:type="dxa"/>
            <w:vAlign w:val="center"/>
          </w:tcPr>
          <w:p w14:paraId="363A9A06" w14:textId="6F66FE01" w:rsidR="00593E05" w:rsidRPr="00C578EB" w:rsidRDefault="00593E05" w:rsidP="00593E05">
            <w:pPr>
              <w:spacing w:after="0" w:line="240" w:lineRule="auto"/>
            </w:pPr>
            <w:r w:rsidRPr="00C578EB">
              <w:t>SAP is a software company that makes enterprise software. Also known as Systems, Applications and Products in Data Processing.</w:t>
            </w:r>
          </w:p>
        </w:tc>
      </w:tr>
      <w:tr w:rsidR="00593E05" w:rsidRPr="00C578EB" w14:paraId="21D667DB" w14:textId="77777777" w:rsidTr="00594EEA">
        <w:tc>
          <w:tcPr>
            <w:tcW w:w="2479" w:type="dxa"/>
          </w:tcPr>
          <w:p w14:paraId="1C04E430" w14:textId="73F3AF89" w:rsidR="00593E05" w:rsidRPr="00C578EB" w:rsidRDefault="00593E05" w:rsidP="00593E05">
            <w:pPr>
              <w:spacing w:after="0" w:line="240" w:lineRule="auto"/>
            </w:pPr>
            <w:r w:rsidRPr="00C578EB">
              <w:t>the Scheme</w:t>
            </w:r>
          </w:p>
        </w:tc>
        <w:tc>
          <w:tcPr>
            <w:tcW w:w="6537" w:type="dxa"/>
          </w:tcPr>
          <w:p w14:paraId="02B2D65D" w14:textId="66A2034B" w:rsidR="00593E05" w:rsidRPr="00C578EB" w:rsidRDefault="00593E05" w:rsidP="00593E05">
            <w:pPr>
              <w:spacing w:after="0" w:line="240" w:lineRule="auto"/>
            </w:pPr>
            <w:r w:rsidRPr="00C578EB">
              <w:t>National Disability Insurance Scheme</w:t>
            </w:r>
          </w:p>
        </w:tc>
      </w:tr>
      <w:tr w:rsidR="00593E05" w:rsidRPr="00C578EB" w14:paraId="2F0E5DE5" w14:textId="77777777" w:rsidTr="00594EEA">
        <w:tc>
          <w:tcPr>
            <w:tcW w:w="2479" w:type="dxa"/>
          </w:tcPr>
          <w:p w14:paraId="36A23C82" w14:textId="2BEEBA67" w:rsidR="00593E05" w:rsidRPr="00C578EB" w:rsidRDefault="00593E05" w:rsidP="00593E05">
            <w:pPr>
              <w:spacing w:after="0" w:line="240" w:lineRule="auto"/>
            </w:pPr>
            <w:r w:rsidRPr="00C578EB">
              <w:t>Steady Intake Date</w:t>
            </w:r>
          </w:p>
        </w:tc>
        <w:tc>
          <w:tcPr>
            <w:tcW w:w="6537" w:type="dxa"/>
          </w:tcPr>
          <w:p w14:paraId="08F80CC4" w14:textId="34006FF4" w:rsidR="00593E05" w:rsidRPr="00C578EB" w:rsidRDefault="00593E05" w:rsidP="00593E05">
            <w:pPr>
              <w:spacing w:after="0" w:line="240" w:lineRule="auto"/>
            </w:pPr>
            <w:r w:rsidRPr="00C578EB">
              <w:t>The point in time where participant intake primarily represents participants with new incidence of disability. For this report 30 June 202</w:t>
            </w:r>
            <w:r w:rsidR="00CF348E" w:rsidRPr="00C578EB">
              <w:t>4</w:t>
            </w:r>
            <w:r w:rsidRPr="00C578EB">
              <w:t xml:space="preserve"> has been assumed.</w:t>
            </w:r>
          </w:p>
        </w:tc>
      </w:tr>
      <w:tr w:rsidR="00F73C03" w:rsidRPr="00C578EB" w14:paraId="0487E10A" w14:textId="77777777" w:rsidTr="00594EEA">
        <w:tc>
          <w:tcPr>
            <w:tcW w:w="2479" w:type="dxa"/>
          </w:tcPr>
          <w:p w14:paraId="33653F03" w14:textId="44801728" w:rsidR="00F73C03" w:rsidRPr="00C578EB" w:rsidRDefault="00F73C03" w:rsidP="00593E05">
            <w:pPr>
              <w:spacing w:after="0" w:line="240" w:lineRule="auto"/>
            </w:pPr>
            <w:r w:rsidRPr="00C578EB">
              <w:t>Superimposed inflation</w:t>
            </w:r>
          </w:p>
        </w:tc>
        <w:tc>
          <w:tcPr>
            <w:tcW w:w="6537" w:type="dxa"/>
          </w:tcPr>
          <w:p w14:paraId="4E2F3818" w14:textId="5B43FE41" w:rsidR="00F73C03" w:rsidRPr="00C578EB" w:rsidRDefault="00EE67A1" w:rsidP="00EE67A1">
            <w:pPr>
              <w:spacing w:after="0" w:line="240" w:lineRule="auto"/>
            </w:pPr>
            <w:r w:rsidRPr="00C578EB">
              <w:t xml:space="preserve">Inflation over and above </w:t>
            </w:r>
            <w:r w:rsidR="00F73C03" w:rsidRPr="00C578EB">
              <w:t>normal inflation</w:t>
            </w:r>
            <w:r w:rsidRPr="00C578EB">
              <w:t>.</w:t>
            </w:r>
            <w:r w:rsidR="00F73C03" w:rsidRPr="00C578EB">
              <w:t xml:space="preserve"> </w:t>
            </w:r>
            <w:r w:rsidRPr="00C578EB">
              <w:t>Normal inflation includes the consumer price index and increases in the minimum wage.</w:t>
            </w:r>
          </w:p>
        </w:tc>
      </w:tr>
      <w:tr w:rsidR="00593E05" w:rsidRPr="00C578EB" w14:paraId="06912795" w14:textId="77777777" w:rsidTr="00594EEA">
        <w:tc>
          <w:tcPr>
            <w:tcW w:w="2479" w:type="dxa"/>
          </w:tcPr>
          <w:p w14:paraId="5534F7DA" w14:textId="269716F5" w:rsidR="00593E05" w:rsidRPr="00C578EB" w:rsidRDefault="00593E05" w:rsidP="00593E05">
            <w:pPr>
              <w:spacing w:after="0" w:line="240" w:lineRule="auto"/>
            </w:pPr>
            <w:r w:rsidRPr="00C578EB">
              <w:t>Supported Independent Living</w:t>
            </w:r>
          </w:p>
        </w:tc>
        <w:tc>
          <w:tcPr>
            <w:tcW w:w="6537" w:type="dxa"/>
          </w:tcPr>
          <w:p w14:paraId="6C1541FB" w14:textId="0D58863B" w:rsidR="00593E05" w:rsidRPr="00C578EB" w:rsidRDefault="00593E05" w:rsidP="00593E05">
            <w:pPr>
              <w:spacing w:after="0" w:line="240" w:lineRule="auto"/>
            </w:pPr>
            <w:r w:rsidRPr="00C578EB">
              <w:t>This includes the assistance with and/or supervising tasks of daily life to develop the skills of individuals to live as autonomously as possible. These supports are provided to a participant in their home, regardless of property ownership, and can be in a shared or individual arrangement.</w:t>
            </w:r>
          </w:p>
        </w:tc>
      </w:tr>
      <w:tr w:rsidR="00593E05" w:rsidRPr="00C578EB" w14:paraId="595CB2F1" w14:textId="77777777" w:rsidTr="00594EEA">
        <w:tc>
          <w:tcPr>
            <w:tcW w:w="2479" w:type="dxa"/>
          </w:tcPr>
          <w:p w14:paraId="799DD15C" w14:textId="48793CB8" w:rsidR="00593E05" w:rsidRPr="00C578EB" w:rsidRDefault="00593E05" w:rsidP="00593E05">
            <w:pPr>
              <w:spacing w:after="0" w:line="240" w:lineRule="auto"/>
            </w:pPr>
            <w:r w:rsidRPr="00C578EB">
              <w:t>Trial period</w:t>
            </w:r>
          </w:p>
        </w:tc>
        <w:tc>
          <w:tcPr>
            <w:tcW w:w="6537" w:type="dxa"/>
          </w:tcPr>
          <w:p w14:paraId="36759EDF" w14:textId="14C0B548" w:rsidR="00593E05" w:rsidRPr="00C578EB" w:rsidRDefault="00593E05" w:rsidP="00593E05">
            <w:pPr>
              <w:spacing w:after="0" w:line="240" w:lineRule="auto"/>
            </w:pPr>
            <w:r w:rsidRPr="00C578EB">
              <w:t>From 1 July 2013 to 30 June 2016</w:t>
            </w:r>
          </w:p>
        </w:tc>
      </w:tr>
      <w:tr w:rsidR="00593E05" w:rsidRPr="00C578EB" w14:paraId="6856B7C1" w14:textId="77777777" w:rsidTr="00594EEA">
        <w:tc>
          <w:tcPr>
            <w:tcW w:w="2479" w:type="dxa"/>
          </w:tcPr>
          <w:p w14:paraId="5449B0E6" w14:textId="239437AE" w:rsidR="00593E05" w:rsidRPr="00C578EB" w:rsidRDefault="00593E05" w:rsidP="00593E05">
            <w:pPr>
              <w:spacing w:after="0" w:line="240" w:lineRule="auto"/>
            </w:pPr>
            <w:r w:rsidRPr="00C578EB">
              <w:t>Transition period</w:t>
            </w:r>
          </w:p>
        </w:tc>
        <w:tc>
          <w:tcPr>
            <w:tcW w:w="6537" w:type="dxa"/>
          </w:tcPr>
          <w:p w14:paraId="2A14503B" w14:textId="108BED66" w:rsidR="00593E05" w:rsidRPr="00C578EB" w:rsidRDefault="00593E05" w:rsidP="00593E05">
            <w:pPr>
              <w:spacing w:after="0" w:line="240" w:lineRule="auto"/>
            </w:pPr>
            <w:r w:rsidRPr="00C578EB">
              <w:t>From 1 July 2016 to 30 June 2020</w:t>
            </w:r>
          </w:p>
        </w:tc>
      </w:tr>
    </w:tbl>
    <w:p w14:paraId="1EAA6599" w14:textId="786720FB" w:rsidR="006C26E9" w:rsidRPr="00C578EB" w:rsidRDefault="006C26E9" w:rsidP="0031019F">
      <w:pPr>
        <w:pStyle w:val="Heading2"/>
        <w:numPr>
          <w:ilvl w:val="0"/>
          <w:numId w:val="0"/>
        </w:numPr>
      </w:pPr>
      <w:bookmarkStart w:id="3" w:name="_Toc76132719"/>
      <w:r w:rsidRPr="00C578EB">
        <w:lastRenderedPageBreak/>
        <w:t>Overview</w:t>
      </w:r>
      <w:bookmarkEnd w:id="3"/>
    </w:p>
    <w:p w14:paraId="7416311D" w14:textId="1B9BEB29" w:rsidR="006C26E9" w:rsidRPr="00B56B5D" w:rsidRDefault="006C26E9" w:rsidP="0031019F">
      <w:pPr>
        <w:pStyle w:val="FSRnormal"/>
      </w:pPr>
      <w:r w:rsidRPr="00FC5C6C">
        <w:t>An annual financial sustainability report (AFSR) is required under section 180B of the NDIS</w:t>
      </w:r>
      <w:r w:rsidRPr="00AB4E2F">
        <w:t xml:space="preserve"> Act and provides an assessment of the financial sustainability of the National Disability Insurance Scheme (“the Scheme”, or NDIS). </w:t>
      </w:r>
      <w:r w:rsidR="00181AA4">
        <w:t xml:space="preserve">The AFSR </w:t>
      </w:r>
      <w:r w:rsidRPr="00AB4E2F">
        <w:t xml:space="preserve">is produced using </w:t>
      </w:r>
      <w:r w:rsidR="00C434EA">
        <w:t xml:space="preserve">data at </w:t>
      </w:r>
      <w:r w:rsidRPr="00AB4E2F">
        <w:t>30 June each year</w:t>
      </w:r>
      <w:r w:rsidR="00181AA4">
        <w:t xml:space="preserve"> and a summary of each year’s </w:t>
      </w:r>
      <w:r w:rsidRPr="00AB4E2F">
        <w:t xml:space="preserve">AFSR </w:t>
      </w:r>
      <w:r w:rsidR="005E3B80">
        <w:t xml:space="preserve">has been </w:t>
      </w:r>
      <w:r w:rsidRPr="00AB4E2F">
        <w:t>included in the NDIA annual re</w:t>
      </w:r>
      <w:r w:rsidRPr="00AC4F79">
        <w:t xml:space="preserve">port. This </w:t>
      </w:r>
      <w:r w:rsidR="00181AA4">
        <w:t xml:space="preserve">current interim </w:t>
      </w:r>
      <w:r w:rsidRPr="00AC4F79">
        <w:t xml:space="preserve">report is a more detailed summary than </w:t>
      </w:r>
      <w:r w:rsidR="00C434EA">
        <w:t xml:space="preserve">what was included </w:t>
      </w:r>
      <w:r w:rsidRPr="00AC4F79">
        <w:t xml:space="preserve">in the </w:t>
      </w:r>
      <w:r w:rsidR="00181AA4">
        <w:t xml:space="preserve">most recent </w:t>
      </w:r>
      <w:r w:rsidRPr="00AC4F79">
        <w:t>NDIA annual report</w:t>
      </w:r>
      <w:r w:rsidR="005E3B80">
        <w:t>,</w:t>
      </w:r>
      <w:r w:rsidRPr="00AC4F79">
        <w:t xml:space="preserve"> and uses data to 31 December 2020 to project the future cost of the Scheme.</w:t>
      </w:r>
      <w:r w:rsidRPr="00AC4F79">
        <w:rPr>
          <w:rStyle w:val="FootnoteReference"/>
        </w:rPr>
        <w:footnoteReference w:id="1"/>
      </w:r>
      <w:r w:rsidRPr="00AC4F79">
        <w:t xml:space="preserve"> This </w:t>
      </w:r>
      <w:r w:rsidR="005E3B80">
        <w:t xml:space="preserve">interim </w:t>
      </w:r>
      <w:r w:rsidRPr="00AC4F79">
        <w:t xml:space="preserve">report </w:t>
      </w:r>
      <w:r w:rsidR="005E3B80">
        <w:t xml:space="preserve">also </w:t>
      </w:r>
      <w:r w:rsidRPr="00AC4F79">
        <w:t>includes analyses and discu</w:t>
      </w:r>
      <w:r w:rsidRPr="00B56B5D">
        <w:t>ssion on recent Scheme experience, best estimate projections of future participant numbers and costs (based on emerging experience and future expectations), and strategies to address risks to sustainability.</w:t>
      </w:r>
    </w:p>
    <w:p w14:paraId="12672584" w14:textId="57A7ACB4" w:rsidR="006C26E9" w:rsidRPr="00B56B5D" w:rsidRDefault="006C26E9" w:rsidP="0031019F">
      <w:pPr>
        <w:pStyle w:val="FSRnormal"/>
      </w:pPr>
      <w:r w:rsidRPr="00B56B5D">
        <w:t xml:space="preserve">This </w:t>
      </w:r>
      <w:r w:rsidR="00E50D06">
        <w:t xml:space="preserve">interim </w:t>
      </w:r>
      <w:r w:rsidRPr="00B56B5D">
        <w:t xml:space="preserve">report has been reviewed by the Peer Review Actuary (see </w:t>
      </w:r>
      <w:r w:rsidR="001D5A60">
        <w:t>s</w:t>
      </w:r>
      <w:r w:rsidRPr="00B56B5D">
        <w:t>ection 6 of this report).</w:t>
      </w:r>
    </w:p>
    <w:p w14:paraId="1A16F5B9" w14:textId="77777777" w:rsidR="006C26E9" w:rsidRPr="0031019F" w:rsidRDefault="006C26E9" w:rsidP="0031019F">
      <w:pPr>
        <w:pStyle w:val="FSRHeading4"/>
        <w:rPr>
          <w:b w:val="0"/>
        </w:rPr>
      </w:pPr>
      <w:r w:rsidRPr="00C434EA">
        <w:t>Financial sustainability</w:t>
      </w:r>
    </w:p>
    <w:p w14:paraId="7DDD7998" w14:textId="77777777" w:rsidR="006C26E9" w:rsidRPr="00B56B5D" w:rsidRDefault="006C26E9" w:rsidP="0031019F">
      <w:pPr>
        <w:pStyle w:val="FSRnormal"/>
      </w:pPr>
      <w:r w:rsidRPr="00B56B5D">
        <w:t xml:space="preserve">The </w:t>
      </w:r>
      <w:r w:rsidRPr="00B56B5D">
        <w:rPr>
          <w:i/>
        </w:rPr>
        <w:t>NDIS Insurance Principles and Financial Sustainability Manual</w:t>
      </w:r>
      <w:r w:rsidRPr="00B56B5D">
        <w:rPr>
          <w:rStyle w:val="FootnoteReference"/>
        </w:rPr>
        <w:footnoteReference w:id="2"/>
      </w:r>
      <w:r w:rsidRPr="00B56B5D">
        <w:t xml:space="preserve"> outlines the insurance model in detail and defines financial sustainability as the state where:</w:t>
      </w:r>
    </w:p>
    <w:p w14:paraId="348EAFAF" w14:textId="0A7A6F44" w:rsidR="006C26E9" w:rsidRPr="00B56B5D" w:rsidRDefault="00421274" w:rsidP="006C26E9">
      <w:pPr>
        <w:pStyle w:val="FSRlist"/>
        <w:rPr>
          <w:i/>
        </w:rPr>
      </w:pPr>
      <w:r w:rsidRPr="00B56B5D">
        <w:rPr>
          <w:i/>
        </w:rPr>
        <w:t>T</w:t>
      </w:r>
      <w:r w:rsidR="006C26E9" w:rsidRPr="00B56B5D">
        <w:rPr>
          <w:i/>
        </w:rPr>
        <w:t>he scheme is successful on the balance of objective measures and projections of economic and social participation and independence, and on participants’ views that they are getting enough money to buy enough goods and services to allow them reasonable access to life opportunities - that is, reasonable and necessary support;</w:t>
      </w:r>
    </w:p>
    <w:p w14:paraId="60F6A2F7" w14:textId="160B2A98" w:rsidR="006C26E9" w:rsidRPr="00B56B5D" w:rsidRDefault="00421274" w:rsidP="006C26E9">
      <w:pPr>
        <w:pStyle w:val="FSRlist"/>
        <w:spacing w:after="240"/>
        <w:ind w:left="714" w:hanging="357"/>
        <w:rPr>
          <w:i/>
        </w:rPr>
      </w:pPr>
      <w:r w:rsidRPr="00B56B5D">
        <w:rPr>
          <w:i/>
        </w:rPr>
        <w:t>Contributors</w:t>
      </w:r>
      <w:r w:rsidR="006C26E9" w:rsidRPr="00B56B5D">
        <w:rPr>
          <w:i/>
        </w:rPr>
        <w:t xml:space="preserve"> think that the cost is and will continue to be affordable, under control, represents value for money and, therefore, remain willing to contribute.</w:t>
      </w:r>
    </w:p>
    <w:p w14:paraId="70D6C820" w14:textId="77777777" w:rsidR="006C26E9" w:rsidRPr="00B56B5D" w:rsidRDefault="006C26E9" w:rsidP="0031019F">
      <w:pPr>
        <w:pStyle w:val="FSRnormal"/>
      </w:pPr>
      <w:r w:rsidRPr="00B56B5D">
        <w:t>The current government expectation of Scheme cost is included in the annual Portfolio Budget Statements (PBS), noting it is not only the financial cost of the Scheme that is important within the context of financial sustainability, but also the outcomes achieved by the Scheme.</w:t>
      </w:r>
      <w:r w:rsidRPr="00B56B5D">
        <w:rPr>
          <w:rStyle w:val="FootnoteReference"/>
        </w:rPr>
        <w:footnoteReference w:id="3"/>
      </w:r>
    </w:p>
    <w:p w14:paraId="7AC87120" w14:textId="77777777" w:rsidR="006C26E9" w:rsidRPr="0031019F" w:rsidRDefault="006C26E9" w:rsidP="0031019F">
      <w:pPr>
        <w:pStyle w:val="FSRHeading4"/>
        <w:rPr>
          <w:b w:val="0"/>
        </w:rPr>
      </w:pPr>
      <w:r w:rsidRPr="00C434EA">
        <w:t>Projection model</w:t>
      </w:r>
    </w:p>
    <w:p w14:paraId="76A8E26A" w14:textId="6A8FC580" w:rsidR="006C26E9" w:rsidRPr="00B56B5D" w:rsidRDefault="006C26E9" w:rsidP="0031019F">
      <w:pPr>
        <w:pStyle w:val="FSRnormal"/>
      </w:pPr>
      <w:r w:rsidRPr="00B56B5D">
        <w:t xml:space="preserve">In projecting future scheme costs, assumptions on both the number of participants in the Scheme and the average payment per participant are required. The number of participants each year is derived based on assumptions on </w:t>
      </w:r>
      <w:r w:rsidR="00C434EA">
        <w:t xml:space="preserve">both </w:t>
      </w:r>
      <w:r w:rsidRPr="00B56B5D">
        <w:t xml:space="preserve">the number of participants entering and </w:t>
      </w:r>
      <w:r w:rsidR="004067D5">
        <w:lastRenderedPageBreak/>
        <w:t xml:space="preserve">the number of participants </w:t>
      </w:r>
      <w:r w:rsidRPr="00B56B5D">
        <w:t>exiting the Scheme</w:t>
      </w:r>
      <w:r w:rsidR="004067D5">
        <w:t>. A</w:t>
      </w:r>
      <w:r w:rsidRPr="00B56B5D">
        <w:t>verage payment</w:t>
      </w:r>
      <w:r w:rsidR="004067D5">
        <w:t>s</w:t>
      </w:r>
      <w:r w:rsidRPr="00B56B5D">
        <w:t xml:space="preserve"> </w:t>
      </w:r>
      <w:r w:rsidR="004067D5">
        <w:t xml:space="preserve">are </w:t>
      </w:r>
      <w:r w:rsidRPr="00B56B5D">
        <w:t>based on current payment levels which are then inflated each year.</w:t>
      </w:r>
    </w:p>
    <w:p w14:paraId="4802FE35" w14:textId="1F7C585D" w:rsidR="006C26E9" w:rsidRPr="00B56B5D" w:rsidRDefault="006C26E9" w:rsidP="0031019F">
      <w:pPr>
        <w:pStyle w:val="FSRnormal"/>
      </w:pPr>
      <w:r w:rsidRPr="00B56B5D">
        <w:t xml:space="preserve">Participant characteristics and </w:t>
      </w:r>
      <w:r w:rsidR="00232B43" w:rsidRPr="00B56B5D">
        <w:t xml:space="preserve">levels of </w:t>
      </w:r>
      <w:r w:rsidRPr="00B56B5D">
        <w:t>support need differ substantially amongst participants in the Scheme</w:t>
      </w:r>
      <w:r w:rsidR="00232B43" w:rsidRPr="00B56B5D">
        <w:t>.</w:t>
      </w:r>
      <w:r w:rsidRPr="00B56B5D">
        <w:t xml:space="preserve"> </w:t>
      </w:r>
      <w:r w:rsidR="00232B43" w:rsidRPr="00B56B5D">
        <w:t>Therefore, a</w:t>
      </w:r>
      <w:r w:rsidRPr="00B56B5D">
        <w:t xml:space="preserve">ssumptions on participant numbers and average payments are </w:t>
      </w:r>
      <w:r w:rsidR="00232B43" w:rsidRPr="00B56B5D">
        <w:t>calibrated</w:t>
      </w:r>
      <w:r w:rsidRPr="00B56B5D">
        <w:t xml:space="preserve"> </w:t>
      </w:r>
      <w:r w:rsidR="00232B43" w:rsidRPr="00B56B5D">
        <w:t>by different participant</w:t>
      </w:r>
      <w:r w:rsidRPr="00B56B5D">
        <w:t xml:space="preserve"> cohorts. Specifically, assumptions are derived by age group, disability, level of function, gender, and whether the participant resides in Supported Independent Living (SIL).</w:t>
      </w:r>
      <w:r w:rsidRPr="00B56B5D">
        <w:rPr>
          <w:rStyle w:val="FootnoteReference"/>
        </w:rPr>
        <w:footnoteReference w:id="4"/>
      </w:r>
      <w:r w:rsidRPr="00B56B5D">
        <w:t xml:space="preserve"> This results in approximately 2,000 </w:t>
      </w:r>
      <w:r w:rsidR="00232B43" w:rsidRPr="00B56B5D">
        <w:t xml:space="preserve">unique </w:t>
      </w:r>
      <w:r w:rsidR="00C434EA">
        <w:t>p</w:t>
      </w:r>
      <w:r w:rsidR="00232B43" w:rsidRPr="00B56B5D">
        <w:t>rojection</w:t>
      </w:r>
      <w:r w:rsidRPr="00B56B5D">
        <w:t xml:space="preserve"> </w:t>
      </w:r>
      <w:r w:rsidR="00C434EA">
        <w:t>g</w:t>
      </w:r>
      <w:r w:rsidR="00232B43" w:rsidRPr="00B56B5D">
        <w:t>roups</w:t>
      </w:r>
      <w:r w:rsidRPr="00B56B5D">
        <w:t xml:space="preserve">. </w:t>
      </w:r>
    </w:p>
    <w:p w14:paraId="35DF2147" w14:textId="0BC41630" w:rsidR="006C26E9" w:rsidRPr="00B56B5D" w:rsidRDefault="006C26E9" w:rsidP="0031019F">
      <w:pPr>
        <w:pStyle w:val="FSRnormal"/>
      </w:pPr>
      <w:r w:rsidRPr="00B56B5D">
        <w:t xml:space="preserve">Assumptions have been set using both past Scheme experience and expectations of future Scheme performance. That is, the projection in this report is not just an extrapolation of past Scheme trends, rather a forward-looking approach is taken, which assumes </w:t>
      </w:r>
      <w:r w:rsidR="004067D5">
        <w:t xml:space="preserve">operational </w:t>
      </w:r>
      <w:r w:rsidRPr="00B56B5D">
        <w:t xml:space="preserve">initiatives undertaken by the NDIA will mean that past trends will not necessarily continue. </w:t>
      </w:r>
    </w:p>
    <w:p w14:paraId="4C0C7B75" w14:textId="6269FFA1" w:rsidR="006C26E9" w:rsidRPr="00B56B5D" w:rsidRDefault="006C26E9" w:rsidP="0031019F">
      <w:pPr>
        <w:pStyle w:val="FSRnormal"/>
      </w:pPr>
      <w:r w:rsidRPr="00B56B5D">
        <w:t xml:space="preserve">As with any projection, there is uncertainty in the results. </w:t>
      </w:r>
      <w:r w:rsidR="00F71F20" w:rsidRPr="00F71F20">
        <w:t>As the Scheme continues to mature, Scheme experience can change, perhaps materially, resulting from the decisions and actions of the Agency and governments, and this would affect the eventual trajectory of participant costs</w:t>
      </w:r>
      <w:r w:rsidRPr="00B56B5D">
        <w:t>.</w:t>
      </w:r>
    </w:p>
    <w:p w14:paraId="15E9091B" w14:textId="77777777" w:rsidR="006C26E9" w:rsidRPr="0031019F" w:rsidRDefault="006C26E9" w:rsidP="0031019F">
      <w:pPr>
        <w:pStyle w:val="FSRHeading4"/>
        <w:rPr>
          <w:b w:val="0"/>
        </w:rPr>
      </w:pPr>
      <w:r w:rsidRPr="00C434EA">
        <w:t>Number of participants</w:t>
      </w:r>
    </w:p>
    <w:p w14:paraId="280EFCDE" w14:textId="74B91D1F" w:rsidR="006C26E9" w:rsidRPr="00B56B5D" w:rsidRDefault="006C26E9" w:rsidP="0031019F">
      <w:pPr>
        <w:pStyle w:val="FSRnormal"/>
      </w:pPr>
      <w:r w:rsidRPr="00B56B5D">
        <w:t>The number of the participants in the Scheme each year, and the projection of future participants is presented in</w:t>
      </w:r>
      <w:r w:rsidR="00367B33" w:rsidRPr="00B56B5D">
        <w:t xml:space="preserve"> </w:t>
      </w:r>
      <w:r w:rsidR="00367B33" w:rsidRPr="00C434EA">
        <w:fldChar w:fldCharType="begin"/>
      </w:r>
      <w:r w:rsidR="00367B33" w:rsidRPr="00B56B5D">
        <w:instrText xml:space="preserve"> REF _Ref76039126 \h </w:instrText>
      </w:r>
      <w:r w:rsidR="00B56B5D">
        <w:instrText xml:space="preserve"> \* MERGEFORMAT </w:instrText>
      </w:r>
      <w:r w:rsidR="00367B33" w:rsidRPr="00C434EA">
        <w:fldChar w:fldCharType="separate"/>
      </w:r>
      <w:r w:rsidR="00715347" w:rsidRPr="00C434EA">
        <w:t xml:space="preserve">Figure </w:t>
      </w:r>
      <w:r w:rsidR="00715347">
        <w:rPr>
          <w:noProof/>
        </w:rPr>
        <w:t>1</w:t>
      </w:r>
      <w:r w:rsidR="00367B33" w:rsidRPr="00C434EA">
        <w:fldChar w:fldCharType="end"/>
      </w:r>
      <w:r w:rsidRPr="00B56B5D">
        <w:t xml:space="preserve">. In 2024-25 it is estimated that there will be </w:t>
      </w:r>
      <w:r w:rsidR="00367B33" w:rsidRPr="00B56B5D">
        <w:t>682,760</w:t>
      </w:r>
      <w:r w:rsidRPr="00B56B5D">
        <w:t xml:space="preserve"> participants in the Scheme (of which </w:t>
      </w:r>
      <w:r w:rsidR="00367B33" w:rsidRPr="00B56B5D">
        <w:t>644,550</w:t>
      </w:r>
      <w:r w:rsidRPr="00B56B5D">
        <w:t xml:space="preserve"> are under the age of 65 years), and in 2029-30 it is estimated that the number of participants will increase to </w:t>
      </w:r>
      <w:r w:rsidR="00367B33" w:rsidRPr="00B56B5D">
        <w:t>870,761</w:t>
      </w:r>
      <w:r w:rsidRPr="00B56B5D">
        <w:t xml:space="preserve"> participants in the Scheme (of which </w:t>
      </w:r>
      <w:r w:rsidR="00367B33" w:rsidRPr="00B56B5D">
        <w:t>807,266</w:t>
      </w:r>
      <w:r w:rsidRPr="00B56B5D">
        <w:t xml:space="preserve"> are under the age of 65 years). These figures are significantly higher than originally envisaged by the Productivity Commission</w:t>
      </w:r>
      <w:r w:rsidR="00367B33" w:rsidRPr="00B56B5D">
        <w:t>.</w:t>
      </w:r>
      <w:r w:rsidRPr="00B56B5D">
        <w:t xml:space="preserve"> </w:t>
      </w:r>
      <w:r w:rsidR="00367B33" w:rsidRPr="00B56B5D">
        <w:t>In</w:t>
      </w:r>
      <w:r w:rsidRPr="00B56B5D">
        <w:t xml:space="preserve"> comparison</w:t>
      </w:r>
      <w:r w:rsidR="00367B33" w:rsidRPr="00B56B5D">
        <w:t>,</w:t>
      </w:r>
      <w:r w:rsidRPr="00B56B5D">
        <w:t xml:space="preserve"> the 2017</w:t>
      </w:r>
      <w:r w:rsidR="00CA0247">
        <w:t> </w:t>
      </w:r>
      <w:r w:rsidRPr="00B56B5D">
        <w:t>Productivity Commission Study report</w:t>
      </w:r>
      <w:r w:rsidR="00B56B5D" w:rsidRPr="00B56B5D">
        <w:rPr>
          <w:rStyle w:val="FootnoteReference"/>
          <w:bCs/>
        </w:rPr>
        <w:footnoteReference w:id="5"/>
      </w:r>
      <w:r w:rsidRPr="00B56B5D">
        <w:t xml:space="preserve"> assumed </w:t>
      </w:r>
      <w:r w:rsidR="00B56B5D" w:rsidRPr="00B56B5D">
        <w:t>582,860</w:t>
      </w:r>
      <w:r w:rsidRPr="00B56B5D">
        <w:t xml:space="preserve"> participants in the Scheme at 2029-30 (of which </w:t>
      </w:r>
      <w:r w:rsidR="00B56B5D" w:rsidRPr="00B56B5D">
        <w:t>513,162</w:t>
      </w:r>
      <w:r w:rsidRPr="00B56B5D">
        <w:t xml:space="preserve"> </w:t>
      </w:r>
      <w:r w:rsidR="00C434EA">
        <w:t xml:space="preserve">would be </w:t>
      </w:r>
      <w:r w:rsidRPr="00B56B5D">
        <w:t>under 65 years).</w:t>
      </w:r>
      <w:r w:rsidR="00E50D06">
        <w:t xml:space="preserve"> </w:t>
      </w:r>
      <w:r w:rsidR="00CA0247">
        <w:t xml:space="preserve">Specifically, in 2029-20 the number of participants is estimated to be 287,901 (or 49%) higher than estimated in the </w:t>
      </w:r>
      <w:r w:rsidR="00CA0247" w:rsidRPr="00B56B5D">
        <w:t>2017</w:t>
      </w:r>
      <w:r w:rsidR="00CA0247">
        <w:t> </w:t>
      </w:r>
      <w:r w:rsidR="00CA0247" w:rsidRPr="00B56B5D">
        <w:t>Productivity Commission Study report</w:t>
      </w:r>
      <w:r w:rsidR="00CA0247">
        <w:t xml:space="preserve">. </w:t>
      </w:r>
    </w:p>
    <w:p w14:paraId="73844D92" w14:textId="10B11364" w:rsidR="00367B33" w:rsidRPr="00574791" w:rsidRDefault="00367B33" w:rsidP="0031019F">
      <w:pPr>
        <w:pStyle w:val="Figures"/>
      </w:pPr>
      <w:bookmarkStart w:id="4" w:name="_Ref76039126"/>
      <w:r w:rsidRPr="00C434EA">
        <w:lastRenderedPageBreak/>
        <w:t xml:space="preserve">Figure </w:t>
      </w:r>
      <w:r w:rsidRPr="00C434EA">
        <w:fldChar w:fldCharType="begin"/>
      </w:r>
      <w:r w:rsidRPr="00C46358">
        <w:instrText xml:space="preserve"> SEQ Figure \* ARABIC </w:instrText>
      </w:r>
      <w:r w:rsidRPr="00C434EA">
        <w:fldChar w:fldCharType="separate"/>
      </w:r>
      <w:r w:rsidR="00715347">
        <w:rPr>
          <w:noProof/>
        </w:rPr>
        <w:t>1</w:t>
      </w:r>
      <w:r w:rsidRPr="00C434EA">
        <w:rPr>
          <w:noProof/>
        </w:rPr>
        <w:fldChar w:fldCharType="end"/>
      </w:r>
      <w:bookmarkEnd w:id="4"/>
      <w:r w:rsidRPr="00C434EA">
        <w:t xml:space="preserve"> Comparison of actuals, future projections (total, and participants aged 0 to 64)</w:t>
      </w:r>
      <w:r w:rsidRPr="00670F0E">
        <w:t xml:space="preserve"> and 2017 Productivity Commission estimates</w:t>
      </w:r>
    </w:p>
    <w:p w14:paraId="4466063B" w14:textId="20FAE0EA" w:rsidR="00367B33" w:rsidRPr="00B56B5D" w:rsidRDefault="00367B33" w:rsidP="0031019F">
      <w:pPr>
        <w:pStyle w:val="FSRnormal"/>
      </w:pPr>
      <w:r w:rsidRPr="00574791">
        <w:rPr>
          <w:noProof/>
          <w:lang w:eastAsia="en-AU"/>
        </w:rPr>
        <w:drawing>
          <wp:inline distT="0" distB="0" distL="0" distR="0" wp14:anchorId="647152E5" wp14:editId="7A421C90">
            <wp:extent cx="5731510" cy="2877845"/>
            <wp:effectExtent l="0" t="0" r="254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77845"/>
                    </a:xfrm>
                    <a:prstGeom prst="rect">
                      <a:avLst/>
                    </a:prstGeom>
                    <a:noFill/>
                    <a:ln>
                      <a:noFill/>
                    </a:ln>
                  </pic:spPr>
                </pic:pic>
              </a:graphicData>
            </a:graphic>
          </wp:inline>
        </w:drawing>
      </w:r>
    </w:p>
    <w:p w14:paraId="1A56ABA3" w14:textId="36D8B2B8" w:rsidR="00367B33" w:rsidRPr="00B56B5D" w:rsidRDefault="006C26E9" w:rsidP="0031019F">
      <w:pPr>
        <w:pStyle w:val="FSRnormal"/>
      </w:pPr>
      <w:r w:rsidRPr="00B56B5D">
        <w:t xml:space="preserve">The </w:t>
      </w:r>
      <w:r w:rsidR="004067D5">
        <w:t xml:space="preserve">two </w:t>
      </w:r>
      <w:r w:rsidRPr="00B56B5D">
        <w:t xml:space="preserve">drivers in the growth in the number of participants is the rate of new entrants </w:t>
      </w:r>
      <w:r w:rsidR="004067D5">
        <w:t xml:space="preserve">to the Scheme, </w:t>
      </w:r>
      <w:r w:rsidRPr="00B56B5D">
        <w:t xml:space="preserve">and the rate at which participants exit the Scheme. The rate of new entrants to the Scheme continues to be high in geographical areas where the Scheme has been operating for several years. As an example, the rate of new entrants in </w:t>
      </w:r>
      <w:r w:rsidR="00C434EA" w:rsidRPr="00B56B5D">
        <w:t>geographical areas</w:t>
      </w:r>
      <w:r w:rsidR="00B56B5D" w:rsidRPr="00B56B5D">
        <w:t xml:space="preserve"> that commenced in 2013 is 303</w:t>
      </w:r>
      <w:r w:rsidRPr="00B56B5D">
        <w:t xml:space="preserve"> per 100,000 people, which is approximately 7</w:t>
      </w:r>
      <w:r w:rsidR="00B56B5D" w:rsidRPr="00B56B5D">
        <w:t>1</w:t>
      </w:r>
      <w:r w:rsidRPr="00B56B5D">
        <w:t xml:space="preserve">% higher than the </w:t>
      </w:r>
      <w:r w:rsidR="00B56B5D" w:rsidRPr="00B56B5D">
        <w:t xml:space="preserve">previously </w:t>
      </w:r>
      <w:r w:rsidRPr="00B56B5D">
        <w:t xml:space="preserve">assumed rate of 177 per 100,000. </w:t>
      </w:r>
    </w:p>
    <w:p w14:paraId="6E982CED" w14:textId="3A31E9D1" w:rsidR="00367B33" w:rsidRPr="00C434EA" w:rsidRDefault="00367B33" w:rsidP="0031019F">
      <w:pPr>
        <w:pStyle w:val="Figures"/>
      </w:pPr>
      <w:r w:rsidRPr="00C434EA">
        <w:t xml:space="preserve">Figure </w:t>
      </w:r>
      <w:r w:rsidRPr="00C434EA">
        <w:fldChar w:fldCharType="begin"/>
      </w:r>
      <w:r w:rsidRPr="0031019F">
        <w:instrText xml:space="preserve"> SEQ Figure \* ARABIC </w:instrText>
      </w:r>
      <w:r w:rsidRPr="00C434EA">
        <w:fldChar w:fldCharType="separate"/>
      </w:r>
      <w:r w:rsidR="00715347">
        <w:rPr>
          <w:noProof/>
        </w:rPr>
        <w:t>2</w:t>
      </w:r>
      <w:r w:rsidRPr="00C434EA">
        <w:rPr>
          <w:noProof/>
        </w:rPr>
        <w:fldChar w:fldCharType="end"/>
      </w:r>
      <w:r w:rsidRPr="00C434EA">
        <w:t xml:space="preserve"> </w:t>
      </w:r>
      <w:r w:rsidR="00843815">
        <w:t>New incidence by phasing year</w:t>
      </w:r>
    </w:p>
    <w:p w14:paraId="077954F5" w14:textId="4B4FC56E" w:rsidR="006C26E9" w:rsidRPr="00B56B5D" w:rsidRDefault="00B80191" w:rsidP="0031019F">
      <w:pPr>
        <w:pStyle w:val="FSRnormal"/>
      </w:pPr>
      <w:r w:rsidRPr="00C434EA">
        <w:rPr>
          <w:noProof/>
          <w:lang w:eastAsia="en-AU"/>
        </w:rPr>
        <w:drawing>
          <wp:inline distT="0" distB="0" distL="0" distR="0" wp14:anchorId="3DB7C24D" wp14:editId="0BF08EEA">
            <wp:extent cx="5379720" cy="29946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720" cy="2994660"/>
                    </a:xfrm>
                    <a:prstGeom prst="rect">
                      <a:avLst/>
                    </a:prstGeom>
                    <a:noFill/>
                    <a:ln>
                      <a:noFill/>
                    </a:ln>
                  </pic:spPr>
                </pic:pic>
              </a:graphicData>
            </a:graphic>
          </wp:inline>
        </w:drawing>
      </w:r>
    </w:p>
    <w:p w14:paraId="54BCE3C4" w14:textId="6FEE1A7C" w:rsidR="006C26E9" w:rsidRPr="00B56B5D" w:rsidRDefault="006C26E9" w:rsidP="0031019F">
      <w:pPr>
        <w:pStyle w:val="FSRnormal"/>
      </w:pPr>
      <w:r w:rsidRPr="00B56B5D">
        <w:lastRenderedPageBreak/>
        <w:t xml:space="preserve">The assumption adopted in the 31 December 2020 projection (267 per 100,000 people), is higher than the previous assumption, but not as high </w:t>
      </w:r>
      <w:r w:rsidR="00F73FF7">
        <w:t xml:space="preserve">as </w:t>
      </w:r>
      <w:r w:rsidRPr="00B56B5D">
        <w:t xml:space="preserve">the rates </w:t>
      </w:r>
      <w:r w:rsidR="00C434EA">
        <w:t>observed</w:t>
      </w:r>
      <w:r w:rsidR="00232B43" w:rsidRPr="00B56B5D">
        <w:t>. This means</w:t>
      </w:r>
      <w:r w:rsidRPr="00B56B5D">
        <w:t xml:space="preserve"> it is still expected that the rate of new entrants will be slower than previously observed</w:t>
      </w:r>
      <w:r w:rsidR="00C434EA">
        <w:t xml:space="preserve"> and as a result there is </w:t>
      </w:r>
      <w:r w:rsidRPr="00B56B5D">
        <w:t>significant upside risk in this assumption</w:t>
      </w:r>
      <w:r w:rsidR="00CA5040">
        <w:t xml:space="preserve"> </w:t>
      </w:r>
      <w:r w:rsidR="00CA5040" w:rsidRPr="00F71F20">
        <w:t>(</w:t>
      </w:r>
      <w:r w:rsidR="00CA5040">
        <w:t xml:space="preserve">that is, it increases the risk of </w:t>
      </w:r>
      <w:r w:rsidR="00CA5040" w:rsidRPr="00F71F20">
        <w:t>higher total costs)</w:t>
      </w:r>
      <w:r w:rsidRPr="00B56B5D">
        <w:t xml:space="preserve">. </w:t>
      </w:r>
    </w:p>
    <w:p w14:paraId="6D7AA8D9" w14:textId="3B3A507D" w:rsidR="006C26E9" w:rsidRPr="00B56B5D" w:rsidRDefault="006C26E9" w:rsidP="0031019F">
      <w:pPr>
        <w:pStyle w:val="FSRnormal"/>
      </w:pPr>
      <w:r w:rsidRPr="00B56B5D">
        <w:t xml:space="preserve">The rate at which participants exit the Scheme for reasons other than mortality is also lower than </w:t>
      </w:r>
      <w:r w:rsidR="00F71F20">
        <w:t>assumed in the 2020-21 PBS</w:t>
      </w:r>
      <w:r w:rsidRPr="00B56B5D">
        <w:t xml:space="preserve">. Section 25 of the NDIS Act allows participants to enter the Scheme to receive early intervention support, and it was assumed that </w:t>
      </w:r>
      <w:r w:rsidR="00C434EA">
        <w:t xml:space="preserve">some </w:t>
      </w:r>
      <w:r w:rsidRPr="00B56B5D">
        <w:t xml:space="preserve">participants would receive this support and then be supported by mainstream and community services. The </w:t>
      </w:r>
      <w:r w:rsidRPr="00843815">
        <w:t xml:space="preserve">rate of </w:t>
      </w:r>
      <w:r w:rsidR="00232B43" w:rsidRPr="00843815">
        <w:t xml:space="preserve">non-mortality </w:t>
      </w:r>
      <w:r w:rsidRPr="00843815">
        <w:t>exit</w:t>
      </w:r>
      <w:r w:rsidR="00232B43" w:rsidRPr="00843815">
        <w:t>s</w:t>
      </w:r>
      <w:r w:rsidRPr="00843815">
        <w:t xml:space="preserve"> has been lower than </w:t>
      </w:r>
      <w:r w:rsidR="00574791" w:rsidRPr="00843815">
        <w:t xml:space="preserve">expected in the year to 31 December 2020 </w:t>
      </w:r>
      <w:r w:rsidRPr="00843815">
        <w:t>as seen in</w:t>
      </w:r>
      <w:r w:rsidR="00232B43" w:rsidRPr="00843815">
        <w:t xml:space="preserve"> </w:t>
      </w:r>
      <w:r w:rsidR="00232B43" w:rsidRPr="00E779D3">
        <w:fldChar w:fldCharType="begin"/>
      </w:r>
      <w:r w:rsidR="00232B43" w:rsidRPr="00843815">
        <w:instrText xml:space="preserve"> REF _Ref76038125 \h </w:instrText>
      </w:r>
      <w:r w:rsidR="00B56B5D" w:rsidRPr="00843815">
        <w:instrText xml:space="preserve"> \* MERGEFORMAT </w:instrText>
      </w:r>
      <w:r w:rsidR="00232B43" w:rsidRPr="00E779D3">
        <w:fldChar w:fldCharType="separate"/>
      </w:r>
      <w:r w:rsidR="00715347" w:rsidRPr="00B56B5D">
        <w:t xml:space="preserve">Figure </w:t>
      </w:r>
      <w:r w:rsidR="00715347">
        <w:rPr>
          <w:noProof/>
        </w:rPr>
        <w:t>3</w:t>
      </w:r>
      <w:r w:rsidR="00232B43" w:rsidRPr="00E779D3">
        <w:fldChar w:fldCharType="end"/>
      </w:r>
      <w:r w:rsidR="00232B43" w:rsidRPr="00843815">
        <w:t xml:space="preserve"> and </w:t>
      </w:r>
      <w:r w:rsidR="00232B43" w:rsidRPr="00E779D3">
        <w:fldChar w:fldCharType="begin"/>
      </w:r>
      <w:r w:rsidR="00232B43" w:rsidRPr="00843815">
        <w:instrText xml:space="preserve"> REF _Ref76038131 \h </w:instrText>
      </w:r>
      <w:r w:rsidR="00B56B5D" w:rsidRPr="00843815">
        <w:instrText xml:space="preserve"> \* MERGEFORMAT </w:instrText>
      </w:r>
      <w:r w:rsidR="00232B43" w:rsidRPr="00E779D3">
        <w:fldChar w:fldCharType="separate"/>
      </w:r>
      <w:r w:rsidR="00715347" w:rsidRPr="00AB4E2F">
        <w:t xml:space="preserve">Figure </w:t>
      </w:r>
      <w:r w:rsidR="00715347">
        <w:rPr>
          <w:noProof/>
        </w:rPr>
        <w:t>4</w:t>
      </w:r>
      <w:r w:rsidR="00232B43" w:rsidRPr="00E779D3">
        <w:fldChar w:fldCharType="end"/>
      </w:r>
      <w:r w:rsidRPr="00843815">
        <w:t xml:space="preserve"> below.</w:t>
      </w:r>
      <w:r w:rsidR="00C434EA" w:rsidRPr="00843815">
        <w:t xml:space="preserve"> For example, </w:t>
      </w:r>
      <w:r w:rsidR="00843815" w:rsidRPr="00843815">
        <w:t xml:space="preserve">non-mortality </w:t>
      </w:r>
      <w:r w:rsidR="00C434EA" w:rsidRPr="00843815">
        <w:t xml:space="preserve">exit rates were assumed </w:t>
      </w:r>
      <w:r w:rsidR="004067D5" w:rsidRPr="00843815">
        <w:t>to</w:t>
      </w:r>
      <w:r w:rsidR="00C434EA" w:rsidRPr="00843815">
        <w:t xml:space="preserve"> </w:t>
      </w:r>
      <w:r w:rsidR="00C434EA" w:rsidRPr="00111E4D">
        <w:t>be 2.</w:t>
      </w:r>
      <w:r w:rsidR="008E50BF" w:rsidRPr="00880CBA">
        <w:t>01</w:t>
      </w:r>
      <w:r w:rsidR="00C434EA" w:rsidRPr="00111E4D">
        <w:t>%</w:t>
      </w:r>
      <w:r w:rsidR="00C434EA" w:rsidRPr="00843815">
        <w:t xml:space="preserve"> for 0-6 year olds, and the rate in the past year to 31 December 2020 </w:t>
      </w:r>
      <w:r w:rsidR="004067D5" w:rsidRPr="00843815">
        <w:t>was</w:t>
      </w:r>
      <w:r w:rsidR="00C434EA" w:rsidRPr="00843815">
        <w:t xml:space="preserve"> </w:t>
      </w:r>
      <w:r w:rsidR="00843815" w:rsidRPr="0031019F">
        <w:t>0.57</w:t>
      </w:r>
      <w:r w:rsidR="00C434EA" w:rsidRPr="00843815">
        <w:t xml:space="preserve">%. Similarly for participants aged 7+ years the </w:t>
      </w:r>
      <w:r w:rsidR="00843815" w:rsidRPr="00843815">
        <w:t xml:space="preserve">non-mortality </w:t>
      </w:r>
      <w:r w:rsidR="00C434EA" w:rsidRPr="00843815">
        <w:t xml:space="preserve">exit rate was assumed to </w:t>
      </w:r>
      <w:r w:rsidR="00C434EA" w:rsidRPr="00111E4D">
        <w:t>be 1.0</w:t>
      </w:r>
      <w:r w:rsidR="008E50BF" w:rsidRPr="00880CBA">
        <w:t>4</w:t>
      </w:r>
      <w:r w:rsidR="00C434EA" w:rsidRPr="00111E4D">
        <w:t>%,</w:t>
      </w:r>
      <w:r w:rsidR="00C434EA" w:rsidRPr="00843815">
        <w:t xml:space="preserve"> </w:t>
      </w:r>
      <w:r w:rsidR="00670F0E" w:rsidRPr="00843815">
        <w:t xml:space="preserve">and the rate in the past year to 31 December 2020 </w:t>
      </w:r>
      <w:r w:rsidR="004067D5" w:rsidRPr="00843815">
        <w:t xml:space="preserve">was </w:t>
      </w:r>
      <w:r w:rsidR="00843815" w:rsidRPr="0031019F">
        <w:t>0.55</w:t>
      </w:r>
      <w:r w:rsidR="00670F0E" w:rsidRPr="0031019F">
        <w:t>%</w:t>
      </w:r>
      <w:r w:rsidR="00670F0E" w:rsidRPr="00843815">
        <w:t>.</w:t>
      </w:r>
    </w:p>
    <w:p w14:paraId="1359D770" w14:textId="1281FB8B" w:rsidR="00C64C21" w:rsidRPr="00AC4F79" w:rsidRDefault="00C64C21" w:rsidP="00C64C21">
      <w:pPr>
        <w:pStyle w:val="Figures"/>
      </w:pPr>
      <w:bookmarkStart w:id="5" w:name="_Ref76038125"/>
      <w:r w:rsidRPr="00B56B5D">
        <w:t xml:space="preserve">Figure </w:t>
      </w:r>
      <w:r w:rsidRPr="00AB4E2F">
        <w:fldChar w:fldCharType="begin"/>
      </w:r>
      <w:r w:rsidRPr="00B56B5D">
        <w:instrText xml:space="preserve"> SEQ Figure \* ARABIC </w:instrText>
      </w:r>
      <w:r w:rsidRPr="00AB4E2F">
        <w:fldChar w:fldCharType="separate"/>
      </w:r>
      <w:r w:rsidR="00715347">
        <w:rPr>
          <w:noProof/>
        </w:rPr>
        <w:t>3</w:t>
      </w:r>
      <w:r w:rsidRPr="00AB4E2F">
        <w:rPr>
          <w:noProof/>
        </w:rPr>
        <w:fldChar w:fldCharType="end"/>
      </w:r>
      <w:bookmarkEnd w:id="5"/>
      <w:r w:rsidRPr="00FC5C6C">
        <w:t xml:space="preserve"> </w:t>
      </w:r>
      <w:r w:rsidRPr="00AB4E2F">
        <w:t>Actual versus expected non-mortality exits for participants aged 0 to 6</w:t>
      </w:r>
    </w:p>
    <w:p w14:paraId="78AAAEFD" w14:textId="03037D71" w:rsidR="00C64C21" w:rsidRPr="00FC5C6C" w:rsidRDefault="00111E4D" w:rsidP="00C64C21">
      <w:pPr>
        <w:pStyle w:val="FSRnormal"/>
      </w:pPr>
      <w:r w:rsidRPr="00111E4D">
        <w:rPr>
          <w:noProof/>
          <w:lang w:eastAsia="en-AU"/>
        </w:rPr>
        <w:drawing>
          <wp:inline distT="0" distB="0" distL="0" distR="0" wp14:anchorId="3F8CA3D2" wp14:editId="354A1D05">
            <wp:extent cx="5731510" cy="2845396"/>
            <wp:effectExtent l="0" t="0" r="254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845396"/>
                    </a:xfrm>
                    <a:prstGeom prst="rect">
                      <a:avLst/>
                    </a:prstGeom>
                    <a:noFill/>
                    <a:ln>
                      <a:noFill/>
                    </a:ln>
                  </pic:spPr>
                </pic:pic>
              </a:graphicData>
            </a:graphic>
          </wp:inline>
        </w:drawing>
      </w:r>
    </w:p>
    <w:p w14:paraId="47080ECE" w14:textId="5F39308F" w:rsidR="00C64C21" w:rsidRPr="00AC4F79" w:rsidRDefault="00C64C21" w:rsidP="00C64C21">
      <w:pPr>
        <w:pStyle w:val="Figures"/>
      </w:pPr>
      <w:bookmarkStart w:id="6" w:name="_Ref76038131"/>
      <w:r w:rsidRPr="00AB4E2F">
        <w:lastRenderedPageBreak/>
        <w:t xml:space="preserve">Figure </w:t>
      </w:r>
      <w:r w:rsidRPr="00AB4E2F">
        <w:fldChar w:fldCharType="begin"/>
      </w:r>
      <w:r w:rsidRPr="00B56B5D">
        <w:instrText xml:space="preserve"> SEQ Figure \* ARABIC </w:instrText>
      </w:r>
      <w:r w:rsidRPr="00AB4E2F">
        <w:fldChar w:fldCharType="separate"/>
      </w:r>
      <w:r w:rsidR="00715347">
        <w:rPr>
          <w:noProof/>
        </w:rPr>
        <w:t>4</w:t>
      </w:r>
      <w:r w:rsidRPr="00AB4E2F">
        <w:rPr>
          <w:noProof/>
        </w:rPr>
        <w:fldChar w:fldCharType="end"/>
      </w:r>
      <w:bookmarkEnd w:id="6"/>
      <w:r w:rsidRPr="00FC5C6C">
        <w:t xml:space="preserve"> </w:t>
      </w:r>
      <w:r w:rsidRPr="00AB4E2F">
        <w:t>Actual versus expected non-mortality exits for participants aged over 7</w:t>
      </w:r>
    </w:p>
    <w:p w14:paraId="501907F0" w14:textId="6459664C" w:rsidR="00574791" w:rsidRDefault="00111E4D" w:rsidP="0031019F">
      <w:pPr>
        <w:pStyle w:val="FSRnormal"/>
        <w:rPr>
          <w:b/>
        </w:rPr>
      </w:pPr>
      <w:r w:rsidRPr="00111E4D">
        <w:rPr>
          <w:noProof/>
          <w:lang w:eastAsia="en-AU"/>
        </w:rPr>
        <w:drawing>
          <wp:inline distT="0" distB="0" distL="0" distR="0" wp14:anchorId="13524646" wp14:editId="548A661D">
            <wp:extent cx="5731510" cy="2719231"/>
            <wp:effectExtent l="0" t="0" r="2540" b="508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719231"/>
                    </a:xfrm>
                    <a:prstGeom prst="rect">
                      <a:avLst/>
                    </a:prstGeom>
                    <a:noFill/>
                    <a:ln>
                      <a:noFill/>
                    </a:ln>
                  </pic:spPr>
                </pic:pic>
              </a:graphicData>
            </a:graphic>
          </wp:inline>
        </w:drawing>
      </w:r>
    </w:p>
    <w:p w14:paraId="3393F018" w14:textId="4A7DD476" w:rsidR="006C26E9" w:rsidRPr="00C578EB" w:rsidRDefault="00574791" w:rsidP="0031019F">
      <w:pPr>
        <w:pStyle w:val="FSRnormal"/>
      </w:pPr>
      <w:r>
        <w:t xml:space="preserve">Despite the recent experience, lower rates of non-mortality exits have </w:t>
      </w:r>
      <w:r w:rsidR="006C26E9" w:rsidRPr="00AB4E2F">
        <w:t>not been adopted in this projection</w:t>
      </w:r>
      <w:r>
        <w:t xml:space="preserve">. This is because </w:t>
      </w:r>
      <w:r w:rsidR="006C26E9" w:rsidRPr="00AB4E2F">
        <w:t xml:space="preserve">it </w:t>
      </w:r>
      <w:r>
        <w:t xml:space="preserve">is </w:t>
      </w:r>
      <w:r w:rsidR="006C26E9" w:rsidRPr="00AB4E2F">
        <w:t>assumed that rates of exit will increase as more children exit the Scheme after receiving early intervention support, and the NDIA focuses on ensuring participants continue to meet the access criteria (as per the</w:t>
      </w:r>
      <w:r w:rsidR="00B56B5D" w:rsidRPr="00AB4E2F">
        <w:t xml:space="preserve"> NDIS Act).</w:t>
      </w:r>
      <w:r w:rsidR="00F71F20">
        <w:t xml:space="preserve"> </w:t>
      </w:r>
      <w:r w:rsidR="00F71F20" w:rsidRPr="00F71F20">
        <w:t>Again this adds upside risk (</w:t>
      </w:r>
      <w:r w:rsidR="00F71F20">
        <w:t xml:space="preserve">that is, </w:t>
      </w:r>
      <w:r w:rsidR="00EB1EE6">
        <w:t xml:space="preserve">it increases the risk of </w:t>
      </w:r>
      <w:r w:rsidR="00F71F20" w:rsidRPr="00F71F20">
        <w:t>higher total costs) to the projections in this report</w:t>
      </w:r>
      <w:r w:rsidR="00EB1EE6">
        <w:t>.</w:t>
      </w:r>
    </w:p>
    <w:p w14:paraId="3779D4CB" w14:textId="77777777" w:rsidR="00CA0247" w:rsidRDefault="00CA0247">
      <w:pPr>
        <w:spacing w:after="160" w:line="259" w:lineRule="auto"/>
        <w:rPr>
          <w:b/>
          <w:i/>
          <w:color w:val="6B2976"/>
          <w:sz w:val="25"/>
        </w:rPr>
      </w:pPr>
      <w:r>
        <w:br w:type="page"/>
      </w:r>
    </w:p>
    <w:p w14:paraId="4D6E8509" w14:textId="42DD1BA1" w:rsidR="006C26E9" w:rsidRPr="00C578EB" w:rsidRDefault="006C26E9" w:rsidP="0031019F">
      <w:pPr>
        <w:pStyle w:val="FSRHeading4"/>
      </w:pPr>
      <w:r w:rsidRPr="00C578EB">
        <w:lastRenderedPageBreak/>
        <w:t>Average payments per participant</w:t>
      </w:r>
    </w:p>
    <w:p w14:paraId="23F28C94" w14:textId="44A5D31D" w:rsidR="006C26E9" w:rsidRPr="00C578EB" w:rsidRDefault="006C26E9" w:rsidP="0031019F">
      <w:pPr>
        <w:pStyle w:val="FSRnormal"/>
      </w:pPr>
      <w:r w:rsidRPr="00C578EB">
        <w:t>Average annualised payments have continued to increase year on year</w:t>
      </w:r>
      <w:r w:rsidR="00243F4D">
        <w:t xml:space="preserve"> (</w:t>
      </w:r>
      <w:r w:rsidR="00243F4D">
        <w:fldChar w:fldCharType="begin"/>
      </w:r>
      <w:r w:rsidR="00243F4D">
        <w:instrText xml:space="preserve"> REF _Ref76039518 \h </w:instrText>
      </w:r>
      <w:r w:rsidR="00775C63">
        <w:instrText xml:space="preserve"> \* MERGEFORMAT </w:instrText>
      </w:r>
      <w:r w:rsidR="00243F4D">
        <w:fldChar w:fldCharType="separate"/>
      </w:r>
      <w:r w:rsidR="00715347" w:rsidRPr="00C578EB">
        <w:t xml:space="preserve">Figure </w:t>
      </w:r>
      <w:r w:rsidR="00715347">
        <w:rPr>
          <w:noProof/>
        </w:rPr>
        <w:t>5</w:t>
      </w:r>
      <w:r w:rsidR="00243F4D">
        <w:fldChar w:fldCharType="end"/>
      </w:r>
      <w:r w:rsidR="00243F4D">
        <w:t>).</w:t>
      </w:r>
      <w:r w:rsidRPr="00C578EB">
        <w:t xml:space="preserve"> The average annual increase in average payment is </w:t>
      </w:r>
      <w:r w:rsidR="00243F4D">
        <w:t>12</w:t>
      </w:r>
      <w:r w:rsidR="00717B82">
        <w:t>.5</w:t>
      </w:r>
      <w:r w:rsidRPr="00C578EB">
        <w:t xml:space="preserve">% over the last four years. </w:t>
      </w:r>
    </w:p>
    <w:p w14:paraId="3CAB57F6" w14:textId="4D1AD49A" w:rsidR="00243F4D" w:rsidRDefault="00243F4D" w:rsidP="00243F4D">
      <w:pPr>
        <w:pStyle w:val="Figures"/>
      </w:pPr>
      <w:bookmarkStart w:id="7" w:name="_Ref76039518"/>
      <w:r w:rsidRPr="00C578EB">
        <w:t xml:space="preserve">Figure </w:t>
      </w:r>
      <w:r w:rsidRPr="00597704">
        <w:fldChar w:fldCharType="begin"/>
      </w:r>
      <w:r w:rsidRPr="00C578EB">
        <w:instrText xml:space="preserve"> SEQ Figure \* ARABIC </w:instrText>
      </w:r>
      <w:r w:rsidRPr="00597704">
        <w:fldChar w:fldCharType="separate"/>
      </w:r>
      <w:r w:rsidR="00715347">
        <w:rPr>
          <w:noProof/>
        </w:rPr>
        <w:t>5</w:t>
      </w:r>
      <w:r w:rsidRPr="00597704">
        <w:rPr>
          <w:noProof/>
        </w:rPr>
        <w:fldChar w:fldCharType="end"/>
      </w:r>
      <w:bookmarkEnd w:id="7"/>
      <w:r w:rsidRPr="00C578EB">
        <w:t xml:space="preserve"> </w:t>
      </w:r>
      <w:r w:rsidRPr="00C64C21">
        <w:t>Average annualised payments o</w:t>
      </w:r>
      <w:r>
        <w:t>ver time</w:t>
      </w:r>
      <w:r>
        <w:rPr>
          <w:rStyle w:val="FootnoteReference"/>
        </w:rPr>
        <w:footnoteReference w:id="6"/>
      </w:r>
    </w:p>
    <w:p w14:paraId="145A3D87" w14:textId="3B4044B7" w:rsidR="00243F4D" w:rsidRPr="00C578EB" w:rsidRDefault="00843815" w:rsidP="00243F4D">
      <w:pPr>
        <w:pStyle w:val="FSRnormal"/>
      </w:pPr>
      <w:r w:rsidRPr="00843815">
        <w:rPr>
          <w:noProof/>
          <w:lang w:eastAsia="en-AU"/>
        </w:rPr>
        <w:drawing>
          <wp:inline distT="0" distB="0" distL="0" distR="0" wp14:anchorId="77C6F367" wp14:editId="1939442A">
            <wp:extent cx="3621600" cy="295927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7537" cy="2964124"/>
                    </a:xfrm>
                    <a:prstGeom prst="rect">
                      <a:avLst/>
                    </a:prstGeom>
                    <a:noFill/>
                    <a:ln>
                      <a:noFill/>
                    </a:ln>
                  </pic:spPr>
                </pic:pic>
              </a:graphicData>
            </a:graphic>
          </wp:inline>
        </w:drawing>
      </w:r>
    </w:p>
    <w:p w14:paraId="73A75D1B" w14:textId="3A3E0373" w:rsidR="00717B82" w:rsidRDefault="00717B82" w:rsidP="0031019F">
      <w:pPr>
        <w:pStyle w:val="FSRnormal"/>
      </w:pPr>
      <w:r w:rsidRPr="00717B82">
        <w:t>Over the past four years, the mix of participants in the Scheme has changed. That is, as the Scheme has rolled out across the country, the proportion of participants by different characteristics has changed. As examples, the proportion of children in the Scheme is higher in 2020-21 compared with 2017-18, and the proportion of SIL participants in the Scheme is lower in 2020-21 compared with 2017-18</w:t>
      </w:r>
      <w:r w:rsidR="00E779D3">
        <w:t>.</w:t>
      </w:r>
    </w:p>
    <w:p w14:paraId="6F2E5D1E" w14:textId="1F5ABDC1" w:rsidR="003B451A" w:rsidRDefault="00243F4D" w:rsidP="0031019F">
      <w:pPr>
        <w:pStyle w:val="FSRnormal"/>
      </w:pPr>
      <w:r w:rsidRPr="00C578EB">
        <w:t xml:space="preserve">Analysing the change in average payment over time by whether or not participants are in SIL indicates that the </w:t>
      </w:r>
      <w:r>
        <w:t xml:space="preserve">average annual </w:t>
      </w:r>
      <w:r w:rsidRPr="00C578EB">
        <w:t>increase in</w:t>
      </w:r>
      <w:r>
        <w:t xml:space="preserve"> average payment has been consistently high</w:t>
      </w:r>
      <w:r w:rsidRPr="00C578EB">
        <w:t xml:space="preserve"> </w:t>
      </w:r>
      <w:r>
        <w:t xml:space="preserve">across </w:t>
      </w:r>
      <w:r w:rsidR="00717B82">
        <w:t>both</w:t>
      </w:r>
      <w:r>
        <w:t xml:space="preserve"> participant groups</w:t>
      </w:r>
      <w:r w:rsidRPr="00C578EB">
        <w:t>. Specifically</w:t>
      </w:r>
      <w:r w:rsidR="00E779D3">
        <w:t xml:space="preserve">, the </w:t>
      </w:r>
      <w:r w:rsidR="003B451A" w:rsidRPr="00C578EB">
        <w:t xml:space="preserve">average </w:t>
      </w:r>
      <w:r w:rsidR="001E50AA">
        <w:t xml:space="preserve">annual </w:t>
      </w:r>
      <w:r w:rsidR="00F73FF7">
        <w:t xml:space="preserve">payment has </w:t>
      </w:r>
      <w:r w:rsidR="003B451A" w:rsidRPr="00C578EB">
        <w:t>increase</w:t>
      </w:r>
      <w:r w:rsidR="00F73FF7">
        <w:t>d</w:t>
      </w:r>
      <w:r w:rsidR="003B451A" w:rsidRPr="00C578EB">
        <w:t xml:space="preserve"> </w:t>
      </w:r>
      <w:r w:rsidR="00F73FF7">
        <w:t xml:space="preserve">for </w:t>
      </w:r>
      <w:r w:rsidR="003B451A" w:rsidRPr="00C578EB">
        <w:t xml:space="preserve">SIL participants </w:t>
      </w:r>
      <w:r w:rsidR="00F73FF7">
        <w:t>by</w:t>
      </w:r>
      <w:r w:rsidR="00F73FF7" w:rsidRPr="00C578EB">
        <w:t xml:space="preserve"> </w:t>
      </w:r>
      <w:r w:rsidR="003B451A">
        <w:t>17</w:t>
      </w:r>
      <w:r w:rsidR="003B451A" w:rsidRPr="00C578EB">
        <w:t>%</w:t>
      </w:r>
      <w:r w:rsidR="00E779D3">
        <w:t>,</w:t>
      </w:r>
      <w:r w:rsidR="003B451A" w:rsidRPr="00C578EB">
        <w:t xml:space="preserve"> and the average </w:t>
      </w:r>
      <w:r w:rsidR="001E50AA">
        <w:t xml:space="preserve">annual </w:t>
      </w:r>
      <w:r w:rsidR="00F73FF7">
        <w:t xml:space="preserve">payment has also </w:t>
      </w:r>
      <w:r w:rsidR="003B451A" w:rsidRPr="00C578EB">
        <w:t>incre</w:t>
      </w:r>
      <w:r w:rsidR="003B451A">
        <w:t>ase</w:t>
      </w:r>
      <w:r w:rsidR="00F73FF7">
        <w:t>d</w:t>
      </w:r>
      <w:r w:rsidR="003B451A">
        <w:t xml:space="preserve"> </w:t>
      </w:r>
      <w:r w:rsidR="00F73FF7">
        <w:t xml:space="preserve">for </w:t>
      </w:r>
      <w:r w:rsidR="003B451A">
        <w:t xml:space="preserve">non-SIL participants </w:t>
      </w:r>
      <w:r w:rsidR="00F73FF7">
        <w:t xml:space="preserve">by </w:t>
      </w:r>
      <w:r w:rsidR="003B451A">
        <w:t>17</w:t>
      </w:r>
      <w:r w:rsidR="003B451A" w:rsidRPr="00C578EB">
        <w:t>% (</w:t>
      </w:r>
      <w:r w:rsidR="00464CEB">
        <w:fldChar w:fldCharType="begin"/>
      </w:r>
      <w:r w:rsidR="00464CEB">
        <w:instrText xml:space="preserve"> REF _Ref76121200 \h </w:instrText>
      </w:r>
      <w:r w:rsidR="00464CEB">
        <w:fldChar w:fldCharType="separate"/>
      </w:r>
      <w:r w:rsidR="00715347" w:rsidRPr="00763E37">
        <w:t xml:space="preserve">Figure </w:t>
      </w:r>
      <w:r w:rsidR="00715347">
        <w:rPr>
          <w:noProof/>
        </w:rPr>
        <w:t>6</w:t>
      </w:r>
      <w:r w:rsidR="00464CEB">
        <w:fldChar w:fldCharType="end"/>
      </w:r>
      <w:r w:rsidR="00464CEB">
        <w:t>)</w:t>
      </w:r>
      <w:r w:rsidR="003B451A" w:rsidRPr="00C578EB">
        <w:t>.</w:t>
      </w:r>
      <w:r w:rsidR="00EB1EE6">
        <w:t xml:space="preserve"> These averages are higher than the overall average (of 12.5%), as the proportion of participants in SIL has dec</w:t>
      </w:r>
      <w:r w:rsidR="00CA5040">
        <w:t>r</w:t>
      </w:r>
      <w:r w:rsidR="00EB1EE6">
        <w:t>eased over the period.</w:t>
      </w:r>
    </w:p>
    <w:p w14:paraId="0C9B7B7E" w14:textId="5DE528B5" w:rsidR="00464CEB" w:rsidRPr="00464CEB" w:rsidRDefault="00464CEB" w:rsidP="00880CBA">
      <w:pPr>
        <w:pStyle w:val="Figures"/>
        <w:rPr>
          <w:rFonts w:cs="Arial"/>
        </w:rPr>
      </w:pPr>
      <w:bookmarkStart w:id="8" w:name="_Ref76121200"/>
      <w:r w:rsidRPr="00763E37">
        <w:lastRenderedPageBreak/>
        <w:t xml:space="preserve">Figure </w:t>
      </w:r>
      <w:r w:rsidRPr="00E779D3">
        <w:fldChar w:fldCharType="begin"/>
      </w:r>
      <w:r w:rsidRPr="00763E37">
        <w:instrText xml:space="preserve"> SEQ Figure \* ARABIC </w:instrText>
      </w:r>
      <w:r w:rsidRPr="00E779D3">
        <w:fldChar w:fldCharType="separate"/>
      </w:r>
      <w:r w:rsidR="00715347">
        <w:rPr>
          <w:noProof/>
        </w:rPr>
        <w:t>6</w:t>
      </w:r>
      <w:r w:rsidRPr="00E779D3">
        <w:rPr>
          <w:noProof/>
        </w:rPr>
        <w:fldChar w:fldCharType="end"/>
      </w:r>
      <w:bookmarkEnd w:id="8"/>
      <w:r w:rsidRPr="00763E37">
        <w:t xml:space="preserve"> Average annualised payments over time </w:t>
      </w:r>
      <w:r>
        <w:t>by SIL group and in total</w:t>
      </w:r>
      <w:r w:rsidRPr="00763E37">
        <w:rPr>
          <w:rStyle w:val="FootnoteReference"/>
        </w:rPr>
        <w:footnoteReference w:id="7"/>
      </w:r>
    </w:p>
    <w:p w14:paraId="69D596DC" w14:textId="24B06EF0" w:rsidR="003B451A" w:rsidRDefault="008E50BF" w:rsidP="00546104">
      <w:pPr>
        <w:pStyle w:val="FSRnormal"/>
        <w:rPr>
          <w:rFonts w:eastAsiaTheme="minorHAnsi"/>
        </w:rPr>
      </w:pPr>
      <w:r w:rsidRPr="008E50BF">
        <w:rPr>
          <w:noProof/>
          <w:lang w:eastAsia="en-AU"/>
        </w:rPr>
        <w:drawing>
          <wp:inline distT="0" distB="0" distL="0" distR="0" wp14:anchorId="2FEBBCD5" wp14:editId="212EA02A">
            <wp:extent cx="5422790" cy="2189158"/>
            <wp:effectExtent l="0" t="0" r="6985" b="190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8815" cy="2191590"/>
                    </a:xfrm>
                    <a:prstGeom prst="rect">
                      <a:avLst/>
                    </a:prstGeom>
                    <a:noFill/>
                    <a:ln>
                      <a:noFill/>
                    </a:ln>
                  </pic:spPr>
                </pic:pic>
              </a:graphicData>
            </a:graphic>
          </wp:inline>
        </w:drawing>
      </w:r>
    </w:p>
    <w:p w14:paraId="7846587D" w14:textId="5A1764E9" w:rsidR="00717B82" w:rsidRPr="00763E37" w:rsidRDefault="00717B82" w:rsidP="00546104">
      <w:pPr>
        <w:pStyle w:val="FSRnormal"/>
      </w:pPr>
      <w:r w:rsidRPr="00E779D3">
        <w:fldChar w:fldCharType="begin"/>
      </w:r>
      <w:r w:rsidRPr="00763E37">
        <w:instrText xml:space="preserve"> REF _Ref76039593 \h </w:instrText>
      </w:r>
      <w:r w:rsidR="001E7407" w:rsidRPr="00546104">
        <w:instrText xml:space="preserve"> \* MERGEFORMAT </w:instrText>
      </w:r>
      <w:r w:rsidRPr="00E779D3">
        <w:fldChar w:fldCharType="separate"/>
      </w:r>
      <w:r w:rsidR="00715347" w:rsidRPr="00763E37">
        <w:t xml:space="preserve">Figure </w:t>
      </w:r>
      <w:r w:rsidR="00715347">
        <w:rPr>
          <w:noProof/>
        </w:rPr>
        <w:t>7</w:t>
      </w:r>
      <w:r w:rsidRPr="00E779D3">
        <w:fldChar w:fldCharType="end"/>
      </w:r>
      <w:r w:rsidRPr="00763E37">
        <w:t xml:space="preserve"> analyses the change in average payment over time by age band for participants not in SIL. The average increase </w:t>
      </w:r>
      <w:r w:rsidR="00553052">
        <w:t xml:space="preserve">for </w:t>
      </w:r>
      <w:r w:rsidRPr="00763E37">
        <w:t>0 to 14 year olds is 1</w:t>
      </w:r>
      <w:r w:rsidR="001E7407" w:rsidRPr="00763E37">
        <w:t>3</w:t>
      </w:r>
      <w:r w:rsidRPr="00763E37">
        <w:t xml:space="preserve">%, the average increase </w:t>
      </w:r>
      <w:r w:rsidR="00553052">
        <w:t xml:space="preserve">for </w:t>
      </w:r>
      <w:r w:rsidRPr="00763E37">
        <w:t>15 to 24 year olds is 1</w:t>
      </w:r>
      <w:r w:rsidR="001E7407" w:rsidRPr="00763E37">
        <w:t>2</w:t>
      </w:r>
      <w:r w:rsidRPr="00763E37">
        <w:t xml:space="preserve">%, the average increase </w:t>
      </w:r>
      <w:r w:rsidR="00553052">
        <w:t xml:space="preserve">for </w:t>
      </w:r>
      <w:r w:rsidRPr="00763E37">
        <w:t xml:space="preserve">25 to 64 year olds is </w:t>
      </w:r>
      <w:r w:rsidR="001E7407" w:rsidRPr="00763E37">
        <w:t>20</w:t>
      </w:r>
      <w:r w:rsidRPr="00763E37">
        <w:t>%</w:t>
      </w:r>
      <w:r w:rsidR="00553052">
        <w:t>,</w:t>
      </w:r>
      <w:r w:rsidRPr="00763E37">
        <w:t xml:space="preserve"> and the average increase </w:t>
      </w:r>
      <w:r w:rsidR="00553052">
        <w:t xml:space="preserve">for </w:t>
      </w:r>
      <w:r w:rsidRPr="00763E37">
        <w:t xml:space="preserve">participants aged over 65 is </w:t>
      </w:r>
      <w:r w:rsidR="001E7407" w:rsidRPr="00763E37">
        <w:t>21</w:t>
      </w:r>
      <w:r w:rsidRPr="00763E37">
        <w:t>%.</w:t>
      </w:r>
      <w:r w:rsidR="00763E37" w:rsidRPr="00763E37">
        <w:t xml:space="preserve"> For participants not in SIL, average payments have increased at a faster rate for adults (those aged over 25) and reflects a material increase in the hours of attendant care support </w:t>
      </w:r>
      <w:r w:rsidR="00E04406">
        <w:t xml:space="preserve">these </w:t>
      </w:r>
      <w:r w:rsidR="00763E37" w:rsidRPr="00763E37">
        <w:t>participants are receiving over time.</w:t>
      </w:r>
    </w:p>
    <w:p w14:paraId="3C7F84F4" w14:textId="69316FA7" w:rsidR="00243F4D" w:rsidRPr="00763E37" w:rsidRDefault="00243F4D" w:rsidP="00243F4D">
      <w:pPr>
        <w:pStyle w:val="Figures"/>
        <w:rPr>
          <w:rFonts w:cs="Arial"/>
        </w:rPr>
      </w:pPr>
      <w:bookmarkStart w:id="9" w:name="_Ref76039593"/>
      <w:r w:rsidRPr="00763E37">
        <w:t xml:space="preserve">Figure </w:t>
      </w:r>
      <w:r w:rsidRPr="00E779D3">
        <w:fldChar w:fldCharType="begin"/>
      </w:r>
      <w:r w:rsidRPr="00763E37">
        <w:instrText xml:space="preserve"> SEQ Figure \* ARABIC </w:instrText>
      </w:r>
      <w:r w:rsidRPr="00E779D3">
        <w:fldChar w:fldCharType="separate"/>
      </w:r>
      <w:r w:rsidR="00715347">
        <w:rPr>
          <w:noProof/>
        </w:rPr>
        <w:t>7</w:t>
      </w:r>
      <w:r w:rsidRPr="00E779D3">
        <w:rPr>
          <w:noProof/>
        </w:rPr>
        <w:fldChar w:fldCharType="end"/>
      </w:r>
      <w:bookmarkEnd w:id="9"/>
      <w:r w:rsidRPr="00763E37">
        <w:t xml:space="preserve"> Average annualised payments over time</w:t>
      </w:r>
      <w:r w:rsidR="00E73F21" w:rsidRPr="00763E37">
        <w:t xml:space="preserve"> for non-SIL participants</w:t>
      </w:r>
      <w:r w:rsidRPr="00763E37">
        <w:t xml:space="preserve"> by age band</w:t>
      </w:r>
      <w:r w:rsidRPr="00763E37">
        <w:rPr>
          <w:rStyle w:val="FootnoteReference"/>
        </w:rPr>
        <w:footnoteReference w:id="8"/>
      </w:r>
    </w:p>
    <w:p w14:paraId="031C63F4" w14:textId="2E0E4803" w:rsidR="00243F4D" w:rsidRPr="00C578EB" w:rsidRDefault="008E50BF" w:rsidP="00243F4D">
      <w:pPr>
        <w:pStyle w:val="FSRnormal"/>
      </w:pPr>
      <w:r w:rsidRPr="008E50BF">
        <w:rPr>
          <w:noProof/>
          <w:lang w:eastAsia="en-AU"/>
        </w:rPr>
        <w:drawing>
          <wp:inline distT="0" distB="0" distL="0" distR="0" wp14:anchorId="7CE112FA" wp14:editId="4F33E7FD">
            <wp:extent cx="5140518" cy="2941125"/>
            <wp:effectExtent l="0" t="0" r="317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1237" cy="2941537"/>
                    </a:xfrm>
                    <a:prstGeom prst="rect">
                      <a:avLst/>
                    </a:prstGeom>
                    <a:noFill/>
                    <a:ln>
                      <a:noFill/>
                    </a:ln>
                  </pic:spPr>
                </pic:pic>
              </a:graphicData>
            </a:graphic>
          </wp:inline>
        </w:drawing>
      </w:r>
    </w:p>
    <w:p w14:paraId="008D8070" w14:textId="64655083" w:rsidR="006C26E9" w:rsidRDefault="006C26E9" w:rsidP="00546104">
      <w:pPr>
        <w:pStyle w:val="FSRnormal"/>
      </w:pPr>
      <w:r w:rsidRPr="00C578EB">
        <w:lastRenderedPageBreak/>
        <w:t xml:space="preserve">A forward looking approach to inflation has been adopted, that is, it is not assumed past trends will continue. Inflation is expected to be </w:t>
      </w:r>
      <w:r w:rsidR="00775C63">
        <w:t>6</w:t>
      </w:r>
      <w:r w:rsidRPr="00C578EB">
        <w:t xml:space="preserve">% in 2021-22 and </w:t>
      </w:r>
      <w:r w:rsidR="00775C63">
        <w:t>7% in 2022-23, decreasing to between 3% and 4</w:t>
      </w:r>
      <w:r w:rsidRPr="00C578EB">
        <w:t>% in later years.</w:t>
      </w:r>
      <w:r w:rsidR="00574791">
        <w:rPr>
          <w:rStyle w:val="FootnoteReference"/>
        </w:rPr>
        <w:footnoteReference w:id="9"/>
      </w:r>
      <w:r w:rsidR="00775C63">
        <w:t xml:space="preserve"> </w:t>
      </w:r>
      <w:r w:rsidR="00775C63">
        <w:fldChar w:fldCharType="begin"/>
      </w:r>
      <w:r w:rsidR="00775C63">
        <w:instrText xml:space="preserve"> REF _Ref76040081 \h </w:instrText>
      </w:r>
      <w:r w:rsidR="00775C63">
        <w:fldChar w:fldCharType="separate"/>
      </w:r>
      <w:r w:rsidR="00715347" w:rsidRPr="00C578EB">
        <w:t xml:space="preserve">Figure </w:t>
      </w:r>
      <w:r w:rsidR="00715347">
        <w:rPr>
          <w:noProof/>
        </w:rPr>
        <w:t>8</w:t>
      </w:r>
      <w:r w:rsidR="00775C63">
        <w:fldChar w:fldCharType="end"/>
      </w:r>
      <w:r w:rsidR="00775C63">
        <w:t xml:space="preserve"> below compares historical inflation experience with the adopted total inflation in the 31 December 2020 projection.</w:t>
      </w:r>
    </w:p>
    <w:p w14:paraId="0CBA7502" w14:textId="585EA69D" w:rsidR="00775C63" w:rsidRPr="00C578EB" w:rsidRDefault="00775C63" w:rsidP="00775C63">
      <w:pPr>
        <w:pStyle w:val="Figures"/>
      </w:pPr>
      <w:bookmarkStart w:id="10" w:name="_Ref76040081"/>
      <w:r w:rsidRPr="00C578EB">
        <w:t xml:space="preserve">Figure </w:t>
      </w:r>
      <w:r w:rsidRPr="00597704">
        <w:fldChar w:fldCharType="begin"/>
      </w:r>
      <w:r w:rsidRPr="00C578EB">
        <w:instrText xml:space="preserve"> SEQ Figure \* ARABIC </w:instrText>
      </w:r>
      <w:r w:rsidRPr="00597704">
        <w:fldChar w:fldCharType="separate"/>
      </w:r>
      <w:r w:rsidR="00715347">
        <w:rPr>
          <w:noProof/>
        </w:rPr>
        <w:t>8</w:t>
      </w:r>
      <w:r w:rsidRPr="00597704">
        <w:rPr>
          <w:noProof/>
        </w:rPr>
        <w:fldChar w:fldCharType="end"/>
      </w:r>
      <w:bookmarkEnd w:id="10"/>
      <w:r w:rsidRPr="00C578EB">
        <w:t xml:space="preserve"> </w:t>
      </w:r>
      <w:r>
        <w:t>Comparison of historical inflation experience and adopted total inflation</w:t>
      </w:r>
      <w:r w:rsidR="004D5319">
        <w:rPr>
          <w:rStyle w:val="FootnoteReference"/>
        </w:rPr>
        <w:footnoteReference w:id="10"/>
      </w:r>
    </w:p>
    <w:p w14:paraId="4E1A1A51" w14:textId="6ED9076E" w:rsidR="00775C63" w:rsidRPr="00C578EB" w:rsidRDefault="00896549" w:rsidP="00546104">
      <w:pPr>
        <w:pStyle w:val="FSRnormal"/>
      </w:pPr>
      <w:r w:rsidRPr="00896549">
        <w:rPr>
          <w:noProof/>
          <w:lang w:eastAsia="en-AU"/>
        </w:rPr>
        <w:drawing>
          <wp:inline distT="0" distB="0" distL="0" distR="0" wp14:anchorId="6B5DFFF5" wp14:editId="4272993D">
            <wp:extent cx="5731510" cy="3041270"/>
            <wp:effectExtent l="0" t="0" r="2540" b="698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041270"/>
                    </a:xfrm>
                    <a:prstGeom prst="rect">
                      <a:avLst/>
                    </a:prstGeom>
                    <a:noFill/>
                    <a:ln>
                      <a:noFill/>
                    </a:ln>
                  </pic:spPr>
                </pic:pic>
              </a:graphicData>
            </a:graphic>
          </wp:inline>
        </w:drawing>
      </w:r>
    </w:p>
    <w:p w14:paraId="709C3021" w14:textId="77777777" w:rsidR="00CA0247" w:rsidRDefault="00CA0247">
      <w:pPr>
        <w:spacing w:after="160" w:line="259" w:lineRule="auto"/>
        <w:rPr>
          <w:b/>
          <w:i/>
          <w:color w:val="6B2976"/>
          <w:sz w:val="25"/>
        </w:rPr>
      </w:pPr>
      <w:r>
        <w:br w:type="page"/>
      </w:r>
    </w:p>
    <w:p w14:paraId="0C32C389" w14:textId="4E60BF6A" w:rsidR="006C26E9" w:rsidRPr="00C578EB" w:rsidRDefault="006C26E9" w:rsidP="00546104">
      <w:pPr>
        <w:pStyle w:val="FSRHeading4"/>
      </w:pPr>
      <w:r w:rsidRPr="00C578EB">
        <w:lastRenderedPageBreak/>
        <w:t>Total participant costs</w:t>
      </w:r>
    </w:p>
    <w:p w14:paraId="1284243B" w14:textId="61237C92" w:rsidR="006C26E9" w:rsidRPr="00C578EB" w:rsidRDefault="006C26E9" w:rsidP="006C26E9">
      <w:r w:rsidRPr="00C578EB">
        <w:t xml:space="preserve">Combining the information on the </w:t>
      </w:r>
      <w:r w:rsidR="000203A1">
        <w:t xml:space="preserve">projected </w:t>
      </w:r>
      <w:r w:rsidRPr="00C578EB">
        <w:t xml:space="preserve">number of participants and </w:t>
      </w:r>
      <w:r w:rsidR="000203A1">
        <w:t xml:space="preserve">projected </w:t>
      </w:r>
      <w:r w:rsidRPr="00C578EB">
        <w:t>average payment per participant, result</w:t>
      </w:r>
      <w:r w:rsidR="00FC5C6C">
        <w:t>s in total participant cost</w:t>
      </w:r>
      <w:r w:rsidR="000203A1">
        <w:t>s</w:t>
      </w:r>
      <w:r w:rsidR="00FC5C6C">
        <w:t xml:space="preserve"> </w:t>
      </w:r>
      <w:r w:rsidRPr="00C578EB">
        <w:t>of $</w:t>
      </w:r>
      <w:r w:rsidR="00775C63">
        <w:t>28.1 billion</w:t>
      </w:r>
      <w:r w:rsidRPr="00C578EB">
        <w:t xml:space="preserve"> in 2021-22, $</w:t>
      </w:r>
      <w:r w:rsidR="00775C63">
        <w:t>40.7 billion</w:t>
      </w:r>
      <w:r w:rsidRPr="00C578EB">
        <w:t xml:space="preserve"> in 2024-25, and $</w:t>
      </w:r>
      <w:r w:rsidR="00775C63">
        <w:t>60.3 billion</w:t>
      </w:r>
      <w:r w:rsidRPr="00C578EB">
        <w:t xml:space="preserve"> in 2029-30</w:t>
      </w:r>
      <w:r w:rsidR="00775C63">
        <w:t xml:space="preserve"> on an accrual basis</w:t>
      </w:r>
      <w:r w:rsidRPr="00C578EB">
        <w:t>.</w:t>
      </w:r>
      <w:r w:rsidR="002127C1">
        <w:rPr>
          <w:rStyle w:val="FootnoteReference"/>
        </w:rPr>
        <w:footnoteReference w:id="11"/>
      </w:r>
    </w:p>
    <w:p w14:paraId="5BF0971A" w14:textId="119B0CCD" w:rsidR="00FC5C6C" w:rsidRPr="00C578EB" w:rsidRDefault="00FC5C6C" w:rsidP="00FC5C6C">
      <w:pPr>
        <w:pStyle w:val="Tables"/>
      </w:pPr>
      <w:r w:rsidRPr="00C578EB">
        <w:t xml:space="preserve">Table </w:t>
      </w:r>
      <w:r w:rsidRPr="00597704">
        <w:fldChar w:fldCharType="begin"/>
      </w:r>
      <w:r w:rsidRPr="00C578EB">
        <w:instrText xml:space="preserve"> SEQ Table \* ARABIC </w:instrText>
      </w:r>
      <w:r w:rsidRPr="00597704">
        <w:fldChar w:fldCharType="separate"/>
      </w:r>
      <w:r w:rsidR="00715347">
        <w:rPr>
          <w:noProof/>
        </w:rPr>
        <w:t>1</w:t>
      </w:r>
      <w:r w:rsidRPr="00597704">
        <w:fldChar w:fldCharType="end"/>
      </w:r>
      <w:r w:rsidRPr="00C578EB">
        <w:t xml:space="preserve"> Projected participant costs (on a cash and accrual basis)</w:t>
      </w:r>
    </w:p>
    <w:p w14:paraId="37E19E55" w14:textId="77777777" w:rsidR="00FC5C6C" w:rsidRPr="00C578EB" w:rsidRDefault="00FC5C6C" w:rsidP="00FC5C6C">
      <w:pPr>
        <w:pStyle w:val="FSRnormal"/>
      </w:pPr>
      <w:r w:rsidRPr="00597704">
        <w:rPr>
          <w:noProof/>
          <w:lang w:eastAsia="en-AU"/>
        </w:rPr>
        <w:drawing>
          <wp:inline distT="0" distB="0" distL="0" distR="0" wp14:anchorId="6583ED35" wp14:editId="112FEB4A">
            <wp:extent cx="5731510" cy="1269365"/>
            <wp:effectExtent l="0" t="0" r="2540" b="698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269365"/>
                    </a:xfrm>
                    <a:prstGeom prst="rect">
                      <a:avLst/>
                    </a:prstGeom>
                    <a:noFill/>
                    <a:ln>
                      <a:noFill/>
                    </a:ln>
                  </pic:spPr>
                </pic:pic>
              </a:graphicData>
            </a:graphic>
          </wp:inline>
        </w:drawing>
      </w:r>
    </w:p>
    <w:p w14:paraId="1B03A91A" w14:textId="296ECC80" w:rsidR="006C26E9" w:rsidRPr="00C578EB" w:rsidRDefault="006C26E9" w:rsidP="006C26E9">
      <w:r w:rsidRPr="00C578EB">
        <w:t>As noted above, this projection is not an extrapolation of past trends</w:t>
      </w:r>
      <w:r w:rsidR="00775C63">
        <w:t>. Instead,</w:t>
      </w:r>
      <w:r w:rsidRPr="00C578EB">
        <w:t xml:space="preserve"> a forward</w:t>
      </w:r>
      <w:r w:rsidR="00775C63">
        <w:t>-</w:t>
      </w:r>
      <w:r w:rsidRPr="00C578EB">
        <w:t xml:space="preserve"> looking approach has been </w:t>
      </w:r>
      <w:r w:rsidR="00775C63">
        <w:t>adopted</w:t>
      </w:r>
      <w:r w:rsidR="006C12D8">
        <w:t xml:space="preserve"> for new entrants, non-mortality exit rates</w:t>
      </w:r>
      <w:r w:rsidR="008518E6">
        <w:t>,</w:t>
      </w:r>
      <w:r w:rsidR="006C12D8">
        <w:t xml:space="preserve"> and inflation in average payments</w:t>
      </w:r>
      <w:r w:rsidRPr="00C578EB">
        <w:t xml:space="preserve">. Extrapolation of past trends (which is included in the 31 March 2021 NDIA quarterly report to Disability Ministers) would result in a </w:t>
      </w:r>
      <w:r w:rsidR="00775C63">
        <w:t>significantly higher forecast</w:t>
      </w:r>
      <w:r w:rsidRPr="00C578EB">
        <w:t xml:space="preserve"> </w:t>
      </w:r>
      <w:r w:rsidR="00775C63">
        <w:t>(</w:t>
      </w:r>
      <w:r w:rsidRPr="00C578EB">
        <w:t xml:space="preserve">participant costs would be $44.1 billion in 2023-24 </w:t>
      </w:r>
      <w:r w:rsidR="008518E6">
        <w:t xml:space="preserve">compared with $36.9 billion, </w:t>
      </w:r>
      <w:r w:rsidRPr="00C578EB">
        <w:t>and $53.7 billion in 2024-25</w:t>
      </w:r>
      <w:r w:rsidR="008518E6">
        <w:t xml:space="preserve"> compared with $40.7 billion</w:t>
      </w:r>
      <w:r w:rsidR="00775C63">
        <w:t>).</w:t>
      </w:r>
      <w:r w:rsidRPr="00C578EB">
        <w:t xml:space="preserve"> Hence, there is significant upside risk in the projection. </w:t>
      </w:r>
    </w:p>
    <w:p w14:paraId="767AFF91" w14:textId="521ABEBD" w:rsidR="006C26E9" w:rsidRDefault="006C26E9" w:rsidP="006C26E9">
      <w:r w:rsidRPr="00C578EB">
        <w:t>The projection is higher than the most recent</w:t>
      </w:r>
      <w:r w:rsidR="00775C63">
        <w:t xml:space="preserve"> 2021-22</w:t>
      </w:r>
      <w:r w:rsidRPr="00C578EB">
        <w:t xml:space="preserve"> Portfolio Budget Statements (</w:t>
      </w:r>
      <w:r w:rsidR="00775C63">
        <w:fldChar w:fldCharType="begin"/>
      </w:r>
      <w:r w:rsidR="00775C63">
        <w:instrText xml:space="preserve"> REF _Ref76040281 \h </w:instrText>
      </w:r>
      <w:r w:rsidR="00775C63">
        <w:fldChar w:fldCharType="separate"/>
      </w:r>
      <w:r w:rsidR="00715347" w:rsidRPr="00C578EB">
        <w:t xml:space="preserve">Table </w:t>
      </w:r>
      <w:r w:rsidR="00715347">
        <w:rPr>
          <w:noProof/>
        </w:rPr>
        <w:t>2</w:t>
      </w:r>
      <w:r w:rsidR="00775C63">
        <w:fldChar w:fldCharType="end"/>
      </w:r>
      <w:r w:rsidRPr="00C578EB">
        <w:t>), and higher than the 2017 Productivity Commission costing</w:t>
      </w:r>
      <w:r w:rsidR="00775C63">
        <w:t xml:space="preserve"> (</w:t>
      </w:r>
      <w:r w:rsidR="00775C63">
        <w:fldChar w:fldCharType="begin"/>
      </w:r>
      <w:r w:rsidR="00775C63">
        <w:instrText xml:space="preserve"> REF _Ref76040288 \h </w:instrText>
      </w:r>
      <w:r w:rsidR="00775C63">
        <w:fldChar w:fldCharType="separate"/>
      </w:r>
      <w:r w:rsidR="00715347" w:rsidRPr="00C578EB">
        <w:t xml:space="preserve">Table </w:t>
      </w:r>
      <w:r w:rsidR="00715347">
        <w:rPr>
          <w:noProof/>
        </w:rPr>
        <w:t>3</w:t>
      </w:r>
      <w:r w:rsidR="00775C63">
        <w:fldChar w:fldCharType="end"/>
      </w:r>
      <w:r w:rsidR="00775C63">
        <w:t>)</w:t>
      </w:r>
      <w:r w:rsidRPr="00C578EB">
        <w:t>.</w:t>
      </w:r>
      <w:r w:rsidR="008518E6">
        <w:rPr>
          <w:rStyle w:val="FootnoteReference"/>
        </w:rPr>
        <w:footnoteReference w:id="12"/>
      </w:r>
      <w:r w:rsidRPr="00C578EB">
        <w:t xml:space="preserve"> </w:t>
      </w:r>
    </w:p>
    <w:p w14:paraId="595F5096" w14:textId="4F2078F8" w:rsidR="00775C63" w:rsidRPr="00C578EB" w:rsidRDefault="00775C63" w:rsidP="00775C63">
      <w:pPr>
        <w:pStyle w:val="Tables"/>
      </w:pPr>
      <w:bookmarkStart w:id="11" w:name="_Ref76040281"/>
      <w:r w:rsidRPr="00C578EB">
        <w:t xml:space="preserve">Table </w:t>
      </w:r>
      <w:r w:rsidRPr="00597704">
        <w:fldChar w:fldCharType="begin"/>
      </w:r>
      <w:r w:rsidRPr="00C578EB">
        <w:instrText xml:space="preserve"> SEQ Table \* ARABIC </w:instrText>
      </w:r>
      <w:r w:rsidRPr="00597704">
        <w:fldChar w:fldCharType="separate"/>
      </w:r>
      <w:r w:rsidR="00715347">
        <w:rPr>
          <w:noProof/>
        </w:rPr>
        <w:t>2</w:t>
      </w:r>
      <w:r w:rsidRPr="00597704">
        <w:rPr>
          <w:noProof/>
        </w:rPr>
        <w:fldChar w:fldCharType="end"/>
      </w:r>
      <w:bookmarkEnd w:id="11"/>
      <w:r w:rsidRPr="00C578EB">
        <w:t xml:space="preserve"> Total Participant costs (accrual basis) compared to PBS</w:t>
      </w:r>
    </w:p>
    <w:p w14:paraId="38A365FB" w14:textId="77777777" w:rsidR="00775C63" w:rsidRPr="00C578EB" w:rsidRDefault="00775C63" w:rsidP="00775C63">
      <w:r w:rsidRPr="00597704">
        <w:rPr>
          <w:noProof/>
          <w:lang w:eastAsia="en-AU"/>
        </w:rPr>
        <w:drawing>
          <wp:inline distT="0" distB="0" distL="0" distR="0" wp14:anchorId="6F8C1FB4" wp14:editId="6DA92E34">
            <wp:extent cx="5731510" cy="1338688"/>
            <wp:effectExtent l="0" t="0" r="254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338688"/>
                    </a:xfrm>
                    <a:prstGeom prst="rect">
                      <a:avLst/>
                    </a:prstGeom>
                    <a:noFill/>
                    <a:ln>
                      <a:noFill/>
                    </a:ln>
                  </pic:spPr>
                </pic:pic>
              </a:graphicData>
            </a:graphic>
          </wp:inline>
        </w:drawing>
      </w:r>
    </w:p>
    <w:p w14:paraId="1F655575" w14:textId="43E5EFBB" w:rsidR="00775C63" w:rsidRPr="00C578EB" w:rsidRDefault="00775C63" w:rsidP="00775C63">
      <w:pPr>
        <w:pStyle w:val="Tables"/>
      </w:pPr>
      <w:bookmarkStart w:id="12" w:name="_Ref76040288"/>
      <w:r w:rsidRPr="00C578EB">
        <w:lastRenderedPageBreak/>
        <w:t xml:space="preserve">Table </w:t>
      </w:r>
      <w:r w:rsidRPr="00597704">
        <w:fldChar w:fldCharType="begin"/>
      </w:r>
      <w:r w:rsidRPr="00C578EB">
        <w:instrText xml:space="preserve"> SEQ Table \* ARABIC </w:instrText>
      </w:r>
      <w:r w:rsidRPr="00597704">
        <w:fldChar w:fldCharType="separate"/>
      </w:r>
      <w:r w:rsidR="00715347">
        <w:rPr>
          <w:noProof/>
        </w:rPr>
        <w:t>3</w:t>
      </w:r>
      <w:r w:rsidRPr="00597704">
        <w:rPr>
          <w:noProof/>
        </w:rPr>
        <w:fldChar w:fldCharType="end"/>
      </w:r>
      <w:bookmarkEnd w:id="12"/>
      <w:r w:rsidRPr="00C578EB">
        <w:t xml:space="preserve"> Estimates of Scheme costs in the 2017 PC study report</w:t>
      </w:r>
      <w:r w:rsidRPr="00C578EB">
        <w:rPr>
          <w:rStyle w:val="FootnoteReference"/>
          <w:noProof/>
          <w:szCs w:val="22"/>
        </w:rPr>
        <w:footnoteReference w:id="13"/>
      </w:r>
      <w:r w:rsidR="00E443EC" w:rsidRPr="00546104">
        <w:rPr>
          <w:vertAlign w:val="superscript"/>
        </w:rPr>
        <w:t>,</w:t>
      </w:r>
      <w:r w:rsidR="00E443EC" w:rsidRPr="00C578EB">
        <w:rPr>
          <w:rStyle w:val="FootnoteReference"/>
          <w:bCs w:val="0"/>
        </w:rPr>
        <w:footnoteReference w:id="14"/>
      </w:r>
    </w:p>
    <w:p w14:paraId="6F99A4F5" w14:textId="1B112F9A" w:rsidR="00E443EC" w:rsidRPr="00C578EB" w:rsidRDefault="00E443EC" w:rsidP="00775C63">
      <w:pPr>
        <w:pStyle w:val="FSRnormal"/>
      </w:pPr>
      <w:r w:rsidRPr="00E443EC">
        <w:rPr>
          <w:noProof/>
          <w:lang w:eastAsia="en-AU"/>
        </w:rPr>
        <w:drawing>
          <wp:inline distT="0" distB="0" distL="0" distR="0" wp14:anchorId="0565AA9D" wp14:editId="04C9B519">
            <wp:extent cx="5731510" cy="750860"/>
            <wp:effectExtent l="0" t="0" r="254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750860"/>
                    </a:xfrm>
                    <a:prstGeom prst="rect">
                      <a:avLst/>
                    </a:prstGeom>
                    <a:noFill/>
                    <a:ln>
                      <a:noFill/>
                    </a:ln>
                  </pic:spPr>
                </pic:pic>
              </a:graphicData>
            </a:graphic>
          </wp:inline>
        </w:drawing>
      </w:r>
    </w:p>
    <w:p w14:paraId="32FE40C4" w14:textId="570A5EB2" w:rsidR="006C26E9" w:rsidRPr="00C578EB" w:rsidRDefault="006C26E9" w:rsidP="006C26E9">
      <w:r w:rsidRPr="00C578EB">
        <w:t xml:space="preserve">Scheme experience in the five months post 31 December 2020 (until 31 May 2021) has been higher than forecast due to higher average participant payments. </w:t>
      </w:r>
      <w:r w:rsidR="006E15AE" w:rsidRPr="006E15AE">
        <w:t xml:space="preserve">Based on this experience, the actual result could be a further 4% higher than what is shown as the </w:t>
      </w:r>
      <w:r w:rsidR="006E15AE" w:rsidRPr="00880CBA">
        <w:rPr>
          <w:i/>
        </w:rPr>
        <w:t>Dec 2020 AFSR</w:t>
      </w:r>
      <w:r w:rsidR="006E15AE" w:rsidRPr="006E15AE">
        <w:t xml:space="preserve"> </w:t>
      </w:r>
      <w:r w:rsidR="006E15AE">
        <w:t>f</w:t>
      </w:r>
      <w:r w:rsidR="00E674EE">
        <w:t>orecast in the tables above</w:t>
      </w:r>
      <w:bookmarkStart w:id="13" w:name="_GoBack"/>
      <w:bookmarkEnd w:id="13"/>
      <w:r w:rsidRPr="00C578EB">
        <w:t>.</w:t>
      </w:r>
      <w:r w:rsidR="00FC03E3">
        <w:rPr>
          <w:rStyle w:val="FootnoteReference"/>
        </w:rPr>
        <w:footnoteReference w:id="15"/>
      </w:r>
      <w:r w:rsidRPr="00C578EB">
        <w:t xml:space="preserve"> A deeper analysis will be undertaken </w:t>
      </w:r>
      <w:r w:rsidR="008518E6">
        <w:t xml:space="preserve">using 30 June 2021 data </w:t>
      </w:r>
      <w:r w:rsidRPr="00C578EB">
        <w:t>and the projection included in the NDIA annual report released in October</w:t>
      </w:r>
      <w:r w:rsidR="00F36028">
        <w:t> </w:t>
      </w:r>
      <w:r w:rsidRPr="00C578EB">
        <w:t>2021.</w:t>
      </w:r>
    </w:p>
    <w:p w14:paraId="5F0775AB" w14:textId="77777777" w:rsidR="006C26E9" w:rsidRPr="00C578EB" w:rsidRDefault="006C26E9" w:rsidP="00546104">
      <w:pPr>
        <w:pStyle w:val="FSRHeading4"/>
      </w:pPr>
      <w:r w:rsidRPr="00C578EB">
        <w:t>Scheme reform</w:t>
      </w:r>
    </w:p>
    <w:p w14:paraId="276939A4" w14:textId="50B0E9C0" w:rsidR="006C26E9" w:rsidRPr="00597704" w:rsidRDefault="006C26E9" w:rsidP="00546104">
      <w:r w:rsidRPr="00C578EB">
        <w:t>The introduction to NDIA’s Quarterly Report to Disability Ministers at 31 March 2021 provided detail on a comprehensive set of initiatives being progressed to improve the Scheme’s fairness, consistency, flexibility and affordability. These initiatives are in-line with the participant-focussed vision embodied in the 2011 Productivity Commission Report on Disability Care and Support.</w:t>
      </w:r>
      <w:r w:rsidR="00741593">
        <w:t xml:space="preserve"> </w:t>
      </w:r>
      <w:r w:rsidRPr="00C578EB">
        <w:t xml:space="preserve">The projections in this report do not fully take into account these initiatives. </w:t>
      </w:r>
      <w:r w:rsidR="00741593">
        <w:t>The NDIA considers these</w:t>
      </w:r>
      <w:r w:rsidR="00741593" w:rsidRPr="00C578EB">
        <w:t xml:space="preserve"> reforms </w:t>
      </w:r>
      <w:r w:rsidR="00741593">
        <w:t>to be</w:t>
      </w:r>
      <w:r w:rsidR="00741593" w:rsidRPr="00C578EB">
        <w:t xml:space="preserve"> necessary to improve the financial sustainably of the NDIS now and into the future.</w:t>
      </w:r>
    </w:p>
    <w:p w14:paraId="45F9D631" w14:textId="3ACED0F4" w:rsidR="00BD4A22" w:rsidRPr="00C578EB" w:rsidRDefault="00BD4A22" w:rsidP="00BD4A22">
      <w:pPr>
        <w:pStyle w:val="Heading2"/>
      </w:pPr>
      <w:bookmarkStart w:id="14" w:name="_Toc76132720"/>
      <w:r w:rsidRPr="00C578EB">
        <w:lastRenderedPageBreak/>
        <w:t>Introduction</w:t>
      </w:r>
      <w:bookmarkEnd w:id="0"/>
      <w:bookmarkEnd w:id="1"/>
      <w:bookmarkEnd w:id="14"/>
    </w:p>
    <w:p w14:paraId="7CAF11DA" w14:textId="79187C00" w:rsidR="00BD4A22" w:rsidRPr="00C578EB" w:rsidRDefault="00301831" w:rsidP="00301831">
      <w:r w:rsidRPr="00C578EB">
        <w:t xml:space="preserve">An annual financial sustainability report </w:t>
      </w:r>
      <w:r w:rsidR="0044526D" w:rsidRPr="00C578EB">
        <w:t xml:space="preserve">(AFSR) </w:t>
      </w:r>
      <w:r w:rsidRPr="00C578EB">
        <w:t xml:space="preserve">is required under section 180B of the NDIS Act and provides an assessment of the financial sustainability of the </w:t>
      </w:r>
      <w:r w:rsidR="008720AE" w:rsidRPr="00C578EB">
        <w:t>National Disability Insurance Scheme (“the Scheme”, or NDIS)</w:t>
      </w:r>
      <w:r w:rsidRPr="00C578EB">
        <w:t xml:space="preserve">. </w:t>
      </w:r>
      <w:r w:rsidR="00BA5A51" w:rsidRPr="00C578EB">
        <w:t xml:space="preserve">This </w:t>
      </w:r>
      <w:r w:rsidR="00E50D06">
        <w:t xml:space="preserve">interim </w:t>
      </w:r>
      <w:r w:rsidR="00BA5A51" w:rsidRPr="00C578EB">
        <w:t xml:space="preserve">report </w:t>
      </w:r>
      <w:r w:rsidR="00802104" w:rsidRPr="00C578EB">
        <w:t xml:space="preserve">includes </w:t>
      </w:r>
      <w:r w:rsidR="0078552F" w:rsidRPr="00C578EB">
        <w:t>analyses</w:t>
      </w:r>
      <w:r w:rsidR="00801665" w:rsidRPr="00C578EB">
        <w:t xml:space="preserve"> </w:t>
      </w:r>
      <w:r w:rsidR="0078552F" w:rsidRPr="00C578EB">
        <w:t xml:space="preserve">and discussion on recent Scheme experience, </w:t>
      </w:r>
      <w:r w:rsidR="006C0E59" w:rsidRPr="00C578EB">
        <w:t xml:space="preserve">best estimate </w:t>
      </w:r>
      <w:r w:rsidR="0078552F" w:rsidRPr="00C578EB">
        <w:t xml:space="preserve">projections of future </w:t>
      </w:r>
      <w:r w:rsidR="006C0E59" w:rsidRPr="00C578EB">
        <w:t>participant numbers and costs</w:t>
      </w:r>
      <w:r w:rsidR="00CF24F4" w:rsidRPr="00C578EB">
        <w:t xml:space="preserve"> (based on emerging experience and future expectations)</w:t>
      </w:r>
      <w:r w:rsidR="0044526D" w:rsidRPr="00C578EB">
        <w:t xml:space="preserve">, and strategies </w:t>
      </w:r>
      <w:r w:rsidR="00BE3BB0" w:rsidRPr="00C578EB">
        <w:t xml:space="preserve">to address risks </w:t>
      </w:r>
      <w:r w:rsidR="00802104" w:rsidRPr="00C578EB">
        <w:t>to sustainability</w:t>
      </w:r>
      <w:r w:rsidR="00C45622" w:rsidRPr="00C578EB">
        <w:t>.</w:t>
      </w:r>
      <w:r w:rsidR="00801665" w:rsidRPr="00C578EB">
        <w:t xml:space="preserve"> </w:t>
      </w:r>
    </w:p>
    <w:p w14:paraId="723D13E8" w14:textId="4866937F" w:rsidR="00037E5D" w:rsidRPr="00C578EB" w:rsidRDefault="00037E5D" w:rsidP="00C45622">
      <w:r w:rsidRPr="00C578EB">
        <w:t xml:space="preserve">The best estimate projection in this </w:t>
      </w:r>
      <w:r w:rsidR="00E50D06">
        <w:t xml:space="preserve">interim </w:t>
      </w:r>
      <w:r w:rsidRPr="00C578EB">
        <w:t xml:space="preserve">report has been reviewed by the Peer Review Actuary (see section </w:t>
      </w:r>
      <w:r w:rsidR="00555596" w:rsidRPr="00C578EB">
        <w:t>6</w:t>
      </w:r>
      <w:r w:rsidRPr="00C578EB">
        <w:t>).</w:t>
      </w:r>
      <w:r w:rsidR="00703224" w:rsidRPr="00C578EB">
        <w:t xml:space="preserve"> </w:t>
      </w:r>
    </w:p>
    <w:p w14:paraId="4829547F" w14:textId="3C3ACFEA" w:rsidR="00BE3BB0" w:rsidRPr="00C578EB" w:rsidRDefault="00BE3BB0" w:rsidP="00C45622">
      <w:r w:rsidRPr="00C578EB">
        <w:t xml:space="preserve">An update to this </w:t>
      </w:r>
      <w:r w:rsidR="00E50D06">
        <w:t xml:space="preserve">interim </w:t>
      </w:r>
      <w:r w:rsidRPr="00C578EB">
        <w:t xml:space="preserve">report </w:t>
      </w:r>
      <w:r w:rsidR="00037E5D" w:rsidRPr="00C578EB">
        <w:t xml:space="preserve">(including review by the </w:t>
      </w:r>
      <w:r w:rsidR="00555596" w:rsidRPr="00C578EB">
        <w:t>Peer Review Actuary</w:t>
      </w:r>
      <w:r w:rsidR="00037E5D" w:rsidRPr="00C578EB">
        <w:t xml:space="preserve">) </w:t>
      </w:r>
      <w:r w:rsidRPr="00C578EB">
        <w:t>will be included in the 2020-21 NDIA Annual Report, released in October 2021.</w:t>
      </w:r>
      <w:r w:rsidR="0044526D" w:rsidRPr="00C578EB">
        <w:t xml:space="preserve"> </w:t>
      </w:r>
    </w:p>
    <w:p w14:paraId="634CE249" w14:textId="77777777" w:rsidR="00BD4A22" w:rsidRPr="00C578EB" w:rsidRDefault="00C45622" w:rsidP="0014246F">
      <w:pPr>
        <w:pStyle w:val="FSRHeading4"/>
      </w:pPr>
      <w:r w:rsidRPr="00C578EB">
        <w:t>Background</w:t>
      </w:r>
    </w:p>
    <w:p w14:paraId="179201BC" w14:textId="08FF099A" w:rsidR="00651D9F" w:rsidRPr="00C578EB" w:rsidRDefault="00651D9F" w:rsidP="00651D9F">
      <w:r w:rsidRPr="00C578EB">
        <w:t xml:space="preserve">The purpose of the </w:t>
      </w:r>
      <w:r w:rsidR="008720AE" w:rsidRPr="00C578EB">
        <w:t>NDIS</w:t>
      </w:r>
      <w:r w:rsidRPr="00C578EB">
        <w:t xml:space="preserve"> is to provide reasonable and necessary funding to people with a permanent and significant disability so that they </w:t>
      </w:r>
      <w:r w:rsidR="00B00EB2" w:rsidRPr="00C578EB">
        <w:t xml:space="preserve">have choice and control over the </w:t>
      </w:r>
      <w:r w:rsidRPr="00C578EB">
        <w:t xml:space="preserve">supports and services they need to </w:t>
      </w:r>
      <w:r w:rsidR="004E7810" w:rsidRPr="00C578EB">
        <w:t>pursue life opportunities</w:t>
      </w:r>
      <w:r w:rsidRPr="00C578EB">
        <w:t>. A key cornerstone underlying the operation of the Scheme is strong insurance principles</w:t>
      </w:r>
      <w:r w:rsidR="00645F49" w:rsidRPr="00C578EB">
        <w:t>, wh</w:t>
      </w:r>
      <w:r w:rsidRPr="00C578EB">
        <w:t xml:space="preserve">ere </w:t>
      </w:r>
      <w:r w:rsidR="00941AAA" w:rsidRPr="00C578EB">
        <w:t>evidence</w:t>
      </w:r>
      <w:r w:rsidR="00941AAA" w:rsidRPr="00C578EB">
        <w:noBreakHyphen/>
      </w:r>
      <w:r w:rsidR="00645F49" w:rsidRPr="00C578EB">
        <w:t xml:space="preserve">based decisions </w:t>
      </w:r>
      <w:r w:rsidR="00226D8F" w:rsidRPr="00C578EB">
        <w:t xml:space="preserve">on access and </w:t>
      </w:r>
      <w:r w:rsidR="00A62235" w:rsidRPr="00C578EB">
        <w:t xml:space="preserve">planning </w:t>
      </w:r>
      <w:r w:rsidR="00645F49" w:rsidRPr="00C578EB">
        <w:t xml:space="preserve">are made by drawing on </w:t>
      </w:r>
      <w:r w:rsidR="006C53B0" w:rsidRPr="00C578EB">
        <w:t xml:space="preserve">objective information on individuals and </w:t>
      </w:r>
      <w:r w:rsidR="00645F49" w:rsidRPr="00C578EB">
        <w:t>the longitudinal data that is collected on participants</w:t>
      </w:r>
      <w:r w:rsidR="001F34AA" w:rsidRPr="00C578EB">
        <w:t xml:space="preserve"> in the Scheme</w:t>
      </w:r>
      <w:r w:rsidR="00645F49" w:rsidRPr="00C578EB">
        <w:t>. Experience is closely and regularly monitored to allow emerging risks</w:t>
      </w:r>
      <w:r w:rsidR="004938F6" w:rsidRPr="00C578EB">
        <w:t xml:space="preserve"> and issues</w:t>
      </w:r>
      <w:r w:rsidR="00645F49" w:rsidRPr="00C578EB">
        <w:t xml:space="preserve"> to be identified and </w:t>
      </w:r>
      <w:r w:rsidR="007D46CE" w:rsidRPr="00C578EB">
        <w:t xml:space="preserve">where required, </w:t>
      </w:r>
      <w:r w:rsidR="00645F49" w:rsidRPr="00C578EB">
        <w:t>remediation strategies to be implemented.</w:t>
      </w:r>
    </w:p>
    <w:p w14:paraId="57593C66" w14:textId="2C94B469" w:rsidR="00447292" w:rsidRPr="00C578EB" w:rsidRDefault="00447292" w:rsidP="00651D9F">
      <w:r w:rsidRPr="00C578EB">
        <w:t>Importantly, the Scheme has a life</w:t>
      </w:r>
      <w:r w:rsidR="001F34AA" w:rsidRPr="00C578EB">
        <w:t>span</w:t>
      </w:r>
      <w:r w:rsidR="00F2313D" w:rsidRPr="00C578EB">
        <w:t>, person-centric</w:t>
      </w:r>
      <w:r w:rsidRPr="00C578EB">
        <w:t xml:space="preserve"> approach to its model of support for people with disability</w:t>
      </w:r>
      <w:r w:rsidR="004938F6" w:rsidRPr="00C578EB">
        <w:t>, where early investment i</w:t>
      </w:r>
      <w:r w:rsidRPr="00C578EB">
        <w:t>n core, capacity building and capital supports</w:t>
      </w:r>
      <w:r w:rsidR="004938F6" w:rsidRPr="00C578EB">
        <w:t xml:space="preserve"> are </w:t>
      </w:r>
      <w:r w:rsidR="001F34AA" w:rsidRPr="00C578EB">
        <w:t>anticipated</w:t>
      </w:r>
      <w:r w:rsidR="004938F6" w:rsidRPr="00C578EB">
        <w:t xml:space="preserve"> to drive better outcomes for participants </w:t>
      </w:r>
      <w:r w:rsidR="006C0E59" w:rsidRPr="00C578EB">
        <w:t xml:space="preserve">and their family/carers </w:t>
      </w:r>
      <w:r w:rsidR="001F34AA" w:rsidRPr="00C578EB">
        <w:t>over their lifetime</w:t>
      </w:r>
      <w:r w:rsidRPr="00C578EB">
        <w:t>.</w:t>
      </w:r>
      <w:r w:rsidR="001F34AA" w:rsidRPr="00C578EB">
        <w:t xml:space="preserve"> </w:t>
      </w:r>
    </w:p>
    <w:p w14:paraId="156EEA40" w14:textId="77777777" w:rsidR="00645F49" w:rsidRPr="00C578EB" w:rsidRDefault="00645F49" w:rsidP="001F34AA">
      <w:r w:rsidRPr="00C578EB">
        <w:t xml:space="preserve">The </w:t>
      </w:r>
      <w:r w:rsidRPr="00C578EB">
        <w:rPr>
          <w:i/>
        </w:rPr>
        <w:t>NDIS Insurance Principles and Financial Sustainability Manual</w:t>
      </w:r>
      <w:r w:rsidRPr="00C578EB">
        <w:rPr>
          <w:rStyle w:val="FootnoteReference"/>
        </w:rPr>
        <w:footnoteReference w:id="16"/>
      </w:r>
      <w:r w:rsidRPr="00C578EB">
        <w:t xml:space="preserve"> outlines</w:t>
      </w:r>
      <w:r w:rsidR="001F34AA" w:rsidRPr="00C578EB">
        <w:t xml:space="preserve"> the insurance model in detail and </w:t>
      </w:r>
      <w:r w:rsidRPr="00C578EB">
        <w:t>defines financial sustainability as the state where:</w:t>
      </w:r>
    </w:p>
    <w:p w14:paraId="5B1D60E1" w14:textId="24F82F75" w:rsidR="00645F49" w:rsidRPr="00C578EB" w:rsidRDefault="00645F49" w:rsidP="00645F49">
      <w:pPr>
        <w:pStyle w:val="FSRlist"/>
        <w:rPr>
          <w:i/>
        </w:rPr>
      </w:pPr>
      <w:r w:rsidRPr="00C578EB">
        <w:rPr>
          <w:i/>
        </w:rPr>
        <w:t xml:space="preserve">the scheme is successful on the balance of objective measures and projections of economic </w:t>
      </w:r>
      <w:r w:rsidR="004F601A" w:rsidRPr="00C578EB">
        <w:rPr>
          <w:i/>
        </w:rPr>
        <w:t>and</w:t>
      </w:r>
      <w:r w:rsidRPr="00C578EB">
        <w:rPr>
          <w:i/>
        </w:rPr>
        <w:t xml:space="preserve"> social participation and independence, and on participants’ views that they are getting enough money to buy enough goods and services to allow them reasonable access to life opportunities - that is, reasonable and necessary support</w:t>
      </w:r>
      <w:r w:rsidR="000333E6" w:rsidRPr="00C578EB">
        <w:rPr>
          <w:i/>
        </w:rPr>
        <w:t>;</w:t>
      </w:r>
    </w:p>
    <w:p w14:paraId="111A8A75" w14:textId="77777777" w:rsidR="00645F49" w:rsidRPr="00C578EB" w:rsidRDefault="00645F49" w:rsidP="00645F49">
      <w:pPr>
        <w:pStyle w:val="FSRlist"/>
        <w:spacing w:after="240"/>
        <w:ind w:left="714" w:hanging="357"/>
        <w:rPr>
          <w:i/>
        </w:rPr>
      </w:pPr>
      <w:r w:rsidRPr="00C578EB">
        <w:rPr>
          <w:i/>
        </w:rPr>
        <w:t>contributors think that the cost is and will continue to be affordable, under control, represents value for money and, therefore, remain willing to contribute.</w:t>
      </w:r>
    </w:p>
    <w:p w14:paraId="12EC5253" w14:textId="6CE569F4" w:rsidR="00B967F7" w:rsidRPr="00C578EB" w:rsidRDefault="00584559" w:rsidP="002837EC">
      <w:r w:rsidRPr="00C578EB">
        <w:t>The current government expectation</w:t>
      </w:r>
      <w:r w:rsidR="009B40FE" w:rsidRPr="00C578EB">
        <w:t xml:space="preserve"> of Scheme cost</w:t>
      </w:r>
      <w:r w:rsidRPr="00C578EB">
        <w:t xml:space="preserve"> is included in the annual Portfolio Budget Statements (PBS), noting it </w:t>
      </w:r>
      <w:r w:rsidR="002837EC" w:rsidRPr="00C578EB">
        <w:t xml:space="preserve">is </w:t>
      </w:r>
      <w:r w:rsidR="006C0E59" w:rsidRPr="00C578EB">
        <w:t xml:space="preserve">not only the financial cost of the Scheme that is </w:t>
      </w:r>
      <w:r w:rsidR="006C0E59" w:rsidRPr="00C578EB">
        <w:lastRenderedPageBreak/>
        <w:t>important</w:t>
      </w:r>
      <w:r w:rsidR="002837EC" w:rsidRPr="00C578EB">
        <w:t xml:space="preserve"> within the context of financial sustainability</w:t>
      </w:r>
      <w:r w:rsidR="006C0E59" w:rsidRPr="00C578EB">
        <w:t>, but also the outcomes achieved by the Scheme.</w:t>
      </w:r>
    </w:p>
    <w:p w14:paraId="10CA5CF7" w14:textId="46165A59" w:rsidR="00802104" w:rsidRPr="00C578EB" w:rsidRDefault="00802104" w:rsidP="002837EC">
      <w:r w:rsidRPr="00C578EB">
        <w:t>Outcomes for participants and their families/carers are reported regularly in the NDIA’s quarterly reports to Disability Ministers, and more detailed analysis and data is available on the NDIA Data and Insights website.</w:t>
      </w:r>
      <w:r w:rsidRPr="00C578EB">
        <w:rPr>
          <w:rStyle w:val="FootnoteReference"/>
        </w:rPr>
        <w:footnoteReference w:id="17"/>
      </w:r>
    </w:p>
    <w:p w14:paraId="6A63DAD1" w14:textId="6218B9CA" w:rsidR="002C276D" w:rsidRPr="00C578EB" w:rsidRDefault="002C276D" w:rsidP="002C276D">
      <w:pPr>
        <w:pStyle w:val="FSRHeading4"/>
      </w:pPr>
      <w:r w:rsidRPr="00C578EB">
        <w:t>Current financial sustainability position</w:t>
      </w:r>
    </w:p>
    <w:p w14:paraId="13AF02EB" w14:textId="59428718" w:rsidR="00802104" w:rsidRPr="00C578EB" w:rsidRDefault="00C33D1E" w:rsidP="00802104">
      <w:r w:rsidRPr="00C578EB">
        <w:t xml:space="preserve">The NDIS has been in operation since 1 July 2013. The first three years of the Scheme were a trial period, and this was followed by the transition period which commenced on 1 July 2016, with the Scheme progressively rolled out across the country within four years. Since inception, the </w:t>
      </w:r>
      <w:r w:rsidR="008720AE" w:rsidRPr="00C578EB">
        <w:t xml:space="preserve">National Disability Insurance Agency (“the Agency”, or </w:t>
      </w:r>
      <w:r w:rsidRPr="00C578EB">
        <w:t>NDIA</w:t>
      </w:r>
      <w:r w:rsidR="008720AE" w:rsidRPr="00C578EB">
        <w:t>)</w:t>
      </w:r>
      <w:r w:rsidRPr="00C578EB">
        <w:t xml:space="preserve"> has had an increasing focus on improving participant experience. For example, there </w:t>
      </w:r>
      <w:r w:rsidR="00584559" w:rsidRPr="00C578EB">
        <w:t xml:space="preserve">was significant work undertaken on the participant pathway to improve the participant experience, </w:t>
      </w:r>
      <w:r w:rsidRPr="00C578EB">
        <w:t>a need to improve the speed of internal decision</w:t>
      </w:r>
      <w:r w:rsidRPr="00C578EB">
        <w:noBreakHyphen/>
        <w:t>making</w:t>
      </w:r>
      <w:r w:rsidRPr="00C578EB">
        <w:rPr>
          <w:rStyle w:val="FootnoteReference"/>
        </w:rPr>
        <w:footnoteReference w:id="18"/>
      </w:r>
      <w:r w:rsidR="00584559" w:rsidRPr="00C578EB">
        <w:t>,</w:t>
      </w:r>
      <w:r w:rsidRPr="00C578EB">
        <w:t xml:space="preserve"> and </w:t>
      </w:r>
      <w:r w:rsidR="00584559" w:rsidRPr="00C578EB">
        <w:t xml:space="preserve">a need to </w:t>
      </w:r>
      <w:r w:rsidRPr="00C578EB">
        <w:t xml:space="preserve">improve access to reasonable and necessary disability supports by growing provider markets to meet the increased demand. </w:t>
      </w:r>
      <w:r w:rsidR="00802104" w:rsidRPr="00C578EB">
        <w:t xml:space="preserve">Several financial sustainability issues have </w:t>
      </w:r>
      <w:r w:rsidR="00FE7E77" w:rsidRPr="00C578EB">
        <w:t xml:space="preserve">also </w:t>
      </w:r>
      <w:r w:rsidR="00802104" w:rsidRPr="00C578EB">
        <w:t xml:space="preserve">been building over </w:t>
      </w:r>
      <w:r w:rsidR="006C53B0" w:rsidRPr="00C578EB">
        <w:t xml:space="preserve">the </w:t>
      </w:r>
      <w:r w:rsidR="00802104" w:rsidRPr="00C578EB">
        <w:t xml:space="preserve">years, </w:t>
      </w:r>
      <w:r w:rsidR="006C53B0" w:rsidRPr="00C578EB">
        <w:t xml:space="preserve">and </w:t>
      </w:r>
      <w:r w:rsidR="00802104" w:rsidRPr="00C578EB">
        <w:t>the impacts of which are becoming increasingly significant</w:t>
      </w:r>
      <w:r w:rsidRPr="00C578EB">
        <w:t>.</w:t>
      </w:r>
    </w:p>
    <w:p w14:paraId="045F6092" w14:textId="4CC66A6E" w:rsidR="001D6893" w:rsidRPr="00C578EB" w:rsidRDefault="008C084C" w:rsidP="001D6893">
      <w:r w:rsidRPr="00C578EB">
        <w:t xml:space="preserve">Specifically, these financial sustainability issues are evident when compared to the PBS. Between 2016-17 and 2018-19, </w:t>
      </w:r>
      <w:r w:rsidR="00FE7E77" w:rsidRPr="00C578EB">
        <w:t xml:space="preserve">total </w:t>
      </w:r>
      <w:r w:rsidR="002C276D" w:rsidRPr="00C578EB">
        <w:t xml:space="preserve">Scheme costs trended well below </w:t>
      </w:r>
      <w:r w:rsidR="00A62235" w:rsidRPr="00C578EB">
        <w:t>the estimates in the PBS</w:t>
      </w:r>
      <w:r w:rsidR="002C276D" w:rsidRPr="00C578EB">
        <w:t xml:space="preserve">. This was primarily due to participants entering the Scheme </w:t>
      </w:r>
      <w:r w:rsidR="003E6CFE">
        <w:t xml:space="preserve">more slowly </w:t>
      </w:r>
      <w:r w:rsidR="002C276D" w:rsidRPr="00C578EB">
        <w:t>than initially anticipated in the bilateral agreements</w:t>
      </w:r>
      <w:r w:rsidR="00600F50" w:rsidRPr="00C578EB">
        <w:t xml:space="preserve"> between the Commonwealth and State/Territory governments</w:t>
      </w:r>
      <w:r w:rsidR="002C276D" w:rsidRPr="00C578EB">
        <w:t>.</w:t>
      </w:r>
      <w:r w:rsidR="00D16345" w:rsidRPr="00C578EB">
        <w:t xml:space="preserve"> </w:t>
      </w:r>
      <w:r w:rsidR="005A0E0F" w:rsidRPr="00C578EB">
        <w:t>However, i</w:t>
      </w:r>
      <w:r w:rsidR="002C276D" w:rsidRPr="00C578EB">
        <w:t>n 2019-20, Scheme costs exceeded the 20</w:t>
      </w:r>
      <w:r w:rsidR="001D6893" w:rsidRPr="00C578EB">
        <w:t>19</w:t>
      </w:r>
      <w:r w:rsidR="002C276D" w:rsidRPr="00C578EB">
        <w:t>-</w:t>
      </w:r>
      <w:r w:rsidR="001D6893" w:rsidRPr="00C578EB">
        <w:t>20</w:t>
      </w:r>
      <w:r w:rsidR="002C276D" w:rsidRPr="00C578EB">
        <w:t xml:space="preserve"> PBS for the first time</w:t>
      </w:r>
      <w:r w:rsidR="001D6893" w:rsidRPr="00C578EB">
        <w:t xml:space="preserve"> (costs were $17.</w:t>
      </w:r>
      <w:r w:rsidR="00AA6BCA" w:rsidRPr="00C578EB">
        <w:t>6</w:t>
      </w:r>
      <w:r w:rsidR="001D6893" w:rsidRPr="00C578EB">
        <w:t> billion compared with $16.</w:t>
      </w:r>
      <w:r w:rsidR="00E52DDF" w:rsidRPr="00C578EB">
        <w:t>3</w:t>
      </w:r>
      <w:r w:rsidR="001D6893" w:rsidRPr="00C578EB">
        <w:t> billion)</w:t>
      </w:r>
      <w:r w:rsidR="002C276D" w:rsidRPr="00C578EB">
        <w:t xml:space="preserve">. </w:t>
      </w:r>
      <w:r w:rsidR="00FE7E77" w:rsidRPr="00C578EB">
        <w:t>C</w:t>
      </w:r>
      <w:r w:rsidR="001D6893" w:rsidRPr="00C578EB">
        <w:t>osts in 2020-21 will also exceed the 2020-21 PBS (</w:t>
      </w:r>
      <w:r w:rsidR="00FE7E77" w:rsidRPr="00C578EB">
        <w:t xml:space="preserve">estimated to be </w:t>
      </w:r>
      <w:r w:rsidR="001D6893" w:rsidRPr="00C578EB">
        <w:t>$23.</w:t>
      </w:r>
      <w:r w:rsidR="00A62235" w:rsidRPr="00C578EB">
        <w:t>3 </w:t>
      </w:r>
      <w:r w:rsidR="001D6893" w:rsidRPr="00C578EB">
        <w:t xml:space="preserve">billion compared with $21.7 billion). </w:t>
      </w:r>
    </w:p>
    <w:p w14:paraId="300933C5" w14:textId="7AB01292" w:rsidR="001D6893" w:rsidRPr="00C578EB" w:rsidRDefault="001D6893" w:rsidP="001D6893">
      <w:r w:rsidRPr="00C578EB">
        <w:t>The 2021-22 PBS included an increase in future expenditure for 2021-22 o</w:t>
      </w:r>
      <w:r w:rsidR="00227C0A" w:rsidRPr="00C578EB">
        <w:t xml:space="preserve">nwards compared with the </w:t>
      </w:r>
      <w:r w:rsidR="008C084C" w:rsidRPr="00C578EB">
        <w:t>2020</w:t>
      </w:r>
      <w:r w:rsidR="00227C0A" w:rsidRPr="00C578EB">
        <w:t>-</w:t>
      </w:r>
      <w:r w:rsidR="008C084C" w:rsidRPr="00C578EB">
        <w:t xml:space="preserve">21 </w:t>
      </w:r>
      <w:r w:rsidRPr="00C578EB">
        <w:t>PBS</w:t>
      </w:r>
      <w:r w:rsidR="00600F50" w:rsidRPr="00C578EB">
        <w:t xml:space="preserve"> (of $</w:t>
      </w:r>
      <w:r w:rsidR="00AA6BCA" w:rsidRPr="00C578EB">
        <w:t xml:space="preserve">12.0 </w:t>
      </w:r>
      <w:r w:rsidR="00600F50" w:rsidRPr="00C578EB">
        <w:t>billion)</w:t>
      </w:r>
      <w:r w:rsidRPr="00C578EB">
        <w:t>.</w:t>
      </w:r>
      <w:r w:rsidR="00C129EB" w:rsidRPr="00C578EB">
        <w:t xml:space="preserve"> A comparison of actual participant costs</w:t>
      </w:r>
      <w:r w:rsidR="00600F50" w:rsidRPr="00C578EB">
        <w:t xml:space="preserve"> and </w:t>
      </w:r>
      <w:r w:rsidR="00C129EB" w:rsidRPr="00C578EB">
        <w:t xml:space="preserve">portfolio budget statements can be found in </w:t>
      </w:r>
      <w:r w:rsidR="00C129EB" w:rsidRPr="00597704">
        <w:fldChar w:fldCharType="begin"/>
      </w:r>
      <w:r w:rsidR="00C129EB" w:rsidRPr="00C578EB">
        <w:instrText xml:space="preserve"> REF _Ref74331882 \h </w:instrText>
      </w:r>
      <w:r w:rsidR="00512FF0" w:rsidRPr="00C578EB">
        <w:instrText xml:space="preserve"> \* MERGEFORMAT </w:instrText>
      </w:r>
      <w:r w:rsidR="00C129EB" w:rsidRPr="00597704">
        <w:fldChar w:fldCharType="separate"/>
      </w:r>
      <w:r w:rsidR="00715347" w:rsidRPr="00597704">
        <w:t xml:space="preserve">Table </w:t>
      </w:r>
      <w:r w:rsidR="00715347">
        <w:rPr>
          <w:noProof/>
        </w:rPr>
        <w:t>4</w:t>
      </w:r>
      <w:r w:rsidR="00C129EB" w:rsidRPr="00597704">
        <w:fldChar w:fldCharType="end"/>
      </w:r>
      <w:r w:rsidR="00847E80" w:rsidRPr="00C578EB">
        <w:t xml:space="preserve">, with </w:t>
      </w:r>
      <w:r w:rsidR="000D3A9B" w:rsidRPr="00C578EB">
        <w:t>a negative amount reflecting underspend on participant costs and a positive amount reflecting an overspend.</w:t>
      </w:r>
    </w:p>
    <w:p w14:paraId="4B2C1C78" w14:textId="7E68B138" w:rsidR="00C129EB" w:rsidRPr="00597704" w:rsidRDefault="00C129EB" w:rsidP="00CB3999">
      <w:pPr>
        <w:pStyle w:val="Tables"/>
      </w:pPr>
      <w:bookmarkStart w:id="15" w:name="_Ref74331882"/>
      <w:r w:rsidRPr="00597704">
        <w:lastRenderedPageBreak/>
        <w:t xml:space="preserve">Table </w:t>
      </w:r>
      <w:fldSimple w:instr=" SEQ Table \* ARABIC ">
        <w:r w:rsidR="00715347">
          <w:rPr>
            <w:noProof/>
          </w:rPr>
          <w:t>4</w:t>
        </w:r>
      </w:fldSimple>
      <w:bookmarkEnd w:id="15"/>
      <w:r w:rsidRPr="00597704">
        <w:t xml:space="preserve"> Comparison of actual participant costs</w:t>
      </w:r>
      <w:r w:rsidR="00E52DDF" w:rsidRPr="00597704">
        <w:t xml:space="preserve"> and</w:t>
      </w:r>
      <w:r w:rsidRPr="00597704">
        <w:t xml:space="preserve"> PBS estimates</w:t>
      </w:r>
    </w:p>
    <w:p w14:paraId="2BBF1D68" w14:textId="16560AA1" w:rsidR="00AD5E58" w:rsidRPr="00597704" w:rsidRDefault="003607B9" w:rsidP="002C276D">
      <w:pPr>
        <w:pStyle w:val="FSRnormal"/>
      </w:pPr>
      <w:r w:rsidRPr="00597704">
        <w:rPr>
          <w:noProof/>
          <w:lang w:eastAsia="en-AU"/>
        </w:rPr>
        <w:drawing>
          <wp:inline distT="0" distB="0" distL="0" distR="0" wp14:anchorId="1AB92237" wp14:editId="44981ADB">
            <wp:extent cx="5731510" cy="1442151"/>
            <wp:effectExtent l="0" t="0" r="254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442151"/>
                    </a:xfrm>
                    <a:prstGeom prst="rect">
                      <a:avLst/>
                    </a:prstGeom>
                    <a:noFill/>
                    <a:ln>
                      <a:noFill/>
                    </a:ln>
                  </pic:spPr>
                </pic:pic>
              </a:graphicData>
            </a:graphic>
          </wp:inline>
        </w:drawing>
      </w:r>
    </w:p>
    <w:p w14:paraId="538155AD" w14:textId="3DCA28CB" w:rsidR="00C9049B" w:rsidRPr="00597704" w:rsidRDefault="00D16345" w:rsidP="00C9049B">
      <w:pPr>
        <w:pStyle w:val="FSRnormal"/>
      </w:pPr>
      <w:r w:rsidRPr="00597704">
        <w:t>The estimates in the 2021-22 Portfolio Budget Statements now also exceed the estimates in the 2017 Productivity Commission study report</w:t>
      </w:r>
      <w:r w:rsidR="00C9049B" w:rsidRPr="00597704">
        <w:t xml:space="preserve"> by $12.1b over the four years to 2024-25</w:t>
      </w:r>
      <w:r w:rsidR="00FC1F73" w:rsidRPr="00597704">
        <w:t>.</w:t>
      </w:r>
      <w:r w:rsidR="00C9049B" w:rsidRPr="00597704">
        <w:t xml:space="preserve"> A comparison of the 2021-22 PBS estimates with the 2017 PC estimates </w:t>
      </w:r>
      <w:r w:rsidR="008C084C" w:rsidRPr="00597704">
        <w:t xml:space="preserve">is included </w:t>
      </w:r>
      <w:r w:rsidR="00C9049B" w:rsidRPr="00597704">
        <w:t xml:space="preserve">in </w:t>
      </w:r>
      <w:r w:rsidR="00C9049B" w:rsidRPr="00597704">
        <w:fldChar w:fldCharType="begin"/>
      </w:r>
      <w:r w:rsidR="00C9049B" w:rsidRPr="00597704">
        <w:instrText xml:space="preserve"> REF _Ref75444559 \h </w:instrText>
      </w:r>
      <w:r w:rsidR="00512FF0" w:rsidRPr="00597704">
        <w:instrText xml:space="preserve"> \* MERGEFORMAT </w:instrText>
      </w:r>
      <w:r w:rsidR="00C9049B" w:rsidRPr="00597704">
        <w:fldChar w:fldCharType="separate"/>
      </w:r>
      <w:r w:rsidR="00715347" w:rsidRPr="00597704">
        <w:t xml:space="preserve">Table </w:t>
      </w:r>
      <w:r w:rsidR="00715347">
        <w:rPr>
          <w:noProof/>
        </w:rPr>
        <w:t>5</w:t>
      </w:r>
      <w:r w:rsidR="00C9049B" w:rsidRPr="00597704">
        <w:fldChar w:fldCharType="end"/>
      </w:r>
      <w:r w:rsidR="00C9049B" w:rsidRPr="00597704">
        <w:t>.</w:t>
      </w:r>
    </w:p>
    <w:p w14:paraId="502E85DB" w14:textId="6AA5F95C" w:rsidR="00C9049B" w:rsidRPr="00597704" w:rsidRDefault="00C9049B" w:rsidP="00851BF3">
      <w:pPr>
        <w:pStyle w:val="Tables"/>
      </w:pPr>
      <w:bookmarkStart w:id="16" w:name="_Ref75444559"/>
      <w:r w:rsidRPr="00597704">
        <w:t xml:space="preserve">Table </w:t>
      </w:r>
      <w:fldSimple w:instr=" SEQ Table \* ARABIC ">
        <w:r w:rsidR="00715347">
          <w:rPr>
            <w:noProof/>
          </w:rPr>
          <w:t>5</w:t>
        </w:r>
      </w:fldSimple>
      <w:bookmarkEnd w:id="16"/>
      <w:r w:rsidRPr="00597704">
        <w:t xml:space="preserve"> Comparison of </w:t>
      </w:r>
      <w:r w:rsidR="008C084C" w:rsidRPr="00597704">
        <w:t>2017 Productivity Commission estimates</w:t>
      </w:r>
      <w:r w:rsidR="00D847DE" w:rsidRPr="00597704">
        <w:rPr>
          <w:rStyle w:val="FootnoteReference"/>
        </w:rPr>
        <w:footnoteReference w:id="19"/>
      </w:r>
      <w:r w:rsidR="008C084C" w:rsidRPr="00597704">
        <w:t xml:space="preserve"> </w:t>
      </w:r>
      <w:r w:rsidRPr="00597704">
        <w:t>and PBS estimates</w:t>
      </w:r>
    </w:p>
    <w:p w14:paraId="11C5CE50" w14:textId="62F306CD" w:rsidR="00060651" w:rsidRPr="00C578EB" w:rsidRDefault="00EB72B6" w:rsidP="002C276D">
      <w:pPr>
        <w:pStyle w:val="FSRnormal"/>
      </w:pPr>
      <w:r w:rsidRPr="00597704">
        <w:rPr>
          <w:noProof/>
          <w:lang w:eastAsia="en-AU"/>
        </w:rPr>
        <w:drawing>
          <wp:inline distT="0" distB="0" distL="0" distR="0" wp14:anchorId="72E5D19A" wp14:editId="05C48124">
            <wp:extent cx="5731510" cy="1099462"/>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099462"/>
                    </a:xfrm>
                    <a:prstGeom prst="rect">
                      <a:avLst/>
                    </a:prstGeom>
                    <a:noFill/>
                    <a:ln>
                      <a:noFill/>
                    </a:ln>
                  </pic:spPr>
                </pic:pic>
              </a:graphicData>
            </a:graphic>
          </wp:inline>
        </w:drawing>
      </w:r>
    </w:p>
    <w:p w14:paraId="6226A7C2" w14:textId="17689F0D" w:rsidR="005504F5" w:rsidRPr="00C578EB" w:rsidRDefault="001D7981" w:rsidP="00316A04">
      <w:pPr>
        <w:pStyle w:val="FSRHeading4"/>
      </w:pPr>
      <w:r w:rsidRPr="00C578EB">
        <w:t>COVID-19 pandemic</w:t>
      </w:r>
    </w:p>
    <w:p w14:paraId="3B2A6960" w14:textId="2AADBD30" w:rsidR="001D6893" w:rsidRPr="00C578EB" w:rsidRDefault="001D6893" w:rsidP="001D6893">
      <w:bookmarkStart w:id="17" w:name="_Ref17800025"/>
      <w:r w:rsidRPr="00C578EB">
        <w:t xml:space="preserve">The </w:t>
      </w:r>
      <w:r w:rsidR="005A0E0F" w:rsidRPr="00C578EB">
        <w:t xml:space="preserve">2020 calendar </w:t>
      </w:r>
      <w:r w:rsidRPr="00C578EB">
        <w:t>year was also marked by the COVID-19 pandemic. For the NDIA, the identification and prioritisation of critical supports was key in the continued delivery of services to participants during this time. A temporary 10 per cent COVID loading was applied to certain critical core and capacity building supports until 30 June 2020</w:t>
      </w:r>
      <w:r w:rsidRPr="00C578EB">
        <w:rPr>
          <w:rStyle w:val="FootnoteReference"/>
        </w:rPr>
        <w:footnoteReference w:id="20"/>
      </w:r>
      <w:r w:rsidRPr="00C578EB">
        <w:t>, changes were made to cancellation policies, and advance payments of approximately $650 million were made to providers. The COVID-19 pandemic, and associated NDIA working from home arrangements, has not affected the ability of Agency staff to process access requests and first plans, or undertake plan reviews.</w:t>
      </w:r>
    </w:p>
    <w:p w14:paraId="65195041" w14:textId="2BB750A1" w:rsidR="001D6893" w:rsidRPr="00C578EB" w:rsidRDefault="001D6893" w:rsidP="001D6893">
      <w:r w:rsidRPr="00C578EB">
        <w:t xml:space="preserve">While the pandemic saw a shift between support types within the Scheme, the underlying payments for support remained at pre-pandemic levels, indicating that participants continued to receive supports. There were reductions in payments for community and social participation supports and employment supports compared with pre-pandemic payments experience, due to the lockdown and physical distancing measures which restricted face-to-face services. This was offset by increases in support for activities of daily living to support </w:t>
      </w:r>
      <w:r w:rsidRPr="00C578EB">
        <w:lastRenderedPageBreak/>
        <w:t xml:space="preserve">participants at home, as well as an increase in payments for consumables, such as low-cost assistive technology and personal protective equipment. </w:t>
      </w:r>
    </w:p>
    <w:p w14:paraId="103E0D27" w14:textId="2105CAD9" w:rsidR="004E129E" w:rsidRPr="00C578EB" w:rsidRDefault="006C53B0" w:rsidP="004E129E">
      <w:pPr>
        <w:pStyle w:val="FSRHeading4"/>
      </w:pPr>
      <w:r w:rsidRPr="00C578EB">
        <w:t xml:space="preserve">Sections </w:t>
      </w:r>
      <w:r w:rsidR="00AD5E58" w:rsidRPr="00C578EB">
        <w:t>of the report</w:t>
      </w:r>
    </w:p>
    <w:p w14:paraId="03479CAA" w14:textId="212DCABF" w:rsidR="00935E2C" w:rsidRPr="00C578EB" w:rsidRDefault="00935E2C" w:rsidP="00AD5E58">
      <w:pPr>
        <w:pStyle w:val="FSRnormal"/>
      </w:pPr>
      <w:r w:rsidRPr="00C578EB">
        <w:t>The remainder of this report includes</w:t>
      </w:r>
      <w:r w:rsidR="005A0E0F" w:rsidRPr="00C578EB">
        <w:t xml:space="preserve"> the following sections:</w:t>
      </w:r>
    </w:p>
    <w:p w14:paraId="36A4EEBC" w14:textId="558B890C" w:rsidR="00935E2C" w:rsidRPr="00C578EB" w:rsidRDefault="00935E2C" w:rsidP="00935E2C">
      <w:pPr>
        <w:pStyle w:val="FSRnormal"/>
        <w:numPr>
          <w:ilvl w:val="0"/>
          <w:numId w:val="73"/>
        </w:numPr>
      </w:pPr>
      <w:r w:rsidRPr="00C578EB">
        <w:t>Section 2 – data and information used in the analysis</w:t>
      </w:r>
    </w:p>
    <w:p w14:paraId="79CD6241" w14:textId="3699FF90" w:rsidR="00935E2C" w:rsidRPr="00C578EB" w:rsidRDefault="00935E2C" w:rsidP="00935E2C">
      <w:pPr>
        <w:pStyle w:val="FSRnormal"/>
        <w:numPr>
          <w:ilvl w:val="0"/>
          <w:numId w:val="73"/>
        </w:numPr>
      </w:pPr>
      <w:r w:rsidRPr="00C578EB">
        <w:t>Section 3 – an outline of the methodology</w:t>
      </w:r>
    </w:p>
    <w:p w14:paraId="3F3FEA7F" w14:textId="64D753F9" w:rsidR="00935E2C" w:rsidRPr="00C578EB" w:rsidRDefault="00935E2C" w:rsidP="00935E2C">
      <w:pPr>
        <w:pStyle w:val="FSRnormal"/>
        <w:numPr>
          <w:ilvl w:val="0"/>
          <w:numId w:val="73"/>
        </w:numPr>
      </w:pPr>
      <w:r w:rsidRPr="00C578EB">
        <w:t>Section 4 – current experience</w:t>
      </w:r>
      <w:r w:rsidR="002B5935" w:rsidRPr="00C578EB">
        <w:t xml:space="preserve"> – participants and average payments</w:t>
      </w:r>
    </w:p>
    <w:p w14:paraId="5D5A2473" w14:textId="494EFF23" w:rsidR="00935E2C" w:rsidRPr="00C578EB" w:rsidRDefault="00935E2C" w:rsidP="00935E2C">
      <w:pPr>
        <w:pStyle w:val="FSRnormal"/>
        <w:numPr>
          <w:ilvl w:val="0"/>
          <w:numId w:val="73"/>
        </w:numPr>
      </w:pPr>
      <w:r w:rsidRPr="00C578EB">
        <w:t>Section 5 – projected scheme costs</w:t>
      </w:r>
      <w:r w:rsidR="002D4829" w:rsidRPr="00C578EB">
        <w:t>, including discussion on scheme reform</w:t>
      </w:r>
    </w:p>
    <w:p w14:paraId="0689D3DA" w14:textId="7643B5E1" w:rsidR="006C53B0" w:rsidRPr="00C578EB" w:rsidRDefault="006C53B0" w:rsidP="00935E2C">
      <w:pPr>
        <w:pStyle w:val="FSRnormal"/>
        <w:numPr>
          <w:ilvl w:val="0"/>
          <w:numId w:val="73"/>
        </w:numPr>
      </w:pPr>
      <w:r w:rsidRPr="00C578EB">
        <w:t xml:space="preserve">Section </w:t>
      </w:r>
      <w:r w:rsidR="002D4829" w:rsidRPr="00C578EB">
        <w:t>6</w:t>
      </w:r>
      <w:r w:rsidRPr="00C578EB">
        <w:t xml:space="preserve"> – peer review </w:t>
      </w:r>
      <w:r w:rsidR="00037E5D" w:rsidRPr="00C578EB">
        <w:t>actuarial report</w:t>
      </w:r>
    </w:p>
    <w:p w14:paraId="6842B4E5" w14:textId="06F9D8DF" w:rsidR="00CF535A" w:rsidRPr="00C578EB" w:rsidRDefault="00CF535A" w:rsidP="00CF535A">
      <w:pPr>
        <w:pStyle w:val="FSRHeading4"/>
      </w:pPr>
      <w:r w:rsidRPr="00C578EB">
        <w:t xml:space="preserve">Reliances and limitations </w:t>
      </w:r>
    </w:p>
    <w:p w14:paraId="4D7C8BBD" w14:textId="0823A2AF" w:rsidR="00650C77" w:rsidRPr="00C578EB" w:rsidRDefault="00650C77" w:rsidP="00650C77">
      <w:pPr>
        <w:spacing w:before="240"/>
      </w:pPr>
      <w:r w:rsidRPr="00C578EB">
        <w:t xml:space="preserve">This work was conducted for the sole use and benefit of the </w:t>
      </w:r>
      <w:r w:rsidR="008720AE" w:rsidRPr="00C578EB">
        <w:t>NDIA</w:t>
      </w:r>
      <w:r w:rsidRPr="00C578EB">
        <w:t xml:space="preserve"> to assist with monitoring, reporting, and management of the financial sustainability of the Scheme.</w:t>
      </w:r>
    </w:p>
    <w:p w14:paraId="3E09AAD3" w14:textId="77777777" w:rsidR="00650C77" w:rsidRPr="00C578EB" w:rsidRDefault="00650C77" w:rsidP="00650C77">
      <w:pPr>
        <w:spacing w:before="240"/>
      </w:pPr>
      <w:r w:rsidRPr="00C578EB">
        <w:t>No liability is accepted for loss or damage howsoever arising in the use of this document by the Agency or third parties for other than the purpose stated above, or for any use of this document, without full understanding of the reliance and limitations noted herein, or for errors or omissions arising from the provision of inaccurate or incomplete information.</w:t>
      </w:r>
    </w:p>
    <w:p w14:paraId="13EB4057" w14:textId="77777777" w:rsidR="00650C77" w:rsidRPr="00C578EB" w:rsidRDefault="00650C77" w:rsidP="00650C77">
      <w:pPr>
        <w:spacing w:before="240"/>
      </w:pPr>
      <w:r w:rsidRPr="00C578EB">
        <w:t>It is the responsibility of the Agency and third parties to ensure that recipients of copies of, or extracts from, this document understand the reliances on which any conclusions in this document are based.</w:t>
      </w:r>
    </w:p>
    <w:p w14:paraId="1CE4AA29" w14:textId="5FAC536E" w:rsidR="006C26E9" w:rsidRPr="00C578EB" w:rsidRDefault="006C26E9" w:rsidP="006C26E9">
      <w:r w:rsidRPr="00C578EB">
        <w:t xml:space="preserve">This report is a more detailed summary than the </w:t>
      </w:r>
      <w:r w:rsidR="003E6CFE">
        <w:t xml:space="preserve">one </w:t>
      </w:r>
      <w:r w:rsidRPr="00C578EB">
        <w:t>produced in the NDIA annual report and uses data to 31 December 2020 to project the future cost of the Scheme. Analysis post 31 December 2020 (until 31 May 2021) is also included in parts of the report, and the impacts on the projection of Scheme costs due to this recent Scheme experience is also discussed. A deeper analysis of this more recent experience will be included in the NDIA annual report released in October 2021.</w:t>
      </w:r>
    </w:p>
    <w:p w14:paraId="572AC346" w14:textId="739FC69E" w:rsidR="00650C77" w:rsidRPr="00C578EB" w:rsidRDefault="00650C77" w:rsidP="00650C77">
      <w:r w:rsidRPr="00C578EB">
        <w:t xml:space="preserve">Given the long-tail nature of the Scheme, experience continues to be relatively immature and many aspects remain difficult to interpret. </w:t>
      </w:r>
      <w:r w:rsidR="004B0A21" w:rsidRPr="00C578EB">
        <w:t>Specifically, it is difficult to interpret future expenditure based on past experience</w:t>
      </w:r>
      <w:r w:rsidR="006C26E9" w:rsidRPr="00C578EB">
        <w:t>, meaning there is significant uncertainty in the projection</w:t>
      </w:r>
      <w:r w:rsidR="004B0A21" w:rsidRPr="00C578EB">
        <w:t xml:space="preserve">. </w:t>
      </w:r>
      <w:r w:rsidRPr="00C578EB">
        <w:t xml:space="preserve">In addition, in the data available and emerging experience to date, there have been some issues with the current resource allocation process, and </w:t>
      </w:r>
      <w:r w:rsidR="008720AE" w:rsidRPr="00C578EB">
        <w:t xml:space="preserve">in particular </w:t>
      </w:r>
      <w:r w:rsidRPr="00C578EB">
        <w:t xml:space="preserve">the lack of a mechanism for robust assessment of support need. As the Scheme continues to mature, and staff, operational and governance capabilities improve, there is an expectation that the </w:t>
      </w:r>
      <w:r w:rsidRPr="00C578EB">
        <w:lastRenderedPageBreak/>
        <w:t xml:space="preserve">Scheme experience will change, perhaps materially, and this would affect the eventual trajectory of participant costs. </w:t>
      </w:r>
    </w:p>
    <w:p w14:paraId="5204CC91" w14:textId="5CC5E2BB" w:rsidR="006C26E9" w:rsidRPr="00C578EB" w:rsidRDefault="00650C77" w:rsidP="0072428B">
      <w:pPr>
        <w:pStyle w:val="FSRnormal"/>
      </w:pPr>
      <w:r w:rsidRPr="00C578EB">
        <w:t>Future events, which cannot currently be predicted, may also occur and would have an unexpected impact on Scheme experience and thus the projections in this report</w:t>
      </w:r>
      <w:r w:rsidR="00145410" w:rsidRPr="00C578EB">
        <w:t>.</w:t>
      </w:r>
      <w:r w:rsidRPr="00C578EB">
        <w:t xml:space="preserve"> For example, the COVID-19 pandemic over the 2020 and 2021 calendar years was an unforeseen event that posed some initial uncertainty to participant experience, outcomes and cost trajectory of the Scheme over the short and medium term. Although the vaccine roll-out is currently underway, there still remains the risk of a ‘third wave’ of infections.</w:t>
      </w:r>
    </w:p>
    <w:p w14:paraId="4295C77A" w14:textId="2ECA8895" w:rsidR="00AD5E58" w:rsidRPr="00C578EB" w:rsidRDefault="006C26E9" w:rsidP="00597704">
      <w:pPr>
        <w:spacing w:before="240"/>
      </w:pPr>
      <w:r w:rsidRPr="00C578EB">
        <w:t xml:space="preserve">Lastly, more data on scheme experience is available in NDIA quarterly reports and on the </w:t>
      </w:r>
      <w:r w:rsidR="000D3A9B" w:rsidRPr="00C578EB">
        <w:t>NDIA D</w:t>
      </w:r>
      <w:r w:rsidRPr="00C578EB">
        <w:t xml:space="preserve">ata and </w:t>
      </w:r>
      <w:r w:rsidR="000D3A9B" w:rsidRPr="00C578EB">
        <w:t>I</w:t>
      </w:r>
      <w:r w:rsidRPr="00C578EB">
        <w:t>nsights website.</w:t>
      </w:r>
      <w:r w:rsidR="000D3A9B" w:rsidRPr="00C578EB">
        <w:rPr>
          <w:rStyle w:val="FootnoteReference"/>
        </w:rPr>
        <w:footnoteReference w:id="21"/>
      </w:r>
      <w:r w:rsidR="00650C77" w:rsidRPr="00C578EB">
        <w:t xml:space="preserve"> </w:t>
      </w:r>
    </w:p>
    <w:p w14:paraId="49457FDB" w14:textId="17473E4E" w:rsidR="009F25AC" w:rsidRPr="00C578EB" w:rsidRDefault="00637410" w:rsidP="009F25AC">
      <w:pPr>
        <w:pStyle w:val="Heading2"/>
      </w:pPr>
      <w:bookmarkStart w:id="18" w:name="_Ref47594314"/>
      <w:bookmarkStart w:id="19" w:name="_Toc76132721"/>
      <w:r w:rsidRPr="00C578EB">
        <w:lastRenderedPageBreak/>
        <w:t>Information and d</w:t>
      </w:r>
      <w:r w:rsidR="009F25AC" w:rsidRPr="00C578EB">
        <w:t>ata</w:t>
      </w:r>
      <w:r w:rsidR="0014246F" w:rsidRPr="00C578EB">
        <w:t xml:space="preserve"> integrity</w:t>
      </w:r>
      <w:bookmarkEnd w:id="17"/>
      <w:bookmarkEnd w:id="18"/>
      <w:bookmarkEnd w:id="19"/>
    </w:p>
    <w:p w14:paraId="5DBB909D" w14:textId="4ED37B12" w:rsidR="006E3752" w:rsidRPr="00C578EB" w:rsidRDefault="006D11A4" w:rsidP="00BD6678">
      <w:r w:rsidRPr="00C578EB">
        <w:t xml:space="preserve">An integral part of an insurance model is the collection of </w:t>
      </w:r>
      <w:r w:rsidR="00FD130B" w:rsidRPr="00C578EB">
        <w:t>accurate</w:t>
      </w:r>
      <w:r w:rsidRPr="00C578EB">
        <w:t xml:space="preserve"> data in a timely manner.</w:t>
      </w:r>
      <w:r w:rsidR="006E3752" w:rsidRPr="00C578EB">
        <w:t xml:space="preserve"> </w:t>
      </w:r>
      <w:r w:rsidR="002E5FA2" w:rsidRPr="00C578EB">
        <w:t>This is because q</w:t>
      </w:r>
      <w:r w:rsidR="006E3752" w:rsidRPr="00C578EB">
        <w:t xml:space="preserve">uality data drives the ability of the Agency to </w:t>
      </w:r>
      <w:r w:rsidR="002E5FA2" w:rsidRPr="00C578EB">
        <w:t xml:space="preserve">monitor emerging experience, </w:t>
      </w:r>
      <w:r w:rsidR="006E3752" w:rsidRPr="00C578EB">
        <w:t xml:space="preserve">perform meaningful analyses and make consistent evidence-based decisions. </w:t>
      </w:r>
      <w:r w:rsidR="002E5FA2" w:rsidRPr="00C578EB">
        <w:t xml:space="preserve">The </w:t>
      </w:r>
      <w:r w:rsidR="00BD6678" w:rsidRPr="00C578EB">
        <w:t>success of the Scheme</w:t>
      </w:r>
      <w:r w:rsidR="002E5FA2" w:rsidRPr="00C578EB">
        <w:t xml:space="preserve"> is thus dependent on the body of information that can be relied upon</w:t>
      </w:r>
      <w:r w:rsidR="00BD6678" w:rsidRPr="00C578EB">
        <w:t xml:space="preserve">. </w:t>
      </w:r>
    </w:p>
    <w:p w14:paraId="5B1DF7BE" w14:textId="15DA4E4F" w:rsidR="00BD6678" w:rsidRPr="00C578EB" w:rsidRDefault="006E3752" w:rsidP="00BD6678">
      <w:r w:rsidRPr="00C578EB">
        <w:t xml:space="preserve">The data collected by the Agency is </w:t>
      </w:r>
      <w:r w:rsidR="002E5FA2" w:rsidRPr="00C578EB">
        <w:t xml:space="preserve">varied and </w:t>
      </w:r>
      <w:r w:rsidRPr="00C578EB">
        <w:t>broad-reaching</w:t>
      </w:r>
      <w:r w:rsidR="002E5FA2" w:rsidRPr="00C578EB">
        <w:t>,</w:t>
      </w:r>
      <w:r w:rsidRPr="00C578EB">
        <w:t xml:space="preserve"> and covers information across each step of the participant pathway, from Scheme access and eligibility to participant plan approval</w:t>
      </w:r>
      <w:r w:rsidR="008E6EE0" w:rsidRPr="00C578EB">
        <w:t>, plan implementation</w:t>
      </w:r>
      <w:r w:rsidRPr="00C578EB">
        <w:t xml:space="preserve"> and plan review. Payments for </w:t>
      </w:r>
      <w:r w:rsidR="008E6EE0" w:rsidRPr="00C578EB">
        <w:t xml:space="preserve">disability </w:t>
      </w:r>
      <w:r w:rsidRPr="00C578EB">
        <w:t>supports</w:t>
      </w:r>
      <w:r w:rsidR="002E5FA2" w:rsidRPr="00C578EB">
        <w:t xml:space="preserve"> and </w:t>
      </w:r>
      <w:r w:rsidR="008E6EE0" w:rsidRPr="00C578EB">
        <w:t xml:space="preserve">the </w:t>
      </w:r>
      <w:r w:rsidRPr="00C578EB">
        <w:t xml:space="preserve">outcomes for participants and their family/carers </w:t>
      </w:r>
      <w:r w:rsidR="002E5FA2" w:rsidRPr="00C578EB">
        <w:t xml:space="preserve">are </w:t>
      </w:r>
      <w:r w:rsidRPr="00C578EB">
        <w:t>also collected</w:t>
      </w:r>
      <w:r w:rsidR="002E5FA2" w:rsidRPr="00C578EB">
        <w:t xml:space="preserve"> regularly to track how participants and the Scheme is progressing over time. In that sense, t</w:t>
      </w:r>
      <w:r w:rsidRPr="00C578EB">
        <w:t>he</w:t>
      </w:r>
      <w:r w:rsidR="006D11A4" w:rsidRPr="00C578EB">
        <w:t xml:space="preserve"> Agency is building one of </w:t>
      </w:r>
      <w:r w:rsidR="00106A8F" w:rsidRPr="00C578EB">
        <w:t xml:space="preserve">the </w:t>
      </w:r>
      <w:r w:rsidR="006D11A4" w:rsidRPr="00C578EB">
        <w:t>most comprehensive</w:t>
      </w:r>
      <w:r w:rsidR="002E5FA2" w:rsidRPr="00C578EB">
        <w:t>, longitudinal</w:t>
      </w:r>
      <w:r w:rsidR="006D11A4" w:rsidRPr="00C578EB">
        <w:t xml:space="preserve"> data sources on disability in the world.</w:t>
      </w:r>
      <w:r w:rsidR="00C61CBD" w:rsidRPr="00C578EB">
        <w:t xml:space="preserve"> </w:t>
      </w:r>
    </w:p>
    <w:p w14:paraId="1A47D1A4" w14:textId="3D0D86B0" w:rsidR="00637410" w:rsidRPr="00C578EB" w:rsidRDefault="00637410" w:rsidP="0014246F">
      <w:pPr>
        <w:pStyle w:val="FSRHeading4"/>
      </w:pPr>
      <w:r w:rsidRPr="00C578EB">
        <w:t>Information and data used for analysis</w:t>
      </w:r>
    </w:p>
    <w:p w14:paraId="258DE274" w14:textId="416EAAE7" w:rsidR="00637410" w:rsidRPr="00C578EB" w:rsidRDefault="00637410" w:rsidP="00637410">
      <w:pPr>
        <w:pStyle w:val="FSRnormal"/>
      </w:pPr>
      <w:r w:rsidRPr="00C578EB">
        <w:t xml:space="preserve">The detailed actuarial analysis underlying this report uses information from the Agency’s case management system, finance system and data warehouse, as well as external sources (such as various industry benchmarks </w:t>
      </w:r>
      <w:r w:rsidR="00600F50" w:rsidRPr="00C578EB">
        <w:t>and population surveys</w:t>
      </w:r>
      <w:r w:rsidRPr="00C578EB">
        <w:t xml:space="preserve">). While there is a substantial amount of data in the current </w:t>
      </w:r>
      <w:r w:rsidR="00FC1F73" w:rsidRPr="00C578EB">
        <w:t>C</w:t>
      </w:r>
      <w:r w:rsidR="00D564E3" w:rsidRPr="00C578EB">
        <w:t>lient</w:t>
      </w:r>
      <w:r w:rsidR="00FC1F73" w:rsidRPr="00C578EB">
        <w:t xml:space="preserve"> Relationship Management (CRM) system</w:t>
      </w:r>
      <w:r w:rsidRPr="00C578EB">
        <w:t xml:space="preserve">, this section focuses on the data utilised for the analysis presented in this </w:t>
      </w:r>
      <w:r w:rsidR="00195747" w:rsidRPr="00C578EB">
        <w:t>report</w:t>
      </w:r>
      <w:r w:rsidRPr="00C578EB">
        <w:t>.</w:t>
      </w:r>
    </w:p>
    <w:p w14:paraId="5FCBB56B" w14:textId="7279E608" w:rsidR="00FE7E77" w:rsidRPr="00C578EB" w:rsidRDefault="009F25AC" w:rsidP="009F25AC">
      <w:pPr>
        <w:pStyle w:val="FSRnormal"/>
      </w:pPr>
      <w:r w:rsidRPr="00C578EB">
        <w:t xml:space="preserve">The analysis </w:t>
      </w:r>
      <w:r w:rsidR="006E3194" w:rsidRPr="00C578EB">
        <w:t>in</w:t>
      </w:r>
      <w:r w:rsidRPr="00C578EB">
        <w:t xml:space="preserve"> this </w:t>
      </w:r>
      <w:r w:rsidR="00E15F44" w:rsidRPr="00C578EB">
        <w:t>r</w:t>
      </w:r>
      <w:r w:rsidRPr="00C578EB">
        <w:t xml:space="preserve">eport </w:t>
      </w:r>
      <w:r w:rsidR="0044526D" w:rsidRPr="00C578EB">
        <w:t xml:space="preserve">predominantly uses </w:t>
      </w:r>
      <w:r w:rsidR="005713DE" w:rsidRPr="00C578EB">
        <w:t>data at 3</w:t>
      </w:r>
      <w:r w:rsidR="0039004F" w:rsidRPr="00C578EB">
        <w:t>1</w:t>
      </w:r>
      <w:r w:rsidR="005713DE" w:rsidRPr="00C578EB">
        <w:t> </w:t>
      </w:r>
      <w:r w:rsidR="0039004F" w:rsidRPr="00C578EB">
        <w:t>December</w:t>
      </w:r>
      <w:r w:rsidR="005713DE" w:rsidRPr="00C578EB">
        <w:t> 202</w:t>
      </w:r>
      <w:r w:rsidR="0039004F" w:rsidRPr="00C578EB">
        <w:t>0</w:t>
      </w:r>
      <w:r w:rsidRPr="00C578EB">
        <w:t xml:space="preserve">. </w:t>
      </w:r>
      <w:r w:rsidR="0044526D" w:rsidRPr="00C578EB">
        <w:t>However, discussion on the experience post 31</w:t>
      </w:r>
      <w:r w:rsidR="00FE7E77" w:rsidRPr="00C578EB">
        <w:t> </w:t>
      </w:r>
      <w:r w:rsidR="0044526D" w:rsidRPr="00C578EB">
        <w:t>December</w:t>
      </w:r>
      <w:r w:rsidR="00FE7E77" w:rsidRPr="00C578EB">
        <w:t> </w:t>
      </w:r>
      <w:r w:rsidR="0044526D" w:rsidRPr="00C578EB">
        <w:t>2020</w:t>
      </w:r>
      <w:r w:rsidR="00FE7E77" w:rsidRPr="00C578EB">
        <w:t xml:space="preserve"> until 31 May 2021, and the possible impact on projections is also included in this report. </w:t>
      </w:r>
    </w:p>
    <w:p w14:paraId="0A46E089" w14:textId="396462C2" w:rsidR="009F25AC" w:rsidRPr="00C578EB" w:rsidRDefault="00625B1E" w:rsidP="009F25AC">
      <w:pPr>
        <w:pStyle w:val="FSRnormal"/>
      </w:pPr>
      <w:r w:rsidRPr="00C578EB">
        <w:t>T</w:t>
      </w:r>
      <w:r w:rsidR="00744857" w:rsidRPr="00C578EB">
        <w:t>he sources of data</w:t>
      </w:r>
      <w:r w:rsidRPr="00C578EB">
        <w:t xml:space="preserve"> are summarised in </w:t>
      </w:r>
      <w:r w:rsidRPr="00597704">
        <w:fldChar w:fldCharType="begin"/>
      </w:r>
      <w:r w:rsidRPr="00C578EB">
        <w:instrText xml:space="preserve"> REF _Ref16673933 \h </w:instrText>
      </w:r>
      <w:r w:rsidR="005D0190" w:rsidRPr="00C578EB">
        <w:instrText xml:space="preserve"> \* MERGEFORMAT </w:instrText>
      </w:r>
      <w:r w:rsidRPr="00597704">
        <w:fldChar w:fldCharType="separate"/>
      </w:r>
      <w:r w:rsidR="00715347" w:rsidRPr="00C578EB">
        <w:t xml:space="preserve">Table </w:t>
      </w:r>
      <w:r w:rsidR="00715347">
        <w:rPr>
          <w:noProof/>
        </w:rPr>
        <w:t>6</w:t>
      </w:r>
      <w:r w:rsidRPr="00597704">
        <w:fldChar w:fldCharType="end"/>
      </w:r>
      <w:r w:rsidR="009F25AC" w:rsidRPr="00C578EB">
        <w:t>.</w:t>
      </w:r>
    </w:p>
    <w:p w14:paraId="439E6F85" w14:textId="618C0EA2" w:rsidR="00E15F44" w:rsidRPr="00C578EB" w:rsidRDefault="00E15F44" w:rsidP="00CB3999">
      <w:pPr>
        <w:pStyle w:val="Tables"/>
      </w:pPr>
      <w:bookmarkStart w:id="20" w:name="_Ref16673933"/>
      <w:r w:rsidRPr="00C578EB">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6</w:t>
      </w:r>
      <w:r w:rsidR="00C04E1B" w:rsidRPr="00597704">
        <w:rPr>
          <w:noProof/>
        </w:rPr>
        <w:fldChar w:fldCharType="end"/>
      </w:r>
      <w:bookmarkEnd w:id="20"/>
      <w:r w:rsidRPr="00C578EB">
        <w:t xml:space="preserve"> Summary of data </w:t>
      </w:r>
      <w:r w:rsidR="004E7810" w:rsidRPr="00C578EB">
        <w:t>utilised</w:t>
      </w:r>
      <w:r w:rsidRPr="00C578EB">
        <w:t xml:space="preserve"> for actuarial analysis</w:t>
      </w:r>
    </w:p>
    <w:tbl>
      <w:tblPr>
        <w:tblStyle w:val="TableGrid"/>
        <w:tblW w:w="0" w:type="auto"/>
        <w:shd w:val="clear" w:color="auto" w:fill="EDEDED" w:themeFill="accent3" w:themeFillTint="33"/>
        <w:tblCellMar>
          <w:top w:w="57" w:type="dxa"/>
          <w:bottom w:w="57" w:type="dxa"/>
        </w:tblCellMar>
        <w:tblLook w:val="04A0" w:firstRow="1" w:lastRow="0" w:firstColumn="1" w:lastColumn="0" w:noHBand="0" w:noVBand="1"/>
      </w:tblPr>
      <w:tblGrid>
        <w:gridCol w:w="2689"/>
        <w:gridCol w:w="5825"/>
      </w:tblGrid>
      <w:tr w:rsidR="009F25AC" w:rsidRPr="00C578EB" w14:paraId="54F97144" w14:textId="77777777" w:rsidTr="00A233A2">
        <w:trPr>
          <w:cantSplit/>
          <w:trHeight w:val="113"/>
          <w:tblHeader/>
        </w:trPr>
        <w:tc>
          <w:tcPr>
            <w:tcW w:w="2689" w:type="dxa"/>
            <w:tcBorders>
              <w:top w:val="single" w:sz="4" w:space="0" w:color="auto"/>
              <w:left w:val="single" w:sz="4" w:space="0" w:color="auto"/>
              <w:bottom w:val="single" w:sz="4" w:space="0" w:color="auto"/>
              <w:right w:val="single" w:sz="4" w:space="0" w:color="auto"/>
            </w:tcBorders>
            <w:shd w:val="clear" w:color="auto" w:fill="660066"/>
            <w:vAlign w:val="center"/>
            <w:hideMark/>
          </w:tcPr>
          <w:p w14:paraId="68780280" w14:textId="77777777" w:rsidR="009F25AC" w:rsidRPr="00C578EB" w:rsidRDefault="009F25AC" w:rsidP="009F25AC">
            <w:pPr>
              <w:rPr>
                <w:b/>
                <w:color w:val="FFFFFF" w:themeColor="background1"/>
                <w:szCs w:val="22"/>
              </w:rPr>
            </w:pPr>
            <w:r w:rsidRPr="00C578EB">
              <w:rPr>
                <w:b/>
                <w:color w:val="FFFFFF" w:themeColor="background1"/>
                <w:szCs w:val="22"/>
              </w:rPr>
              <w:t>Data</w:t>
            </w:r>
          </w:p>
        </w:tc>
        <w:tc>
          <w:tcPr>
            <w:tcW w:w="5825" w:type="dxa"/>
            <w:tcBorders>
              <w:top w:val="single" w:sz="4" w:space="0" w:color="auto"/>
              <w:left w:val="single" w:sz="4" w:space="0" w:color="auto"/>
              <w:bottom w:val="single" w:sz="4" w:space="0" w:color="auto"/>
              <w:right w:val="single" w:sz="4" w:space="0" w:color="auto"/>
            </w:tcBorders>
            <w:shd w:val="clear" w:color="auto" w:fill="660066"/>
            <w:vAlign w:val="center"/>
            <w:hideMark/>
          </w:tcPr>
          <w:p w14:paraId="5F04C4A9" w14:textId="77777777" w:rsidR="009F25AC" w:rsidRPr="00C578EB" w:rsidRDefault="009F25AC" w:rsidP="009F25AC">
            <w:pPr>
              <w:rPr>
                <w:rFonts w:cs="Arial"/>
                <w:b/>
                <w:color w:val="FFFFFF" w:themeColor="background1"/>
                <w:szCs w:val="22"/>
              </w:rPr>
            </w:pPr>
            <w:r w:rsidRPr="00C578EB">
              <w:rPr>
                <w:rFonts w:cs="Arial"/>
                <w:b/>
                <w:color w:val="FFFFFF" w:themeColor="background1"/>
                <w:szCs w:val="22"/>
              </w:rPr>
              <w:t>Description</w:t>
            </w:r>
          </w:p>
        </w:tc>
      </w:tr>
      <w:tr w:rsidR="002236EA" w:rsidRPr="00C578EB" w14:paraId="6DEB6656"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hideMark/>
          </w:tcPr>
          <w:p w14:paraId="007B30CC" w14:textId="672B6C13" w:rsidR="002236EA" w:rsidRPr="00C578EB" w:rsidRDefault="002236EA" w:rsidP="002236EA">
            <w:pPr>
              <w:spacing w:after="0" w:line="240" w:lineRule="auto"/>
              <w:rPr>
                <w:b/>
                <w:szCs w:val="22"/>
              </w:rPr>
            </w:pPr>
            <w:r w:rsidRPr="00C578EB">
              <w:rPr>
                <w:b/>
                <w:szCs w:val="22"/>
              </w:rPr>
              <w:t>Access requests to the NDIS</w:t>
            </w:r>
          </w:p>
        </w:tc>
        <w:tc>
          <w:tcPr>
            <w:tcW w:w="5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FBFC5" w14:textId="6BB7C778" w:rsidR="002236EA" w:rsidRPr="00C578EB" w:rsidRDefault="002236EA" w:rsidP="002236EA">
            <w:pPr>
              <w:pStyle w:val="ListParagraph"/>
              <w:numPr>
                <w:ilvl w:val="0"/>
                <w:numId w:val="9"/>
              </w:numPr>
              <w:spacing w:after="0" w:line="240" w:lineRule="auto"/>
              <w:ind w:left="317"/>
              <w:rPr>
                <w:rFonts w:cs="Arial"/>
                <w:szCs w:val="22"/>
              </w:rPr>
            </w:pPr>
            <w:r w:rsidRPr="00C578EB">
              <w:rPr>
                <w:rFonts w:cs="Arial"/>
                <w:szCs w:val="22"/>
              </w:rPr>
              <w:t>Demographic information (age, gender, disability, geographic</w:t>
            </w:r>
            <w:r w:rsidR="003B2009" w:rsidRPr="00C578EB">
              <w:rPr>
                <w:rFonts w:cs="Arial"/>
                <w:szCs w:val="22"/>
              </w:rPr>
              <w:t xml:space="preserve"> location</w:t>
            </w:r>
            <w:r w:rsidRPr="00C578EB">
              <w:rPr>
                <w:rFonts w:cs="Arial"/>
                <w:szCs w:val="22"/>
              </w:rPr>
              <w:t>, living arrangements and other participant profile information)</w:t>
            </w:r>
          </w:p>
          <w:p w14:paraId="702CEB2A" w14:textId="77777777" w:rsidR="002236EA" w:rsidRPr="00C578EB" w:rsidRDefault="002236EA" w:rsidP="002236EA">
            <w:pPr>
              <w:pStyle w:val="ListParagraph"/>
              <w:numPr>
                <w:ilvl w:val="0"/>
                <w:numId w:val="9"/>
              </w:numPr>
              <w:spacing w:after="0" w:line="240" w:lineRule="auto"/>
              <w:ind w:left="317"/>
              <w:rPr>
                <w:rFonts w:cs="Arial"/>
                <w:szCs w:val="22"/>
              </w:rPr>
            </w:pPr>
            <w:r w:rsidRPr="00C578EB">
              <w:rPr>
                <w:rFonts w:cs="Arial"/>
                <w:szCs w:val="22"/>
              </w:rPr>
              <w:t>Contact details</w:t>
            </w:r>
          </w:p>
          <w:p w14:paraId="06469B2E" w14:textId="77777777" w:rsidR="002236EA" w:rsidRPr="00C578EB" w:rsidRDefault="002236EA" w:rsidP="002236EA">
            <w:pPr>
              <w:pStyle w:val="ListParagraph"/>
              <w:numPr>
                <w:ilvl w:val="0"/>
                <w:numId w:val="9"/>
              </w:numPr>
              <w:spacing w:after="0" w:line="240" w:lineRule="auto"/>
              <w:ind w:left="317"/>
              <w:rPr>
                <w:rFonts w:cs="Arial"/>
                <w:szCs w:val="22"/>
              </w:rPr>
            </w:pPr>
            <w:r w:rsidRPr="00C578EB">
              <w:rPr>
                <w:rFonts w:cs="Arial"/>
                <w:szCs w:val="22"/>
              </w:rPr>
              <w:t>Access request date</w:t>
            </w:r>
          </w:p>
          <w:p w14:paraId="05A033AF" w14:textId="5DBBDCFF" w:rsidR="002236EA" w:rsidRPr="00C578EB" w:rsidRDefault="002236EA" w:rsidP="002236EA">
            <w:pPr>
              <w:pStyle w:val="ListParagraph"/>
              <w:numPr>
                <w:ilvl w:val="0"/>
                <w:numId w:val="9"/>
              </w:numPr>
              <w:spacing w:after="0" w:line="240" w:lineRule="auto"/>
              <w:ind w:left="317"/>
              <w:rPr>
                <w:rFonts w:cs="Arial"/>
                <w:szCs w:val="22"/>
              </w:rPr>
            </w:pPr>
            <w:r w:rsidRPr="00C578EB">
              <w:rPr>
                <w:rFonts w:cs="Arial"/>
                <w:szCs w:val="22"/>
              </w:rPr>
              <w:t>Outcome of request (for example: eligible, ineligible)</w:t>
            </w:r>
          </w:p>
        </w:tc>
      </w:tr>
      <w:tr w:rsidR="00B967F7" w:rsidRPr="00C578EB" w14:paraId="45552887"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tcPr>
          <w:p w14:paraId="78685CE7" w14:textId="091834ED" w:rsidR="00B967F7" w:rsidRPr="00C578EB" w:rsidRDefault="00B967F7" w:rsidP="00B967F7">
            <w:pPr>
              <w:spacing w:after="0" w:line="240" w:lineRule="auto"/>
              <w:rPr>
                <w:b/>
                <w:szCs w:val="22"/>
              </w:rPr>
            </w:pPr>
            <w:r w:rsidRPr="00C578EB">
              <w:rPr>
                <w:b/>
                <w:szCs w:val="22"/>
              </w:rPr>
              <w:t>Payments to service providers</w:t>
            </w:r>
          </w:p>
        </w:tc>
        <w:tc>
          <w:tcPr>
            <w:tcW w:w="5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0B32F5C" w14:textId="77777777" w:rsidR="00B967F7" w:rsidRPr="00C578EB" w:rsidRDefault="00B967F7" w:rsidP="00B967F7">
            <w:pPr>
              <w:pStyle w:val="ListParagraph"/>
              <w:numPr>
                <w:ilvl w:val="0"/>
                <w:numId w:val="9"/>
              </w:numPr>
              <w:spacing w:after="0" w:line="240" w:lineRule="auto"/>
              <w:ind w:left="317"/>
              <w:rPr>
                <w:rFonts w:cs="Arial"/>
                <w:szCs w:val="22"/>
              </w:rPr>
            </w:pPr>
            <w:r w:rsidRPr="00C578EB">
              <w:rPr>
                <w:rFonts w:cs="Arial"/>
                <w:szCs w:val="22"/>
              </w:rPr>
              <w:t>Service provider submitting the claim for payment</w:t>
            </w:r>
          </w:p>
          <w:p w14:paraId="752C85EE" w14:textId="77777777" w:rsidR="00B967F7" w:rsidRPr="00C578EB" w:rsidRDefault="00B967F7" w:rsidP="00B967F7">
            <w:pPr>
              <w:pStyle w:val="ListParagraph"/>
              <w:numPr>
                <w:ilvl w:val="0"/>
                <w:numId w:val="9"/>
              </w:numPr>
              <w:spacing w:after="0" w:line="240" w:lineRule="auto"/>
              <w:ind w:left="317"/>
              <w:rPr>
                <w:rFonts w:cs="Arial"/>
                <w:szCs w:val="22"/>
              </w:rPr>
            </w:pPr>
            <w:r w:rsidRPr="00C578EB">
              <w:rPr>
                <w:rFonts w:cs="Arial"/>
                <w:szCs w:val="22"/>
              </w:rPr>
              <w:t>Participant for whom the support was provided</w:t>
            </w:r>
          </w:p>
          <w:p w14:paraId="481AED6E" w14:textId="77777777" w:rsidR="00B967F7" w:rsidRPr="00C578EB" w:rsidRDefault="00B967F7" w:rsidP="00B967F7">
            <w:pPr>
              <w:pStyle w:val="ListParagraph"/>
              <w:numPr>
                <w:ilvl w:val="0"/>
                <w:numId w:val="9"/>
              </w:numPr>
              <w:spacing w:after="0" w:line="240" w:lineRule="auto"/>
              <w:ind w:left="317"/>
              <w:rPr>
                <w:rFonts w:cs="Arial"/>
                <w:szCs w:val="22"/>
              </w:rPr>
            </w:pPr>
            <w:r w:rsidRPr="00C578EB">
              <w:rPr>
                <w:rFonts w:cs="Arial"/>
                <w:szCs w:val="22"/>
              </w:rPr>
              <w:t>The support item and cost of support provided</w:t>
            </w:r>
          </w:p>
          <w:p w14:paraId="56C10121" w14:textId="4C135E9D" w:rsidR="00B967F7" w:rsidRPr="00C578EB" w:rsidRDefault="00B967F7" w:rsidP="00B967F7">
            <w:pPr>
              <w:pStyle w:val="ListParagraph"/>
              <w:numPr>
                <w:ilvl w:val="0"/>
                <w:numId w:val="9"/>
              </w:numPr>
              <w:spacing w:after="0" w:line="240" w:lineRule="auto"/>
              <w:ind w:left="317"/>
              <w:rPr>
                <w:rFonts w:cs="Arial"/>
                <w:szCs w:val="22"/>
              </w:rPr>
            </w:pPr>
            <w:r w:rsidRPr="00C578EB">
              <w:rPr>
                <w:rFonts w:cs="Arial"/>
                <w:szCs w:val="22"/>
              </w:rPr>
              <w:t>Dates of when the support was provided</w:t>
            </w:r>
          </w:p>
        </w:tc>
      </w:tr>
      <w:tr w:rsidR="00E41CB5" w:rsidRPr="00C578EB" w14:paraId="4032258C"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tcPr>
          <w:p w14:paraId="3AABB5B4" w14:textId="0A655ED3" w:rsidR="00E41CB5" w:rsidRPr="00C578EB" w:rsidRDefault="00E41CB5" w:rsidP="00E41CB5">
            <w:pPr>
              <w:spacing w:after="0" w:line="240" w:lineRule="auto"/>
              <w:rPr>
                <w:b/>
                <w:szCs w:val="22"/>
              </w:rPr>
            </w:pPr>
            <w:r w:rsidRPr="00C578EB">
              <w:rPr>
                <w:b/>
                <w:szCs w:val="22"/>
              </w:rPr>
              <w:lastRenderedPageBreak/>
              <w:t>Payments to participants</w:t>
            </w:r>
          </w:p>
        </w:tc>
        <w:tc>
          <w:tcPr>
            <w:tcW w:w="5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37DBF" w14:textId="77777777"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Participant submitting the claim for payment</w:t>
            </w:r>
          </w:p>
          <w:p w14:paraId="312C08F5" w14:textId="77777777"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The support category provided</w:t>
            </w:r>
          </w:p>
          <w:p w14:paraId="01605E06" w14:textId="77777777"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Total cost spend on support category</w:t>
            </w:r>
          </w:p>
          <w:p w14:paraId="68668611" w14:textId="6903B670"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Period of reimbursement</w:t>
            </w:r>
          </w:p>
        </w:tc>
      </w:tr>
      <w:tr w:rsidR="00E41CB5" w:rsidRPr="00C578EB" w14:paraId="04424E08"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hideMark/>
          </w:tcPr>
          <w:p w14:paraId="7AC1E00F" w14:textId="7F73406D" w:rsidR="00E41CB5" w:rsidRPr="00C578EB" w:rsidRDefault="00E41CB5" w:rsidP="00E41CB5">
            <w:pPr>
              <w:spacing w:after="0" w:line="240" w:lineRule="auto"/>
              <w:rPr>
                <w:b/>
                <w:szCs w:val="22"/>
              </w:rPr>
            </w:pPr>
            <w:r w:rsidRPr="00C578EB">
              <w:rPr>
                <w:b/>
                <w:szCs w:val="22"/>
              </w:rPr>
              <w:t>NDIS participant plans</w:t>
            </w:r>
          </w:p>
        </w:tc>
        <w:tc>
          <w:tcPr>
            <w:tcW w:w="5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DF2B4" w14:textId="77777777"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Plan approval date</w:t>
            </w:r>
          </w:p>
          <w:p w14:paraId="7E64B12A" w14:textId="77777777"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Length of plan</w:t>
            </w:r>
          </w:p>
          <w:p w14:paraId="77ED86EC" w14:textId="77777777"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Participant goals</w:t>
            </w:r>
          </w:p>
          <w:p w14:paraId="6E5E16E0" w14:textId="04C65DDF"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 xml:space="preserve">All </w:t>
            </w:r>
            <w:r w:rsidR="006C38D9" w:rsidRPr="00C578EB">
              <w:rPr>
                <w:rFonts w:cs="Arial"/>
                <w:szCs w:val="22"/>
              </w:rPr>
              <w:t>plan budgets</w:t>
            </w:r>
            <w:r w:rsidRPr="00C578EB">
              <w:rPr>
                <w:rFonts w:cs="Arial"/>
                <w:szCs w:val="22"/>
              </w:rPr>
              <w:t xml:space="preserve"> included in the plan</w:t>
            </w:r>
          </w:p>
          <w:p w14:paraId="2AA0750E" w14:textId="4388B6CC"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Mainstream and informal supports</w:t>
            </w:r>
          </w:p>
          <w:p w14:paraId="6ED98766" w14:textId="7D3B4DC8"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Level of function</w:t>
            </w:r>
            <w:r w:rsidRPr="00C578EB">
              <w:rPr>
                <w:rStyle w:val="FootnoteReference"/>
                <w:rFonts w:cs="Arial"/>
                <w:szCs w:val="22"/>
              </w:rPr>
              <w:footnoteReference w:id="22"/>
            </w:r>
          </w:p>
          <w:p w14:paraId="4CAF8306" w14:textId="68B7604B"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Reference package and typical support package</w:t>
            </w:r>
          </w:p>
        </w:tc>
      </w:tr>
      <w:tr w:rsidR="00E41CB5" w:rsidRPr="00C578EB" w14:paraId="07A5E4FD"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tcPr>
          <w:p w14:paraId="0C5898E8" w14:textId="69CAB096" w:rsidR="00E41CB5" w:rsidRPr="00C578EB" w:rsidRDefault="00E41CB5" w:rsidP="00E41CB5">
            <w:pPr>
              <w:spacing w:after="0" w:line="240" w:lineRule="auto"/>
              <w:rPr>
                <w:b/>
                <w:szCs w:val="22"/>
              </w:rPr>
            </w:pPr>
            <w:r w:rsidRPr="00C578EB">
              <w:rPr>
                <w:b/>
                <w:szCs w:val="22"/>
              </w:rPr>
              <w:t>In-kind supports data</w:t>
            </w:r>
          </w:p>
        </w:tc>
        <w:tc>
          <w:tcPr>
            <w:tcW w:w="5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DEEA7BD" w14:textId="3B7AEB88"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Unit record in-kind support details from State/Territory programs including details on support type, level and duration of coverage.</w:t>
            </w:r>
          </w:p>
        </w:tc>
      </w:tr>
      <w:tr w:rsidR="00E41CB5" w:rsidRPr="00C578EB" w14:paraId="1377C183"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hideMark/>
          </w:tcPr>
          <w:p w14:paraId="20A19E6E" w14:textId="15200290" w:rsidR="00E41CB5" w:rsidRPr="00C578EB" w:rsidRDefault="00E41CB5" w:rsidP="00E41CB5">
            <w:pPr>
              <w:spacing w:after="0" w:line="240" w:lineRule="auto"/>
              <w:rPr>
                <w:b/>
                <w:szCs w:val="22"/>
              </w:rPr>
            </w:pPr>
            <w:r w:rsidRPr="00C578EB">
              <w:rPr>
                <w:b/>
                <w:szCs w:val="22"/>
              </w:rPr>
              <w:t>Data provided by the State/Territory and Commonwealth governments</w:t>
            </w:r>
          </w:p>
        </w:tc>
        <w:tc>
          <w:tcPr>
            <w:tcW w:w="5825" w:type="dxa"/>
            <w:tcBorders>
              <w:top w:val="single" w:sz="4" w:space="0" w:color="auto"/>
              <w:left w:val="single" w:sz="4" w:space="0" w:color="auto"/>
              <w:bottom w:val="single" w:sz="4" w:space="0" w:color="auto"/>
              <w:right w:val="single" w:sz="4" w:space="0" w:color="auto"/>
            </w:tcBorders>
            <w:shd w:val="clear" w:color="auto" w:fill="auto"/>
            <w:hideMark/>
          </w:tcPr>
          <w:p w14:paraId="42151BF2" w14:textId="72FAEBA3"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 xml:space="preserve">List of clients receiving support from service providers in the </w:t>
            </w:r>
            <w:r w:rsidR="008E6EE0" w:rsidRPr="00C578EB">
              <w:rPr>
                <w:rFonts w:cs="Arial"/>
                <w:szCs w:val="22"/>
              </w:rPr>
              <w:t xml:space="preserve">previous </w:t>
            </w:r>
            <w:r w:rsidRPr="00C578EB">
              <w:rPr>
                <w:rFonts w:cs="Arial"/>
                <w:szCs w:val="22"/>
              </w:rPr>
              <w:t>disability system, including age and contact details. This data is loaded into the Client Relationship Management (CRM) for the National Access Team to contact potential participants.</w:t>
            </w:r>
          </w:p>
          <w:p w14:paraId="202DADF8" w14:textId="3EDDDB25"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Projected Scheme costs and numbers from the State, Territory and Commonwealth bilateral agreements.</w:t>
            </w:r>
          </w:p>
        </w:tc>
      </w:tr>
      <w:tr w:rsidR="00E41CB5" w:rsidRPr="00C578EB" w14:paraId="72019A21"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hideMark/>
          </w:tcPr>
          <w:p w14:paraId="74477DD4" w14:textId="451821F7" w:rsidR="00E41CB5" w:rsidRPr="00C578EB" w:rsidRDefault="00D15F79" w:rsidP="00E41CB5">
            <w:pPr>
              <w:spacing w:after="0" w:line="240" w:lineRule="auto"/>
              <w:rPr>
                <w:b/>
                <w:szCs w:val="22"/>
              </w:rPr>
            </w:pPr>
            <w:r w:rsidRPr="00C578EB">
              <w:rPr>
                <w:b/>
                <w:szCs w:val="22"/>
              </w:rPr>
              <w:t>Australian Bureau of Statistics (</w:t>
            </w:r>
            <w:r w:rsidR="00E41CB5" w:rsidRPr="00C578EB">
              <w:rPr>
                <w:b/>
                <w:szCs w:val="22"/>
              </w:rPr>
              <w:t>ABS</w:t>
            </w:r>
            <w:r w:rsidRPr="00C578EB">
              <w:rPr>
                <w:b/>
                <w:szCs w:val="22"/>
              </w:rPr>
              <w:t>)</w:t>
            </w:r>
            <w:r w:rsidR="00E41CB5" w:rsidRPr="00C578EB">
              <w:rPr>
                <w:b/>
                <w:szCs w:val="22"/>
              </w:rPr>
              <w:t xml:space="preserve"> population projections</w:t>
            </w:r>
          </w:p>
        </w:tc>
        <w:tc>
          <w:tcPr>
            <w:tcW w:w="5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5B3138A" w14:textId="58EC7BC0" w:rsidR="00E41CB5" w:rsidRPr="00C578EB" w:rsidRDefault="00E41CB5">
            <w:pPr>
              <w:pStyle w:val="ListParagraph"/>
              <w:numPr>
                <w:ilvl w:val="0"/>
                <w:numId w:val="9"/>
              </w:numPr>
              <w:spacing w:after="0" w:line="240" w:lineRule="auto"/>
              <w:ind w:left="317"/>
              <w:rPr>
                <w:rFonts w:cs="Arial"/>
                <w:szCs w:val="22"/>
              </w:rPr>
            </w:pPr>
            <w:r w:rsidRPr="00C578EB">
              <w:rPr>
                <w:rFonts w:cs="Arial"/>
                <w:szCs w:val="22"/>
              </w:rPr>
              <w:t>3222.0 Population Projections, Australia, 2017 (base) to 2101 (Series B).</w:t>
            </w:r>
            <w:r w:rsidR="00330075" w:rsidRPr="00C578EB">
              <w:rPr>
                <w:rFonts w:cs="Arial"/>
                <w:szCs w:val="22"/>
              </w:rPr>
              <w:t xml:space="preserve"> This was published in November 2018.</w:t>
            </w:r>
          </w:p>
        </w:tc>
      </w:tr>
      <w:tr w:rsidR="00E41CB5" w:rsidRPr="00C578EB" w14:paraId="2C1FAD05"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tcPr>
          <w:p w14:paraId="4282CDB6" w14:textId="701492CB" w:rsidR="00E41CB5" w:rsidRPr="00C578EB" w:rsidRDefault="00E41CB5" w:rsidP="00E41CB5">
            <w:pPr>
              <w:spacing w:after="0" w:line="240" w:lineRule="auto"/>
              <w:rPr>
                <w:b/>
                <w:szCs w:val="22"/>
              </w:rPr>
            </w:pPr>
            <w:r w:rsidRPr="00C578EB">
              <w:rPr>
                <w:b/>
                <w:szCs w:val="22"/>
              </w:rPr>
              <w:t>Financial information</w:t>
            </w:r>
          </w:p>
        </w:tc>
        <w:tc>
          <w:tcPr>
            <w:tcW w:w="5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F1AA459" w14:textId="1BC6908E"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Data from the SAP</w:t>
            </w:r>
            <w:r w:rsidR="00BA712E" w:rsidRPr="00C578EB">
              <w:rPr>
                <w:rStyle w:val="FootnoteReference"/>
                <w:rFonts w:cs="Arial"/>
                <w:szCs w:val="22"/>
              </w:rPr>
              <w:footnoteReference w:id="23"/>
            </w:r>
            <w:r w:rsidRPr="00C578EB">
              <w:rPr>
                <w:rFonts w:cs="Arial"/>
                <w:szCs w:val="22"/>
              </w:rPr>
              <w:t xml:space="preserve"> CRM system were reconciled with financial information in SAP.</w:t>
            </w:r>
          </w:p>
        </w:tc>
      </w:tr>
      <w:tr w:rsidR="00E41CB5" w:rsidRPr="00C578EB" w14:paraId="414375AC"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tcPr>
          <w:p w14:paraId="3A0615FC" w14:textId="5F9A9467" w:rsidR="00E41CB5" w:rsidRPr="00C578EB" w:rsidRDefault="00E41CB5" w:rsidP="00E41CB5">
            <w:pPr>
              <w:spacing w:after="0" w:line="240" w:lineRule="auto"/>
              <w:rPr>
                <w:b/>
                <w:szCs w:val="22"/>
              </w:rPr>
            </w:pPr>
            <w:r w:rsidRPr="00C578EB">
              <w:rPr>
                <w:b/>
                <w:szCs w:val="22"/>
              </w:rPr>
              <w:t>ABS Survey of Disability, Ageing and Carers</w:t>
            </w:r>
          </w:p>
        </w:tc>
        <w:tc>
          <w:tcPr>
            <w:tcW w:w="5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8EB986E" w14:textId="42DB2E64"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Prevalence of disability in Australia, including demographic and socio</w:t>
            </w:r>
            <w:r w:rsidRPr="00C578EB">
              <w:rPr>
                <w:rFonts w:cs="Arial"/>
                <w:szCs w:val="22"/>
              </w:rPr>
              <w:noBreakHyphen/>
              <w:t>economic profile of people with disabilities.</w:t>
            </w:r>
          </w:p>
        </w:tc>
      </w:tr>
      <w:tr w:rsidR="00E41CB5" w:rsidRPr="00C578EB" w14:paraId="6ED1218C" w14:textId="77777777" w:rsidTr="00A233A2">
        <w:trPr>
          <w:cantSplit/>
        </w:trPr>
        <w:tc>
          <w:tcPr>
            <w:tcW w:w="2689" w:type="dxa"/>
            <w:tcBorders>
              <w:top w:val="single" w:sz="4" w:space="0" w:color="auto"/>
              <w:left w:val="single" w:sz="4" w:space="0" w:color="auto"/>
              <w:bottom w:val="single" w:sz="4" w:space="0" w:color="auto"/>
              <w:right w:val="single" w:sz="4" w:space="0" w:color="auto"/>
            </w:tcBorders>
            <w:shd w:val="clear" w:color="auto" w:fill="F4E6F6"/>
          </w:tcPr>
          <w:p w14:paraId="59F61BA1" w14:textId="425CBDC9" w:rsidR="00E41CB5" w:rsidRPr="00C578EB" w:rsidRDefault="00E41CB5" w:rsidP="00E41CB5">
            <w:pPr>
              <w:spacing w:after="0" w:line="240" w:lineRule="auto"/>
              <w:rPr>
                <w:b/>
                <w:szCs w:val="22"/>
              </w:rPr>
            </w:pPr>
            <w:r w:rsidRPr="00C578EB">
              <w:rPr>
                <w:b/>
                <w:szCs w:val="22"/>
              </w:rPr>
              <w:t>Economic information</w:t>
            </w:r>
          </w:p>
        </w:tc>
        <w:tc>
          <w:tcPr>
            <w:tcW w:w="5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ED012" w14:textId="70AC59E3" w:rsidR="00E41CB5" w:rsidRPr="00C578EB" w:rsidRDefault="00E41CB5" w:rsidP="00E41CB5">
            <w:pPr>
              <w:pStyle w:val="ListParagraph"/>
              <w:numPr>
                <w:ilvl w:val="0"/>
                <w:numId w:val="9"/>
              </w:numPr>
              <w:spacing w:after="0" w:line="240" w:lineRule="auto"/>
              <w:ind w:left="317"/>
              <w:rPr>
                <w:rFonts w:cs="Arial"/>
                <w:szCs w:val="22"/>
              </w:rPr>
            </w:pPr>
            <w:r w:rsidRPr="00C578EB">
              <w:rPr>
                <w:rFonts w:cs="Arial"/>
                <w:szCs w:val="22"/>
              </w:rPr>
              <w:t>Government economic forecasts for GDP, inflation indicators, Australian Life Tables and population forecasts.</w:t>
            </w:r>
          </w:p>
        </w:tc>
      </w:tr>
    </w:tbl>
    <w:p w14:paraId="52D00604" w14:textId="50820D8A" w:rsidR="00650643" w:rsidRPr="00C578EB" w:rsidRDefault="00650643" w:rsidP="006C0E59">
      <w:pPr>
        <w:pStyle w:val="Heading2"/>
        <w:ind w:left="907" w:hanging="907"/>
      </w:pPr>
      <w:bookmarkStart w:id="21" w:name="_Ref74937424"/>
      <w:bookmarkStart w:id="22" w:name="_Toc76132722"/>
      <w:bookmarkStart w:id="23" w:name="_Ref16772177"/>
      <w:r w:rsidRPr="00C578EB">
        <w:lastRenderedPageBreak/>
        <w:t>Modelling approach</w:t>
      </w:r>
      <w:bookmarkEnd w:id="21"/>
      <w:bookmarkEnd w:id="22"/>
    </w:p>
    <w:p w14:paraId="2B5F87C4" w14:textId="401C9D08" w:rsidR="006632E7" w:rsidRPr="00C578EB" w:rsidRDefault="00F61C6A" w:rsidP="00F61C6A">
      <w:pPr>
        <w:spacing w:line="276" w:lineRule="auto"/>
      </w:pPr>
      <w:r w:rsidRPr="00C578EB">
        <w:t>An experience</w:t>
      </w:r>
      <w:r w:rsidRPr="00C578EB">
        <w:noBreakHyphen/>
        <w:t xml:space="preserve">based projection model has been used to project Scheme </w:t>
      </w:r>
      <w:r w:rsidR="00BA5A51" w:rsidRPr="00C578EB">
        <w:t xml:space="preserve">participant </w:t>
      </w:r>
      <w:r w:rsidRPr="00C578EB">
        <w:t xml:space="preserve">numbers and costs. The modelling approach splits participants into Projection Groups based on characteristics which reflect </w:t>
      </w:r>
      <w:r w:rsidR="008E748B" w:rsidRPr="00C578EB">
        <w:t xml:space="preserve">expected </w:t>
      </w:r>
      <w:r w:rsidRPr="00C578EB">
        <w:t xml:space="preserve">differences in average cost, new entrant rates and/or exit rates </w:t>
      </w:r>
      <w:r w:rsidR="008E748B" w:rsidRPr="00C578EB">
        <w:t>between</w:t>
      </w:r>
      <w:r w:rsidRPr="00C578EB">
        <w:t xml:space="preserve"> different groups of participants. The characteristics </w:t>
      </w:r>
      <w:r w:rsidR="008E748B" w:rsidRPr="00C578EB">
        <w:t xml:space="preserve">allowed for </w:t>
      </w:r>
      <w:r w:rsidRPr="00C578EB">
        <w:t>are age, primary disability type, level of function, gender</w:t>
      </w:r>
      <w:r w:rsidR="00F554B8" w:rsidRPr="00C578EB">
        <w:t>,</w:t>
      </w:r>
      <w:r w:rsidRPr="00C578EB">
        <w:t xml:space="preserve"> whether a participant is in SIL arrangements</w:t>
      </w:r>
      <w:r w:rsidR="005A0E0F" w:rsidRPr="00C578EB">
        <w:t>,</w:t>
      </w:r>
      <w:r w:rsidR="00F554B8" w:rsidRPr="00C578EB">
        <w:t xml:space="preserve"> and the duration that a participant has been in the Scheme</w:t>
      </w:r>
      <w:r w:rsidRPr="00C578EB">
        <w:t>. Separate cost, new entrant and exit assumptions have been developed for each of these characteristics.</w:t>
      </w:r>
      <w:r w:rsidR="00F1290A" w:rsidRPr="00C578EB">
        <w:t xml:space="preserve"> </w:t>
      </w:r>
      <w:r w:rsidR="0085026F" w:rsidRPr="00C578EB">
        <w:t xml:space="preserve">These assumptions are </w:t>
      </w:r>
      <w:r w:rsidR="007C57B7" w:rsidRPr="00C578EB">
        <w:t>d</w:t>
      </w:r>
      <w:r w:rsidR="0085026F" w:rsidRPr="00C578EB">
        <w:t>escribed in more detail in the appendices to this report.</w:t>
      </w:r>
    </w:p>
    <w:p w14:paraId="31F2201F" w14:textId="68BA17E7" w:rsidR="00F1290A" w:rsidRPr="00C578EB" w:rsidRDefault="006632E7" w:rsidP="00F61C6A">
      <w:pPr>
        <w:spacing w:line="276" w:lineRule="auto"/>
      </w:pPr>
      <w:r w:rsidRPr="00C578EB">
        <w:t xml:space="preserve">The </w:t>
      </w:r>
      <w:r w:rsidR="00715E17" w:rsidRPr="00C578EB">
        <w:t xml:space="preserve">assumptions in the </w:t>
      </w:r>
      <w:r w:rsidRPr="00C578EB">
        <w:t xml:space="preserve">projection model </w:t>
      </w:r>
      <w:r w:rsidR="00715E17" w:rsidRPr="00C578EB">
        <w:t>are at a national level</w:t>
      </w:r>
      <w:r w:rsidRPr="00C578EB">
        <w:t>. This best reflects the nationally consistent approach of the Scheme and enables the experience-based projection model to utilise the greatest volume of available data to inform assumptions.</w:t>
      </w:r>
    </w:p>
    <w:p w14:paraId="05BB3A6E" w14:textId="16FD284E" w:rsidR="00650643" w:rsidRPr="00C578EB" w:rsidRDefault="00650643" w:rsidP="00650643">
      <w:pPr>
        <w:spacing w:line="276" w:lineRule="auto"/>
      </w:pPr>
      <w:r w:rsidRPr="00597704">
        <w:fldChar w:fldCharType="begin"/>
      </w:r>
      <w:r w:rsidRPr="00C578EB">
        <w:instrText xml:space="preserve"> REF _Ref522208186 \h  \* MERGEFORMAT </w:instrText>
      </w:r>
      <w:r w:rsidRPr="00597704">
        <w:fldChar w:fldCharType="separate"/>
      </w:r>
      <w:r w:rsidR="00715347" w:rsidRPr="00C578EB">
        <w:t xml:space="preserve">Figure </w:t>
      </w:r>
      <w:r w:rsidR="00715347">
        <w:rPr>
          <w:noProof/>
        </w:rPr>
        <w:t>9</w:t>
      </w:r>
      <w:r w:rsidRPr="00597704">
        <w:fldChar w:fldCharType="end"/>
      </w:r>
      <w:r w:rsidRPr="00C578EB">
        <w:t xml:space="preserve"> summarises the modelling approach in graphical format, with the main components of the modelling approach noted below.</w:t>
      </w:r>
    </w:p>
    <w:p w14:paraId="09EBC1C2" w14:textId="382BE13E" w:rsidR="00F60243" w:rsidRPr="00C578EB" w:rsidRDefault="00F60243" w:rsidP="00F60243">
      <w:pPr>
        <w:pStyle w:val="FSRHeading4"/>
      </w:pPr>
      <w:r w:rsidRPr="00C578EB">
        <w:t>Participant numbers</w:t>
      </w:r>
    </w:p>
    <w:p w14:paraId="08D4D696" w14:textId="1AFABDBF" w:rsidR="00237D73" w:rsidRPr="00C578EB" w:rsidRDefault="00F554B8" w:rsidP="00237D73">
      <w:pPr>
        <w:pStyle w:val="FSRlist"/>
      </w:pPr>
      <w:r w:rsidRPr="00C578EB">
        <w:t>Aggregate p</w:t>
      </w:r>
      <w:r w:rsidR="00237D73" w:rsidRPr="00C578EB">
        <w:t>articipant numbers for ages 0 to 64 are estimated using actuarial techniques</w:t>
      </w:r>
      <w:r w:rsidR="00237D73" w:rsidRPr="00C578EB">
        <w:rPr>
          <w:rStyle w:val="FootnoteReference"/>
        </w:rPr>
        <w:footnoteReference w:id="24"/>
      </w:r>
      <w:r w:rsidR="00237D73" w:rsidRPr="00C578EB">
        <w:t xml:space="preserve"> up until the assumed Steady Intake Date</w:t>
      </w:r>
      <w:r w:rsidR="00F43C49" w:rsidRPr="00C578EB">
        <w:rPr>
          <w:rStyle w:val="FootnoteReference"/>
        </w:rPr>
        <w:footnoteReference w:id="25"/>
      </w:r>
      <w:r w:rsidR="00237D73" w:rsidRPr="00C578EB">
        <w:t xml:space="preserve"> of 30 June 202</w:t>
      </w:r>
      <w:r w:rsidR="00F1290A" w:rsidRPr="00C578EB">
        <w:t>4</w:t>
      </w:r>
      <w:r w:rsidR="00237D73" w:rsidRPr="00C578EB">
        <w:t xml:space="preserve">. </w:t>
      </w:r>
    </w:p>
    <w:p w14:paraId="126B82E3" w14:textId="1DF53F26" w:rsidR="003F698C" w:rsidRPr="00C578EB" w:rsidRDefault="00237D73" w:rsidP="00237D73">
      <w:pPr>
        <w:pStyle w:val="FSRlist"/>
      </w:pPr>
      <w:r w:rsidRPr="00C578EB">
        <w:t xml:space="preserve">The </w:t>
      </w:r>
      <w:r w:rsidR="000D7C14" w:rsidRPr="00C578EB">
        <w:t>number</w:t>
      </w:r>
      <w:r w:rsidRPr="00C578EB">
        <w:t xml:space="preserve"> and profile of participants expected </w:t>
      </w:r>
      <w:r w:rsidR="003F698C" w:rsidRPr="00C578EB">
        <w:t xml:space="preserve">to enter the Scheme </w:t>
      </w:r>
      <w:r w:rsidRPr="00C578EB">
        <w:t xml:space="preserve">in each </w:t>
      </w:r>
      <w:r w:rsidR="008D2F1D" w:rsidRPr="00C578EB">
        <w:t xml:space="preserve">projection </w:t>
      </w:r>
      <w:r w:rsidRPr="00C578EB">
        <w:t xml:space="preserve">year is </w:t>
      </w:r>
      <w:r w:rsidR="003F698C" w:rsidRPr="00C578EB">
        <w:t xml:space="preserve">based on </w:t>
      </w:r>
      <w:r w:rsidR="00D35D9A" w:rsidRPr="00C578EB">
        <w:t>the historical profile of participants</w:t>
      </w:r>
      <w:r w:rsidR="00F1290A" w:rsidRPr="00C578EB">
        <w:t>, by</w:t>
      </w:r>
      <w:r w:rsidR="003F698C" w:rsidRPr="00C578EB">
        <w:t>:</w:t>
      </w:r>
    </w:p>
    <w:p w14:paraId="0DA6195A" w14:textId="386D8EBB" w:rsidR="003F698C" w:rsidRPr="00C578EB" w:rsidRDefault="00F1290A" w:rsidP="00694CF4">
      <w:pPr>
        <w:pStyle w:val="FSRlist"/>
        <w:numPr>
          <w:ilvl w:val="1"/>
          <w:numId w:val="40"/>
        </w:numPr>
      </w:pPr>
      <w:r w:rsidRPr="00C578EB">
        <w:t>New incidence of disability; and</w:t>
      </w:r>
    </w:p>
    <w:p w14:paraId="579E0893" w14:textId="29718219" w:rsidR="003F698C" w:rsidRPr="00C578EB" w:rsidRDefault="00F1290A" w:rsidP="00F1290A">
      <w:pPr>
        <w:pStyle w:val="FSRlist"/>
        <w:numPr>
          <w:ilvl w:val="1"/>
          <w:numId w:val="40"/>
        </w:numPr>
      </w:pPr>
      <w:r w:rsidRPr="00C578EB">
        <w:t>P</w:t>
      </w:r>
      <w:r w:rsidR="003F698C" w:rsidRPr="00C578EB">
        <w:t>reviously unmet need for disability supports</w:t>
      </w:r>
      <w:r w:rsidR="00F704FA" w:rsidRPr="00C578EB">
        <w:t>.</w:t>
      </w:r>
      <w:r w:rsidR="008D2F1D" w:rsidRPr="00C578EB">
        <w:rPr>
          <w:rStyle w:val="FootnoteReference"/>
        </w:rPr>
        <w:footnoteReference w:id="26"/>
      </w:r>
    </w:p>
    <w:p w14:paraId="75188554" w14:textId="49FB3EF4" w:rsidR="00237D73" w:rsidRPr="00C578EB" w:rsidRDefault="007E77C1" w:rsidP="00237D73">
      <w:pPr>
        <w:pStyle w:val="FSRlist"/>
      </w:pPr>
      <w:r w:rsidRPr="00C578EB">
        <w:t>Annual p</w:t>
      </w:r>
      <w:r w:rsidR="00237D73" w:rsidRPr="00C578EB">
        <w:t xml:space="preserve">opulation projections are calculated </w:t>
      </w:r>
      <w:r w:rsidR="008D2F1D" w:rsidRPr="00C578EB">
        <w:t xml:space="preserve">by exact age </w:t>
      </w:r>
      <w:r w:rsidR="00F554B8" w:rsidRPr="00C578EB">
        <w:t xml:space="preserve">and </w:t>
      </w:r>
      <w:r w:rsidR="00237D73" w:rsidRPr="00C578EB">
        <w:t xml:space="preserve">Projection Group by adding </w:t>
      </w:r>
      <w:r w:rsidR="00F554B8" w:rsidRPr="00C578EB">
        <w:t>participant intake</w:t>
      </w:r>
      <w:r w:rsidR="003F698C" w:rsidRPr="00C578EB">
        <w:t xml:space="preserve"> </w:t>
      </w:r>
      <w:r w:rsidR="00F554B8" w:rsidRPr="00C578EB">
        <w:t>to the starting population</w:t>
      </w:r>
      <w:r w:rsidR="008E748B" w:rsidRPr="00C578EB">
        <w:t>,</w:t>
      </w:r>
      <w:r w:rsidR="00F554B8" w:rsidRPr="00C578EB">
        <w:t xml:space="preserve"> </w:t>
      </w:r>
      <w:r w:rsidR="00237D73" w:rsidRPr="00C578EB">
        <w:t>subtracting mortality and non</w:t>
      </w:r>
      <w:r w:rsidR="00237D73" w:rsidRPr="00C578EB">
        <w:noBreakHyphen/>
        <w:t>mortality exits</w:t>
      </w:r>
      <w:r w:rsidR="008E748B" w:rsidRPr="00C578EB">
        <w:t>,</w:t>
      </w:r>
      <w:r w:rsidR="00237D73" w:rsidRPr="00C578EB">
        <w:t xml:space="preserve"> </w:t>
      </w:r>
      <w:r w:rsidR="00F554B8" w:rsidRPr="00C578EB">
        <w:t>and ag</w:t>
      </w:r>
      <w:r w:rsidR="008E748B" w:rsidRPr="00C578EB">
        <w:t>e</w:t>
      </w:r>
      <w:r w:rsidR="00F554B8" w:rsidRPr="00C578EB">
        <w:t xml:space="preserve">ing </w:t>
      </w:r>
      <w:r w:rsidRPr="00C578EB">
        <w:t xml:space="preserve">the </w:t>
      </w:r>
      <w:r w:rsidR="00F554B8" w:rsidRPr="00C578EB">
        <w:t xml:space="preserve">remaining participants by </w:t>
      </w:r>
      <w:r w:rsidR="008405C6" w:rsidRPr="00C578EB">
        <w:t xml:space="preserve">one </w:t>
      </w:r>
      <w:r w:rsidR="00F554B8" w:rsidRPr="00C578EB">
        <w:t>year</w:t>
      </w:r>
      <w:r w:rsidRPr="00C578EB">
        <w:t xml:space="preserve"> of age</w:t>
      </w:r>
      <w:r w:rsidR="00237D73" w:rsidRPr="00C578EB">
        <w:t>.</w:t>
      </w:r>
    </w:p>
    <w:p w14:paraId="0D1BCF06" w14:textId="697A95C2" w:rsidR="0097126D" w:rsidRPr="00C578EB" w:rsidRDefault="0027702C" w:rsidP="0027702C">
      <w:pPr>
        <w:pStyle w:val="FSRlist"/>
      </w:pPr>
      <w:r w:rsidRPr="00C578EB">
        <w:t>Each Projection Group is differentiated by age band (</w:t>
      </w:r>
      <w:r w:rsidR="007E77C1" w:rsidRPr="00C578EB">
        <w:t xml:space="preserve">summarised into </w:t>
      </w:r>
      <w:r w:rsidRPr="00C578EB">
        <w:t>nine groups), primary disability and level of function (57 groups), gender (two groups) and whether a participant is in SIL (two groups). This leads to 2,052 unique Projection Groups.</w:t>
      </w:r>
    </w:p>
    <w:p w14:paraId="3A553D6B" w14:textId="1D04793B" w:rsidR="0027702C" w:rsidRPr="00C578EB" w:rsidRDefault="00014A8B" w:rsidP="0027702C">
      <w:pPr>
        <w:pStyle w:val="FSRlist"/>
      </w:pPr>
      <w:r w:rsidRPr="00C578EB">
        <w:t>The profile of participants at 30 June in each year has also been determined by Projection Group.</w:t>
      </w:r>
    </w:p>
    <w:p w14:paraId="5D8792AD" w14:textId="18AD6E41" w:rsidR="003257F0" w:rsidRPr="00C578EB" w:rsidRDefault="00F1290A" w:rsidP="00F1290A">
      <w:pPr>
        <w:pStyle w:val="FSRlist"/>
      </w:pPr>
      <w:r w:rsidRPr="00C578EB">
        <w:t xml:space="preserve">There is also a transition model to explicitly allow for participants who enter the Scheme with developmental delay, but are later determined to have autism or an intellectual disability. Some participants with a developmental delay will transition to </w:t>
      </w:r>
      <w:r w:rsidRPr="00C578EB">
        <w:lastRenderedPageBreak/>
        <w:t>another disability once a diagnosis has been made. This transfer typically happens between the ages of 5 to 8, although this can also occur outside of these ages</w:t>
      </w:r>
      <w:r w:rsidR="000412BB" w:rsidRPr="00C578EB">
        <w:t xml:space="preserve">. </w:t>
      </w:r>
    </w:p>
    <w:p w14:paraId="1964000B" w14:textId="3D3A5D10" w:rsidR="009F598D" w:rsidRPr="00C578EB" w:rsidRDefault="009F598D" w:rsidP="0045357E">
      <w:pPr>
        <w:pStyle w:val="FSRlist"/>
      </w:pPr>
      <w:r w:rsidRPr="00C578EB">
        <w:t xml:space="preserve">The number of participants in SIL arrangements is modelled based on an assumed proportion </w:t>
      </w:r>
      <w:r w:rsidR="003664EF" w:rsidRPr="00C578EB">
        <w:t xml:space="preserve">of </w:t>
      </w:r>
      <w:r w:rsidRPr="00C578EB">
        <w:t>each Projection Group. There are different proportions adopted for the medium-term (i.e. a time horizon of three years to the Steady Intake Date) and long-term (i.e. a 10-year time horizon).</w:t>
      </w:r>
      <w:r w:rsidR="00BA5A51" w:rsidRPr="00C578EB">
        <w:t xml:space="preserve"> SIL participants are modelled specifically as while they only comprise 5.7% of all participants, they contribute</w:t>
      </w:r>
      <w:r w:rsidR="00325424" w:rsidRPr="00C578EB">
        <w:t xml:space="preserve"> significantly</w:t>
      </w:r>
      <w:r w:rsidR="00BA5A51" w:rsidRPr="00C578EB">
        <w:t xml:space="preserve"> to </w:t>
      </w:r>
      <w:r w:rsidR="000F2269" w:rsidRPr="00C578EB">
        <w:t>S</w:t>
      </w:r>
      <w:r w:rsidR="00BA5A51" w:rsidRPr="00C578EB">
        <w:t>cheme costs</w:t>
      </w:r>
      <w:r w:rsidR="00325424" w:rsidRPr="00C578EB">
        <w:t xml:space="preserve"> (3</w:t>
      </w:r>
      <w:r w:rsidR="009F7C97">
        <w:t>4</w:t>
      </w:r>
      <w:r w:rsidR="00325424" w:rsidRPr="00C578EB">
        <w:t>% over the 2020-21 financial year to date)</w:t>
      </w:r>
      <w:r w:rsidR="00BA5A51" w:rsidRPr="00C578EB">
        <w:t>.</w:t>
      </w:r>
    </w:p>
    <w:p w14:paraId="78F64C3E" w14:textId="4499BCB6" w:rsidR="00F60243" w:rsidRPr="00C578EB" w:rsidRDefault="00F60243" w:rsidP="00F60243">
      <w:pPr>
        <w:pStyle w:val="FSRHeading4"/>
      </w:pPr>
      <w:r w:rsidRPr="00C578EB">
        <w:t>Participant costs</w:t>
      </w:r>
    </w:p>
    <w:p w14:paraId="62939DF0" w14:textId="4E5E3508" w:rsidR="00F704FA" w:rsidRPr="00C578EB" w:rsidRDefault="00237D73" w:rsidP="00237D73">
      <w:pPr>
        <w:pStyle w:val="FSRlist"/>
      </w:pPr>
      <w:r w:rsidRPr="00C578EB">
        <w:t>Participant costs</w:t>
      </w:r>
      <w:r w:rsidR="00F704FA" w:rsidRPr="00C578EB">
        <w:rPr>
          <w:vertAlign w:val="superscript"/>
        </w:rPr>
        <w:footnoteReference w:id="27"/>
      </w:r>
      <w:r w:rsidRPr="00C578EB">
        <w:t xml:space="preserve"> are estimated by Projection Group using annualised payment levels for the three months to 31 </w:t>
      </w:r>
      <w:r w:rsidR="00F704FA" w:rsidRPr="00C578EB">
        <w:t>December</w:t>
      </w:r>
      <w:r w:rsidRPr="00C578EB">
        <w:t xml:space="preserve"> 2020 for</w:t>
      </w:r>
      <w:r w:rsidR="00E16A27" w:rsidRPr="00C578EB">
        <w:t xml:space="preserve"> “mature participants”, i.e. </w:t>
      </w:r>
      <w:r w:rsidRPr="00C578EB">
        <w:t xml:space="preserve">participants who were active at both </w:t>
      </w:r>
      <w:r w:rsidR="00F704FA" w:rsidRPr="00C578EB">
        <w:t>30 September 2020 and 31 December 2020, and had their first plan approved on or prior to 30 September 2019</w:t>
      </w:r>
      <w:r w:rsidRPr="00C578EB">
        <w:t>.</w:t>
      </w:r>
      <w:r w:rsidR="000C309D">
        <w:rPr>
          <w:rStyle w:val="FootnoteReference"/>
        </w:rPr>
        <w:footnoteReference w:id="28"/>
      </w:r>
      <w:r w:rsidRPr="00C578EB">
        <w:t xml:space="preserve"> </w:t>
      </w:r>
    </w:p>
    <w:p w14:paraId="426A3634" w14:textId="18752EDD" w:rsidR="00237D73" w:rsidRPr="00C578EB" w:rsidRDefault="00237D73" w:rsidP="00237D73">
      <w:pPr>
        <w:pStyle w:val="FSRlist"/>
      </w:pPr>
      <w:r w:rsidRPr="00C578EB">
        <w:t xml:space="preserve">Costs are projected on a cash flow basis, </w:t>
      </w:r>
      <w:r w:rsidRPr="00C578EB">
        <w:rPr>
          <w:rFonts w:cs="Arial"/>
          <w:szCs w:val="22"/>
        </w:rPr>
        <w:t>representing the estimated rate of outflows from the Scheme (noting in-kind supports are expected to be used evenly throughout a participant’s plan). Projected payments are split between 15 different support categories</w:t>
      </w:r>
      <w:r w:rsidR="00DF2E38" w:rsidRPr="00C578EB">
        <w:rPr>
          <w:rFonts w:cs="Arial"/>
          <w:szCs w:val="22"/>
        </w:rPr>
        <w:t>.</w:t>
      </w:r>
      <w:r w:rsidRPr="00C578EB">
        <w:rPr>
          <w:rStyle w:val="FootnoteReference"/>
          <w:rFonts w:cs="Arial"/>
          <w:szCs w:val="22"/>
        </w:rPr>
        <w:footnoteReference w:id="29"/>
      </w:r>
    </w:p>
    <w:p w14:paraId="08C7E5D6" w14:textId="65FC888F" w:rsidR="00650643" w:rsidRPr="00C578EB" w:rsidRDefault="00237D73" w:rsidP="00237D73">
      <w:pPr>
        <w:pStyle w:val="FSRlist"/>
      </w:pPr>
      <w:r w:rsidRPr="00C578EB">
        <w:t>Inflation of costs is added in future years from both normal inflationary sources and sources of superimposed inflation.</w:t>
      </w:r>
    </w:p>
    <w:p w14:paraId="125BA8EA" w14:textId="39417FF1" w:rsidR="00F704FA" w:rsidRPr="00C578EB" w:rsidRDefault="00790E87" w:rsidP="00F704FA">
      <w:pPr>
        <w:pStyle w:val="FSRlist"/>
      </w:pPr>
      <w:r w:rsidRPr="00C578EB">
        <w:t xml:space="preserve">An allowance </w:t>
      </w:r>
      <w:r w:rsidR="005C5D5D" w:rsidRPr="00C578EB">
        <w:t xml:space="preserve">for the expected change in participant plan provision </w:t>
      </w:r>
      <w:r w:rsidRPr="00C578EB">
        <w:t xml:space="preserve">is then made to </w:t>
      </w:r>
      <w:r w:rsidR="00CF6D1C" w:rsidRPr="00C578EB">
        <w:t>convert</w:t>
      </w:r>
      <w:r w:rsidRPr="00C578EB">
        <w:t xml:space="preserve"> projected costs </w:t>
      </w:r>
      <w:r w:rsidR="00CF6D1C" w:rsidRPr="00C578EB">
        <w:t>from a cash basis to</w:t>
      </w:r>
      <w:r w:rsidRPr="00C578EB">
        <w:t xml:space="preserve"> an accrual basis.</w:t>
      </w:r>
    </w:p>
    <w:p w14:paraId="018327DC" w14:textId="6643D877" w:rsidR="007E77C1" w:rsidRPr="00C578EB" w:rsidRDefault="00237D73" w:rsidP="00AA0F20">
      <w:pPr>
        <w:pStyle w:val="FSRlist"/>
      </w:pPr>
      <w:r w:rsidRPr="00C578EB">
        <w:t>Comparisons are made to relevant benchmarks</w:t>
      </w:r>
      <w:r w:rsidR="002E33E5" w:rsidRPr="00C578EB">
        <w:t xml:space="preserve"> </w:t>
      </w:r>
      <w:r w:rsidR="0085026F" w:rsidRPr="00C578EB">
        <w:t>(such as the PBS)</w:t>
      </w:r>
      <w:r w:rsidRPr="00C578EB">
        <w:t>.</w:t>
      </w:r>
    </w:p>
    <w:p w14:paraId="0E333817" w14:textId="2307D029" w:rsidR="00650643" w:rsidRPr="00C578EB" w:rsidRDefault="00650643" w:rsidP="00650643">
      <w:pPr>
        <w:spacing w:line="276" w:lineRule="auto"/>
      </w:pPr>
    </w:p>
    <w:p w14:paraId="7DC98D3B" w14:textId="77777777" w:rsidR="00F704FA" w:rsidRPr="00C578EB" w:rsidRDefault="00F704FA" w:rsidP="00650643">
      <w:pPr>
        <w:spacing w:line="276" w:lineRule="auto"/>
        <w:sectPr w:rsidR="00F704FA" w:rsidRPr="00C578EB" w:rsidSect="00562550">
          <w:headerReference w:type="even" r:id="rId22"/>
          <w:footerReference w:type="default" r:id="rId23"/>
          <w:headerReference w:type="first" r:id="rId24"/>
          <w:pgSz w:w="11906" w:h="16838" w:code="9"/>
          <w:pgMar w:top="1956" w:right="1440" w:bottom="851" w:left="1440" w:header="851" w:footer="851" w:gutter="0"/>
          <w:cols w:space="720"/>
          <w:docGrid w:linePitch="299"/>
        </w:sectPr>
      </w:pPr>
    </w:p>
    <w:p w14:paraId="4CF228F3" w14:textId="7E493479" w:rsidR="00F43852" w:rsidRPr="00C578EB" w:rsidRDefault="00650643" w:rsidP="00F43852">
      <w:pPr>
        <w:pStyle w:val="Caption"/>
        <w:rPr>
          <w:noProof/>
          <w:lang w:eastAsia="en-AU"/>
        </w:rPr>
      </w:pPr>
      <w:bookmarkStart w:id="24" w:name="_Ref522208186"/>
      <w:bookmarkStart w:id="25" w:name="_Toc16847605"/>
      <w:r w:rsidRPr="00C578EB">
        <w:lastRenderedPageBreak/>
        <w:t xml:space="preserve">Figure </w:t>
      </w:r>
      <w:r w:rsidR="008742B9" w:rsidRPr="00597704">
        <w:fldChar w:fldCharType="begin"/>
      </w:r>
      <w:r w:rsidR="008742B9" w:rsidRPr="00C578EB">
        <w:instrText xml:space="preserve"> SEQ Figure \* ARABIC </w:instrText>
      </w:r>
      <w:r w:rsidR="008742B9" w:rsidRPr="00597704">
        <w:fldChar w:fldCharType="separate"/>
      </w:r>
      <w:r w:rsidR="00715347">
        <w:rPr>
          <w:noProof/>
        </w:rPr>
        <w:t>9</w:t>
      </w:r>
      <w:r w:rsidR="008742B9" w:rsidRPr="00597704">
        <w:fldChar w:fldCharType="end"/>
      </w:r>
      <w:bookmarkEnd w:id="24"/>
      <w:r w:rsidRPr="00C578EB">
        <w:t xml:space="preserve"> Schematic of modelling approach</w:t>
      </w:r>
      <w:bookmarkEnd w:id="25"/>
      <w:r w:rsidR="002A5B15" w:rsidRPr="00C578EB">
        <w:rPr>
          <w:b w:val="0"/>
          <w:iCs w:val="0"/>
        </w:rPr>
        <w:t xml:space="preserve"> </w:t>
      </w:r>
    </w:p>
    <w:p w14:paraId="431ECD47" w14:textId="75EAB853" w:rsidR="00436921" w:rsidRPr="00C578EB" w:rsidRDefault="007F2A00" w:rsidP="00436921">
      <w:pPr>
        <w:rPr>
          <w:lang w:eastAsia="en-AU"/>
        </w:rPr>
      </w:pPr>
      <w:r w:rsidRPr="00597704">
        <w:rPr>
          <w:noProof/>
          <w:lang w:eastAsia="en-AU"/>
        </w:rPr>
        <w:drawing>
          <wp:inline distT="0" distB="0" distL="0" distR="0" wp14:anchorId="423119D3" wp14:editId="53DAED16">
            <wp:extent cx="8863330" cy="4955606"/>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63330" cy="4955606"/>
                    </a:xfrm>
                    <a:prstGeom prst="rect">
                      <a:avLst/>
                    </a:prstGeom>
                    <a:noFill/>
                    <a:ln>
                      <a:noFill/>
                    </a:ln>
                  </pic:spPr>
                </pic:pic>
              </a:graphicData>
            </a:graphic>
          </wp:inline>
        </w:drawing>
      </w:r>
    </w:p>
    <w:p w14:paraId="1D1317CB" w14:textId="46052BD1" w:rsidR="00650643" w:rsidRPr="00C578EB" w:rsidRDefault="00650643" w:rsidP="004F4111">
      <w:pPr>
        <w:pStyle w:val="FSRnormal"/>
        <w:sectPr w:rsidR="00650643" w:rsidRPr="00C578EB" w:rsidSect="00650643">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08" w:footer="708" w:gutter="0"/>
          <w:cols w:space="708"/>
          <w:docGrid w:linePitch="360"/>
        </w:sectPr>
      </w:pPr>
    </w:p>
    <w:p w14:paraId="5EC497B6" w14:textId="77621821" w:rsidR="00B65500" w:rsidRPr="00C578EB" w:rsidRDefault="00B65500" w:rsidP="006C0E59">
      <w:pPr>
        <w:pStyle w:val="Heading2"/>
        <w:ind w:left="907" w:hanging="907"/>
      </w:pPr>
      <w:bookmarkStart w:id="26" w:name="_Toc76132723"/>
      <w:r w:rsidRPr="00C578EB">
        <w:lastRenderedPageBreak/>
        <w:t>Scheme experience</w:t>
      </w:r>
      <w:bookmarkEnd w:id="26"/>
    </w:p>
    <w:p w14:paraId="1BF3BFD0" w14:textId="342DA5E0" w:rsidR="003D47F8" w:rsidRPr="00C578EB" w:rsidRDefault="003D47F8" w:rsidP="003D47F8">
      <w:r w:rsidRPr="00C578EB">
        <w:t xml:space="preserve">This section includes trends in Scheme experience until 31 December 2020. Where relevant, this section also compares the most recent six months of </w:t>
      </w:r>
      <w:r w:rsidR="002A4D37" w:rsidRPr="00C578EB">
        <w:t xml:space="preserve">Scheme </w:t>
      </w:r>
      <w:r w:rsidRPr="00C578EB">
        <w:t>experience (1 July 2020 to 31 December 2020) with the 2020-21 PBS estimates, noting the 2020-21 PBS estimates are referred to as the “expected experience” in these comparisons.</w:t>
      </w:r>
    </w:p>
    <w:p w14:paraId="024BFD82" w14:textId="01206AD2" w:rsidR="003D47F8" w:rsidRPr="00C578EB" w:rsidRDefault="003D47F8" w:rsidP="003D47F8">
      <w:r w:rsidRPr="00C578EB">
        <w:t>It is important to note that estimates in the 2020-21 Portfolio Budget Statements were based on the projection of Scheme cost as at 31 December 2019, and that significant changes were made to the projections of scheme costs prior to 31 December 2019. As an example, between the 30 June 2018 projection and the 31 December 2019 projection, the estimated number of children aged 0-14 years in the Scheme for the current financial year (2020-21) increased by 30,000 (or 19%) in the projection, with this gap increasing to 56,000 (or 26%) by 2030.</w:t>
      </w:r>
      <w:r w:rsidR="00D500BF" w:rsidRPr="00C578EB">
        <w:rPr>
          <w:rStyle w:val="FootnoteReference"/>
        </w:rPr>
        <w:footnoteReference w:id="30"/>
      </w:r>
      <w:r w:rsidRPr="00C578EB">
        <w:t xml:space="preserve"> </w:t>
      </w:r>
    </w:p>
    <w:p w14:paraId="38491AED" w14:textId="77777777" w:rsidR="003D47F8" w:rsidRPr="00C578EB" w:rsidRDefault="003D47F8" w:rsidP="003D47F8">
      <w:pPr>
        <w:pStyle w:val="FSRnormal"/>
      </w:pPr>
      <w:r w:rsidRPr="00C578EB">
        <w:t>Hence, the comparisons below between actual and expected experience for the period between 1 July 2020 and 31 December 2020, using projections at 31 December 2019 need to be considered with the above in mind.</w:t>
      </w:r>
    </w:p>
    <w:p w14:paraId="67260A88" w14:textId="49EEB167" w:rsidR="006C7595" w:rsidRPr="00C578EB" w:rsidRDefault="002A4D37" w:rsidP="00C55B5F">
      <w:r w:rsidRPr="00C578EB">
        <w:t xml:space="preserve">The 2020-21 PBS estimated that the cost of the NDIS in 2020-21 would be $21,720 million. At 31 December 2020, scheme costs on an accrual basis (after allowing for seasonality within the </w:t>
      </w:r>
      <w:r w:rsidR="000F2269" w:rsidRPr="00C578EB">
        <w:t>S</w:t>
      </w:r>
      <w:r w:rsidRPr="00C578EB">
        <w:t>cheme) were tracking above this estimate by 4.2% ($10,849</w:t>
      </w:r>
      <w:r w:rsidR="00C55B5F" w:rsidRPr="00C578EB">
        <w:t> million</w:t>
      </w:r>
      <w:r w:rsidRPr="00C578EB">
        <w:t xml:space="preserve"> over 6 months compared with $10,408</w:t>
      </w:r>
      <w:r w:rsidR="00C55B5F" w:rsidRPr="00C578EB">
        <w:t> million</w:t>
      </w:r>
      <w:r w:rsidRPr="00C578EB">
        <w:t>).</w:t>
      </w:r>
      <w:r w:rsidRPr="00C578EB">
        <w:rPr>
          <w:rStyle w:val="FootnoteReference"/>
        </w:rPr>
        <w:footnoteReference w:id="31"/>
      </w:r>
      <w:r w:rsidRPr="00C578EB">
        <w:t xml:space="preserve"> This is driven by both higher than expected number of participants and higher than expected average payments per participant.</w:t>
      </w:r>
      <w:r w:rsidR="003A46EC" w:rsidRPr="00C578EB">
        <w:t xml:space="preserve"> </w:t>
      </w:r>
    </w:p>
    <w:p w14:paraId="5950E54E" w14:textId="77777777" w:rsidR="00D40AB0" w:rsidRDefault="00D40AB0">
      <w:pPr>
        <w:spacing w:after="160" w:line="259" w:lineRule="auto"/>
        <w:rPr>
          <w:rFonts w:eastAsiaTheme="minorHAnsi"/>
          <w:b/>
          <w:color w:val="6A2875"/>
          <w:sz w:val="36"/>
          <w:szCs w:val="44"/>
        </w:rPr>
      </w:pPr>
      <w:r>
        <w:br w:type="page"/>
      </w:r>
    </w:p>
    <w:p w14:paraId="51D8F98D" w14:textId="4A9F38BF" w:rsidR="003A46EC" w:rsidRPr="00C578EB" w:rsidRDefault="003A46EC" w:rsidP="003A46EC">
      <w:pPr>
        <w:pStyle w:val="FSRHeading2"/>
        <w:numPr>
          <w:ilvl w:val="1"/>
          <w:numId w:val="1"/>
        </w:numPr>
        <w:ind w:left="907" w:hanging="907"/>
      </w:pPr>
      <w:bookmarkStart w:id="27" w:name="_Toc76132724"/>
      <w:r w:rsidRPr="00C578EB">
        <w:lastRenderedPageBreak/>
        <w:t>Participant numbers</w:t>
      </w:r>
      <w:bookmarkEnd w:id="27"/>
    </w:p>
    <w:p w14:paraId="385151B7" w14:textId="613F4F19" w:rsidR="008556F8" w:rsidRPr="00C578EB" w:rsidRDefault="008556F8" w:rsidP="008556F8">
      <w:pPr>
        <w:pStyle w:val="FSRnormal"/>
      </w:pPr>
      <w:r w:rsidRPr="00C578EB">
        <w:t xml:space="preserve">There were 432,649 active participants in the Scheme as at 31 December 2020. This is an increase of </w:t>
      </w:r>
      <w:r w:rsidR="004055EF" w:rsidRPr="00C578EB">
        <w:t>28</w:t>
      </w:r>
      <w:r w:rsidRPr="00C578EB">
        <w:t>% in</w:t>
      </w:r>
      <w:r w:rsidR="004055EF" w:rsidRPr="00C578EB">
        <w:t xml:space="preserve"> the Scheme population since 31</w:t>
      </w:r>
      <w:r w:rsidRPr="00C578EB">
        <w:t xml:space="preserve"> </w:t>
      </w:r>
      <w:r w:rsidR="004055EF" w:rsidRPr="00C578EB">
        <w:t>December</w:t>
      </w:r>
      <w:r w:rsidRPr="00C578EB">
        <w:t xml:space="preserve"> 20</w:t>
      </w:r>
      <w:r w:rsidR="004055EF" w:rsidRPr="00C578EB">
        <w:t>19</w:t>
      </w:r>
      <w:r w:rsidRPr="00C578EB">
        <w:t xml:space="preserve"> (from 3</w:t>
      </w:r>
      <w:r w:rsidR="004055EF" w:rsidRPr="00C578EB">
        <w:t>38</w:t>
      </w:r>
      <w:r w:rsidRPr="00C578EB">
        <w:t>,9</w:t>
      </w:r>
      <w:r w:rsidR="004055EF" w:rsidRPr="00C578EB">
        <w:t>82</w:t>
      </w:r>
      <w:r w:rsidRPr="00C578EB">
        <w:t xml:space="preserve"> active participants), and reflects the net effect of intake and exit of participants from the Scheme over the past 12 months.</w:t>
      </w:r>
      <w:r w:rsidR="00D66F82" w:rsidRPr="00C578EB">
        <w:t xml:space="preserve"> This can be seen in </w:t>
      </w:r>
      <w:r w:rsidR="00D66F82" w:rsidRPr="00597704">
        <w:fldChar w:fldCharType="begin"/>
      </w:r>
      <w:r w:rsidR="00D66F82" w:rsidRPr="00C578EB">
        <w:instrText xml:space="preserve"> REF _Ref74328256 \h </w:instrText>
      </w:r>
      <w:r w:rsidR="00512FF0" w:rsidRPr="00C578EB">
        <w:instrText xml:space="preserve"> \* MERGEFORMAT </w:instrText>
      </w:r>
      <w:r w:rsidR="00D66F82" w:rsidRPr="00597704">
        <w:fldChar w:fldCharType="separate"/>
      </w:r>
      <w:r w:rsidR="00715347" w:rsidRPr="00C578EB">
        <w:t xml:space="preserve">Figure </w:t>
      </w:r>
      <w:r w:rsidR="00715347">
        <w:rPr>
          <w:noProof/>
        </w:rPr>
        <w:t>10</w:t>
      </w:r>
      <w:r w:rsidR="00D66F82" w:rsidRPr="00597704">
        <w:fldChar w:fldCharType="end"/>
      </w:r>
      <w:r w:rsidR="00D66F82" w:rsidRPr="00C578EB">
        <w:t xml:space="preserve"> below.</w:t>
      </w:r>
    </w:p>
    <w:p w14:paraId="12AA9C5E" w14:textId="6D45537D" w:rsidR="00D66F82" w:rsidRPr="00C578EB" w:rsidRDefault="00D66F82" w:rsidP="00D66F82">
      <w:pPr>
        <w:pStyle w:val="Figures"/>
      </w:pPr>
      <w:bookmarkStart w:id="28" w:name="_Ref74328256"/>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10</w:t>
      </w:r>
      <w:r w:rsidR="00C04E1B" w:rsidRPr="00597704">
        <w:rPr>
          <w:noProof/>
        </w:rPr>
        <w:fldChar w:fldCharType="end"/>
      </w:r>
      <w:bookmarkEnd w:id="28"/>
      <w:r w:rsidRPr="00C578EB">
        <w:t xml:space="preserve"> Active participants in the Scheme by quarter over the past 3 years</w:t>
      </w:r>
    </w:p>
    <w:p w14:paraId="6EB9F1E5" w14:textId="32E41A63" w:rsidR="00D66F82" w:rsidRPr="00C578EB" w:rsidRDefault="00D66F82" w:rsidP="00996C9B">
      <w:pPr>
        <w:pStyle w:val="FSRnormal"/>
      </w:pPr>
      <w:r w:rsidRPr="00597704">
        <w:rPr>
          <w:noProof/>
          <w:lang w:eastAsia="en-AU"/>
        </w:rPr>
        <w:drawing>
          <wp:inline distT="0" distB="0" distL="0" distR="0" wp14:anchorId="7D96B48F" wp14:editId="20EBE77D">
            <wp:extent cx="5731510" cy="289750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2897505"/>
                    </a:xfrm>
                    <a:prstGeom prst="rect">
                      <a:avLst/>
                    </a:prstGeom>
                    <a:noFill/>
                    <a:ln>
                      <a:noFill/>
                    </a:ln>
                  </pic:spPr>
                </pic:pic>
              </a:graphicData>
            </a:graphic>
          </wp:inline>
        </w:drawing>
      </w:r>
    </w:p>
    <w:p w14:paraId="630B15FE" w14:textId="71891C9D" w:rsidR="008556F8" w:rsidRPr="00C578EB" w:rsidRDefault="00704716" w:rsidP="008556F8">
      <w:pPr>
        <w:pStyle w:val="FSRHeading5"/>
      </w:pPr>
      <w:r w:rsidRPr="00C578EB">
        <w:t xml:space="preserve">In the six months to 31 December 2020, the characteristics </w:t>
      </w:r>
      <w:r w:rsidR="000C0BC1" w:rsidRPr="00C578EB">
        <w:t xml:space="preserve">of </w:t>
      </w:r>
      <w:r w:rsidR="008556F8" w:rsidRPr="00C578EB">
        <w:t xml:space="preserve">active participants is </w:t>
      </w:r>
      <w:r w:rsidR="000C0BC1" w:rsidRPr="00C578EB">
        <w:t xml:space="preserve">similar to </w:t>
      </w:r>
      <w:r w:rsidR="008556F8" w:rsidRPr="00C578EB">
        <w:t>expectations</w:t>
      </w:r>
      <w:r w:rsidRPr="00C578EB">
        <w:t>, but the overall number of participants is higher than expected</w:t>
      </w:r>
      <w:r w:rsidRPr="00C578EB">
        <w:rPr>
          <w:rStyle w:val="FootnoteReference"/>
        </w:rPr>
        <w:footnoteReference w:id="32"/>
      </w:r>
    </w:p>
    <w:p w14:paraId="3B578F4F" w14:textId="783FAC56" w:rsidR="008556F8" w:rsidRPr="00C578EB" w:rsidRDefault="008556F8" w:rsidP="008556F8">
      <w:pPr>
        <w:pStyle w:val="FSRnormal"/>
      </w:pPr>
      <w:r w:rsidRPr="00C578EB">
        <w:t xml:space="preserve">There were 432,649 active Scheme participants as at 31 December 2020, which is </w:t>
      </w:r>
      <w:r w:rsidR="00A32C10" w:rsidRPr="00C578EB">
        <w:t>4</w:t>
      </w:r>
      <w:r w:rsidRPr="00C578EB">
        <w:t>.</w:t>
      </w:r>
      <w:r w:rsidR="00A32C10" w:rsidRPr="00C578EB">
        <w:t>1</w:t>
      </w:r>
      <w:r w:rsidRPr="00C578EB">
        <w:t xml:space="preserve">% higher than </w:t>
      </w:r>
      <w:r w:rsidR="00724FBB" w:rsidRPr="00C578EB">
        <w:t xml:space="preserve">the </w:t>
      </w:r>
      <w:r w:rsidRPr="00C578EB">
        <w:t>expected</w:t>
      </w:r>
      <w:r w:rsidR="00724FBB" w:rsidRPr="00C578EB">
        <w:t xml:space="preserve"> numbers of participants</w:t>
      </w:r>
      <w:r w:rsidR="006E2C21" w:rsidRPr="00C578EB">
        <w:t xml:space="preserve"> in the 2020-21 PBS</w:t>
      </w:r>
      <w:r w:rsidR="00186009" w:rsidRPr="00C578EB">
        <w:t xml:space="preserve"> estimates</w:t>
      </w:r>
      <w:r w:rsidRPr="00C578EB">
        <w:t>.</w:t>
      </w:r>
      <w:r w:rsidR="006C26E9" w:rsidRPr="00597704">
        <w:rPr>
          <w:vertAlign w:val="superscript"/>
        </w:rPr>
        <w:t xml:space="preserve"> </w:t>
      </w:r>
      <w:r w:rsidR="006C26E9" w:rsidRPr="00597704">
        <w:rPr>
          <w:vertAlign w:val="superscript"/>
        </w:rPr>
        <w:footnoteReference w:id="33"/>
      </w:r>
      <w:r w:rsidR="006C26E9" w:rsidRPr="00C578EB">
        <w:t xml:space="preserve"> Further to this, the 2020-21 PBS estimates assumed 24,839 participants to have entered the Scheme since in the six months to 31 December 2020 (that is, since 1 July 2020). However, 40,650 have entered since 1 July 2020, which is significantly higher (64% higher than expected).</w:t>
      </w:r>
    </w:p>
    <w:p w14:paraId="2921A1F7" w14:textId="244202F5" w:rsidR="008556F8" w:rsidRPr="00C578EB" w:rsidRDefault="008556F8" w:rsidP="008556F8">
      <w:pPr>
        <w:pStyle w:val="FSRnormal"/>
      </w:pPr>
      <w:r w:rsidRPr="00C578EB">
        <w:t xml:space="preserve">Comparing actual experience to expectations is useful to highlight emerging trends, assist in the development of projections and understand the impact on financial sustainability. This comparison is shown </w:t>
      </w:r>
      <w:r w:rsidR="004055EF" w:rsidRPr="00C578EB">
        <w:t xml:space="preserve">in </w:t>
      </w:r>
      <w:r w:rsidR="004055EF" w:rsidRPr="00597704">
        <w:fldChar w:fldCharType="begin"/>
      </w:r>
      <w:r w:rsidR="004055EF" w:rsidRPr="00C578EB">
        <w:instrText xml:space="preserve"> REF _Ref74329496 \h </w:instrText>
      </w:r>
      <w:r w:rsidR="00512FF0" w:rsidRPr="00C578EB">
        <w:instrText xml:space="preserve"> \* MERGEFORMAT </w:instrText>
      </w:r>
      <w:r w:rsidR="004055EF" w:rsidRPr="00597704">
        <w:fldChar w:fldCharType="separate"/>
      </w:r>
      <w:r w:rsidR="00715347" w:rsidRPr="00C578EB">
        <w:t xml:space="preserve">Figure </w:t>
      </w:r>
      <w:r w:rsidR="00715347">
        <w:rPr>
          <w:noProof/>
        </w:rPr>
        <w:t>11</w:t>
      </w:r>
      <w:r w:rsidR="004055EF" w:rsidRPr="00597704">
        <w:fldChar w:fldCharType="end"/>
      </w:r>
      <w:r w:rsidR="00EB72B6" w:rsidRPr="00C578EB">
        <w:t xml:space="preserve">, </w:t>
      </w:r>
      <w:r w:rsidR="00EB72B6" w:rsidRPr="00597704">
        <w:fldChar w:fldCharType="begin"/>
      </w:r>
      <w:r w:rsidR="00EB72B6" w:rsidRPr="00C578EB">
        <w:instrText xml:space="preserve"> REF _Ref75865277 \h </w:instrText>
      </w:r>
      <w:r w:rsidR="00512FF0" w:rsidRPr="00C578EB">
        <w:instrText xml:space="preserve"> \* MERGEFORMAT </w:instrText>
      </w:r>
      <w:r w:rsidR="00EB72B6" w:rsidRPr="00597704">
        <w:fldChar w:fldCharType="separate"/>
      </w:r>
      <w:r w:rsidR="00715347" w:rsidRPr="00C578EB">
        <w:t xml:space="preserve">Figure </w:t>
      </w:r>
      <w:r w:rsidR="00715347">
        <w:rPr>
          <w:noProof/>
        </w:rPr>
        <w:t>12</w:t>
      </w:r>
      <w:r w:rsidR="00EB72B6" w:rsidRPr="00597704">
        <w:fldChar w:fldCharType="end"/>
      </w:r>
      <w:r w:rsidR="00EB72B6" w:rsidRPr="00C578EB">
        <w:t xml:space="preserve">, </w:t>
      </w:r>
      <w:r w:rsidR="00EB72B6" w:rsidRPr="00597704">
        <w:fldChar w:fldCharType="begin"/>
      </w:r>
      <w:r w:rsidR="00EB72B6" w:rsidRPr="00C578EB">
        <w:instrText xml:space="preserve"> REF _Ref75865283 \h </w:instrText>
      </w:r>
      <w:r w:rsidR="00512FF0" w:rsidRPr="00C578EB">
        <w:instrText xml:space="preserve"> \* MERGEFORMAT </w:instrText>
      </w:r>
      <w:r w:rsidR="00EB72B6" w:rsidRPr="00597704">
        <w:fldChar w:fldCharType="separate"/>
      </w:r>
      <w:r w:rsidR="00715347" w:rsidRPr="00C578EB">
        <w:t xml:space="preserve">Figure </w:t>
      </w:r>
      <w:r w:rsidR="00715347">
        <w:rPr>
          <w:noProof/>
        </w:rPr>
        <w:t>13</w:t>
      </w:r>
      <w:r w:rsidR="00EB72B6" w:rsidRPr="00597704">
        <w:fldChar w:fldCharType="end"/>
      </w:r>
      <w:r w:rsidR="00EB72B6" w:rsidRPr="00C578EB">
        <w:t xml:space="preserve"> and </w:t>
      </w:r>
      <w:r w:rsidR="00EB72B6" w:rsidRPr="00597704">
        <w:fldChar w:fldCharType="begin"/>
      </w:r>
      <w:r w:rsidR="00EB72B6" w:rsidRPr="00C578EB">
        <w:instrText xml:space="preserve"> REF _Ref75865288 \h </w:instrText>
      </w:r>
      <w:r w:rsidR="00512FF0" w:rsidRPr="00C578EB">
        <w:instrText xml:space="preserve"> \* MERGEFORMAT </w:instrText>
      </w:r>
      <w:r w:rsidR="00EB72B6" w:rsidRPr="00597704">
        <w:fldChar w:fldCharType="separate"/>
      </w:r>
      <w:r w:rsidR="00715347" w:rsidRPr="00C578EB">
        <w:t xml:space="preserve">Figure </w:t>
      </w:r>
      <w:r w:rsidR="00715347">
        <w:rPr>
          <w:noProof/>
        </w:rPr>
        <w:t>14</w:t>
      </w:r>
      <w:r w:rsidR="00EB72B6" w:rsidRPr="00597704">
        <w:fldChar w:fldCharType="end"/>
      </w:r>
      <w:r w:rsidR="004055EF" w:rsidRPr="00C578EB">
        <w:t xml:space="preserve"> by</w:t>
      </w:r>
      <w:r w:rsidRPr="00C578EB">
        <w:t xml:space="preserve"> key participant characteristics (SIL status, age band, disability type and level of function).</w:t>
      </w:r>
    </w:p>
    <w:p w14:paraId="0A622FC0" w14:textId="250B84AB" w:rsidR="008556F8" w:rsidRPr="00C578EB" w:rsidRDefault="008556F8" w:rsidP="008556F8">
      <w:pPr>
        <w:keepNext/>
        <w:spacing w:before="240"/>
      </w:pPr>
      <w:r w:rsidRPr="00C578EB">
        <w:lastRenderedPageBreak/>
        <w:t>Th</w:t>
      </w:r>
      <w:r w:rsidR="00697862" w:rsidRPr="00C578EB">
        <w:t>e</w:t>
      </w:r>
      <w:r w:rsidRPr="00C578EB">
        <w:t xml:space="preserve"> figure</w:t>
      </w:r>
      <w:r w:rsidR="00697862" w:rsidRPr="00C578EB">
        <w:t>s</w:t>
      </w:r>
      <w:r w:rsidRPr="00C578EB">
        <w:t xml:space="preserve"> show that compared to </w:t>
      </w:r>
      <w:r w:rsidR="004055EF" w:rsidRPr="00C578EB">
        <w:t>expected</w:t>
      </w:r>
      <w:r w:rsidRPr="00C578EB">
        <w:t>:</w:t>
      </w:r>
    </w:p>
    <w:p w14:paraId="73CE81CF" w14:textId="269FDDE3" w:rsidR="008556F8" w:rsidRPr="00C578EB" w:rsidRDefault="00A32C10" w:rsidP="008556F8">
      <w:pPr>
        <w:numPr>
          <w:ilvl w:val="0"/>
          <w:numId w:val="21"/>
        </w:numPr>
        <w:spacing w:before="120" w:after="120"/>
      </w:pPr>
      <w:r w:rsidRPr="00C578EB">
        <w:t xml:space="preserve">Slightly more </w:t>
      </w:r>
      <w:r w:rsidR="008556F8" w:rsidRPr="00C578EB">
        <w:t>participants in SIL have entered the Scheme (or transferred into SIL) than expected (graph i).</w:t>
      </w:r>
      <w:r w:rsidR="008556F8" w:rsidRPr="00C578EB">
        <w:rPr>
          <w:vertAlign w:val="superscript"/>
        </w:rPr>
        <w:footnoteReference w:id="34"/>
      </w:r>
    </w:p>
    <w:p w14:paraId="5456D0B8" w14:textId="2788F481" w:rsidR="008556F8" w:rsidRPr="00C578EB" w:rsidRDefault="008556F8" w:rsidP="008556F8">
      <w:pPr>
        <w:numPr>
          <w:ilvl w:val="0"/>
          <w:numId w:val="4"/>
        </w:numPr>
        <w:spacing w:before="120" w:after="120"/>
        <w:ind w:left="360"/>
      </w:pPr>
      <w:r w:rsidRPr="00C578EB">
        <w:t>There has been a higher level of participant</w:t>
      </w:r>
      <w:r w:rsidR="00E52DDF" w:rsidRPr="00C578EB">
        <w:t xml:space="preserve"> intake</w:t>
      </w:r>
      <w:r w:rsidRPr="00C578EB">
        <w:t xml:space="preserve"> across all age groups</w:t>
      </w:r>
      <w:r w:rsidR="00A32C10" w:rsidRPr="00C578EB">
        <w:t xml:space="preserve"> except children aged 0 to 6</w:t>
      </w:r>
      <w:r w:rsidR="00E52DDF" w:rsidRPr="00C578EB">
        <w:t xml:space="preserve">. </w:t>
      </w:r>
      <w:r w:rsidR="00A32C10" w:rsidRPr="00C578EB">
        <w:t xml:space="preserve">This is influenced by the </w:t>
      </w:r>
      <w:r w:rsidR="00E52DDF" w:rsidRPr="00C578EB">
        <w:t>r</w:t>
      </w:r>
      <w:r w:rsidR="00A32C10" w:rsidRPr="00C578EB">
        <w:t>evision of</w:t>
      </w:r>
      <w:r w:rsidR="00E52DDF" w:rsidRPr="00C578EB">
        <w:t xml:space="preserve"> expectations </w:t>
      </w:r>
      <w:r w:rsidR="00724FBB" w:rsidRPr="00C578EB">
        <w:t xml:space="preserve">to allow </w:t>
      </w:r>
      <w:r w:rsidR="00E52DDF" w:rsidRPr="00C578EB">
        <w:t xml:space="preserve">for </w:t>
      </w:r>
      <w:r w:rsidR="00724FBB" w:rsidRPr="00C578EB">
        <w:t xml:space="preserve">the </w:t>
      </w:r>
      <w:r w:rsidR="00E52DDF" w:rsidRPr="00C578EB">
        <w:t>consistently elevated intake of children aged 0 to 6</w:t>
      </w:r>
      <w:r w:rsidR="00A32C10" w:rsidRPr="00C578EB">
        <w:t xml:space="preserve"> in previous years </w:t>
      </w:r>
      <w:r w:rsidRPr="00C578EB">
        <w:t xml:space="preserve">(graph ii). </w:t>
      </w:r>
      <w:r w:rsidR="00E52DDF" w:rsidRPr="00C578EB">
        <w:t>Intake of children aged 0 to 6 continues to remain significantly higher than the original Productivity Commission (PC) assumptions.</w:t>
      </w:r>
      <w:r w:rsidR="00715C66" w:rsidRPr="00C578EB">
        <w:t xml:space="preserve"> </w:t>
      </w:r>
    </w:p>
    <w:p w14:paraId="2191F9B0" w14:textId="7E08C580" w:rsidR="008556F8" w:rsidRPr="00C578EB" w:rsidRDefault="008556F8" w:rsidP="008556F8">
      <w:pPr>
        <w:numPr>
          <w:ilvl w:val="0"/>
          <w:numId w:val="4"/>
        </w:numPr>
        <w:spacing w:before="120" w:after="120"/>
        <w:ind w:left="360"/>
      </w:pPr>
      <w:r w:rsidRPr="00C578EB">
        <w:t xml:space="preserve">A greater </w:t>
      </w:r>
      <w:r w:rsidR="0061461D" w:rsidRPr="00C578EB">
        <w:t xml:space="preserve">number </w:t>
      </w:r>
      <w:r w:rsidRPr="00C578EB">
        <w:t xml:space="preserve">of participants with </w:t>
      </w:r>
      <w:r w:rsidR="00A32C10" w:rsidRPr="00C578EB">
        <w:t xml:space="preserve">autism, </w:t>
      </w:r>
      <w:r w:rsidRPr="00C578EB">
        <w:t xml:space="preserve">developmental delay and psychosocial disability have entered the Scheme than expected, and a lower </w:t>
      </w:r>
      <w:r w:rsidR="0061461D" w:rsidRPr="00C578EB">
        <w:t xml:space="preserve">number </w:t>
      </w:r>
      <w:r w:rsidRPr="00C578EB">
        <w:t xml:space="preserve">with </w:t>
      </w:r>
      <w:r w:rsidR="00A32C10" w:rsidRPr="00C578EB">
        <w:t>hearing and visual impairments</w:t>
      </w:r>
      <w:r w:rsidRPr="00C578EB">
        <w:t xml:space="preserve"> (graph iii). Since the introduction of the disability-specific participant pathway for people with psychosocial disability, the proportion of participants with psychosocial disability has been increasing.</w:t>
      </w:r>
      <w:r w:rsidR="006C26E9" w:rsidRPr="00C578EB">
        <w:t xml:space="preserve"> However, it should be noted that the number of participants with a psychosocial disability is still lower than the </w:t>
      </w:r>
      <w:r w:rsidR="004067D5">
        <w:t xml:space="preserve">estimate </w:t>
      </w:r>
      <w:r w:rsidR="006C26E9" w:rsidRPr="00C578EB">
        <w:t>in the 2011 Productivity Commission report.</w:t>
      </w:r>
      <w:r w:rsidRPr="00C578EB">
        <w:t xml:space="preserve"> </w:t>
      </w:r>
    </w:p>
    <w:p w14:paraId="78249C6A" w14:textId="3E6A0184" w:rsidR="008556F8" w:rsidRPr="00C578EB" w:rsidRDefault="008556F8" w:rsidP="008556F8">
      <w:pPr>
        <w:numPr>
          <w:ilvl w:val="0"/>
          <w:numId w:val="4"/>
        </w:numPr>
        <w:spacing w:before="120" w:after="120"/>
        <w:ind w:left="360"/>
        <w:rPr>
          <w:i/>
        </w:rPr>
      </w:pPr>
      <w:r w:rsidRPr="00C578EB">
        <w:t>There are more high</w:t>
      </w:r>
      <w:r w:rsidR="00A32C10" w:rsidRPr="00C578EB">
        <w:t xml:space="preserve"> and low</w:t>
      </w:r>
      <w:r w:rsidRPr="00C578EB">
        <w:t xml:space="preserve"> functioning participants than expected</w:t>
      </w:r>
      <w:r w:rsidRPr="00C578EB">
        <w:rPr>
          <w:vertAlign w:val="superscript"/>
        </w:rPr>
        <w:footnoteReference w:id="35"/>
      </w:r>
      <w:r w:rsidRPr="00C578EB">
        <w:t xml:space="preserve"> (graph iv). </w:t>
      </w:r>
      <w:r w:rsidR="00A3099B" w:rsidRPr="00C578EB">
        <w:t>More detail on how the distribution of level of function is discussed below.</w:t>
      </w:r>
    </w:p>
    <w:p w14:paraId="6DE3E1CA" w14:textId="7FB2B2EE" w:rsidR="004055EF" w:rsidRPr="00C578EB" w:rsidRDefault="004055EF" w:rsidP="004055EF">
      <w:pPr>
        <w:pStyle w:val="Figures"/>
      </w:pPr>
      <w:bookmarkStart w:id="29" w:name="_Ref74329496"/>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11</w:t>
      </w:r>
      <w:r w:rsidR="00C04E1B" w:rsidRPr="00597704">
        <w:rPr>
          <w:noProof/>
        </w:rPr>
        <w:fldChar w:fldCharType="end"/>
      </w:r>
      <w:bookmarkEnd w:id="29"/>
      <w:r w:rsidRPr="00C578EB">
        <w:t xml:space="preserve"> </w:t>
      </w:r>
      <w:r w:rsidR="000C0BC1" w:rsidRPr="00C578EB">
        <w:t>Profile of Scheme participants as at 31 December 2020 – actual versus expected</w:t>
      </w:r>
      <w:r w:rsidR="00EB72B6" w:rsidRPr="00C578EB">
        <w:t xml:space="preserve"> by SIL group</w:t>
      </w:r>
    </w:p>
    <w:p w14:paraId="590686BF" w14:textId="0D7A9232" w:rsidR="006C7595" w:rsidRPr="00C578EB" w:rsidRDefault="00A32C10" w:rsidP="00996C9B">
      <w:pPr>
        <w:pStyle w:val="FSRnormal"/>
      </w:pPr>
      <w:r w:rsidRPr="00C578EB">
        <w:t xml:space="preserve"> </w:t>
      </w:r>
      <w:r w:rsidR="00EB72B6" w:rsidRPr="00C578EB">
        <w:t xml:space="preserve"> </w:t>
      </w:r>
      <w:r w:rsidR="00EB72B6" w:rsidRPr="00597704">
        <w:rPr>
          <w:noProof/>
          <w:lang w:eastAsia="en-AU"/>
        </w:rPr>
        <w:drawing>
          <wp:inline distT="0" distB="0" distL="0" distR="0" wp14:anchorId="5AB5FF57" wp14:editId="57F20FE8">
            <wp:extent cx="4866640" cy="3848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66640" cy="3848100"/>
                    </a:xfrm>
                    <a:prstGeom prst="rect">
                      <a:avLst/>
                    </a:prstGeom>
                    <a:noFill/>
                    <a:ln>
                      <a:noFill/>
                    </a:ln>
                  </pic:spPr>
                </pic:pic>
              </a:graphicData>
            </a:graphic>
          </wp:inline>
        </w:drawing>
      </w:r>
    </w:p>
    <w:p w14:paraId="7BBD1164" w14:textId="54F345FF" w:rsidR="00EB72B6" w:rsidRPr="00C578EB" w:rsidRDefault="00EB72B6" w:rsidP="00EB72B6">
      <w:pPr>
        <w:pStyle w:val="Figures"/>
      </w:pPr>
      <w:bookmarkStart w:id="30" w:name="_Ref75865277"/>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12</w:t>
      </w:r>
      <w:r w:rsidR="00C04E1B" w:rsidRPr="00597704">
        <w:rPr>
          <w:noProof/>
        </w:rPr>
        <w:fldChar w:fldCharType="end"/>
      </w:r>
      <w:bookmarkEnd w:id="30"/>
      <w:r w:rsidRPr="00C578EB">
        <w:t xml:space="preserve"> Profile of Scheme participants as at 31 December 2020 – actual versus expected by age band</w:t>
      </w:r>
    </w:p>
    <w:p w14:paraId="02F1516C" w14:textId="5E692684" w:rsidR="00EB72B6" w:rsidRPr="00C578EB" w:rsidRDefault="00EB72B6" w:rsidP="0072428B">
      <w:pPr>
        <w:pStyle w:val="FSRnormal"/>
      </w:pPr>
      <w:r w:rsidRPr="00597704">
        <w:rPr>
          <w:noProof/>
          <w:lang w:eastAsia="en-AU"/>
        </w:rPr>
        <w:drawing>
          <wp:inline distT="0" distB="0" distL="0" distR="0" wp14:anchorId="334E17F3" wp14:editId="25C90D03">
            <wp:extent cx="4866640" cy="384810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66640" cy="3848100"/>
                    </a:xfrm>
                    <a:prstGeom prst="rect">
                      <a:avLst/>
                    </a:prstGeom>
                    <a:noFill/>
                    <a:ln>
                      <a:noFill/>
                    </a:ln>
                  </pic:spPr>
                </pic:pic>
              </a:graphicData>
            </a:graphic>
          </wp:inline>
        </w:drawing>
      </w:r>
    </w:p>
    <w:p w14:paraId="50C8711D" w14:textId="7A3F2B08" w:rsidR="00EB72B6" w:rsidRPr="00C578EB" w:rsidRDefault="00EB72B6" w:rsidP="00EB72B6">
      <w:pPr>
        <w:pStyle w:val="Figures"/>
      </w:pPr>
      <w:bookmarkStart w:id="31" w:name="_Ref75865283"/>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13</w:t>
      </w:r>
      <w:r w:rsidR="00C04E1B" w:rsidRPr="00597704">
        <w:rPr>
          <w:noProof/>
        </w:rPr>
        <w:fldChar w:fldCharType="end"/>
      </w:r>
      <w:bookmarkEnd w:id="31"/>
      <w:r w:rsidRPr="00C578EB">
        <w:t xml:space="preserve"> Profile of Scheme participants as at 31 December 2020 – actual versus expected by disability group</w:t>
      </w:r>
    </w:p>
    <w:p w14:paraId="34A83B54" w14:textId="36771283" w:rsidR="00EB72B6" w:rsidRPr="00C578EB" w:rsidRDefault="00EB72B6" w:rsidP="00EB72B6">
      <w:pPr>
        <w:pStyle w:val="FSRnormal"/>
      </w:pPr>
      <w:r w:rsidRPr="00597704">
        <w:rPr>
          <w:noProof/>
          <w:lang w:eastAsia="en-AU"/>
        </w:rPr>
        <w:drawing>
          <wp:inline distT="0" distB="0" distL="0" distR="0" wp14:anchorId="17171A17" wp14:editId="31376DAB">
            <wp:extent cx="4866640" cy="38481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66640" cy="3848100"/>
                    </a:xfrm>
                    <a:prstGeom prst="rect">
                      <a:avLst/>
                    </a:prstGeom>
                    <a:noFill/>
                    <a:ln>
                      <a:noFill/>
                    </a:ln>
                  </pic:spPr>
                </pic:pic>
              </a:graphicData>
            </a:graphic>
          </wp:inline>
        </w:drawing>
      </w:r>
    </w:p>
    <w:p w14:paraId="5AAB9A20" w14:textId="27FCFA4A" w:rsidR="00EB72B6" w:rsidRPr="00C578EB" w:rsidRDefault="00EB72B6" w:rsidP="00EB72B6">
      <w:pPr>
        <w:pStyle w:val="Figures"/>
      </w:pPr>
      <w:bookmarkStart w:id="32" w:name="_Ref75865288"/>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14</w:t>
      </w:r>
      <w:r w:rsidR="00C04E1B" w:rsidRPr="00597704">
        <w:rPr>
          <w:noProof/>
        </w:rPr>
        <w:fldChar w:fldCharType="end"/>
      </w:r>
      <w:bookmarkEnd w:id="32"/>
      <w:r w:rsidRPr="00C578EB">
        <w:t xml:space="preserve"> Profile of Scheme participants as at 31 December 2020 – actual versus expected by level of function</w:t>
      </w:r>
    </w:p>
    <w:p w14:paraId="7CA6E66D" w14:textId="6DC3670C" w:rsidR="00EB72B6" w:rsidRPr="00C578EB" w:rsidRDefault="00EB72B6" w:rsidP="00996C9B">
      <w:pPr>
        <w:pStyle w:val="FSRnormal"/>
      </w:pPr>
      <w:r w:rsidRPr="00597704">
        <w:rPr>
          <w:noProof/>
          <w:lang w:eastAsia="en-AU"/>
        </w:rPr>
        <w:drawing>
          <wp:inline distT="0" distB="0" distL="0" distR="0" wp14:anchorId="546C5590" wp14:editId="4440D061">
            <wp:extent cx="4866640" cy="384810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66640" cy="3848100"/>
                    </a:xfrm>
                    <a:prstGeom prst="rect">
                      <a:avLst/>
                    </a:prstGeom>
                    <a:noFill/>
                    <a:ln>
                      <a:noFill/>
                    </a:ln>
                  </pic:spPr>
                </pic:pic>
              </a:graphicData>
            </a:graphic>
          </wp:inline>
        </w:drawing>
      </w:r>
    </w:p>
    <w:p w14:paraId="66492E31" w14:textId="07216E2D" w:rsidR="00A3099B" w:rsidRPr="00C578EB" w:rsidRDefault="00A3099B" w:rsidP="00A3099B">
      <w:pPr>
        <w:pStyle w:val="FSRHeading4"/>
      </w:pPr>
      <w:r w:rsidRPr="00C578EB">
        <w:lastRenderedPageBreak/>
        <w:t>Level of function</w:t>
      </w:r>
    </w:p>
    <w:p w14:paraId="1725D2F4" w14:textId="6B54B714" w:rsidR="0001737A" w:rsidRPr="00C578EB" w:rsidRDefault="00A3099B" w:rsidP="001D6893">
      <w:r w:rsidRPr="00C578EB">
        <w:t>The distribution of level of function has shifted</w:t>
      </w:r>
      <w:r w:rsidR="00EB72B6" w:rsidRPr="00C578EB">
        <w:t xml:space="preserve"> substantially</w:t>
      </w:r>
      <w:r w:rsidRPr="00C578EB">
        <w:t xml:space="preserve"> over a relatively short period of time for cohorts of participants. This can be seen in </w:t>
      </w:r>
      <w:r w:rsidR="007E2EB3" w:rsidRPr="00597704">
        <w:fldChar w:fldCharType="begin"/>
      </w:r>
      <w:r w:rsidR="007E2EB3" w:rsidRPr="00C578EB">
        <w:instrText xml:space="preserve"> REF _Ref75862110 \h </w:instrText>
      </w:r>
      <w:r w:rsidR="00512FF0" w:rsidRPr="00C578EB">
        <w:instrText xml:space="preserve"> \* MERGEFORMAT </w:instrText>
      </w:r>
      <w:r w:rsidR="007E2EB3" w:rsidRPr="00597704">
        <w:fldChar w:fldCharType="separate"/>
      </w:r>
      <w:r w:rsidR="00715347" w:rsidRPr="00C578EB">
        <w:t xml:space="preserve">Figure </w:t>
      </w:r>
      <w:r w:rsidR="00715347">
        <w:rPr>
          <w:noProof/>
        </w:rPr>
        <w:t>15</w:t>
      </w:r>
      <w:r w:rsidR="007E2EB3" w:rsidRPr="00597704">
        <w:fldChar w:fldCharType="end"/>
      </w:r>
      <w:r w:rsidR="007E2EB3" w:rsidRPr="00C578EB">
        <w:t xml:space="preserve"> </w:t>
      </w:r>
      <w:r w:rsidRPr="00C578EB">
        <w:t xml:space="preserve">below which indicates for participants who had entered the Scheme prior to 31 March 2017, </w:t>
      </w:r>
      <w:r w:rsidR="00762F1E" w:rsidRPr="00C578EB">
        <w:t xml:space="preserve">over time </w:t>
      </w:r>
      <w:r w:rsidRPr="00C578EB">
        <w:t>the proportion with a high level of function has decreased</w:t>
      </w:r>
      <w:r w:rsidR="00267C95" w:rsidRPr="00C578EB">
        <w:t>,</w:t>
      </w:r>
      <w:r w:rsidRPr="00C578EB">
        <w:t xml:space="preserve"> and the proportion of participants with medium and low function has increased. This trend most likely reflects inconsistent information, and is a driver of increasing costs (as lower function drives higher support packages). This trend is also consistent for participants who entered in later years </w:t>
      </w:r>
      <w:r w:rsidR="007D7117" w:rsidRPr="00C578EB">
        <w:t>(post 2017).</w:t>
      </w:r>
    </w:p>
    <w:p w14:paraId="0EF254F7" w14:textId="0469C389" w:rsidR="009C1917" w:rsidRPr="00C578EB" w:rsidRDefault="009C1917" w:rsidP="0072428B">
      <w:pPr>
        <w:pStyle w:val="Figures"/>
      </w:pPr>
      <w:bookmarkStart w:id="33" w:name="_Ref75862110"/>
      <w:r w:rsidRPr="00C578EB">
        <w:t xml:space="preserve">Figure </w:t>
      </w:r>
      <w:r w:rsidRPr="00597704">
        <w:fldChar w:fldCharType="begin"/>
      </w:r>
      <w:r w:rsidRPr="00C578EB">
        <w:instrText xml:space="preserve"> SEQ Figure \* ARABIC </w:instrText>
      </w:r>
      <w:r w:rsidRPr="00597704">
        <w:fldChar w:fldCharType="separate"/>
      </w:r>
      <w:r w:rsidR="00715347">
        <w:rPr>
          <w:noProof/>
        </w:rPr>
        <w:t>15</w:t>
      </w:r>
      <w:r w:rsidRPr="00597704">
        <w:rPr>
          <w:noProof/>
        </w:rPr>
        <w:fldChar w:fldCharType="end"/>
      </w:r>
      <w:bookmarkEnd w:id="33"/>
      <w:r w:rsidRPr="00C578EB">
        <w:t xml:space="preserve"> Change in functional distribution from 31 March 2017 to 31 March 2021</w:t>
      </w:r>
      <w:r w:rsidRPr="00C578EB">
        <w:rPr>
          <w:rStyle w:val="FootnoteReference"/>
        </w:rPr>
        <w:footnoteReference w:id="36"/>
      </w:r>
    </w:p>
    <w:p w14:paraId="6B509BC3" w14:textId="308A13B2" w:rsidR="00325424" w:rsidRPr="00C578EB" w:rsidRDefault="009C1917" w:rsidP="007D7117">
      <w:r w:rsidRPr="00597704">
        <w:rPr>
          <w:noProof/>
          <w:lang w:eastAsia="en-AU"/>
        </w:rPr>
        <w:drawing>
          <wp:inline distT="0" distB="0" distL="0" distR="0" wp14:anchorId="0167EDF0" wp14:editId="3085FB35">
            <wp:extent cx="5731510" cy="2715345"/>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2715345"/>
                    </a:xfrm>
                    <a:prstGeom prst="rect">
                      <a:avLst/>
                    </a:prstGeom>
                    <a:noFill/>
                    <a:ln>
                      <a:noFill/>
                    </a:ln>
                  </pic:spPr>
                </pic:pic>
              </a:graphicData>
            </a:graphic>
          </wp:inline>
        </w:drawing>
      </w:r>
    </w:p>
    <w:p w14:paraId="59EB3A9C" w14:textId="50ABFAD7" w:rsidR="000C0BC1" w:rsidRPr="00C578EB" w:rsidRDefault="000C0BC1" w:rsidP="000C0BC1">
      <w:pPr>
        <w:pStyle w:val="FSRHeading4"/>
      </w:pPr>
      <w:r w:rsidRPr="00C578EB">
        <w:t>Supported independent living</w:t>
      </w:r>
    </w:p>
    <w:p w14:paraId="32FCD687" w14:textId="7BD96714" w:rsidR="008556F8" w:rsidRPr="00C578EB" w:rsidRDefault="000C0BC1" w:rsidP="000C0BC1">
      <w:r w:rsidRPr="00C578EB">
        <w:t>Overall, approximately 5.7% of Scheme participants currently have SIL arrangements. T</w:t>
      </w:r>
      <w:r w:rsidR="008556F8" w:rsidRPr="00C578EB">
        <w:t xml:space="preserve">he increasing number of participants in SIL is mainly due to existing participants moving </w:t>
      </w:r>
      <w:r w:rsidRPr="00C578EB">
        <w:t>in</w:t>
      </w:r>
      <w:r w:rsidR="008556F8" w:rsidRPr="00C578EB">
        <w:t>to SIL and, to a lesser extent, new entrants with SIL arrangements in place transferring from ex</w:t>
      </w:r>
      <w:r w:rsidRPr="00C578EB">
        <w:t>isting programs into the Scheme.</w:t>
      </w:r>
    </w:p>
    <w:p w14:paraId="7A77F809" w14:textId="4DBFD8D9" w:rsidR="007D3416" w:rsidRPr="00C578EB" w:rsidRDefault="007D3416" w:rsidP="000C0BC1">
      <w:r w:rsidRPr="00C578EB">
        <w:t xml:space="preserve">However, the proportion of Scheme participants with SIL arrangements continues to decrease over time as participants from existing programs, who are more likely to require SIL supports, have </w:t>
      </w:r>
      <w:r w:rsidR="00590547" w:rsidRPr="00C578EB">
        <w:t xml:space="preserve">mostly </w:t>
      </w:r>
      <w:r w:rsidRPr="00C578EB">
        <w:t xml:space="preserve">finished transitioning into the Scheme. This can be seen below in </w:t>
      </w:r>
      <w:r w:rsidR="00590547" w:rsidRPr="00597704">
        <w:fldChar w:fldCharType="begin"/>
      </w:r>
      <w:r w:rsidR="00590547" w:rsidRPr="00C578EB">
        <w:instrText xml:space="preserve"> REF _Ref74931704 \h </w:instrText>
      </w:r>
      <w:r w:rsidR="00512FF0" w:rsidRPr="00C578EB">
        <w:instrText xml:space="preserve"> \* MERGEFORMAT </w:instrText>
      </w:r>
      <w:r w:rsidR="00590547" w:rsidRPr="00597704">
        <w:fldChar w:fldCharType="separate"/>
      </w:r>
      <w:r w:rsidR="00715347" w:rsidRPr="00C578EB">
        <w:t xml:space="preserve">Figure </w:t>
      </w:r>
      <w:r w:rsidR="00715347">
        <w:rPr>
          <w:noProof/>
        </w:rPr>
        <w:t>16</w:t>
      </w:r>
      <w:r w:rsidR="00590547" w:rsidRPr="00597704">
        <w:fldChar w:fldCharType="end"/>
      </w:r>
      <w:r w:rsidRPr="00C578EB">
        <w:t>. This gradual change in mix impacts the weighted average cost per participant at the total level.</w:t>
      </w:r>
    </w:p>
    <w:p w14:paraId="65B8B5CE" w14:textId="7AE7D6ED" w:rsidR="007D3416" w:rsidRPr="00C578EB" w:rsidRDefault="007D3416" w:rsidP="007D3416">
      <w:pPr>
        <w:pStyle w:val="Figures"/>
      </w:pPr>
      <w:bookmarkStart w:id="34" w:name="_Ref74931704"/>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16</w:t>
      </w:r>
      <w:r w:rsidR="00C04E1B" w:rsidRPr="00597704">
        <w:rPr>
          <w:noProof/>
        </w:rPr>
        <w:fldChar w:fldCharType="end"/>
      </w:r>
      <w:bookmarkEnd w:id="34"/>
      <w:r w:rsidRPr="00C578EB">
        <w:t xml:space="preserve"> Active participants in the Scheme by quarter over the past 3 years, split by SIL group</w:t>
      </w:r>
    </w:p>
    <w:p w14:paraId="41F4D3E7" w14:textId="10E7CBEA" w:rsidR="00590547" w:rsidRPr="00C578EB" w:rsidRDefault="00590547" w:rsidP="007D3416">
      <w:pPr>
        <w:pStyle w:val="Figures"/>
      </w:pPr>
      <w:r w:rsidRPr="00597704">
        <w:rPr>
          <w:noProof/>
          <w:lang w:eastAsia="en-AU"/>
        </w:rPr>
        <w:drawing>
          <wp:inline distT="0" distB="0" distL="0" distR="0" wp14:anchorId="772E1EF7" wp14:editId="6D0B461B">
            <wp:extent cx="5731510" cy="2766017"/>
            <wp:effectExtent l="0" t="0" r="254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2766017"/>
                    </a:xfrm>
                    <a:prstGeom prst="rect">
                      <a:avLst/>
                    </a:prstGeom>
                    <a:noFill/>
                    <a:ln>
                      <a:noFill/>
                    </a:ln>
                  </pic:spPr>
                </pic:pic>
              </a:graphicData>
            </a:graphic>
          </wp:inline>
        </w:drawing>
      </w:r>
    </w:p>
    <w:p w14:paraId="6B3AD067" w14:textId="6E11738F" w:rsidR="00590547" w:rsidRPr="00C578EB" w:rsidRDefault="00590547" w:rsidP="000C0BC1">
      <w:r w:rsidRPr="00597704">
        <w:fldChar w:fldCharType="begin"/>
      </w:r>
      <w:r w:rsidRPr="00C578EB">
        <w:instrText xml:space="preserve"> REF _Ref74931860 \h </w:instrText>
      </w:r>
      <w:r w:rsidR="00512FF0" w:rsidRPr="00C578EB">
        <w:instrText xml:space="preserve"> \* MERGEFORMAT </w:instrText>
      </w:r>
      <w:r w:rsidRPr="00597704">
        <w:fldChar w:fldCharType="separate"/>
      </w:r>
      <w:r w:rsidR="00715347" w:rsidRPr="00C578EB">
        <w:t xml:space="preserve">Figure </w:t>
      </w:r>
      <w:r w:rsidR="00715347">
        <w:rPr>
          <w:noProof/>
        </w:rPr>
        <w:t>17</w:t>
      </w:r>
      <w:r w:rsidRPr="00597704">
        <w:fldChar w:fldCharType="end"/>
      </w:r>
      <w:r w:rsidR="00762F1E" w:rsidRPr="00C578EB">
        <w:t xml:space="preserve">, </w:t>
      </w:r>
      <w:r w:rsidR="00762F1E" w:rsidRPr="00597704">
        <w:fldChar w:fldCharType="begin"/>
      </w:r>
      <w:r w:rsidR="00762F1E" w:rsidRPr="00C578EB">
        <w:instrText xml:space="preserve"> REF _Ref75865725 \h </w:instrText>
      </w:r>
      <w:r w:rsidR="00512FF0" w:rsidRPr="00C578EB">
        <w:instrText xml:space="preserve"> \* MERGEFORMAT </w:instrText>
      </w:r>
      <w:r w:rsidR="00762F1E" w:rsidRPr="00597704">
        <w:fldChar w:fldCharType="separate"/>
      </w:r>
      <w:r w:rsidR="00715347" w:rsidRPr="00C578EB">
        <w:t xml:space="preserve">Figure </w:t>
      </w:r>
      <w:r w:rsidR="00715347">
        <w:rPr>
          <w:noProof/>
        </w:rPr>
        <w:t>18</w:t>
      </w:r>
      <w:r w:rsidR="00762F1E" w:rsidRPr="00597704">
        <w:fldChar w:fldCharType="end"/>
      </w:r>
      <w:r w:rsidR="00762F1E" w:rsidRPr="00C578EB">
        <w:t xml:space="preserve">, </w:t>
      </w:r>
      <w:r w:rsidR="00762F1E" w:rsidRPr="00597704">
        <w:fldChar w:fldCharType="begin"/>
      </w:r>
      <w:r w:rsidR="00762F1E" w:rsidRPr="00C578EB">
        <w:instrText xml:space="preserve"> REF _Ref75865733 \h </w:instrText>
      </w:r>
      <w:r w:rsidR="00512FF0" w:rsidRPr="00C578EB">
        <w:instrText xml:space="preserve"> \* MERGEFORMAT </w:instrText>
      </w:r>
      <w:r w:rsidR="00762F1E" w:rsidRPr="00597704">
        <w:fldChar w:fldCharType="separate"/>
      </w:r>
      <w:r w:rsidR="00715347" w:rsidRPr="00C578EB">
        <w:t xml:space="preserve">Figure </w:t>
      </w:r>
      <w:r w:rsidR="00715347">
        <w:rPr>
          <w:noProof/>
        </w:rPr>
        <w:t>19</w:t>
      </w:r>
      <w:r w:rsidR="00762F1E" w:rsidRPr="00597704">
        <w:fldChar w:fldCharType="end"/>
      </w:r>
      <w:r w:rsidR="00762F1E" w:rsidRPr="00C578EB">
        <w:t xml:space="preserve"> and </w:t>
      </w:r>
      <w:r w:rsidR="00762F1E" w:rsidRPr="00597704">
        <w:fldChar w:fldCharType="begin"/>
      </w:r>
      <w:r w:rsidR="00762F1E" w:rsidRPr="00C578EB">
        <w:instrText xml:space="preserve"> REF _Ref75865737 \h </w:instrText>
      </w:r>
      <w:r w:rsidR="00512FF0" w:rsidRPr="00C578EB">
        <w:instrText xml:space="preserve"> \* MERGEFORMAT </w:instrText>
      </w:r>
      <w:r w:rsidR="00762F1E" w:rsidRPr="00597704">
        <w:fldChar w:fldCharType="separate"/>
      </w:r>
      <w:r w:rsidR="00715347" w:rsidRPr="00C578EB">
        <w:t xml:space="preserve">Figure </w:t>
      </w:r>
      <w:r w:rsidR="00715347">
        <w:rPr>
          <w:noProof/>
        </w:rPr>
        <w:t>20</w:t>
      </w:r>
      <w:r w:rsidR="00762F1E" w:rsidRPr="00597704">
        <w:fldChar w:fldCharType="end"/>
      </w:r>
      <w:r w:rsidRPr="00C578EB">
        <w:t xml:space="preserve"> below compares the actual number and proportion of participants with SIL arrangements as at 31 December 2020 against expectations</w:t>
      </w:r>
      <w:r w:rsidR="00C9049B" w:rsidRPr="00C578EB">
        <w:t xml:space="preserve"> from the 2020-21 PBS estimates</w:t>
      </w:r>
      <w:r w:rsidRPr="00C578EB">
        <w:t xml:space="preserve"> by various participant characteristics.</w:t>
      </w:r>
    </w:p>
    <w:p w14:paraId="0F2BD6D4" w14:textId="77777777" w:rsidR="008556F8" w:rsidRPr="00C578EB" w:rsidRDefault="008556F8" w:rsidP="008556F8">
      <w:pPr>
        <w:keepNext/>
        <w:spacing w:before="240"/>
      </w:pPr>
      <w:bookmarkStart w:id="35" w:name="_Ref14209268"/>
      <w:r w:rsidRPr="00C578EB">
        <w:t>Insights on participants in SIL arrangements based on this experience are as follows:</w:t>
      </w:r>
    </w:p>
    <w:p w14:paraId="1FDD360B" w14:textId="4C97254E" w:rsidR="008556F8" w:rsidRPr="00C578EB" w:rsidRDefault="008556F8" w:rsidP="008556F8">
      <w:pPr>
        <w:numPr>
          <w:ilvl w:val="0"/>
          <w:numId w:val="4"/>
        </w:numPr>
        <w:spacing w:before="120" w:after="120"/>
        <w:ind w:left="360"/>
      </w:pPr>
      <w:r w:rsidRPr="00C578EB">
        <w:t xml:space="preserve">The number of participants in SIL arrangements </w:t>
      </w:r>
      <w:r w:rsidR="00A32C10" w:rsidRPr="00C578EB">
        <w:t>is slightly higher</w:t>
      </w:r>
      <w:r w:rsidRPr="00C578EB">
        <w:t xml:space="preserve"> than expected</w:t>
      </w:r>
      <w:r w:rsidR="00A32C10" w:rsidRPr="00C578EB">
        <w:t xml:space="preserve"> in number but lower in proportion</w:t>
      </w:r>
      <w:r w:rsidRPr="00C578EB">
        <w:t xml:space="preserve">, with 5.7% of participants currently in SIL arrangements compared to the </w:t>
      </w:r>
      <w:r w:rsidR="00A32C10" w:rsidRPr="00C578EB">
        <w:t>5</w:t>
      </w:r>
      <w:r w:rsidRPr="00C578EB">
        <w:t>.</w:t>
      </w:r>
      <w:r w:rsidR="00A32C10" w:rsidRPr="00C578EB">
        <w:t>9</w:t>
      </w:r>
      <w:r w:rsidRPr="00C578EB">
        <w:t>% expected. This might be partially due to the aforementioned data issue, however this experience is likely to have been influenced by fewer SIL participants transitioning into the Scheme or transferring into SIL over 2020-21.</w:t>
      </w:r>
    </w:p>
    <w:p w14:paraId="046F123A" w14:textId="25C67B03" w:rsidR="008556F8" w:rsidRPr="00C578EB" w:rsidRDefault="008556F8" w:rsidP="008556F8">
      <w:pPr>
        <w:numPr>
          <w:ilvl w:val="0"/>
          <w:numId w:val="4"/>
        </w:numPr>
        <w:spacing w:before="120" w:after="120"/>
        <w:ind w:left="360"/>
      </w:pPr>
      <w:r w:rsidRPr="00C578EB">
        <w:t xml:space="preserve">The number of participants in SIL arrangements has been </w:t>
      </w:r>
      <w:r w:rsidR="00A32C10" w:rsidRPr="00C578EB">
        <w:t xml:space="preserve">greater </w:t>
      </w:r>
      <w:r w:rsidRPr="00C578EB">
        <w:t xml:space="preserve">than expected across the majority of disability types, with the exception of participants with </w:t>
      </w:r>
      <w:r w:rsidR="00A32C10" w:rsidRPr="00C578EB">
        <w:t>intellectual disability</w:t>
      </w:r>
      <w:r w:rsidRPr="00C578EB">
        <w:t>. The number of SIL participants with an intellectual disability continues to account for the majority of the participants in SIL arrangements.</w:t>
      </w:r>
      <w:r w:rsidRPr="00C578EB">
        <w:rPr>
          <w:vertAlign w:val="superscript"/>
        </w:rPr>
        <w:footnoteReference w:id="37"/>
      </w:r>
      <w:r w:rsidRPr="00C578EB">
        <w:t xml:space="preserve"> </w:t>
      </w:r>
    </w:p>
    <w:p w14:paraId="341AE076" w14:textId="27F3751D" w:rsidR="008556F8" w:rsidRPr="00C578EB" w:rsidRDefault="00A32C10" w:rsidP="008556F8">
      <w:pPr>
        <w:numPr>
          <w:ilvl w:val="0"/>
          <w:numId w:val="4"/>
        </w:numPr>
        <w:spacing w:before="120" w:after="120"/>
        <w:ind w:left="360"/>
      </w:pPr>
      <w:r w:rsidRPr="00C578EB">
        <w:t>There</w:t>
      </w:r>
      <w:r w:rsidR="008556F8" w:rsidRPr="00C578EB">
        <w:t xml:space="preserve"> are </w:t>
      </w:r>
      <w:r w:rsidRPr="00C578EB">
        <w:t xml:space="preserve">more </w:t>
      </w:r>
      <w:r w:rsidR="008556F8" w:rsidRPr="00C578EB">
        <w:t xml:space="preserve">SIL participants with a low level of function than expected, </w:t>
      </w:r>
      <w:r w:rsidRPr="00C578EB">
        <w:t xml:space="preserve">both as </w:t>
      </w:r>
      <w:r w:rsidR="00A31502" w:rsidRPr="00C578EB">
        <w:t>an absolute number of participants and as a proportion of SIL participants</w:t>
      </w:r>
      <w:r w:rsidR="008556F8" w:rsidRPr="00C578EB">
        <w:t>.</w:t>
      </w:r>
    </w:p>
    <w:p w14:paraId="0621DAD9" w14:textId="0C8EF6C8" w:rsidR="008556F8" w:rsidRPr="00C578EB" w:rsidRDefault="008556F8" w:rsidP="008556F8">
      <w:pPr>
        <w:numPr>
          <w:ilvl w:val="0"/>
          <w:numId w:val="4"/>
        </w:numPr>
        <w:spacing w:before="120" w:after="120"/>
        <w:ind w:left="360"/>
      </w:pPr>
      <w:r w:rsidRPr="00C578EB">
        <w:t xml:space="preserve">There continues to be a material number of participants in SIL arrangements who have a high to medium level of function (about 30% of SIL participants are medium to high functioning). This may be a legacy issue from the previous disability system and may mean that there is an opportunity over the medium to longer term for the Scheme to assist in building up the capacity of these participants to live independently, or to move to </w:t>
      </w:r>
      <w:r w:rsidR="000028F0">
        <w:t xml:space="preserve">contemporary </w:t>
      </w:r>
      <w:r w:rsidRPr="00C578EB">
        <w:t xml:space="preserve">Individual Living Options (ILOs) alternatives, if provided with the right supports. </w:t>
      </w:r>
    </w:p>
    <w:p w14:paraId="0546710C" w14:textId="2FE29520" w:rsidR="000C0BC1" w:rsidRPr="00C578EB" w:rsidRDefault="008556F8" w:rsidP="006632E7">
      <w:pPr>
        <w:numPr>
          <w:ilvl w:val="0"/>
          <w:numId w:val="4"/>
        </w:numPr>
        <w:spacing w:before="120"/>
        <w:ind w:left="357" w:hanging="357"/>
      </w:pPr>
      <w:r w:rsidRPr="00C578EB">
        <w:lastRenderedPageBreak/>
        <w:t>The majority of SIL participants are aged 25 and above, similar to expectations, with about 11% of all participants over the age of 25 in SIL arrangements.</w:t>
      </w:r>
    </w:p>
    <w:p w14:paraId="01EAB185" w14:textId="7AB09AC8" w:rsidR="000C0BC1" w:rsidRPr="00C578EB" w:rsidRDefault="000C0BC1" w:rsidP="000C0BC1">
      <w:pPr>
        <w:pStyle w:val="Figures"/>
      </w:pPr>
      <w:bookmarkStart w:id="36" w:name="_Ref74931860"/>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17</w:t>
      </w:r>
      <w:r w:rsidR="00C04E1B" w:rsidRPr="00597704">
        <w:rPr>
          <w:noProof/>
        </w:rPr>
        <w:fldChar w:fldCharType="end"/>
      </w:r>
      <w:bookmarkEnd w:id="36"/>
      <w:r w:rsidRPr="00C578EB">
        <w:t xml:space="preserve"> Profile of participants in SIL as at 31 December 2020 – actual versus expected</w:t>
      </w:r>
      <w:r w:rsidR="00762F1E" w:rsidRPr="00C578EB">
        <w:t xml:space="preserve"> by SIL group</w:t>
      </w:r>
    </w:p>
    <w:p w14:paraId="2632D710" w14:textId="57194F5D" w:rsidR="000C0BC1" w:rsidRPr="00C578EB" w:rsidRDefault="00762F1E" w:rsidP="00996C9B">
      <w:pPr>
        <w:pStyle w:val="FSRnormal"/>
      </w:pPr>
      <w:r w:rsidRPr="00C578EB">
        <w:t xml:space="preserve"> </w:t>
      </w:r>
      <w:r w:rsidRPr="00597704">
        <w:rPr>
          <w:noProof/>
          <w:lang w:eastAsia="en-AU"/>
        </w:rPr>
        <w:drawing>
          <wp:inline distT="0" distB="0" distL="0" distR="0" wp14:anchorId="799E2E68" wp14:editId="1178E5CF">
            <wp:extent cx="4866640" cy="400431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66640" cy="4004310"/>
                    </a:xfrm>
                    <a:prstGeom prst="rect">
                      <a:avLst/>
                    </a:prstGeom>
                    <a:noFill/>
                    <a:ln>
                      <a:noFill/>
                    </a:ln>
                  </pic:spPr>
                </pic:pic>
              </a:graphicData>
            </a:graphic>
          </wp:inline>
        </w:drawing>
      </w:r>
    </w:p>
    <w:p w14:paraId="0725EB54" w14:textId="635F4D94" w:rsidR="00762F1E" w:rsidRPr="00C578EB" w:rsidRDefault="00762F1E" w:rsidP="00762F1E">
      <w:pPr>
        <w:pStyle w:val="Figures"/>
      </w:pPr>
      <w:bookmarkStart w:id="37" w:name="_Ref75865725"/>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18</w:t>
      </w:r>
      <w:r w:rsidR="00C04E1B" w:rsidRPr="00597704">
        <w:rPr>
          <w:noProof/>
        </w:rPr>
        <w:fldChar w:fldCharType="end"/>
      </w:r>
      <w:bookmarkEnd w:id="37"/>
      <w:r w:rsidRPr="00C578EB">
        <w:t xml:space="preserve"> Profile of participants in SIL as at 31 December 2020 – actual versus expected by age band</w:t>
      </w:r>
    </w:p>
    <w:p w14:paraId="3AD90B5F" w14:textId="33C9A766" w:rsidR="00762F1E" w:rsidRPr="00C578EB" w:rsidRDefault="00762F1E" w:rsidP="00996C9B">
      <w:pPr>
        <w:pStyle w:val="FSRnormal"/>
      </w:pPr>
      <w:r w:rsidRPr="00597704">
        <w:rPr>
          <w:noProof/>
          <w:lang w:eastAsia="en-AU"/>
        </w:rPr>
        <w:drawing>
          <wp:inline distT="0" distB="0" distL="0" distR="0" wp14:anchorId="19AACC48" wp14:editId="170B629D">
            <wp:extent cx="5731510" cy="3771958"/>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3771958"/>
                    </a:xfrm>
                    <a:prstGeom prst="rect">
                      <a:avLst/>
                    </a:prstGeom>
                    <a:noFill/>
                    <a:ln>
                      <a:noFill/>
                    </a:ln>
                  </pic:spPr>
                </pic:pic>
              </a:graphicData>
            </a:graphic>
          </wp:inline>
        </w:drawing>
      </w:r>
    </w:p>
    <w:p w14:paraId="3D1175B1" w14:textId="5C9B6215" w:rsidR="00762F1E" w:rsidRPr="00C578EB" w:rsidRDefault="00762F1E" w:rsidP="00762F1E">
      <w:pPr>
        <w:pStyle w:val="Figures"/>
      </w:pPr>
      <w:bookmarkStart w:id="38" w:name="_Ref75865733"/>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19</w:t>
      </w:r>
      <w:r w:rsidR="00C04E1B" w:rsidRPr="00597704">
        <w:rPr>
          <w:noProof/>
        </w:rPr>
        <w:fldChar w:fldCharType="end"/>
      </w:r>
      <w:bookmarkEnd w:id="38"/>
      <w:r w:rsidRPr="00C578EB">
        <w:t xml:space="preserve"> Profile of participants in SIL as at 31 December 2020 – actual versus expected by disability group</w:t>
      </w:r>
    </w:p>
    <w:p w14:paraId="221AED62" w14:textId="725EAE2D" w:rsidR="00762F1E" w:rsidRPr="00C578EB" w:rsidRDefault="00762F1E" w:rsidP="00996C9B">
      <w:pPr>
        <w:pStyle w:val="FSRnormal"/>
      </w:pPr>
      <w:r w:rsidRPr="00597704">
        <w:rPr>
          <w:noProof/>
          <w:lang w:eastAsia="en-AU"/>
        </w:rPr>
        <w:drawing>
          <wp:inline distT="0" distB="0" distL="0" distR="0" wp14:anchorId="28935D27" wp14:editId="61F6473D">
            <wp:extent cx="4661303" cy="3653266"/>
            <wp:effectExtent l="0" t="0" r="0" b="444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64573" cy="3655829"/>
                    </a:xfrm>
                    <a:prstGeom prst="rect">
                      <a:avLst/>
                    </a:prstGeom>
                    <a:noFill/>
                    <a:ln>
                      <a:noFill/>
                    </a:ln>
                  </pic:spPr>
                </pic:pic>
              </a:graphicData>
            </a:graphic>
          </wp:inline>
        </w:drawing>
      </w:r>
    </w:p>
    <w:p w14:paraId="6A0A08D3" w14:textId="5C6263CF" w:rsidR="00762F1E" w:rsidRPr="00C578EB" w:rsidRDefault="00762F1E" w:rsidP="00762F1E">
      <w:pPr>
        <w:pStyle w:val="Figures"/>
      </w:pPr>
      <w:bookmarkStart w:id="39" w:name="_Ref75865737"/>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20</w:t>
      </w:r>
      <w:r w:rsidR="00C04E1B" w:rsidRPr="00597704">
        <w:rPr>
          <w:noProof/>
        </w:rPr>
        <w:fldChar w:fldCharType="end"/>
      </w:r>
      <w:bookmarkEnd w:id="39"/>
      <w:r w:rsidRPr="00C578EB">
        <w:t xml:space="preserve"> Profile of participants in SIL as at 31 December 2020 – actual versus expected by level of function</w:t>
      </w:r>
    </w:p>
    <w:p w14:paraId="241FCA5B" w14:textId="1FDF4100" w:rsidR="00762F1E" w:rsidRPr="00C578EB" w:rsidRDefault="00762F1E" w:rsidP="00996C9B">
      <w:pPr>
        <w:pStyle w:val="FSRnormal"/>
      </w:pPr>
      <w:r w:rsidRPr="00597704">
        <w:rPr>
          <w:noProof/>
          <w:lang w:eastAsia="en-AU"/>
        </w:rPr>
        <w:drawing>
          <wp:inline distT="0" distB="0" distL="0" distR="0" wp14:anchorId="0E55BAE3" wp14:editId="611FEE69">
            <wp:extent cx="4492880" cy="3696603"/>
            <wp:effectExtent l="0" t="0" r="317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97494" cy="3700399"/>
                    </a:xfrm>
                    <a:prstGeom prst="rect">
                      <a:avLst/>
                    </a:prstGeom>
                    <a:noFill/>
                    <a:ln>
                      <a:noFill/>
                    </a:ln>
                  </pic:spPr>
                </pic:pic>
              </a:graphicData>
            </a:graphic>
          </wp:inline>
        </w:drawing>
      </w:r>
    </w:p>
    <w:bookmarkEnd w:id="35"/>
    <w:p w14:paraId="3867E18D" w14:textId="77777777" w:rsidR="00DF6824" w:rsidRPr="00C578EB" w:rsidRDefault="00DF6824" w:rsidP="00D16790">
      <w:pPr>
        <w:pStyle w:val="FSRHeading5"/>
      </w:pPr>
    </w:p>
    <w:p w14:paraId="0693D9D0" w14:textId="67761747" w:rsidR="00D16790" w:rsidRPr="00C578EB" w:rsidRDefault="00D16790" w:rsidP="00D16790">
      <w:pPr>
        <w:pStyle w:val="FSRHeading5"/>
      </w:pPr>
      <w:r w:rsidRPr="00C578EB">
        <w:t xml:space="preserve">Intake has slowed down but remained higher than expected in the </w:t>
      </w:r>
      <w:r w:rsidR="0034433D" w:rsidRPr="00C578EB">
        <w:t xml:space="preserve">six </w:t>
      </w:r>
      <w:r w:rsidRPr="00C578EB">
        <w:t xml:space="preserve">months to 31 December 2020 </w:t>
      </w:r>
    </w:p>
    <w:p w14:paraId="7117A533" w14:textId="25663FC1" w:rsidR="00D16790" w:rsidRPr="00C578EB" w:rsidRDefault="00D16790" w:rsidP="00D16790">
      <w:pPr>
        <w:pStyle w:val="FSRnormal"/>
      </w:pPr>
      <w:r w:rsidRPr="00C578EB">
        <w:t>Participant intake was expected to decline in the 2020-21 financial year as transition</w:t>
      </w:r>
      <w:r w:rsidR="0034433D" w:rsidRPr="00C578EB">
        <w:t xml:space="preserve"> from the State/Territory </w:t>
      </w:r>
      <w:r w:rsidRPr="00C578EB">
        <w:t xml:space="preserve">arrangements concluded. While there has been some signs of slowing down in the </w:t>
      </w:r>
      <w:r w:rsidR="0034433D" w:rsidRPr="00C578EB">
        <w:t xml:space="preserve">six </w:t>
      </w:r>
      <w:r w:rsidRPr="00C578EB">
        <w:t>months to 31 December 2020, intake continues to trend higher than expected</w:t>
      </w:r>
      <w:r w:rsidR="00C9049B" w:rsidRPr="00C578EB">
        <w:t xml:space="preserve"> in the 2020-21 PBS estimates</w:t>
      </w:r>
      <w:r w:rsidRPr="00C578EB">
        <w:t xml:space="preserve"> across most age groups. </w:t>
      </w:r>
    </w:p>
    <w:p w14:paraId="2CE2330F" w14:textId="566ACFCB" w:rsidR="00D16790" w:rsidRPr="00C578EB" w:rsidRDefault="00D16790" w:rsidP="00D16790">
      <w:pPr>
        <w:pStyle w:val="FSRnormal"/>
      </w:pPr>
      <w:r w:rsidRPr="00C578EB">
        <w:t xml:space="preserve">This is evidenced in </w:t>
      </w:r>
      <w:r w:rsidR="00B00DF5" w:rsidRPr="00C578EB">
        <w:t xml:space="preserve">the </w:t>
      </w:r>
      <w:r w:rsidRPr="00C578EB">
        <w:t>prevalence</w:t>
      </w:r>
      <w:r w:rsidRPr="00C578EB">
        <w:rPr>
          <w:rStyle w:val="FootnoteReference"/>
        </w:rPr>
        <w:footnoteReference w:id="38"/>
      </w:r>
      <w:r w:rsidRPr="00C578EB">
        <w:t xml:space="preserve"> rates of mature regions</w:t>
      </w:r>
      <w:r w:rsidR="00F33333" w:rsidRPr="00C578EB">
        <w:rPr>
          <w:vertAlign w:val="superscript"/>
        </w:rPr>
        <w:footnoteReference w:id="39"/>
      </w:r>
      <w:r w:rsidRPr="00C578EB">
        <w:t xml:space="preserve"> continuing to exceed benchmark levels</w:t>
      </w:r>
      <w:r w:rsidR="00B00DF5" w:rsidRPr="00C578EB">
        <w:t xml:space="preserve"> assumed in the original scheme design</w:t>
      </w:r>
      <w:r w:rsidRPr="00C578EB">
        <w:t xml:space="preserve">. </w:t>
      </w:r>
      <w:r w:rsidRPr="00597704">
        <w:fldChar w:fldCharType="begin"/>
      </w:r>
      <w:r w:rsidRPr="00C578EB">
        <w:instrText xml:space="preserve"> REF _Ref74330695 \h </w:instrText>
      </w:r>
      <w:r w:rsidR="00512FF0" w:rsidRPr="00C578EB">
        <w:instrText xml:space="preserve"> \* MERGEFORMAT </w:instrText>
      </w:r>
      <w:r w:rsidRPr="00597704">
        <w:fldChar w:fldCharType="separate"/>
      </w:r>
      <w:r w:rsidR="00715347" w:rsidRPr="00C578EB">
        <w:t xml:space="preserve">Figure </w:t>
      </w:r>
      <w:r w:rsidR="00715347">
        <w:rPr>
          <w:noProof/>
        </w:rPr>
        <w:t>21</w:t>
      </w:r>
      <w:r w:rsidRPr="00597704">
        <w:fldChar w:fldCharType="end"/>
      </w:r>
      <w:r w:rsidRPr="00C578EB">
        <w:t xml:space="preserve"> displays the rate of participant intake by phase-in quarter. The development curves show the proportion of active participants aged 0 to 64 (compared to the general population) in the Scheme at specific development points in time. Increases over development time reflect participants entering the Scheme while reductions reflect participants exiting the Scheme and/or turning age 65.</w:t>
      </w:r>
    </w:p>
    <w:p w14:paraId="25F53A7D" w14:textId="2BC86672" w:rsidR="008556F8" w:rsidRPr="00C578EB" w:rsidRDefault="008556F8" w:rsidP="00D16790">
      <w:pPr>
        <w:pStyle w:val="FSRnormal"/>
      </w:pPr>
      <w:r w:rsidRPr="00C578EB">
        <w:t>It is expected that these prevalence curves would “flatten out” over time. However, the Scheme population in these regions continues to increase above general population growth</w:t>
      </w:r>
      <w:r w:rsidR="00F33333" w:rsidRPr="00C578EB">
        <w:t>,</w:t>
      </w:r>
      <w:r w:rsidRPr="00C578EB">
        <w:t xml:space="preserve"> and prevalence rates for ages 0 to 64 have thus continued to rise in the more mature sites.</w:t>
      </w:r>
      <w:r w:rsidR="00F33333" w:rsidRPr="00C578EB">
        <w:t xml:space="preserve"> </w:t>
      </w:r>
      <w:r w:rsidR="00F33333" w:rsidRPr="00C578EB">
        <w:lastRenderedPageBreak/>
        <w:t>As an example, the unbroken dark purple line represents the prevalence</w:t>
      </w:r>
      <w:r w:rsidR="00E34EB5" w:rsidRPr="00C578EB">
        <w:t xml:space="preserve"> rate</w:t>
      </w:r>
      <w:r w:rsidR="00F33333" w:rsidRPr="00C578EB">
        <w:t xml:space="preserve"> of all regions that phased into the Scheme in the September 2013 quarter e.g. Barwon</w:t>
      </w:r>
      <w:r w:rsidR="00323D17" w:rsidRPr="00C578EB">
        <w:t xml:space="preserve"> and Newcastle</w:t>
      </w:r>
      <w:r w:rsidR="00F33333" w:rsidRPr="00C578EB">
        <w:t xml:space="preserve">. It is evident that </w:t>
      </w:r>
      <w:r w:rsidR="00323D17" w:rsidRPr="00C578EB">
        <w:t>even after 28 quarters (or seven years), there is still an upward trend in the number of participants entering the Scheme and this trend is yet to “taper-off” to be in line with population growth</w:t>
      </w:r>
      <w:r w:rsidR="00F33333" w:rsidRPr="00C578EB">
        <w:t>.</w:t>
      </w:r>
    </w:p>
    <w:p w14:paraId="5A08ED29" w14:textId="0F2B0EF6" w:rsidR="00D16790" w:rsidRPr="00C578EB" w:rsidRDefault="00D16790" w:rsidP="00D16790">
      <w:pPr>
        <w:pStyle w:val="Figures"/>
      </w:pPr>
      <w:bookmarkStart w:id="40" w:name="_Ref74330695"/>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21</w:t>
      </w:r>
      <w:r w:rsidR="00C04E1B" w:rsidRPr="00597704">
        <w:rPr>
          <w:noProof/>
        </w:rPr>
        <w:fldChar w:fldCharType="end"/>
      </w:r>
      <w:bookmarkEnd w:id="40"/>
      <w:r w:rsidRPr="00C578EB">
        <w:t xml:space="preserve"> Participants as a proportion of Australian population since phase-in date – aged 0 to 64</w:t>
      </w:r>
      <w:r w:rsidRPr="00C578EB">
        <w:rPr>
          <w:rStyle w:val="FootnoteReference"/>
        </w:rPr>
        <w:footnoteReference w:id="40"/>
      </w:r>
    </w:p>
    <w:p w14:paraId="6F0AD4C7" w14:textId="718AA9C2" w:rsidR="00D16790" w:rsidRPr="00C578EB" w:rsidRDefault="00D16790" w:rsidP="00D16790">
      <w:pPr>
        <w:pStyle w:val="FSRnormal"/>
      </w:pPr>
      <w:r w:rsidRPr="00597704">
        <w:rPr>
          <w:noProof/>
          <w:lang w:eastAsia="en-AU"/>
        </w:rPr>
        <w:drawing>
          <wp:inline distT="0" distB="0" distL="0" distR="0" wp14:anchorId="6F9F5C41" wp14:editId="7F0AD6CA">
            <wp:extent cx="5731510" cy="297688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1510" cy="2976880"/>
                    </a:xfrm>
                    <a:prstGeom prst="rect">
                      <a:avLst/>
                    </a:prstGeom>
                    <a:noFill/>
                    <a:ln>
                      <a:noFill/>
                    </a:ln>
                  </pic:spPr>
                </pic:pic>
              </a:graphicData>
            </a:graphic>
          </wp:inline>
        </w:drawing>
      </w:r>
    </w:p>
    <w:p w14:paraId="58C372D1" w14:textId="6ABF7E75" w:rsidR="00883EBA" w:rsidRPr="00C578EB" w:rsidRDefault="00883EBA" w:rsidP="0072428B">
      <w:pPr>
        <w:pStyle w:val="FSRHeading5"/>
      </w:pPr>
      <w:r w:rsidRPr="00C578EB">
        <w:t>Exit</w:t>
      </w:r>
      <w:r w:rsidR="00222E1B">
        <w:t xml:space="preserve"> rates</w:t>
      </w:r>
      <w:r w:rsidRPr="00C578EB">
        <w:t xml:space="preserve"> </w:t>
      </w:r>
      <w:r w:rsidR="00FE6BCA">
        <w:t xml:space="preserve">are lower than expected </w:t>
      </w:r>
    </w:p>
    <w:p w14:paraId="450BFB7D" w14:textId="25147844" w:rsidR="00970A1E" w:rsidRPr="00C578EB" w:rsidRDefault="00883EBA" w:rsidP="00970A1E">
      <w:pPr>
        <w:pStyle w:val="FSRnormal"/>
      </w:pPr>
      <w:r w:rsidRPr="00C578EB">
        <w:t xml:space="preserve">Within the context of financial sustainability, it is important to understand the emerging exits experience of participants. </w:t>
      </w:r>
      <w:r w:rsidR="00970A1E" w:rsidRPr="00C578EB">
        <w:t xml:space="preserve">Participants may exit the Scheme for various reasons and are grouped into the following categories for projection purposes. </w:t>
      </w:r>
    </w:p>
    <w:p w14:paraId="77BBD016" w14:textId="77777777" w:rsidR="00970A1E" w:rsidRPr="00C578EB" w:rsidRDefault="00970A1E" w:rsidP="00970A1E">
      <w:pPr>
        <w:pStyle w:val="FSRnormal"/>
        <w:numPr>
          <w:ilvl w:val="0"/>
          <w:numId w:val="38"/>
        </w:numPr>
      </w:pPr>
      <w:r w:rsidRPr="00C578EB">
        <w:rPr>
          <w:b/>
        </w:rPr>
        <w:t>Mortality exits:</w:t>
      </w:r>
      <w:r w:rsidRPr="00C578EB">
        <w:t xml:space="preserve"> represent those participants who have died.</w:t>
      </w:r>
    </w:p>
    <w:p w14:paraId="6419F4A2" w14:textId="46C728EA" w:rsidR="00883EBA" w:rsidRPr="00C578EB" w:rsidRDefault="00970A1E" w:rsidP="00970A1E">
      <w:pPr>
        <w:pStyle w:val="FSRnormal"/>
        <w:numPr>
          <w:ilvl w:val="0"/>
          <w:numId w:val="38"/>
        </w:numPr>
      </w:pPr>
      <w:r w:rsidRPr="00C578EB">
        <w:rPr>
          <w:b/>
        </w:rPr>
        <w:t>Non-mortality exits:</w:t>
      </w:r>
      <w:r w:rsidRPr="00C578EB">
        <w:t xml:space="preserve"> represent those participants who </w:t>
      </w:r>
      <w:r w:rsidR="003E6CFE">
        <w:t xml:space="preserve">no longer meet the </w:t>
      </w:r>
      <w:r w:rsidRPr="00C578EB">
        <w:t xml:space="preserve">eligibility </w:t>
      </w:r>
      <w:r w:rsidR="003E6CFE">
        <w:t>criteria</w:t>
      </w:r>
      <w:r w:rsidRPr="00C578EB">
        <w:t xml:space="preserve">, have chosen to leave the Scheme of their own accord, or have </w:t>
      </w:r>
      <w:r w:rsidR="00186009" w:rsidRPr="00C578EB">
        <w:t xml:space="preserve">chosen to </w:t>
      </w:r>
      <w:r w:rsidRPr="00C578EB">
        <w:t xml:space="preserve">move into </w:t>
      </w:r>
      <w:r w:rsidR="00186009" w:rsidRPr="00C578EB">
        <w:t xml:space="preserve">residential aged care </w:t>
      </w:r>
      <w:r w:rsidRPr="00C578EB">
        <w:t>if over the age of 65.</w:t>
      </w:r>
    </w:p>
    <w:p w14:paraId="11CEBA69" w14:textId="61B43F76" w:rsidR="00970A1E" w:rsidRPr="00C578EB" w:rsidRDefault="002E1DE4" w:rsidP="00970A1E">
      <w:pPr>
        <w:pStyle w:val="FSRnormal"/>
      </w:pPr>
      <w:r w:rsidRPr="00C578EB">
        <w:t xml:space="preserve">The </w:t>
      </w:r>
      <w:r w:rsidR="003E6CFE">
        <w:t xml:space="preserve">non-mortality </w:t>
      </w:r>
      <w:r w:rsidR="00970A1E" w:rsidRPr="00C578EB">
        <w:t xml:space="preserve">exit experience in the 2020 calendar year (CY2020) has been volatile and continues to remain well below 2018 calendar year (CY2018) levels, trending at 0.56% compared to 1.02% in CY2018. </w:t>
      </w:r>
    </w:p>
    <w:p w14:paraId="42D20E95" w14:textId="23D2D724" w:rsidR="00970A1E" w:rsidRPr="00C578EB" w:rsidRDefault="00970A1E" w:rsidP="00970A1E">
      <w:pPr>
        <w:pStyle w:val="FSRnormal"/>
      </w:pPr>
      <w:r w:rsidRPr="00C578EB">
        <w:t>Mortality exit rates have been trending broadly in line with recent experience – at 0.99% in CY2020 compared to 0.97% in the previous calendar year (CY2019).</w:t>
      </w:r>
    </w:p>
    <w:p w14:paraId="3347A6A2" w14:textId="0D38492B" w:rsidR="008556F8" w:rsidRPr="00C578EB" w:rsidRDefault="00970A1E" w:rsidP="008556F8">
      <w:pPr>
        <w:spacing w:before="240"/>
      </w:pPr>
      <w:r w:rsidRPr="00597704">
        <w:lastRenderedPageBreak/>
        <w:fldChar w:fldCharType="begin"/>
      </w:r>
      <w:r w:rsidRPr="00C578EB">
        <w:instrText xml:space="preserve"> REF _Ref74328853 \h </w:instrText>
      </w:r>
      <w:r w:rsidR="00512FF0" w:rsidRPr="00C578EB">
        <w:instrText xml:space="preserve"> \* MERGEFORMAT </w:instrText>
      </w:r>
      <w:r w:rsidRPr="00597704">
        <w:fldChar w:fldCharType="separate"/>
      </w:r>
      <w:r w:rsidR="00715347" w:rsidRPr="00C578EB">
        <w:t xml:space="preserve">Figure </w:t>
      </w:r>
      <w:r w:rsidR="00715347">
        <w:rPr>
          <w:noProof/>
        </w:rPr>
        <w:t>22</w:t>
      </w:r>
      <w:r w:rsidRPr="00597704">
        <w:fldChar w:fldCharType="end"/>
      </w:r>
      <w:r w:rsidRPr="00C578EB">
        <w:t xml:space="preserve"> shows </w:t>
      </w:r>
      <w:r w:rsidR="008556F8" w:rsidRPr="00C578EB">
        <w:t>how the exit experience in the 2018, 2019 and 2020 calendar years, compare to expectations</w:t>
      </w:r>
      <w:r w:rsidR="00C9049B" w:rsidRPr="00C578EB">
        <w:t xml:space="preserve"> from the 2020-21 PBS estimates</w:t>
      </w:r>
      <w:r w:rsidR="008556F8" w:rsidRPr="00C578EB">
        <w:t xml:space="preserve">. </w:t>
      </w:r>
    </w:p>
    <w:p w14:paraId="61504A86" w14:textId="5485A480" w:rsidR="00970A1E" w:rsidRPr="00C578EB" w:rsidRDefault="00970A1E" w:rsidP="00970A1E">
      <w:pPr>
        <w:pStyle w:val="Figures"/>
      </w:pPr>
      <w:bookmarkStart w:id="41" w:name="_Ref74328853"/>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22</w:t>
      </w:r>
      <w:r w:rsidR="00C04E1B" w:rsidRPr="00597704">
        <w:rPr>
          <w:noProof/>
        </w:rPr>
        <w:fldChar w:fldCharType="end"/>
      </w:r>
      <w:bookmarkEnd w:id="41"/>
      <w:r w:rsidRPr="00C578EB">
        <w:t xml:space="preserve"> Actual versus expected – mortality and non-mortality exit rate</w:t>
      </w:r>
    </w:p>
    <w:p w14:paraId="330816F3" w14:textId="036BDB40" w:rsidR="00970A1E" w:rsidRPr="00C578EB" w:rsidRDefault="00970A1E" w:rsidP="00996C9B">
      <w:pPr>
        <w:pStyle w:val="FSRnormal"/>
      </w:pPr>
      <w:r w:rsidRPr="00597704">
        <w:rPr>
          <w:noProof/>
          <w:lang w:eastAsia="en-AU"/>
        </w:rPr>
        <w:drawing>
          <wp:inline distT="0" distB="0" distL="0" distR="0" wp14:anchorId="5BC6C8F1" wp14:editId="5692F5DB">
            <wp:extent cx="5436704" cy="32435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39241" cy="3245105"/>
                    </a:xfrm>
                    <a:prstGeom prst="rect">
                      <a:avLst/>
                    </a:prstGeom>
                    <a:noFill/>
                    <a:ln>
                      <a:noFill/>
                    </a:ln>
                  </pic:spPr>
                </pic:pic>
              </a:graphicData>
            </a:graphic>
          </wp:inline>
        </w:drawing>
      </w:r>
    </w:p>
    <w:p w14:paraId="3F56F300" w14:textId="77777777" w:rsidR="00D40AB0" w:rsidRDefault="00D40AB0">
      <w:pPr>
        <w:spacing w:after="160" w:line="259" w:lineRule="auto"/>
        <w:rPr>
          <w:rFonts w:eastAsiaTheme="minorHAnsi"/>
          <w:b/>
          <w:color w:val="6A2875"/>
          <w:sz w:val="36"/>
          <w:szCs w:val="44"/>
        </w:rPr>
      </w:pPr>
      <w:bookmarkStart w:id="42" w:name="_Toc76023443"/>
      <w:bookmarkStart w:id="43" w:name="_Toc76029452"/>
      <w:bookmarkStart w:id="44" w:name="_Toc76033012"/>
      <w:bookmarkStart w:id="45" w:name="_Toc76037174"/>
      <w:bookmarkStart w:id="46" w:name="_Toc76040526"/>
      <w:bookmarkStart w:id="47" w:name="_Toc76040557"/>
      <w:bookmarkStart w:id="48" w:name="_Toc76045190"/>
      <w:bookmarkStart w:id="49" w:name="_Toc76045380"/>
      <w:bookmarkStart w:id="50" w:name="_Toc76051627"/>
      <w:bookmarkStart w:id="51" w:name="_Toc76023444"/>
      <w:bookmarkStart w:id="52" w:name="_Toc76029453"/>
      <w:bookmarkStart w:id="53" w:name="_Toc76033013"/>
      <w:bookmarkStart w:id="54" w:name="_Toc76037175"/>
      <w:bookmarkStart w:id="55" w:name="_Toc76040527"/>
      <w:bookmarkStart w:id="56" w:name="_Toc76040558"/>
      <w:bookmarkStart w:id="57" w:name="_Toc76045191"/>
      <w:bookmarkStart w:id="58" w:name="_Toc76045381"/>
      <w:bookmarkStart w:id="59" w:name="_Toc76051628"/>
      <w:bookmarkStart w:id="60" w:name="_Toc76023445"/>
      <w:bookmarkStart w:id="61" w:name="_Toc76029454"/>
      <w:bookmarkStart w:id="62" w:name="_Toc76033014"/>
      <w:bookmarkStart w:id="63" w:name="_Toc76037176"/>
      <w:bookmarkStart w:id="64" w:name="_Toc76040528"/>
      <w:bookmarkStart w:id="65" w:name="_Toc76040559"/>
      <w:bookmarkStart w:id="66" w:name="_Toc76045192"/>
      <w:bookmarkStart w:id="67" w:name="_Toc76045382"/>
      <w:bookmarkStart w:id="68" w:name="_Toc7605162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br w:type="page"/>
      </w:r>
    </w:p>
    <w:p w14:paraId="7631F9C3" w14:textId="7A08D16B" w:rsidR="006F104A" w:rsidRPr="00C578EB" w:rsidRDefault="006F104A" w:rsidP="006F104A">
      <w:pPr>
        <w:pStyle w:val="FSRHeading2"/>
        <w:numPr>
          <w:ilvl w:val="1"/>
          <w:numId w:val="1"/>
        </w:numPr>
        <w:ind w:left="907" w:hanging="907"/>
      </w:pPr>
      <w:bookmarkStart w:id="69" w:name="_Toc76132725"/>
      <w:r w:rsidRPr="00C578EB">
        <w:lastRenderedPageBreak/>
        <w:t>Average payments</w:t>
      </w:r>
      <w:bookmarkEnd w:id="69"/>
    </w:p>
    <w:p w14:paraId="03EB1C7F" w14:textId="3A607B5A" w:rsidR="00C129EB" w:rsidRPr="00C578EB" w:rsidRDefault="002449D1" w:rsidP="00C129EB">
      <w:pPr>
        <w:spacing w:before="240"/>
      </w:pPr>
      <w:r w:rsidRPr="00C578EB">
        <w:t>On a cash basis</w:t>
      </w:r>
      <w:r w:rsidRPr="00C578EB">
        <w:rPr>
          <w:vertAlign w:val="superscript"/>
        </w:rPr>
        <w:footnoteReference w:id="41"/>
      </w:r>
      <w:r w:rsidRPr="00C578EB">
        <w:t>, t</w:t>
      </w:r>
      <w:r w:rsidR="008556F8" w:rsidRPr="00C578EB">
        <w:t>here were $17.2 billion in payments</w:t>
      </w:r>
      <w:r w:rsidR="008556F8" w:rsidRPr="00C578EB">
        <w:rPr>
          <w:vertAlign w:val="superscript"/>
        </w:rPr>
        <w:t xml:space="preserve"> </w:t>
      </w:r>
      <w:r w:rsidR="008556F8" w:rsidRPr="00C578EB">
        <w:t>made in respect of participant costs in the 12 months to 30 June 2020 and $10.9 billion in payments</w:t>
      </w:r>
      <w:r w:rsidR="008556F8" w:rsidRPr="00C578EB">
        <w:rPr>
          <w:vertAlign w:val="superscript"/>
        </w:rPr>
        <w:footnoteReference w:id="42"/>
      </w:r>
      <w:r w:rsidR="008556F8" w:rsidRPr="00C578EB">
        <w:t xml:space="preserve"> in the six months to </w:t>
      </w:r>
      <w:r w:rsidR="002E1DE4" w:rsidRPr="00C578EB">
        <w:t>31 December </w:t>
      </w:r>
      <w:r w:rsidR="008556F8" w:rsidRPr="00C578EB">
        <w:t>2020.</w:t>
      </w:r>
    </w:p>
    <w:p w14:paraId="5861C8BE" w14:textId="15170F7A" w:rsidR="002449D1" w:rsidRPr="00C578EB" w:rsidRDefault="00B00DF5" w:rsidP="00C129EB">
      <w:pPr>
        <w:rPr>
          <w:rFonts w:cs="Arial"/>
        </w:rPr>
      </w:pPr>
      <w:r w:rsidRPr="00C578EB">
        <w:rPr>
          <w:rFonts w:cs="Arial"/>
        </w:rPr>
        <w:t xml:space="preserve">The </w:t>
      </w:r>
      <w:r w:rsidR="00697862" w:rsidRPr="00C578EB">
        <w:rPr>
          <w:rFonts w:cs="Arial"/>
        </w:rPr>
        <w:t>S</w:t>
      </w:r>
      <w:r w:rsidRPr="00C578EB">
        <w:rPr>
          <w:rFonts w:cs="Arial"/>
        </w:rPr>
        <w:t xml:space="preserve">cheme supports participants with a diverse range of needs. </w:t>
      </w:r>
      <w:r w:rsidR="002449D1" w:rsidRPr="00C578EB">
        <w:rPr>
          <w:rFonts w:cs="Arial"/>
        </w:rPr>
        <w:t>Of the payments over the 12 months to 31 December 2020</w:t>
      </w:r>
      <w:r w:rsidR="00836613" w:rsidRPr="00C578EB">
        <w:rPr>
          <w:rFonts w:cs="Arial"/>
        </w:rPr>
        <w:t xml:space="preserve"> made to participants that had been in the Scheme for at least one year as at 31 December 2019</w:t>
      </w:r>
      <w:r w:rsidR="002449D1" w:rsidRPr="00C578EB">
        <w:rPr>
          <w:rFonts w:cs="Arial"/>
        </w:rPr>
        <w:t xml:space="preserve">, 51% were for supports for the top 10% of participants when ranked by cost over the period. Conversely, the bottom 40% </w:t>
      </w:r>
      <w:r w:rsidRPr="00C578EB">
        <w:rPr>
          <w:rFonts w:cs="Arial"/>
        </w:rPr>
        <w:t xml:space="preserve">of participants </w:t>
      </w:r>
      <w:r w:rsidR="002449D1" w:rsidRPr="00C578EB">
        <w:rPr>
          <w:rFonts w:cs="Arial"/>
        </w:rPr>
        <w:t xml:space="preserve">represent 5% of </w:t>
      </w:r>
      <w:r w:rsidR="00851BF3" w:rsidRPr="00C578EB">
        <w:rPr>
          <w:rFonts w:cs="Arial"/>
        </w:rPr>
        <w:t>payments made</w:t>
      </w:r>
      <w:r w:rsidR="002449D1" w:rsidRPr="00C578EB">
        <w:rPr>
          <w:rFonts w:cs="Arial"/>
        </w:rPr>
        <w:t xml:space="preserve">, as shown in </w:t>
      </w:r>
      <w:r w:rsidR="00D25820" w:rsidRPr="00597704">
        <w:rPr>
          <w:rFonts w:cs="Arial"/>
        </w:rPr>
        <w:fldChar w:fldCharType="begin"/>
      </w:r>
      <w:r w:rsidR="00D25820" w:rsidRPr="00C578EB">
        <w:rPr>
          <w:rFonts w:cs="Arial"/>
        </w:rPr>
        <w:instrText xml:space="preserve"> REF _Ref74333309 \h </w:instrText>
      </w:r>
      <w:r w:rsidR="00512FF0" w:rsidRPr="00C578EB">
        <w:rPr>
          <w:rFonts w:cs="Arial"/>
        </w:rPr>
        <w:instrText xml:space="preserve"> \* MERGEFORMAT </w:instrText>
      </w:r>
      <w:r w:rsidR="00D25820" w:rsidRPr="00597704">
        <w:rPr>
          <w:rFonts w:cs="Arial"/>
        </w:rPr>
      </w:r>
      <w:r w:rsidR="00D25820" w:rsidRPr="00597704">
        <w:rPr>
          <w:rFonts w:cs="Arial"/>
        </w:rPr>
        <w:fldChar w:fldCharType="separate"/>
      </w:r>
      <w:r w:rsidR="00715347" w:rsidRPr="00C578EB">
        <w:t xml:space="preserve">Figure </w:t>
      </w:r>
      <w:r w:rsidR="00715347">
        <w:rPr>
          <w:noProof/>
        </w:rPr>
        <w:t>23</w:t>
      </w:r>
      <w:r w:rsidR="00D25820" w:rsidRPr="00597704">
        <w:rPr>
          <w:rFonts w:cs="Arial"/>
        </w:rPr>
        <w:fldChar w:fldCharType="end"/>
      </w:r>
      <w:r w:rsidR="00D25820" w:rsidRPr="00C578EB">
        <w:rPr>
          <w:rFonts w:cs="Arial"/>
        </w:rPr>
        <w:t xml:space="preserve"> </w:t>
      </w:r>
      <w:r w:rsidR="002449D1" w:rsidRPr="00C578EB">
        <w:rPr>
          <w:rFonts w:cs="Arial"/>
        </w:rPr>
        <w:t xml:space="preserve">below. </w:t>
      </w:r>
    </w:p>
    <w:p w14:paraId="4C71B44E" w14:textId="534E9139" w:rsidR="002449D1" w:rsidRPr="00C578EB" w:rsidRDefault="002449D1" w:rsidP="002449D1">
      <w:pPr>
        <w:pStyle w:val="Figures"/>
      </w:pPr>
      <w:bookmarkStart w:id="70" w:name="_Ref74333309"/>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23</w:t>
      </w:r>
      <w:r w:rsidR="00C04E1B" w:rsidRPr="00597704">
        <w:rPr>
          <w:noProof/>
        </w:rPr>
        <w:fldChar w:fldCharType="end"/>
      </w:r>
      <w:bookmarkEnd w:id="70"/>
      <w:r w:rsidRPr="00C578EB">
        <w:t xml:space="preserve"> </w:t>
      </w:r>
      <w:r w:rsidR="00D25820" w:rsidRPr="00C578EB">
        <w:t>Average cost and cumulative percentage of cost by ventile (5% band)</w:t>
      </w:r>
    </w:p>
    <w:p w14:paraId="37395DA1" w14:textId="77777777" w:rsidR="00C129EB" w:rsidRPr="00C578EB" w:rsidRDefault="00C129EB" w:rsidP="00996C9B">
      <w:pPr>
        <w:pStyle w:val="FSRnormal"/>
        <w:rPr>
          <w:rFonts w:cs="Arial"/>
        </w:rPr>
      </w:pPr>
      <w:r w:rsidRPr="00597704">
        <w:rPr>
          <w:noProof/>
          <w:lang w:eastAsia="en-AU"/>
        </w:rPr>
        <w:drawing>
          <wp:inline distT="0" distB="0" distL="0" distR="0" wp14:anchorId="7ADF851B" wp14:editId="6C024628">
            <wp:extent cx="5731510" cy="2926750"/>
            <wp:effectExtent l="0" t="0" r="254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1510" cy="2926750"/>
                    </a:xfrm>
                    <a:prstGeom prst="rect">
                      <a:avLst/>
                    </a:prstGeom>
                    <a:noFill/>
                    <a:ln>
                      <a:noFill/>
                    </a:ln>
                  </pic:spPr>
                </pic:pic>
              </a:graphicData>
            </a:graphic>
          </wp:inline>
        </w:drawing>
      </w:r>
    </w:p>
    <w:p w14:paraId="3754AC18" w14:textId="76F9FE63" w:rsidR="00D25820" w:rsidRPr="00C578EB" w:rsidRDefault="00D25820" w:rsidP="00C129EB">
      <w:pPr>
        <w:keepNext/>
        <w:keepLines/>
        <w:rPr>
          <w:rFonts w:cs="Arial"/>
        </w:rPr>
      </w:pPr>
      <w:r w:rsidRPr="00C578EB">
        <w:rPr>
          <w:rFonts w:cs="Arial"/>
        </w:rPr>
        <w:lastRenderedPageBreak/>
        <w:t xml:space="preserve">This distribution does not vary greatly even when allowing for participants with SIL arrangements. As can be seen in </w:t>
      </w:r>
      <w:r w:rsidRPr="00597704">
        <w:rPr>
          <w:rFonts w:cs="Arial"/>
        </w:rPr>
        <w:fldChar w:fldCharType="begin"/>
      </w:r>
      <w:r w:rsidRPr="00C578EB">
        <w:rPr>
          <w:rFonts w:cs="Arial"/>
        </w:rPr>
        <w:instrText xml:space="preserve"> REF _Ref74333471 \h </w:instrText>
      </w:r>
      <w:r w:rsidR="00512FF0" w:rsidRPr="00C578EB">
        <w:rPr>
          <w:rFonts w:cs="Arial"/>
        </w:rPr>
        <w:instrText xml:space="preserve"> \* MERGEFORMAT </w:instrText>
      </w:r>
      <w:r w:rsidRPr="00597704">
        <w:rPr>
          <w:rFonts w:cs="Arial"/>
        </w:rPr>
      </w:r>
      <w:r w:rsidRPr="00597704">
        <w:rPr>
          <w:rFonts w:cs="Arial"/>
        </w:rPr>
        <w:fldChar w:fldCharType="separate"/>
      </w:r>
      <w:r w:rsidR="00715347" w:rsidRPr="00C578EB">
        <w:t xml:space="preserve">Figure </w:t>
      </w:r>
      <w:r w:rsidR="00715347">
        <w:rPr>
          <w:noProof/>
        </w:rPr>
        <w:t>24</w:t>
      </w:r>
      <w:r w:rsidRPr="00597704">
        <w:rPr>
          <w:rFonts w:cs="Arial"/>
        </w:rPr>
        <w:fldChar w:fldCharType="end"/>
      </w:r>
      <w:r w:rsidRPr="00C578EB">
        <w:rPr>
          <w:rFonts w:cs="Arial"/>
        </w:rPr>
        <w:t>, the top 10% of non-SIL participants represent 45% of payments for supports provided to non-SIL participants and the bottom 40% represent</w:t>
      </w:r>
      <w:r w:rsidR="00836613" w:rsidRPr="00C578EB">
        <w:rPr>
          <w:rFonts w:cs="Arial"/>
        </w:rPr>
        <w:t>ing</w:t>
      </w:r>
      <w:r w:rsidRPr="00C578EB">
        <w:rPr>
          <w:rFonts w:cs="Arial"/>
        </w:rPr>
        <w:t xml:space="preserve"> 7%.</w:t>
      </w:r>
    </w:p>
    <w:p w14:paraId="6158297E" w14:textId="5375EA89" w:rsidR="00D25820" w:rsidRPr="00C578EB" w:rsidRDefault="00D25820" w:rsidP="00D25820">
      <w:pPr>
        <w:pStyle w:val="Figures"/>
        <w:rPr>
          <w:rFonts w:cs="Arial"/>
        </w:rPr>
      </w:pPr>
      <w:bookmarkStart w:id="71" w:name="_Ref74333471"/>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24</w:t>
      </w:r>
      <w:r w:rsidR="00C04E1B" w:rsidRPr="00597704">
        <w:rPr>
          <w:noProof/>
        </w:rPr>
        <w:fldChar w:fldCharType="end"/>
      </w:r>
      <w:bookmarkEnd w:id="71"/>
      <w:r w:rsidRPr="00C578EB">
        <w:t xml:space="preserve"> Average cost and cumulative percentage of cost by ventile (5% band) – non-SIL only</w:t>
      </w:r>
    </w:p>
    <w:p w14:paraId="0D010312" w14:textId="44095E4E" w:rsidR="00C129EB" w:rsidRPr="00C578EB" w:rsidRDefault="00C129EB" w:rsidP="00996C9B">
      <w:pPr>
        <w:pStyle w:val="FSRnormal"/>
        <w:rPr>
          <w:rFonts w:cs="Arial"/>
        </w:rPr>
      </w:pPr>
      <w:r w:rsidRPr="00597704">
        <w:rPr>
          <w:noProof/>
          <w:lang w:eastAsia="en-AU"/>
        </w:rPr>
        <w:drawing>
          <wp:inline distT="0" distB="0" distL="0" distR="0" wp14:anchorId="2E4A555B" wp14:editId="74B96264">
            <wp:extent cx="5731510" cy="2926750"/>
            <wp:effectExtent l="0" t="0" r="254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1510" cy="2926750"/>
                    </a:xfrm>
                    <a:prstGeom prst="rect">
                      <a:avLst/>
                    </a:prstGeom>
                    <a:noFill/>
                    <a:ln>
                      <a:noFill/>
                    </a:ln>
                  </pic:spPr>
                </pic:pic>
              </a:graphicData>
            </a:graphic>
          </wp:inline>
        </w:drawing>
      </w:r>
    </w:p>
    <w:p w14:paraId="36739F2B" w14:textId="39D469D8" w:rsidR="002E1DE4" w:rsidRPr="00C578EB" w:rsidRDefault="002E1DE4" w:rsidP="00996C9B">
      <w:pPr>
        <w:pStyle w:val="FSRnormal"/>
        <w:rPr>
          <w:rFonts w:cs="Arial"/>
        </w:rPr>
      </w:pPr>
      <w:r w:rsidRPr="00C578EB">
        <w:rPr>
          <w:rFonts w:cs="Arial"/>
        </w:rPr>
        <w:t xml:space="preserve">These observations are common in long-tail insurance schemes, and understanding these trends assist with monitoring scheme sustainability. </w:t>
      </w:r>
    </w:p>
    <w:p w14:paraId="259800BD" w14:textId="77777777" w:rsidR="00D40AB0" w:rsidRDefault="00D40AB0">
      <w:pPr>
        <w:spacing w:after="160" w:line="259" w:lineRule="auto"/>
        <w:rPr>
          <w:b/>
          <w:i/>
          <w:color w:val="ED7D31" w:themeColor="accent2"/>
          <w:sz w:val="24"/>
        </w:rPr>
      </w:pPr>
      <w:r>
        <w:rPr>
          <w:b/>
          <w:i/>
          <w:color w:val="ED7D31" w:themeColor="accent2"/>
          <w:sz w:val="24"/>
        </w:rPr>
        <w:br w:type="page"/>
      </w:r>
    </w:p>
    <w:p w14:paraId="116B8C18" w14:textId="4B70130F" w:rsidR="00650C77" w:rsidRPr="00C578EB" w:rsidRDefault="00650C77" w:rsidP="00650C77">
      <w:pPr>
        <w:keepNext/>
        <w:rPr>
          <w:b/>
          <w:i/>
          <w:color w:val="ED7D31" w:themeColor="accent2"/>
          <w:sz w:val="24"/>
        </w:rPr>
      </w:pPr>
      <w:r w:rsidRPr="00C578EB">
        <w:rPr>
          <w:b/>
          <w:i/>
          <w:color w:val="ED7D31" w:themeColor="accent2"/>
          <w:sz w:val="24"/>
        </w:rPr>
        <w:lastRenderedPageBreak/>
        <w:t>Average payments have continued to track above projections</w:t>
      </w:r>
    </w:p>
    <w:p w14:paraId="65EA4018" w14:textId="09E2F518" w:rsidR="00650C77" w:rsidRPr="00C578EB" w:rsidRDefault="00650C77" w:rsidP="00650C77">
      <w:pPr>
        <w:spacing w:before="240"/>
      </w:pPr>
      <w:bookmarkStart w:id="72" w:name="_Ref33786752"/>
      <w:r w:rsidRPr="00C578EB">
        <w:t>In the six months to 31 December 2020, total payments were 4% higher than expected</w:t>
      </w:r>
      <w:r w:rsidR="00C9049B" w:rsidRPr="00C578EB">
        <w:t xml:space="preserve"> in the 2020-21 PBS estimates</w:t>
      </w:r>
      <w:r w:rsidRPr="00C578EB">
        <w:t xml:space="preserve">. The variance in total payments compared with expected is driven by </w:t>
      </w:r>
      <w:r w:rsidR="00B7061A" w:rsidRPr="00C578EB">
        <w:t xml:space="preserve">higher number of participants (discussed in section 4.1) and by </w:t>
      </w:r>
      <w:r w:rsidRPr="00C578EB">
        <w:t>increases in average annualised payment amounts, particularly for non-SIL participants (7% higher than expected).</w:t>
      </w:r>
    </w:p>
    <w:p w14:paraId="02219749" w14:textId="7D972284" w:rsidR="00512FF0" w:rsidRDefault="00512FF0" w:rsidP="00512FF0">
      <w:pPr>
        <w:spacing w:before="240"/>
      </w:pPr>
      <w:r w:rsidRPr="00C578EB">
        <w:t xml:space="preserve">Experience has demonstrated that average annualised payments have continued to increase year on year. The average annual increase in average payment is </w:t>
      </w:r>
      <w:r w:rsidR="00C64C21">
        <w:t>12</w:t>
      </w:r>
      <w:r w:rsidR="00974989">
        <w:t>.5</w:t>
      </w:r>
      <w:r w:rsidRPr="00C578EB">
        <w:t xml:space="preserve">% over the last four years. </w:t>
      </w:r>
    </w:p>
    <w:p w14:paraId="72F40F1B" w14:textId="182AB3DD" w:rsidR="00C64C21" w:rsidRDefault="00C64C21" w:rsidP="00C64C21">
      <w:pPr>
        <w:pStyle w:val="Figures"/>
      </w:pPr>
      <w:r w:rsidRPr="00C578EB">
        <w:t xml:space="preserve">Figure </w:t>
      </w:r>
      <w:r w:rsidRPr="00597704">
        <w:fldChar w:fldCharType="begin"/>
      </w:r>
      <w:r w:rsidRPr="00C578EB">
        <w:instrText xml:space="preserve"> SEQ Figure \* ARABIC </w:instrText>
      </w:r>
      <w:r w:rsidRPr="00597704">
        <w:fldChar w:fldCharType="separate"/>
      </w:r>
      <w:r w:rsidR="00715347">
        <w:rPr>
          <w:noProof/>
        </w:rPr>
        <w:t>25</w:t>
      </w:r>
      <w:r w:rsidRPr="00597704">
        <w:rPr>
          <w:noProof/>
        </w:rPr>
        <w:fldChar w:fldCharType="end"/>
      </w:r>
      <w:r w:rsidRPr="00C578EB">
        <w:t xml:space="preserve"> </w:t>
      </w:r>
      <w:r w:rsidRPr="00C64C21">
        <w:t>Average annualised payments o</w:t>
      </w:r>
      <w:r>
        <w:t>ver time</w:t>
      </w:r>
      <w:r w:rsidR="00775C63">
        <w:rPr>
          <w:rStyle w:val="FootnoteReference"/>
        </w:rPr>
        <w:footnoteReference w:id="43"/>
      </w:r>
    </w:p>
    <w:p w14:paraId="037A677D" w14:textId="69C84937" w:rsidR="00817820" w:rsidRPr="00C578EB" w:rsidRDefault="00843815" w:rsidP="00546104">
      <w:pPr>
        <w:pStyle w:val="FSRnormal"/>
      </w:pPr>
      <w:r w:rsidRPr="00843815">
        <w:rPr>
          <w:noProof/>
          <w:lang w:eastAsia="en-AU"/>
        </w:rPr>
        <w:drawing>
          <wp:inline distT="0" distB="0" distL="0" distR="0" wp14:anchorId="43ADB3F9" wp14:editId="79DE2DFF">
            <wp:extent cx="4011283" cy="3277690"/>
            <wp:effectExtent l="0" t="0" r="889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6078" cy="3281608"/>
                    </a:xfrm>
                    <a:prstGeom prst="rect">
                      <a:avLst/>
                    </a:prstGeom>
                    <a:noFill/>
                    <a:ln>
                      <a:noFill/>
                    </a:ln>
                  </pic:spPr>
                </pic:pic>
              </a:graphicData>
            </a:graphic>
          </wp:inline>
        </w:drawing>
      </w:r>
    </w:p>
    <w:p w14:paraId="17AA84BE" w14:textId="4BC1D436" w:rsidR="00512FF0" w:rsidRPr="00C578EB" w:rsidRDefault="00512FF0" w:rsidP="00512FF0">
      <w:pPr>
        <w:spacing w:before="240"/>
      </w:pPr>
      <w:r w:rsidRPr="00843815">
        <w:t>Over the past four years, the mix of participants in the Scheme has changed. That is, as the Scheme has rolled out across the country, the proportion of participants by different characteristics has changed</w:t>
      </w:r>
      <w:r w:rsidR="00717B82">
        <w:t>.</w:t>
      </w:r>
      <w:r w:rsidRPr="00843815">
        <w:t xml:space="preserve"> </w:t>
      </w:r>
      <w:r w:rsidR="00717B82">
        <w:t>A</w:t>
      </w:r>
      <w:r w:rsidRPr="00843815">
        <w:t xml:space="preserve">s examples, the proportion of children in the Scheme is higher in 2020-21 compared with 2017-18, and the proportion of SIL participants in the Scheme is lower in 2020-21 compared with 2017-18. </w:t>
      </w:r>
    </w:p>
    <w:p w14:paraId="6D625DB2" w14:textId="7030DD2B" w:rsidR="00817820" w:rsidRDefault="00E73F21" w:rsidP="00546104">
      <w:pPr>
        <w:spacing w:before="240"/>
      </w:pPr>
      <w:r w:rsidRPr="00E73F21">
        <w:t>Analysing the change in average payment over time by whether or not participants are in SIL indicates that the average annual increase in average payment has been consistently high across both participant groups. Specifically</w:t>
      </w:r>
      <w:r w:rsidR="00546104">
        <w:t xml:space="preserve">, the </w:t>
      </w:r>
      <w:r w:rsidR="00512FF0" w:rsidRPr="00C578EB">
        <w:t xml:space="preserve">average </w:t>
      </w:r>
      <w:r w:rsidR="00546104">
        <w:t xml:space="preserve">annual </w:t>
      </w:r>
      <w:r w:rsidR="00553052">
        <w:t xml:space="preserve">payment has </w:t>
      </w:r>
      <w:r w:rsidR="00512FF0" w:rsidRPr="00C578EB">
        <w:t>increase</w:t>
      </w:r>
      <w:r w:rsidR="00553052">
        <w:t>d</w:t>
      </w:r>
      <w:r w:rsidR="00512FF0" w:rsidRPr="00C578EB">
        <w:t xml:space="preserve"> </w:t>
      </w:r>
      <w:r w:rsidR="00553052">
        <w:t xml:space="preserve">for </w:t>
      </w:r>
      <w:r w:rsidR="00512FF0" w:rsidRPr="00C578EB">
        <w:t xml:space="preserve">SIL participants </w:t>
      </w:r>
      <w:r w:rsidR="00553052">
        <w:t xml:space="preserve">by </w:t>
      </w:r>
      <w:r w:rsidR="00817820">
        <w:t>17</w:t>
      </w:r>
      <w:r w:rsidR="00512FF0" w:rsidRPr="00C578EB">
        <w:t>%</w:t>
      </w:r>
      <w:r w:rsidR="00546104">
        <w:t>,</w:t>
      </w:r>
      <w:r w:rsidR="00512FF0" w:rsidRPr="00C578EB">
        <w:t xml:space="preserve"> and the average </w:t>
      </w:r>
      <w:r w:rsidR="00546104">
        <w:t xml:space="preserve">annual </w:t>
      </w:r>
      <w:r w:rsidR="00553052">
        <w:t xml:space="preserve">payment has also </w:t>
      </w:r>
      <w:r w:rsidR="00512FF0" w:rsidRPr="00C578EB">
        <w:t>incre</w:t>
      </w:r>
      <w:r w:rsidR="00817820">
        <w:t>ase</w:t>
      </w:r>
      <w:r w:rsidR="00553052">
        <w:t>d</w:t>
      </w:r>
      <w:r w:rsidR="00817820">
        <w:t xml:space="preserve"> </w:t>
      </w:r>
      <w:r w:rsidR="00553052">
        <w:t xml:space="preserve">for </w:t>
      </w:r>
      <w:r w:rsidR="00817820">
        <w:t xml:space="preserve">non-SIL participants </w:t>
      </w:r>
      <w:r w:rsidR="00553052">
        <w:t xml:space="preserve">by </w:t>
      </w:r>
      <w:r w:rsidR="00817820">
        <w:t>17</w:t>
      </w:r>
      <w:r w:rsidR="00512FF0" w:rsidRPr="00C578EB">
        <w:t>% (</w:t>
      </w:r>
      <w:r w:rsidR="00817820">
        <w:fldChar w:fldCharType="begin"/>
      </w:r>
      <w:r w:rsidR="00817820">
        <w:instrText xml:space="preserve"> REF _Ref76032068 \h </w:instrText>
      </w:r>
      <w:r w:rsidR="00817820">
        <w:fldChar w:fldCharType="separate"/>
      </w:r>
      <w:r w:rsidR="00715347" w:rsidRPr="00C578EB">
        <w:t xml:space="preserve">Figure </w:t>
      </w:r>
      <w:r w:rsidR="00715347">
        <w:rPr>
          <w:noProof/>
        </w:rPr>
        <w:t>26</w:t>
      </w:r>
      <w:r w:rsidR="00817820">
        <w:fldChar w:fldCharType="end"/>
      </w:r>
      <w:r w:rsidR="00512FF0" w:rsidRPr="00C578EB">
        <w:t>).</w:t>
      </w:r>
    </w:p>
    <w:p w14:paraId="639C9BF1" w14:textId="616ABD9A" w:rsidR="00E73F21" w:rsidRPr="00817820" w:rsidRDefault="00E73F21" w:rsidP="00E73F21">
      <w:pPr>
        <w:pStyle w:val="Figures"/>
        <w:rPr>
          <w:rFonts w:cs="Arial"/>
        </w:rPr>
      </w:pPr>
      <w:bookmarkStart w:id="73" w:name="_Ref76032068"/>
      <w:bookmarkStart w:id="74" w:name="_Ref75970644"/>
      <w:r w:rsidRPr="00C578EB">
        <w:lastRenderedPageBreak/>
        <w:t xml:space="preserve">Figure </w:t>
      </w:r>
      <w:r w:rsidRPr="00597704">
        <w:fldChar w:fldCharType="begin"/>
      </w:r>
      <w:r w:rsidRPr="00C578EB">
        <w:instrText xml:space="preserve"> SEQ Figure \* ARABIC </w:instrText>
      </w:r>
      <w:r w:rsidRPr="00597704">
        <w:fldChar w:fldCharType="separate"/>
      </w:r>
      <w:r w:rsidR="00715347">
        <w:rPr>
          <w:noProof/>
        </w:rPr>
        <w:t>26</w:t>
      </w:r>
      <w:r w:rsidRPr="00597704">
        <w:rPr>
          <w:noProof/>
        </w:rPr>
        <w:fldChar w:fldCharType="end"/>
      </w:r>
      <w:bookmarkEnd w:id="73"/>
      <w:r w:rsidRPr="00C578EB">
        <w:t xml:space="preserve"> </w:t>
      </w:r>
      <w:r w:rsidRPr="00817820">
        <w:t>Average annualised payments over time by SIL group and in total</w:t>
      </w:r>
      <w:r>
        <w:rPr>
          <w:rStyle w:val="FootnoteReference"/>
        </w:rPr>
        <w:footnoteReference w:id="44"/>
      </w:r>
    </w:p>
    <w:p w14:paraId="0A175DD9" w14:textId="22191B29" w:rsidR="00E73F21" w:rsidRPr="00C578EB" w:rsidRDefault="008E50BF" w:rsidP="00E73F21">
      <w:pPr>
        <w:pStyle w:val="FSRnormal"/>
        <w:rPr>
          <w:rFonts w:eastAsiaTheme="minorHAnsi"/>
        </w:rPr>
      </w:pPr>
      <w:r w:rsidRPr="008E50BF">
        <w:rPr>
          <w:noProof/>
          <w:lang w:eastAsia="en-AU"/>
        </w:rPr>
        <w:drawing>
          <wp:inline distT="0" distB="0" distL="0" distR="0" wp14:anchorId="2D199BCD" wp14:editId="7D02A56C">
            <wp:extent cx="5731510" cy="2313787"/>
            <wp:effectExtent l="0" t="0" r="254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1510" cy="2313787"/>
                    </a:xfrm>
                    <a:prstGeom prst="rect">
                      <a:avLst/>
                    </a:prstGeom>
                    <a:noFill/>
                    <a:ln>
                      <a:noFill/>
                    </a:ln>
                  </pic:spPr>
                </pic:pic>
              </a:graphicData>
            </a:graphic>
          </wp:inline>
        </w:drawing>
      </w:r>
    </w:p>
    <w:p w14:paraId="12F62BC0" w14:textId="77600FC4" w:rsidR="00E73F21" w:rsidRDefault="008E50BF" w:rsidP="00546104">
      <w:pPr>
        <w:pStyle w:val="FSRnormal"/>
      </w:pPr>
      <w:r>
        <w:fldChar w:fldCharType="begin"/>
      </w:r>
      <w:r>
        <w:instrText xml:space="preserve"> REF _Ref76120324 \h </w:instrText>
      </w:r>
      <w:r>
        <w:fldChar w:fldCharType="separate"/>
      </w:r>
      <w:r w:rsidR="00715347" w:rsidRPr="00C578EB">
        <w:t xml:space="preserve">Figure </w:t>
      </w:r>
      <w:r w:rsidR="00715347">
        <w:rPr>
          <w:noProof/>
        </w:rPr>
        <w:t>27</w:t>
      </w:r>
      <w:r>
        <w:fldChar w:fldCharType="end"/>
      </w:r>
      <w:r>
        <w:t xml:space="preserve"> a</w:t>
      </w:r>
      <w:r w:rsidR="00763E37" w:rsidRPr="00763E37">
        <w:t xml:space="preserve">nalyses the change in average payment over time by age band for participants not in SIL. The average increase </w:t>
      </w:r>
      <w:r w:rsidR="00553052">
        <w:t xml:space="preserve">for </w:t>
      </w:r>
      <w:r w:rsidR="00763E37" w:rsidRPr="00763E37">
        <w:t xml:space="preserve">0 to 14 year olds is 13%, the average increase </w:t>
      </w:r>
      <w:r w:rsidR="00553052">
        <w:t xml:space="preserve">for </w:t>
      </w:r>
      <w:r w:rsidR="00763E37" w:rsidRPr="00763E37">
        <w:t xml:space="preserve">15 to 24 year olds is 12%, the average increase </w:t>
      </w:r>
      <w:r w:rsidR="00553052">
        <w:t xml:space="preserve">for </w:t>
      </w:r>
      <w:r w:rsidR="00763E37" w:rsidRPr="00763E37">
        <w:t>25 to 64 year olds is 20%</w:t>
      </w:r>
      <w:r w:rsidR="00553052">
        <w:t>,</w:t>
      </w:r>
      <w:r w:rsidR="00763E37" w:rsidRPr="00763E37">
        <w:t xml:space="preserve"> and the average increase </w:t>
      </w:r>
      <w:r w:rsidR="00553052">
        <w:t xml:space="preserve">for </w:t>
      </w:r>
      <w:r w:rsidR="00763E37" w:rsidRPr="00763E37">
        <w:t xml:space="preserve">participants aged over 65 is 21%. For participants not in SIL, average payments have increased at a faster rate for adults (those aged over 25) and reflects a material increase in the hours of attendant care support </w:t>
      </w:r>
      <w:r w:rsidR="00E04406">
        <w:t xml:space="preserve">these </w:t>
      </w:r>
      <w:r w:rsidR="00763E37" w:rsidRPr="00763E37">
        <w:t>participants are receiving over time.</w:t>
      </w:r>
    </w:p>
    <w:p w14:paraId="5A0B5067" w14:textId="58B3611A" w:rsidR="00512FF0" w:rsidRPr="00C578EB" w:rsidRDefault="00512FF0" w:rsidP="00546104">
      <w:pPr>
        <w:pStyle w:val="Figures"/>
        <w:rPr>
          <w:rFonts w:cs="Arial"/>
        </w:rPr>
      </w:pPr>
      <w:bookmarkStart w:id="75" w:name="_Ref76120324"/>
      <w:r w:rsidRPr="00C578EB">
        <w:t xml:space="preserve">Figure </w:t>
      </w:r>
      <w:r w:rsidRPr="00597704">
        <w:fldChar w:fldCharType="begin"/>
      </w:r>
      <w:r w:rsidRPr="00C578EB">
        <w:instrText xml:space="preserve"> SEQ Figure \* ARABIC </w:instrText>
      </w:r>
      <w:r w:rsidRPr="00597704">
        <w:fldChar w:fldCharType="separate"/>
      </w:r>
      <w:r w:rsidR="00715347">
        <w:rPr>
          <w:noProof/>
        </w:rPr>
        <w:t>27</w:t>
      </w:r>
      <w:r w:rsidRPr="00597704">
        <w:rPr>
          <w:noProof/>
        </w:rPr>
        <w:fldChar w:fldCharType="end"/>
      </w:r>
      <w:bookmarkEnd w:id="74"/>
      <w:bookmarkEnd w:id="75"/>
      <w:r w:rsidRPr="00C578EB">
        <w:t xml:space="preserve"> Average annualised payments over time </w:t>
      </w:r>
      <w:r w:rsidR="00E73F21" w:rsidRPr="00E73F21">
        <w:t xml:space="preserve">for non-SIL participants </w:t>
      </w:r>
      <w:r w:rsidRPr="00C578EB">
        <w:t>by age band</w:t>
      </w:r>
      <w:r w:rsidR="00775C63">
        <w:rPr>
          <w:rStyle w:val="FootnoteReference"/>
        </w:rPr>
        <w:footnoteReference w:id="45"/>
      </w:r>
    </w:p>
    <w:p w14:paraId="33D44D92" w14:textId="44486F98" w:rsidR="00E73F21" w:rsidRPr="00C578EB" w:rsidRDefault="008E50BF" w:rsidP="00546104">
      <w:pPr>
        <w:pStyle w:val="FSRnormal"/>
      </w:pPr>
      <w:r w:rsidRPr="008E50BF">
        <w:rPr>
          <w:noProof/>
          <w:lang w:eastAsia="en-AU"/>
        </w:rPr>
        <w:drawing>
          <wp:inline distT="0" distB="0" distL="0" distR="0" wp14:anchorId="037A6804" wp14:editId="7A6D167D">
            <wp:extent cx="5731510" cy="3279259"/>
            <wp:effectExtent l="0" t="0" r="254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1510" cy="3279259"/>
                    </a:xfrm>
                    <a:prstGeom prst="rect">
                      <a:avLst/>
                    </a:prstGeom>
                    <a:noFill/>
                    <a:ln>
                      <a:noFill/>
                    </a:ln>
                  </pic:spPr>
                </pic:pic>
              </a:graphicData>
            </a:graphic>
          </wp:inline>
        </w:drawing>
      </w:r>
    </w:p>
    <w:bookmarkEnd w:id="72"/>
    <w:p w14:paraId="18A6569F" w14:textId="77777777" w:rsidR="00650C77" w:rsidRPr="00C578EB" w:rsidRDefault="00650C77" w:rsidP="00650C77">
      <w:pPr>
        <w:keepNext/>
        <w:spacing w:before="240"/>
        <w:rPr>
          <w:b/>
          <w:i/>
          <w:color w:val="6B2976"/>
          <w:sz w:val="25"/>
        </w:rPr>
      </w:pPr>
      <w:r w:rsidRPr="00C578EB">
        <w:rPr>
          <w:b/>
          <w:i/>
          <w:color w:val="6B2976"/>
          <w:sz w:val="25"/>
        </w:rPr>
        <w:lastRenderedPageBreak/>
        <w:t>Actual versus expected average annualised payments by participant characteristics</w:t>
      </w:r>
    </w:p>
    <w:p w14:paraId="4055DA98" w14:textId="13BB758F" w:rsidR="00650C77" w:rsidRPr="00C578EB" w:rsidRDefault="00650C77" w:rsidP="00650C77">
      <w:pPr>
        <w:spacing w:before="120" w:after="120"/>
      </w:pPr>
      <w:r w:rsidRPr="00C578EB">
        <w:t xml:space="preserve">Comparing actual experience to expectations </w:t>
      </w:r>
      <w:r w:rsidR="00267C95" w:rsidRPr="00C578EB">
        <w:t xml:space="preserve">(using the 2020-21 PBS estimates) </w:t>
      </w:r>
      <w:r w:rsidRPr="00C578EB">
        <w:t>by various participant characteristics is also useful to highlight emerging trends and understand key cost pressures on the Scheme.</w:t>
      </w:r>
      <w:r w:rsidR="00996C9B" w:rsidRPr="00C578EB">
        <w:t xml:space="preserve"> </w:t>
      </w:r>
      <w:r w:rsidR="00996C9B" w:rsidRPr="00597704">
        <w:fldChar w:fldCharType="begin"/>
      </w:r>
      <w:r w:rsidR="00996C9B" w:rsidRPr="00C578EB">
        <w:instrText xml:space="preserve"> REF _Ref74334302 \h </w:instrText>
      </w:r>
      <w:r w:rsidR="00512FF0" w:rsidRPr="00C578EB">
        <w:instrText xml:space="preserve"> \* MERGEFORMAT </w:instrText>
      </w:r>
      <w:r w:rsidR="00996C9B" w:rsidRPr="00597704">
        <w:fldChar w:fldCharType="separate"/>
      </w:r>
      <w:r w:rsidR="00715347" w:rsidRPr="00C578EB">
        <w:t xml:space="preserve">Figure </w:t>
      </w:r>
      <w:r w:rsidR="00715347">
        <w:rPr>
          <w:noProof/>
        </w:rPr>
        <w:t>28</w:t>
      </w:r>
      <w:r w:rsidR="00996C9B" w:rsidRPr="00597704">
        <w:fldChar w:fldCharType="end"/>
      </w:r>
      <w:r w:rsidR="00E540D5" w:rsidRPr="00C578EB">
        <w:t xml:space="preserve">, </w:t>
      </w:r>
      <w:r w:rsidR="00E540D5" w:rsidRPr="00597704">
        <w:fldChar w:fldCharType="begin"/>
      </w:r>
      <w:r w:rsidR="00E540D5" w:rsidRPr="00C578EB">
        <w:instrText xml:space="preserve"> REF _Ref75866620 \h </w:instrText>
      </w:r>
      <w:r w:rsidR="00512FF0" w:rsidRPr="00C578EB">
        <w:instrText xml:space="preserve"> \* MERGEFORMAT </w:instrText>
      </w:r>
      <w:r w:rsidR="00E540D5" w:rsidRPr="00597704">
        <w:fldChar w:fldCharType="separate"/>
      </w:r>
      <w:r w:rsidR="00715347" w:rsidRPr="00C578EB">
        <w:t xml:space="preserve">Figure </w:t>
      </w:r>
      <w:r w:rsidR="00715347">
        <w:rPr>
          <w:noProof/>
        </w:rPr>
        <w:t>29</w:t>
      </w:r>
      <w:r w:rsidR="00E540D5" w:rsidRPr="00597704">
        <w:fldChar w:fldCharType="end"/>
      </w:r>
      <w:r w:rsidR="00E540D5" w:rsidRPr="00C578EB">
        <w:t xml:space="preserve">, </w:t>
      </w:r>
      <w:r w:rsidR="00E540D5" w:rsidRPr="00597704">
        <w:fldChar w:fldCharType="begin"/>
      </w:r>
      <w:r w:rsidR="00E540D5" w:rsidRPr="00C578EB">
        <w:instrText xml:space="preserve"> REF _Ref75866625 \h </w:instrText>
      </w:r>
      <w:r w:rsidR="00512FF0" w:rsidRPr="00C578EB">
        <w:instrText xml:space="preserve"> \* MERGEFORMAT </w:instrText>
      </w:r>
      <w:r w:rsidR="00E540D5" w:rsidRPr="00597704">
        <w:fldChar w:fldCharType="separate"/>
      </w:r>
      <w:r w:rsidR="00715347" w:rsidRPr="00C578EB">
        <w:t xml:space="preserve">Figure </w:t>
      </w:r>
      <w:r w:rsidR="00715347">
        <w:rPr>
          <w:noProof/>
        </w:rPr>
        <w:t>30</w:t>
      </w:r>
      <w:r w:rsidR="00E540D5" w:rsidRPr="00597704">
        <w:fldChar w:fldCharType="end"/>
      </w:r>
      <w:r w:rsidR="00E540D5" w:rsidRPr="00C578EB">
        <w:t xml:space="preserve"> and </w:t>
      </w:r>
      <w:r w:rsidR="00E540D5" w:rsidRPr="00597704">
        <w:fldChar w:fldCharType="begin"/>
      </w:r>
      <w:r w:rsidR="00E540D5" w:rsidRPr="00C578EB">
        <w:instrText xml:space="preserve"> REF _Ref75866629 \h </w:instrText>
      </w:r>
      <w:r w:rsidR="00512FF0" w:rsidRPr="00C578EB">
        <w:instrText xml:space="preserve"> \* MERGEFORMAT </w:instrText>
      </w:r>
      <w:r w:rsidR="00E540D5" w:rsidRPr="00597704">
        <w:fldChar w:fldCharType="separate"/>
      </w:r>
      <w:r w:rsidR="00715347" w:rsidRPr="00C578EB">
        <w:t xml:space="preserve">Figure </w:t>
      </w:r>
      <w:r w:rsidR="00715347">
        <w:rPr>
          <w:noProof/>
        </w:rPr>
        <w:t>31</w:t>
      </w:r>
      <w:r w:rsidR="00E540D5" w:rsidRPr="00597704">
        <w:fldChar w:fldCharType="end"/>
      </w:r>
      <w:r w:rsidR="00996C9B" w:rsidRPr="00C578EB">
        <w:t xml:space="preserve"> show </w:t>
      </w:r>
      <w:r w:rsidRPr="00C578EB">
        <w:t>average annualised payment levels by SIL status, age band, disability type and level of function. Note that the payment experience is impacted by emerging participant mix, as well as trends at the support category level.</w:t>
      </w:r>
    </w:p>
    <w:p w14:paraId="38AFD8FA" w14:textId="404462FB" w:rsidR="00650C77" w:rsidRPr="00C578EB" w:rsidRDefault="00996C9B" w:rsidP="00650C77">
      <w:pPr>
        <w:spacing w:before="240"/>
      </w:pPr>
      <w:r w:rsidRPr="00C578EB">
        <w:t>Compared to expectations</w:t>
      </w:r>
      <w:r w:rsidR="00C9049B" w:rsidRPr="00C578EB">
        <w:t xml:space="preserve"> from the 2020-21 PBS estimates</w:t>
      </w:r>
      <w:r w:rsidRPr="00C578EB">
        <w:t>, this shows that</w:t>
      </w:r>
      <w:r w:rsidR="00650C77" w:rsidRPr="00C578EB">
        <w:t>:</w:t>
      </w:r>
    </w:p>
    <w:p w14:paraId="4D23CDE7" w14:textId="035BBF3F" w:rsidR="00650C77" w:rsidRPr="00C578EB" w:rsidRDefault="00650C77" w:rsidP="00650C77">
      <w:pPr>
        <w:numPr>
          <w:ilvl w:val="0"/>
          <w:numId w:val="4"/>
        </w:numPr>
        <w:spacing w:before="120" w:after="120"/>
        <w:ind w:left="360"/>
      </w:pPr>
      <w:r w:rsidRPr="00C578EB">
        <w:t xml:space="preserve">Average annualised payments to </w:t>
      </w:r>
      <w:r w:rsidR="00A31502" w:rsidRPr="00C578EB">
        <w:t xml:space="preserve">both SIL and </w:t>
      </w:r>
      <w:r w:rsidRPr="00C578EB">
        <w:t xml:space="preserve">non-SIL participants are higher than expected (graph i). </w:t>
      </w:r>
    </w:p>
    <w:p w14:paraId="719F0403" w14:textId="63803DE7" w:rsidR="00650C77" w:rsidRPr="00C578EB" w:rsidRDefault="00650C77" w:rsidP="00650C77">
      <w:pPr>
        <w:numPr>
          <w:ilvl w:val="0"/>
          <w:numId w:val="4"/>
        </w:numPr>
        <w:spacing w:before="120" w:after="120"/>
        <w:ind w:left="360"/>
      </w:pPr>
      <w:r w:rsidRPr="00C578EB">
        <w:t xml:space="preserve">Average annualised payment experience for participants across all ages except </w:t>
      </w:r>
      <w:r w:rsidR="00A31502" w:rsidRPr="00C578EB">
        <w:t xml:space="preserve">0 to 6 </w:t>
      </w:r>
      <w:r w:rsidRPr="00C578EB">
        <w:t xml:space="preserve">are higher than expected (graph ii). </w:t>
      </w:r>
    </w:p>
    <w:p w14:paraId="7C69D2E9" w14:textId="4101A588" w:rsidR="00650C77" w:rsidRPr="00C578EB" w:rsidRDefault="00650C77" w:rsidP="00650C77">
      <w:pPr>
        <w:numPr>
          <w:ilvl w:val="0"/>
          <w:numId w:val="4"/>
        </w:numPr>
        <w:spacing w:before="120" w:after="120"/>
        <w:ind w:left="360"/>
      </w:pPr>
      <w:r w:rsidRPr="00C578EB">
        <w:t>Similarly, average annualised payment experience has been higher than expected across most disabilities (graph iii), particularly for acquired brain injury</w:t>
      </w:r>
      <w:r w:rsidR="00CD69DC" w:rsidRPr="00C578EB">
        <w:t>, stroke and spinal cord injury</w:t>
      </w:r>
      <w:r w:rsidRPr="00C578EB">
        <w:t xml:space="preserve">. </w:t>
      </w:r>
    </w:p>
    <w:p w14:paraId="02CD1D2C" w14:textId="773832B0" w:rsidR="00650C77" w:rsidRPr="00C578EB" w:rsidRDefault="00650C77" w:rsidP="00650C77">
      <w:pPr>
        <w:numPr>
          <w:ilvl w:val="0"/>
          <w:numId w:val="4"/>
        </w:numPr>
        <w:spacing w:before="120" w:after="120"/>
        <w:ind w:left="360"/>
      </w:pPr>
      <w:r w:rsidRPr="00C578EB">
        <w:t xml:space="preserve">Average annualised payments to participants </w:t>
      </w:r>
      <w:r w:rsidR="00CD69DC" w:rsidRPr="00C578EB">
        <w:t>with low</w:t>
      </w:r>
      <w:r w:rsidRPr="00C578EB">
        <w:t xml:space="preserve"> levels of function have been higher than expected (graph iv). </w:t>
      </w:r>
    </w:p>
    <w:p w14:paraId="357B4E25" w14:textId="2C4C762B" w:rsidR="00996C9B" w:rsidRPr="00C578EB" w:rsidRDefault="00996C9B" w:rsidP="00996C9B">
      <w:pPr>
        <w:pStyle w:val="Figures"/>
      </w:pPr>
      <w:bookmarkStart w:id="76" w:name="_Ref74334302"/>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28</w:t>
      </w:r>
      <w:r w:rsidR="00C04E1B" w:rsidRPr="00597704">
        <w:rPr>
          <w:noProof/>
        </w:rPr>
        <w:fldChar w:fldCharType="end"/>
      </w:r>
      <w:bookmarkEnd w:id="76"/>
      <w:r w:rsidRPr="00C578EB">
        <w:t xml:space="preserve"> Average annualised payments in the six months to 31 December 2020 by participant profile - actual vs expected </w:t>
      </w:r>
      <w:r w:rsidR="00E540D5" w:rsidRPr="00C578EB">
        <w:t>by SIL group</w:t>
      </w:r>
    </w:p>
    <w:p w14:paraId="6D5507C2" w14:textId="32D81596" w:rsidR="00034278" w:rsidRPr="00C578EB" w:rsidRDefault="00E540D5" w:rsidP="00996C9B">
      <w:pPr>
        <w:pStyle w:val="FSRnormal"/>
      </w:pPr>
      <w:r w:rsidRPr="00597704">
        <w:rPr>
          <w:noProof/>
          <w:lang w:eastAsia="en-AU"/>
        </w:rPr>
        <w:drawing>
          <wp:inline distT="0" distB="0" distL="0" distR="0" wp14:anchorId="709141F8" wp14:editId="0E6869E6">
            <wp:extent cx="4969933" cy="3600025"/>
            <wp:effectExtent l="0" t="0" r="0" b="63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76929" cy="3605092"/>
                    </a:xfrm>
                    <a:prstGeom prst="rect">
                      <a:avLst/>
                    </a:prstGeom>
                    <a:noFill/>
                    <a:ln>
                      <a:noFill/>
                    </a:ln>
                  </pic:spPr>
                </pic:pic>
              </a:graphicData>
            </a:graphic>
          </wp:inline>
        </w:drawing>
      </w:r>
    </w:p>
    <w:p w14:paraId="5463BA00" w14:textId="03613D6F" w:rsidR="00E540D5" w:rsidRPr="00C578EB" w:rsidRDefault="00E540D5" w:rsidP="00E540D5">
      <w:pPr>
        <w:pStyle w:val="Figures"/>
      </w:pPr>
      <w:bookmarkStart w:id="77" w:name="_Ref75866620"/>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29</w:t>
      </w:r>
      <w:r w:rsidR="00C04E1B" w:rsidRPr="00597704">
        <w:rPr>
          <w:noProof/>
        </w:rPr>
        <w:fldChar w:fldCharType="end"/>
      </w:r>
      <w:bookmarkEnd w:id="77"/>
      <w:r w:rsidRPr="00C578EB">
        <w:t xml:space="preserve"> Average annualised payments in the six months to 31 December 2020 by participant profile - actual vs expected by age band</w:t>
      </w:r>
    </w:p>
    <w:p w14:paraId="72BCD35D" w14:textId="71FC5F7E" w:rsidR="00F35DE6" w:rsidRPr="00C578EB" w:rsidRDefault="00E540D5" w:rsidP="00996C9B">
      <w:pPr>
        <w:pStyle w:val="FSRnormal"/>
      </w:pPr>
      <w:r w:rsidRPr="00597704">
        <w:rPr>
          <w:rFonts w:eastAsiaTheme="minorHAnsi"/>
          <w:noProof/>
          <w:szCs w:val="18"/>
          <w:lang w:eastAsia="en-AU"/>
        </w:rPr>
        <w:drawing>
          <wp:inline distT="0" distB="0" distL="0" distR="0" wp14:anchorId="5ED591F3" wp14:editId="3CE0E844">
            <wp:extent cx="5029200" cy="3642956"/>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32349" cy="3645237"/>
                    </a:xfrm>
                    <a:prstGeom prst="rect">
                      <a:avLst/>
                    </a:prstGeom>
                    <a:noFill/>
                    <a:ln>
                      <a:noFill/>
                    </a:ln>
                  </pic:spPr>
                </pic:pic>
              </a:graphicData>
            </a:graphic>
          </wp:inline>
        </w:drawing>
      </w:r>
    </w:p>
    <w:p w14:paraId="4576D5D9" w14:textId="4C00B36E" w:rsidR="00E540D5" w:rsidRPr="00C578EB" w:rsidRDefault="00E540D5" w:rsidP="00E540D5">
      <w:pPr>
        <w:pStyle w:val="Figures"/>
      </w:pPr>
      <w:bookmarkStart w:id="78" w:name="_Ref75866625"/>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30</w:t>
      </w:r>
      <w:r w:rsidR="00C04E1B" w:rsidRPr="00597704">
        <w:rPr>
          <w:noProof/>
        </w:rPr>
        <w:fldChar w:fldCharType="end"/>
      </w:r>
      <w:bookmarkEnd w:id="78"/>
      <w:r w:rsidRPr="00C578EB">
        <w:t xml:space="preserve"> Average annualised payments in the six months to 31 December 2020 by participant profile - actual vs expected by disability group</w:t>
      </w:r>
    </w:p>
    <w:p w14:paraId="3327614D" w14:textId="5AE1F0C1" w:rsidR="00E540D5" w:rsidRPr="00C578EB" w:rsidRDefault="00E540D5" w:rsidP="00E540D5">
      <w:pPr>
        <w:pStyle w:val="FSRnormal"/>
      </w:pPr>
      <w:r w:rsidRPr="00597704">
        <w:rPr>
          <w:noProof/>
          <w:lang w:eastAsia="en-AU"/>
        </w:rPr>
        <w:drawing>
          <wp:inline distT="0" distB="0" distL="0" distR="0" wp14:anchorId="11E04D27" wp14:editId="26656C6C">
            <wp:extent cx="5386726" cy="3901934"/>
            <wp:effectExtent l="0" t="0" r="0" b="381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87809" cy="3902718"/>
                    </a:xfrm>
                    <a:prstGeom prst="rect">
                      <a:avLst/>
                    </a:prstGeom>
                    <a:noFill/>
                    <a:ln>
                      <a:noFill/>
                    </a:ln>
                  </pic:spPr>
                </pic:pic>
              </a:graphicData>
            </a:graphic>
          </wp:inline>
        </w:drawing>
      </w:r>
    </w:p>
    <w:p w14:paraId="3DF15DC7" w14:textId="44AE314C" w:rsidR="00E540D5" w:rsidRPr="00C578EB" w:rsidRDefault="00E540D5" w:rsidP="00E540D5">
      <w:pPr>
        <w:pStyle w:val="Figures"/>
      </w:pPr>
      <w:bookmarkStart w:id="79" w:name="_Ref75866629"/>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31</w:t>
      </w:r>
      <w:r w:rsidR="00C04E1B" w:rsidRPr="00597704">
        <w:rPr>
          <w:noProof/>
        </w:rPr>
        <w:fldChar w:fldCharType="end"/>
      </w:r>
      <w:bookmarkEnd w:id="79"/>
      <w:r w:rsidRPr="00C578EB">
        <w:t xml:space="preserve"> Average annualised payments in the six months to 31 December 2020 by participant profile - actual vs expected by level of function</w:t>
      </w:r>
    </w:p>
    <w:p w14:paraId="65F9E4E4" w14:textId="79E86A5E" w:rsidR="00F35DE6" w:rsidRPr="00C578EB" w:rsidRDefault="00E540D5" w:rsidP="00996C9B">
      <w:pPr>
        <w:pStyle w:val="FSRnormal"/>
      </w:pPr>
      <w:r w:rsidRPr="00597704">
        <w:rPr>
          <w:noProof/>
          <w:lang w:eastAsia="en-AU"/>
        </w:rPr>
        <w:drawing>
          <wp:inline distT="0" distB="0" distL="0" distR="0" wp14:anchorId="1BF63020" wp14:editId="74738257">
            <wp:extent cx="5228897" cy="3787609"/>
            <wp:effectExtent l="0" t="0" r="0" b="381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31016" cy="3789144"/>
                    </a:xfrm>
                    <a:prstGeom prst="rect">
                      <a:avLst/>
                    </a:prstGeom>
                    <a:noFill/>
                    <a:ln>
                      <a:noFill/>
                    </a:ln>
                  </pic:spPr>
                </pic:pic>
              </a:graphicData>
            </a:graphic>
          </wp:inline>
        </w:drawing>
      </w:r>
    </w:p>
    <w:p w14:paraId="025F8D46" w14:textId="469E9D99" w:rsidR="00996C9B" w:rsidRPr="00C578EB" w:rsidRDefault="00996C9B" w:rsidP="00996C9B">
      <w:pPr>
        <w:pStyle w:val="FSRnormal"/>
      </w:pPr>
      <w:r w:rsidRPr="00597704">
        <w:fldChar w:fldCharType="begin"/>
      </w:r>
      <w:r w:rsidRPr="00C578EB">
        <w:instrText xml:space="preserve"> REF _Ref74334449 \h  \* MERGEFORMAT </w:instrText>
      </w:r>
      <w:r w:rsidRPr="00597704">
        <w:fldChar w:fldCharType="separate"/>
      </w:r>
      <w:r w:rsidR="00715347" w:rsidRPr="00C578EB">
        <w:t xml:space="preserve">Figure </w:t>
      </w:r>
      <w:r w:rsidR="00715347">
        <w:rPr>
          <w:noProof/>
        </w:rPr>
        <w:t>32</w:t>
      </w:r>
      <w:r w:rsidRPr="00597704">
        <w:fldChar w:fldCharType="end"/>
      </w:r>
      <w:r w:rsidR="00F35DE6" w:rsidRPr="00C578EB">
        <w:t xml:space="preserve">, </w:t>
      </w:r>
      <w:r w:rsidR="00F35DE6" w:rsidRPr="00597704">
        <w:fldChar w:fldCharType="begin"/>
      </w:r>
      <w:r w:rsidR="00F35DE6" w:rsidRPr="00C578EB">
        <w:instrText xml:space="preserve"> REF _Ref75867096 \h </w:instrText>
      </w:r>
      <w:r w:rsidR="00512FF0" w:rsidRPr="00C578EB">
        <w:instrText xml:space="preserve"> \* MERGEFORMAT </w:instrText>
      </w:r>
      <w:r w:rsidR="00F35DE6" w:rsidRPr="00597704">
        <w:fldChar w:fldCharType="separate"/>
      </w:r>
      <w:r w:rsidR="00715347" w:rsidRPr="00C578EB">
        <w:t xml:space="preserve">Figure </w:t>
      </w:r>
      <w:r w:rsidR="00715347">
        <w:rPr>
          <w:noProof/>
        </w:rPr>
        <w:t>33</w:t>
      </w:r>
      <w:r w:rsidR="00F35DE6" w:rsidRPr="00597704">
        <w:fldChar w:fldCharType="end"/>
      </w:r>
      <w:r w:rsidR="00F35DE6" w:rsidRPr="00C578EB">
        <w:t xml:space="preserve">, </w:t>
      </w:r>
      <w:r w:rsidR="00F35DE6" w:rsidRPr="00597704">
        <w:fldChar w:fldCharType="begin"/>
      </w:r>
      <w:r w:rsidR="00F35DE6" w:rsidRPr="00C578EB">
        <w:instrText xml:space="preserve"> REF _Ref75867101 \h </w:instrText>
      </w:r>
      <w:r w:rsidR="00512FF0" w:rsidRPr="00C578EB">
        <w:instrText xml:space="preserve"> \* MERGEFORMAT </w:instrText>
      </w:r>
      <w:r w:rsidR="00F35DE6" w:rsidRPr="00597704">
        <w:fldChar w:fldCharType="separate"/>
      </w:r>
      <w:r w:rsidR="00715347" w:rsidRPr="00C578EB">
        <w:t xml:space="preserve">Figure </w:t>
      </w:r>
      <w:r w:rsidR="00715347">
        <w:rPr>
          <w:noProof/>
        </w:rPr>
        <w:t>34</w:t>
      </w:r>
      <w:r w:rsidR="00F35DE6" w:rsidRPr="00597704">
        <w:fldChar w:fldCharType="end"/>
      </w:r>
      <w:r w:rsidR="00F35DE6" w:rsidRPr="00C578EB">
        <w:t xml:space="preserve"> and </w:t>
      </w:r>
      <w:r w:rsidR="00F35DE6" w:rsidRPr="00597704">
        <w:fldChar w:fldCharType="begin"/>
      </w:r>
      <w:r w:rsidR="00F35DE6" w:rsidRPr="00C578EB">
        <w:instrText xml:space="preserve"> REF _Ref75867105 \h </w:instrText>
      </w:r>
      <w:r w:rsidR="00512FF0" w:rsidRPr="00C578EB">
        <w:instrText xml:space="preserve"> \* MERGEFORMAT </w:instrText>
      </w:r>
      <w:r w:rsidR="00F35DE6" w:rsidRPr="00597704">
        <w:fldChar w:fldCharType="separate"/>
      </w:r>
      <w:r w:rsidR="00715347" w:rsidRPr="00C578EB">
        <w:t xml:space="preserve">Figure </w:t>
      </w:r>
      <w:r w:rsidR="00715347">
        <w:rPr>
          <w:noProof/>
        </w:rPr>
        <w:t>35</w:t>
      </w:r>
      <w:r w:rsidR="00F35DE6" w:rsidRPr="00597704">
        <w:fldChar w:fldCharType="end"/>
      </w:r>
      <w:r w:rsidR="00F35DE6" w:rsidRPr="00C578EB">
        <w:t xml:space="preserve"> </w:t>
      </w:r>
      <w:r w:rsidRPr="00C578EB">
        <w:t>below provide further detail around average annualised payments on those without SIL arrangements.</w:t>
      </w:r>
    </w:p>
    <w:p w14:paraId="2CFA2263" w14:textId="1F415B24" w:rsidR="00996C9B" w:rsidRPr="00C578EB" w:rsidRDefault="00996C9B" w:rsidP="00996C9B">
      <w:pPr>
        <w:pStyle w:val="Figures"/>
      </w:pPr>
      <w:bookmarkStart w:id="80" w:name="_Ref74334449"/>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32</w:t>
      </w:r>
      <w:r w:rsidR="00C04E1B" w:rsidRPr="00597704">
        <w:rPr>
          <w:noProof/>
        </w:rPr>
        <w:fldChar w:fldCharType="end"/>
      </w:r>
      <w:bookmarkEnd w:id="80"/>
      <w:r w:rsidRPr="00C578EB">
        <w:t xml:space="preserve"> Average annualised payments in the six months to 31 December 2020 by participant profile - actual vs expected (non-SIL)</w:t>
      </w:r>
    </w:p>
    <w:p w14:paraId="4DCF9734" w14:textId="50672368" w:rsidR="00F35DE6" w:rsidRPr="00C578EB" w:rsidRDefault="00E540D5" w:rsidP="00E540D5">
      <w:pPr>
        <w:pStyle w:val="FSRnormal"/>
      </w:pPr>
      <w:r w:rsidRPr="00597704">
        <w:rPr>
          <w:noProof/>
          <w:lang w:eastAsia="en-AU"/>
        </w:rPr>
        <w:drawing>
          <wp:inline distT="0" distB="0" distL="0" distR="0" wp14:anchorId="2849D331" wp14:editId="32716B0F">
            <wp:extent cx="4915593" cy="3955725"/>
            <wp:effectExtent l="0" t="0" r="0" b="698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24090" cy="3962563"/>
                    </a:xfrm>
                    <a:prstGeom prst="rect">
                      <a:avLst/>
                    </a:prstGeom>
                    <a:noFill/>
                    <a:ln>
                      <a:noFill/>
                    </a:ln>
                  </pic:spPr>
                </pic:pic>
              </a:graphicData>
            </a:graphic>
          </wp:inline>
        </w:drawing>
      </w:r>
      <w:r w:rsidRPr="00C578EB">
        <w:t xml:space="preserve"> </w:t>
      </w:r>
    </w:p>
    <w:p w14:paraId="59FCA851" w14:textId="70748C89" w:rsidR="00F35DE6" w:rsidRPr="00C578EB" w:rsidRDefault="00F35DE6" w:rsidP="00F35DE6">
      <w:pPr>
        <w:pStyle w:val="Figures"/>
      </w:pPr>
      <w:bookmarkStart w:id="81" w:name="_Ref75867096"/>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33</w:t>
      </w:r>
      <w:r w:rsidR="00C04E1B" w:rsidRPr="00597704">
        <w:rPr>
          <w:noProof/>
        </w:rPr>
        <w:fldChar w:fldCharType="end"/>
      </w:r>
      <w:bookmarkEnd w:id="81"/>
      <w:r w:rsidRPr="00C578EB">
        <w:t xml:space="preserve"> Average annualised payments in the six months to 31 December 2020 by participant profile - actual vs expected (non-SIL) by age band</w:t>
      </w:r>
    </w:p>
    <w:p w14:paraId="7E3712FA" w14:textId="6AA818E2" w:rsidR="00E540D5" w:rsidRPr="00C578EB" w:rsidRDefault="00E540D5" w:rsidP="00E540D5">
      <w:pPr>
        <w:pStyle w:val="FSRnormal"/>
      </w:pPr>
      <w:r w:rsidRPr="00597704">
        <w:rPr>
          <w:noProof/>
          <w:lang w:eastAsia="en-AU"/>
        </w:rPr>
        <w:drawing>
          <wp:inline distT="0" distB="0" distL="0" distR="0" wp14:anchorId="55B7DEC0" wp14:editId="3F233BDB">
            <wp:extent cx="5317388" cy="3693028"/>
            <wp:effectExtent l="0" t="0" r="0" b="317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20478" cy="3695174"/>
                    </a:xfrm>
                    <a:prstGeom prst="rect">
                      <a:avLst/>
                    </a:prstGeom>
                    <a:noFill/>
                    <a:ln>
                      <a:noFill/>
                    </a:ln>
                  </pic:spPr>
                </pic:pic>
              </a:graphicData>
            </a:graphic>
          </wp:inline>
        </w:drawing>
      </w:r>
    </w:p>
    <w:p w14:paraId="454AA1A9" w14:textId="1653643A" w:rsidR="00E540D5" w:rsidRPr="00C578EB" w:rsidRDefault="00E540D5" w:rsidP="00E540D5">
      <w:pPr>
        <w:pStyle w:val="Figures"/>
      </w:pPr>
      <w:bookmarkStart w:id="82" w:name="_Ref75867101"/>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34</w:t>
      </w:r>
      <w:r w:rsidR="00C04E1B" w:rsidRPr="00597704">
        <w:rPr>
          <w:noProof/>
        </w:rPr>
        <w:fldChar w:fldCharType="end"/>
      </w:r>
      <w:bookmarkEnd w:id="82"/>
      <w:r w:rsidRPr="00C578EB">
        <w:t xml:space="preserve"> Average annualised payments in the six months to 31 December 2020 by participant profile - actual vs expected (non-SIL) by disability group</w:t>
      </w:r>
    </w:p>
    <w:p w14:paraId="7DFB2828" w14:textId="56E05377" w:rsidR="00E540D5" w:rsidRPr="00C578EB" w:rsidRDefault="00E540D5" w:rsidP="00E540D5">
      <w:pPr>
        <w:pStyle w:val="FSRnormal"/>
      </w:pPr>
      <w:r w:rsidRPr="00597704">
        <w:rPr>
          <w:noProof/>
          <w:lang w:eastAsia="en-AU"/>
        </w:rPr>
        <w:drawing>
          <wp:inline distT="0" distB="0" distL="0" distR="0" wp14:anchorId="2BE98B37" wp14:editId="5BA2515F">
            <wp:extent cx="4972910" cy="3602181"/>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79739" cy="3607128"/>
                    </a:xfrm>
                    <a:prstGeom prst="rect">
                      <a:avLst/>
                    </a:prstGeom>
                    <a:noFill/>
                    <a:ln>
                      <a:noFill/>
                    </a:ln>
                  </pic:spPr>
                </pic:pic>
              </a:graphicData>
            </a:graphic>
          </wp:inline>
        </w:drawing>
      </w:r>
    </w:p>
    <w:p w14:paraId="7F01BDEA" w14:textId="4F943499" w:rsidR="00E540D5" w:rsidRPr="00C578EB" w:rsidRDefault="00E540D5" w:rsidP="00E540D5">
      <w:pPr>
        <w:pStyle w:val="Figures"/>
      </w:pPr>
      <w:bookmarkStart w:id="83" w:name="_Ref75867105"/>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35</w:t>
      </w:r>
      <w:r w:rsidR="00C04E1B" w:rsidRPr="00597704">
        <w:rPr>
          <w:noProof/>
        </w:rPr>
        <w:fldChar w:fldCharType="end"/>
      </w:r>
      <w:bookmarkEnd w:id="83"/>
      <w:r w:rsidRPr="00C578EB">
        <w:t xml:space="preserve"> Average annualised payments in the six months to 31 December 2020 by participant profile - actual vs expected (non-SIL) by level of function</w:t>
      </w:r>
    </w:p>
    <w:p w14:paraId="1D04BEFD" w14:textId="3306BC79" w:rsidR="000F2269" w:rsidRPr="00C578EB" w:rsidRDefault="00E540D5">
      <w:pPr>
        <w:pStyle w:val="FSRnormal"/>
      </w:pPr>
      <w:r w:rsidRPr="00597704">
        <w:rPr>
          <w:noProof/>
          <w:lang w:eastAsia="en-AU"/>
        </w:rPr>
        <w:drawing>
          <wp:inline distT="0" distB="0" distL="0" distR="0" wp14:anchorId="2B56379A" wp14:editId="37850A05">
            <wp:extent cx="4904509" cy="3946805"/>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913682" cy="3954187"/>
                    </a:xfrm>
                    <a:prstGeom prst="rect">
                      <a:avLst/>
                    </a:prstGeom>
                    <a:noFill/>
                    <a:ln>
                      <a:noFill/>
                    </a:ln>
                  </pic:spPr>
                </pic:pic>
              </a:graphicData>
            </a:graphic>
          </wp:inline>
        </w:drawing>
      </w:r>
    </w:p>
    <w:p w14:paraId="45353BC7" w14:textId="20047112" w:rsidR="00B135C3" w:rsidRPr="00C578EB" w:rsidRDefault="00B135C3" w:rsidP="00B135C3">
      <w:pPr>
        <w:pStyle w:val="FSRnormal"/>
      </w:pPr>
      <w:r w:rsidRPr="00C578EB">
        <w:lastRenderedPageBreak/>
        <w:t xml:space="preserve">For participants without SIL arrangements, compared to </w:t>
      </w:r>
      <w:r w:rsidR="00C9049B" w:rsidRPr="00C578EB">
        <w:t>the 2020-21 PBS estimates</w:t>
      </w:r>
      <w:r w:rsidRPr="00C578EB">
        <w:t>:</w:t>
      </w:r>
    </w:p>
    <w:p w14:paraId="2E7B952C" w14:textId="7FFCFD21" w:rsidR="00B135C3" w:rsidRPr="00C578EB" w:rsidRDefault="00B135C3" w:rsidP="00B135C3">
      <w:pPr>
        <w:numPr>
          <w:ilvl w:val="0"/>
          <w:numId w:val="4"/>
        </w:numPr>
        <w:spacing w:before="120" w:after="120"/>
        <w:ind w:left="360"/>
      </w:pPr>
      <w:r w:rsidRPr="00C578EB">
        <w:t>Average annualised payments are higher than expected and this is consistent across all age groups</w:t>
      </w:r>
      <w:r w:rsidR="00CD69DC" w:rsidRPr="00C578EB">
        <w:t xml:space="preserve"> except those aged 0 to 6</w:t>
      </w:r>
      <w:r w:rsidRPr="00C578EB">
        <w:t xml:space="preserve"> (graph i and ii). </w:t>
      </w:r>
    </w:p>
    <w:p w14:paraId="3045665B" w14:textId="44EB83B6" w:rsidR="00B135C3" w:rsidRPr="00C578EB" w:rsidRDefault="00B135C3" w:rsidP="00B135C3">
      <w:pPr>
        <w:numPr>
          <w:ilvl w:val="0"/>
          <w:numId w:val="4"/>
        </w:numPr>
        <w:spacing w:before="120" w:after="120"/>
        <w:ind w:left="360"/>
      </w:pPr>
      <w:r w:rsidRPr="00C578EB">
        <w:t>Average annualised payment experience has been higher than expected across all disabilities</w:t>
      </w:r>
      <w:r w:rsidR="00A72AC8" w:rsidRPr="00C578EB">
        <w:t xml:space="preserve"> (graph iii)</w:t>
      </w:r>
      <w:r w:rsidRPr="00C578EB">
        <w:t xml:space="preserve">, except for </w:t>
      </w:r>
      <w:r w:rsidR="00CD69DC" w:rsidRPr="00C578EB">
        <w:t xml:space="preserve">developmental delay and </w:t>
      </w:r>
      <w:r w:rsidRPr="00C578EB">
        <w:t>hearing impairment.</w:t>
      </w:r>
    </w:p>
    <w:p w14:paraId="7B8A9AE3" w14:textId="5562B4E2" w:rsidR="00B135C3" w:rsidRPr="00C578EB" w:rsidRDefault="00B135C3" w:rsidP="00B135C3">
      <w:pPr>
        <w:numPr>
          <w:ilvl w:val="0"/>
          <w:numId w:val="4"/>
        </w:numPr>
        <w:spacing w:before="120" w:after="120"/>
        <w:ind w:left="360"/>
      </w:pPr>
      <w:r w:rsidRPr="00C578EB">
        <w:t xml:space="preserve">Average annualised payments to participants </w:t>
      </w:r>
      <w:r w:rsidR="00CD69DC" w:rsidRPr="00C578EB">
        <w:t>with a low or medium</w:t>
      </w:r>
      <w:r w:rsidRPr="00C578EB">
        <w:t xml:space="preserve"> </w:t>
      </w:r>
      <w:r w:rsidR="00CD69DC" w:rsidRPr="00C578EB">
        <w:t>level</w:t>
      </w:r>
      <w:r w:rsidRPr="00C578EB">
        <w:t xml:space="preserve"> of function have been higher than expected, with participants with low levels of function showing the greatest difference with expected (graph iv).</w:t>
      </w:r>
    </w:p>
    <w:p w14:paraId="46C22801" w14:textId="52573042" w:rsidR="00F35DE6" w:rsidRPr="00C578EB" w:rsidRDefault="00F35DE6" w:rsidP="0072428B">
      <w:pPr>
        <w:pStyle w:val="FSRnormal"/>
      </w:pPr>
      <w:r w:rsidRPr="00597704">
        <w:fldChar w:fldCharType="begin"/>
      </w:r>
      <w:r w:rsidRPr="00C578EB">
        <w:instrText xml:space="preserve"> REF _Ref74334456 \h </w:instrText>
      </w:r>
      <w:r w:rsidR="00512FF0" w:rsidRPr="00C578EB">
        <w:instrText xml:space="preserve"> \* MERGEFORMAT </w:instrText>
      </w:r>
      <w:r w:rsidRPr="00597704">
        <w:fldChar w:fldCharType="separate"/>
      </w:r>
      <w:r w:rsidR="00715347" w:rsidRPr="00C578EB">
        <w:t xml:space="preserve">Figure </w:t>
      </w:r>
      <w:r w:rsidR="00715347">
        <w:rPr>
          <w:noProof/>
        </w:rPr>
        <w:t>36</w:t>
      </w:r>
      <w:r w:rsidRPr="00597704">
        <w:fldChar w:fldCharType="end"/>
      </w:r>
      <w:r w:rsidRPr="00C578EB">
        <w:t xml:space="preserve">, </w:t>
      </w:r>
      <w:r w:rsidRPr="00597704">
        <w:fldChar w:fldCharType="begin"/>
      </w:r>
      <w:r w:rsidRPr="00C578EB">
        <w:instrText xml:space="preserve"> REF _Ref75867136 \h </w:instrText>
      </w:r>
      <w:r w:rsidR="00512FF0" w:rsidRPr="00C578EB">
        <w:instrText xml:space="preserve"> \* MERGEFORMAT </w:instrText>
      </w:r>
      <w:r w:rsidRPr="00597704">
        <w:fldChar w:fldCharType="separate"/>
      </w:r>
      <w:r w:rsidR="00715347" w:rsidRPr="00C578EB">
        <w:t xml:space="preserve">Figure </w:t>
      </w:r>
      <w:r w:rsidR="00715347">
        <w:rPr>
          <w:noProof/>
        </w:rPr>
        <w:t>37</w:t>
      </w:r>
      <w:r w:rsidRPr="00597704">
        <w:fldChar w:fldCharType="end"/>
      </w:r>
      <w:r w:rsidRPr="00C578EB">
        <w:t xml:space="preserve">, </w:t>
      </w:r>
      <w:r w:rsidRPr="00597704">
        <w:fldChar w:fldCharType="begin"/>
      </w:r>
      <w:r w:rsidRPr="00C578EB">
        <w:instrText xml:space="preserve"> REF _Ref75867139 \h </w:instrText>
      </w:r>
      <w:r w:rsidR="00512FF0" w:rsidRPr="00C578EB">
        <w:instrText xml:space="preserve"> \* MERGEFORMAT </w:instrText>
      </w:r>
      <w:r w:rsidRPr="00597704">
        <w:fldChar w:fldCharType="separate"/>
      </w:r>
      <w:r w:rsidR="00715347" w:rsidRPr="00C578EB">
        <w:t xml:space="preserve">Figure </w:t>
      </w:r>
      <w:r w:rsidR="00715347">
        <w:rPr>
          <w:noProof/>
        </w:rPr>
        <w:t>38</w:t>
      </w:r>
      <w:r w:rsidRPr="00597704">
        <w:fldChar w:fldCharType="end"/>
      </w:r>
      <w:r w:rsidRPr="00C578EB">
        <w:t xml:space="preserve"> and </w:t>
      </w:r>
      <w:r w:rsidRPr="00597704">
        <w:fldChar w:fldCharType="begin"/>
      </w:r>
      <w:r w:rsidRPr="00C578EB">
        <w:instrText xml:space="preserve"> REF _Ref75867143 \h </w:instrText>
      </w:r>
      <w:r w:rsidR="00512FF0" w:rsidRPr="00C578EB">
        <w:instrText xml:space="preserve"> \* MERGEFORMAT </w:instrText>
      </w:r>
      <w:r w:rsidRPr="00597704">
        <w:fldChar w:fldCharType="separate"/>
      </w:r>
      <w:r w:rsidR="00715347" w:rsidRPr="00C578EB">
        <w:t xml:space="preserve">Figure </w:t>
      </w:r>
      <w:r w:rsidR="00715347">
        <w:rPr>
          <w:noProof/>
        </w:rPr>
        <w:t>39</w:t>
      </w:r>
      <w:r w:rsidRPr="00597704">
        <w:fldChar w:fldCharType="end"/>
      </w:r>
      <w:r w:rsidRPr="00C578EB">
        <w:t xml:space="preserve"> below provide further detail around average annualised payments on those with SIL arrangements</w:t>
      </w:r>
      <w:r w:rsidR="000F2269" w:rsidRPr="00C578EB">
        <w:t>.</w:t>
      </w:r>
    </w:p>
    <w:p w14:paraId="307D856F" w14:textId="1D9C421F" w:rsidR="00996C9B" w:rsidRPr="00C578EB" w:rsidRDefault="00996C9B" w:rsidP="00996C9B">
      <w:pPr>
        <w:pStyle w:val="Figures"/>
      </w:pPr>
      <w:bookmarkStart w:id="84" w:name="_Ref74334456"/>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36</w:t>
      </w:r>
      <w:r w:rsidR="00C04E1B" w:rsidRPr="00597704">
        <w:rPr>
          <w:noProof/>
        </w:rPr>
        <w:fldChar w:fldCharType="end"/>
      </w:r>
      <w:bookmarkEnd w:id="84"/>
      <w:r w:rsidRPr="00C578EB">
        <w:t xml:space="preserve"> Average annualised payments in the six months to 31 December 2020 by participant profile - actual vs expected (SIL)</w:t>
      </w:r>
    </w:p>
    <w:p w14:paraId="4943B3EA" w14:textId="0A48BC3A" w:rsidR="00996C9B" w:rsidRPr="00C578EB" w:rsidRDefault="00F35DE6" w:rsidP="00996C9B">
      <w:pPr>
        <w:pStyle w:val="FSRnormal"/>
      </w:pPr>
      <w:r w:rsidRPr="00597704">
        <w:rPr>
          <w:noProof/>
          <w:lang w:eastAsia="en-AU"/>
        </w:rPr>
        <w:drawing>
          <wp:inline distT="0" distB="0" distL="0" distR="0" wp14:anchorId="39BF74DB" wp14:editId="4C5C9E4B">
            <wp:extent cx="4647448" cy="3739939"/>
            <wp:effectExtent l="0" t="0" r="127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52685" cy="3744153"/>
                    </a:xfrm>
                    <a:prstGeom prst="rect">
                      <a:avLst/>
                    </a:prstGeom>
                    <a:noFill/>
                    <a:ln>
                      <a:noFill/>
                    </a:ln>
                  </pic:spPr>
                </pic:pic>
              </a:graphicData>
            </a:graphic>
          </wp:inline>
        </w:drawing>
      </w:r>
      <w:r w:rsidR="00623A06" w:rsidRPr="00C578EB" w:rsidDel="00074BDD">
        <w:t xml:space="preserve"> </w:t>
      </w:r>
    </w:p>
    <w:p w14:paraId="188538A2" w14:textId="7E0F66B0" w:rsidR="00F35DE6" w:rsidRPr="00C578EB" w:rsidRDefault="00F35DE6" w:rsidP="00F35DE6">
      <w:pPr>
        <w:pStyle w:val="Figures"/>
      </w:pPr>
      <w:bookmarkStart w:id="85" w:name="_Ref75867136"/>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37</w:t>
      </w:r>
      <w:r w:rsidR="00C04E1B" w:rsidRPr="00597704">
        <w:rPr>
          <w:noProof/>
        </w:rPr>
        <w:fldChar w:fldCharType="end"/>
      </w:r>
      <w:bookmarkEnd w:id="85"/>
      <w:r w:rsidRPr="00C578EB">
        <w:t xml:space="preserve"> Average annualised payments in the six months to 31 December 2020 by participant profile - actual vs expected (SIL) by age band</w:t>
      </w:r>
    </w:p>
    <w:p w14:paraId="204F2F05" w14:textId="29B8F0FA" w:rsidR="00F35DE6" w:rsidRPr="00C578EB" w:rsidRDefault="00F35DE6" w:rsidP="00996C9B">
      <w:pPr>
        <w:pStyle w:val="FSRnormal"/>
      </w:pPr>
      <w:r w:rsidRPr="00597704">
        <w:rPr>
          <w:noProof/>
          <w:lang w:eastAsia="en-AU"/>
        </w:rPr>
        <w:drawing>
          <wp:inline distT="0" distB="0" distL="0" distR="0" wp14:anchorId="004F706F" wp14:editId="54C40889">
            <wp:extent cx="5187378" cy="3757534"/>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189039" cy="3758737"/>
                    </a:xfrm>
                    <a:prstGeom prst="rect">
                      <a:avLst/>
                    </a:prstGeom>
                    <a:noFill/>
                    <a:ln>
                      <a:noFill/>
                    </a:ln>
                  </pic:spPr>
                </pic:pic>
              </a:graphicData>
            </a:graphic>
          </wp:inline>
        </w:drawing>
      </w:r>
      <w:r w:rsidRPr="00C578EB" w:rsidDel="00074BDD">
        <w:t xml:space="preserve"> </w:t>
      </w:r>
    </w:p>
    <w:p w14:paraId="5A6EFF10" w14:textId="24D56DC8" w:rsidR="00F35DE6" w:rsidRPr="00C578EB" w:rsidRDefault="00F35DE6" w:rsidP="00F35DE6">
      <w:pPr>
        <w:pStyle w:val="Figures"/>
      </w:pPr>
      <w:bookmarkStart w:id="86" w:name="_Ref75867139"/>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38</w:t>
      </w:r>
      <w:r w:rsidR="00C04E1B" w:rsidRPr="00597704">
        <w:rPr>
          <w:noProof/>
        </w:rPr>
        <w:fldChar w:fldCharType="end"/>
      </w:r>
      <w:bookmarkEnd w:id="86"/>
      <w:r w:rsidRPr="00C578EB">
        <w:t xml:space="preserve"> Average annualised payments in the six months to 31 December 2020 by participant profile - actual vs expected (SIL) by disability group</w:t>
      </w:r>
    </w:p>
    <w:p w14:paraId="48D95C8A" w14:textId="3A583FAE" w:rsidR="00F35DE6" w:rsidRPr="00C578EB" w:rsidRDefault="00F35DE6" w:rsidP="00996C9B">
      <w:pPr>
        <w:pStyle w:val="FSRnormal"/>
      </w:pPr>
      <w:r w:rsidRPr="00597704">
        <w:rPr>
          <w:noProof/>
          <w:lang w:eastAsia="en-AU"/>
        </w:rPr>
        <w:drawing>
          <wp:inline distT="0" distB="0" distL="0" distR="0" wp14:anchorId="0A034197" wp14:editId="53EBA9C7">
            <wp:extent cx="4995571" cy="3618597"/>
            <wp:effectExtent l="0" t="0" r="0" b="127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999299" cy="3621297"/>
                    </a:xfrm>
                    <a:prstGeom prst="rect">
                      <a:avLst/>
                    </a:prstGeom>
                    <a:noFill/>
                    <a:ln>
                      <a:noFill/>
                    </a:ln>
                  </pic:spPr>
                </pic:pic>
              </a:graphicData>
            </a:graphic>
          </wp:inline>
        </w:drawing>
      </w:r>
      <w:r w:rsidRPr="00C578EB" w:rsidDel="00074BDD">
        <w:t xml:space="preserve"> </w:t>
      </w:r>
    </w:p>
    <w:p w14:paraId="707B7AE5" w14:textId="3F86C556" w:rsidR="00F35DE6" w:rsidRPr="00C578EB" w:rsidRDefault="00F35DE6" w:rsidP="00F35DE6">
      <w:pPr>
        <w:pStyle w:val="Figures"/>
      </w:pPr>
      <w:bookmarkStart w:id="87" w:name="_Ref75867143"/>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39</w:t>
      </w:r>
      <w:r w:rsidR="00C04E1B" w:rsidRPr="00597704">
        <w:rPr>
          <w:noProof/>
        </w:rPr>
        <w:fldChar w:fldCharType="end"/>
      </w:r>
      <w:bookmarkEnd w:id="87"/>
      <w:r w:rsidRPr="00C578EB">
        <w:t xml:space="preserve"> Average annualised payments in the six months to 31 December 2020 by participant profile - actual vs expected (SIL) by level of function</w:t>
      </w:r>
    </w:p>
    <w:p w14:paraId="4C26A484" w14:textId="246256F3" w:rsidR="00F35DE6" w:rsidRPr="00C578EB" w:rsidRDefault="00F35DE6" w:rsidP="00F35DE6">
      <w:pPr>
        <w:pStyle w:val="FSRnormal"/>
      </w:pPr>
      <w:r w:rsidRPr="00597704">
        <w:rPr>
          <w:noProof/>
          <w:lang w:eastAsia="en-AU"/>
        </w:rPr>
        <w:drawing>
          <wp:inline distT="0" distB="0" distL="0" distR="0" wp14:anchorId="369E94EA" wp14:editId="4BAD58DA">
            <wp:extent cx="4970696" cy="3600578"/>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971942" cy="3601480"/>
                    </a:xfrm>
                    <a:prstGeom prst="rect">
                      <a:avLst/>
                    </a:prstGeom>
                    <a:noFill/>
                    <a:ln>
                      <a:noFill/>
                    </a:ln>
                  </pic:spPr>
                </pic:pic>
              </a:graphicData>
            </a:graphic>
          </wp:inline>
        </w:drawing>
      </w:r>
      <w:r w:rsidRPr="00C578EB" w:rsidDel="00074BDD">
        <w:t xml:space="preserve"> </w:t>
      </w:r>
    </w:p>
    <w:p w14:paraId="1A4842C6" w14:textId="77777777" w:rsidR="00F35DE6" w:rsidRPr="00C578EB" w:rsidRDefault="00F35DE6" w:rsidP="00996C9B">
      <w:pPr>
        <w:pStyle w:val="FSRnormal"/>
      </w:pPr>
    </w:p>
    <w:p w14:paraId="15A8983C" w14:textId="3C582AF7" w:rsidR="00A72AC8" w:rsidRPr="00C578EB" w:rsidRDefault="00A72AC8" w:rsidP="00A72AC8">
      <w:pPr>
        <w:pStyle w:val="FSRnormal"/>
      </w:pPr>
      <w:r w:rsidRPr="00C578EB">
        <w:t>For participants with SIL arrangements, compared to expectations</w:t>
      </w:r>
      <w:r w:rsidR="00C9049B" w:rsidRPr="00C578EB">
        <w:t xml:space="preserve"> from the 2020-21 PBS estimates</w:t>
      </w:r>
      <w:r w:rsidRPr="00C578EB">
        <w:t>:</w:t>
      </w:r>
    </w:p>
    <w:p w14:paraId="396A9853" w14:textId="295FF61A" w:rsidR="00A72AC8" w:rsidRPr="00C578EB" w:rsidRDefault="00A72AC8" w:rsidP="00A72AC8">
      <w:pPr>
        <w:numPr>
          <w:ilvl w:val="0"/>
          <w:numId w:val="4"/>
        </w:numPr>
        <w:spacing w:before="120" w:after="120"/>
        <w:ind w:left="360"/>
      </w:pPr>
      <w:r w:rsidRPr="00C578EB">
        <w:t xml:space="preserve">Average annualised payments to SIL participants are </w:t>
      </w:r>
      <w:r w:rsidR="00CD69DC" w:rsidRPr="00C578EB">
        <w:t>higher</w:t>
      </w:r>
      <w:r w:rsidRPr="00C578EB">
        <w:t xml:space="preserve"> </w:t>
      </w:r>
      <w:r w:rsidR="00074BDD" w:rsidRPr="00C578EB">
        <w:t>t</w:t>
      </w:r>
      <w:r w:rsidR="00CD69DC" w:rsidRPr="00C578EB">
        <w:t>han</w:t>
      </w:r>
      <w:r w:rsidR="00074BDD" w:rsidRPr="00C578EB">
        <w:t xml:space="preserve"> </w:t>
      </w:r>
      <w:r w:rsidRPr="00C578EB">
        <w:t xml:space="preserve">expected (graph i). </w:t>
      </w:r>
    </w:p>
    <w:p w14:paraId="4962775A" w14:textId="015976F3" w:rsidR="00A72AC8" w:rsidRPr="00C578EB" w:rsidRDefault="00A72AC8" w:rsidP="00A72AC8">
      <w:pPr>
        <w:numPr>
          <w:ilvl w:val="0"/>
          <w:numId w:val="4"/>
        </w:numPr>
        <w:spacing w:before="120" w:after="120"/>
        <w:ind w:left="360"/>
      </w:pPr>
      <w:r w:rsidRPr="00C578EB">
        <w:t>Average annualised payment experience for participants are higher than expected</w:t>
      </w:r>
      <w:r w:rsidR="00074BDD" w:rsidRPr="00C578EB">
        <w:t xml:space="preserve"> for participants aged 19 to </w:t>
      </w:r>
      <w:r w:rsidR="00CD69DC" w:rsidRPr="00C578EB">
        <w:t>6</w:t>
      </w:r>
      <w:r w:rsidR="00074BDD" w:rsidRPr="00C578EB">
        <w:t xml:space="preserve">4 and lower than expected for those aged over </w:t>
      </w:r>
      <w:r w:rsidR="00CD69DC" w:rsidRPr="00C578EB">
        <w:t>6</w:t>
      </w:r>
      <w:r w:rsidR="00074BDD" w:rsidRPr="00C578EB">
        <w:t>5</w:t>
      </w:r>
      <w:r w:rsidRPr="00C578EB">
        <w:t xml:space="preserve"> (graph ii). </w:t>
      </w:r>
      <w:r w:rsidR="00074BDD" w:rsidRPr="00C578EB">
        <w:t xml:space="preserve">The number of participants with SIL arrangements under the age of 18 is low and this impacts the </w:t>
      </w:r>
      <w:r w:rsidR="009653EC" w:rsidRPr="00C578EB">
        <w:t>usefulness</w:t>
      </w:r>
      <w:r w:rsidR="00074BDD" w:rsidRPr="00C578EB">
        <w:t xml:space="preserve"> of </w:t>
      </w:r>
      <w:r w:rsidR="009653EC" w:rsidRPr="00C578EB">
        <w:t xml:space="preserve">comparing </w:t>
      </w:r>
      <w:r w:rsidR="00074BDD" w:rsidRPr="00C578EB">
        <w:t>the actual and expected average payment experience.</w:t>
      </w:r>
    </w:p>
    <w:p w14:paraId="0BECF312" w14:textId="2F1C5D10" w:rsidR="00A72AC8" w:rsidRPr="00C578EB" w:rsidRDefault="00A72AC8" w:rsidP="00A72AC8">
      <w:pPr>
        <w:numPr>
          <w:ilvl w:val="0"/>
          <w:numId w:val="4"/>
        </w:numPr>
        <w:spacing w:before="120" w:after="120"/>
        <w:ind w:left="360"/>
      </w:pPr>
      <w:r w:rsidRPr="00C578EB">
        <w:t xml:space="preserve">Average annualised payment experience has been </w:t>
      </w:r>
      <w:r w:rsidR="009653EC" w:rsidRPr="00C578EB">
        <w:t xml:space="preserve">substantially </w:t>
      </w:r>
      <w:r w:rsidRPr="00C578EB">
        <w:t xml:space="preserve">higher than expected </w:t>
      </w:r>
      <w:r w:rsidR="009653EC" w:rsidRPr="00C578EB">
        <w:t xml:space="preserve">for </w:t>
      </w:r>
      <w:r w:rsidR="00CD69DC" w:rsidRPr="00C578EB">
        <w:t>stroke, spinal cord injury</w:t>
      </w:r>
      <w:r w:rsidR="009653EC" w:rsidRPr="00C578EB">
        <w:t xml:space="preserve"> and acquired brain injury</w:t>
      </w:r>
      <w:r w:rsidRPr="00C578EB">
        <w:t xml:space="preserve"> (graph iii).</w:t>
      </w:r>
    </w:p>
    <w:p w14:paraId="7855905E" w14:textId="405F11E1" w:rsidR="002F3C46" w:rsidRPr="00C578EB" w:rsidRDefault="00A72AC8" w:rsidP="007B2293">
      <w:pPr>
        <w:numPr>
          <w:ilvl w:val="0"/>
          <w:numId w:val="4"/>
        </w:numPr>
        <w:spacing w:before="120" w:after="120"/>
        <w:ind w:left="360"/>
      </w:pPr>
      <w:r w:rsidRPr="00C578EB">
        <w:t xml:space="preserve">Average annualised payments to participants have been </w:t>
      </w:r>
      <w:r w:rsidR="009653EC" w:rsidRPr="00C578EB">
        <w:t>lower</w:t>
      </w:r>
      <w:r w:rsidRPr="00C578EB">
        <w:t xml:space="preserve"> than expected</w:t>
      </w:r>
      <w:r w:rsidR="009653EC" w:rsidRPr="00C578EB">
        <w:t xml:space="preserve"> for participants with high or medium levels of function</w:t>
      </w:r>
      <w:r w:rsidRPr="00C578EB">
        <w:t xml:space="preserve">, </w:t>
      </w:r>
      <w:r w:rsidR="009653EC" w:rsidRPr="00C578EB">
        <w:t xml:space="preserve">and higher than expected for those </w:t>
      </w:r>
      <w:r w:rsidRPr="00C578EB">
        <w:t>with low levels of function (graph iv).</w:t>
      </w:r>
    </w:p>
    <w:p w14:paraId="0C004C5F" w14:textId="77777777" w:rsidR="00D40AB0" w:rsidRDefault="00D40AB0">
      <w:pPr>
        <w:spacing w:after="160" w:line="259" w:lineRule="auto"/>
        <w:rPr>
          <w:rFonts w:eastAsiaTheme="minorHAnsi"/>
          <w:b/>
          <w:color w:val="6A2875"/>
          <w:sz w:val="36"/>
          <w:szCs w:val="44"/>
        </w:rPr>
      </w:pPr>
      <w:r>
        <w:br w:type="page"/>
      </w:r>
    </w:p>
    <w:p w14:paraId="20243771" w14:textId="09188057" w:rsidR="006F104A" w:rsidRPr="00C578EB" w:rsidRDefault="006F104A" w:rsidP="006F104A">
      <w:pPr>
        <w:pStyle w:val="FSRHeading2"/>
        <w:numPr>
          <w:ilvl w:val="1"/>
          <w:numId w:val="1"/>
        </w:numPr>
        <w:ind w:left="907" w:hanging="907"/>
      </w:pPr>
      <w:bookmarkStart w:id="88" w:name="_Toc76132726"/>
      <w:r w:rsidRPr="00C578EB">
        <w:lastRenderedPageBreak/>
        <w:t>Total payments</w:t>
      </w:r>
      <w:bookmarkEnd w:id="88"/>
    </w:p>
    <w:p w14:paraId="48311305" w14:textId="40BD2A08" w:rsidR="003605F9" w:rsidRPr="00C578EB" w:rsidRDefault="003605F9" w:rsidP="001D6893">
      <w:r w:rsidRPr="00597704">
        <w:fldChar w:fldCharType="begin"/>
      </w:r>
      <w:r w:rsidRPr="00C578EB">
        <w:instrText xml:space="preserve"> REF _Ref74332783 \h </w:instrText>
      </w:r>
      <w:r w:rsidR="00512FF0" w:rsidRPr="00C578EB">
        <w:instrText xml:space="preserve"> \* MERGEFORMAT </w:instrText>
      </w:r>
      <w:r w:rsidRPr="00597704">
        <w:fldChar w:fldCharType="separate"/>
      </w:r>
      <w:r w:rsidR="00715347" w:rsidRPr="00C578EB">
        <w:t xml:space="preserve">Figure </w:t>
      </w:r>
      <w:r w:rsidR="00715347">
        <w:rPr>
          <w:noProof/>
        </w:rPr>
        <w:t>40</w:t>
      </w:r>
      <w:r w:rsidRPr="00597704">
        <w:fldChar w:fldCharType="end"/>
      </w:r>
      <w:r w:rsidRPr="00C578EB">
        <w:t xml:space="preserve"> below illustrates Scheme spend on participant supports by quarter on a cash basis. The rapid growth in Scheme spend reflects the higher than expected active number of participants and higher than expected average payments per participant described in the sections above.</w:t>
      </w:r>
    </w:p>
    <w:p w14:paraId="03AA0101" w14:textId="099E45A0" w:rsidR="00090F13" w:rsidRPr="00C578EB" w:rsidRDefault="00090F13" w:rsidP="00090F13">
      <w:pPr>
        <w:pStyle w:val="Figures"/>
      </w:pPr>
      <w:bookmarkStart w:id="89" w:name="_Ref74332783"/>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40</w:t>
      </w:r>
      <w:r w:rsidR="00C04E1B" w:rsidRPr="00597704">
        <w:rPr>
          <w:noProof/>
        </w:rPr>
        <w:fldChar w:fldCharType="end"/>
      </w:r>
      <w:bookmarkEnd w:id="89"/>
      <w:r w:rsidRPr="00C578EB">
        <w:t xml:space="preserve"> Scheme spend on participant supports by quarter over the past 3 years</w:t>
      </w:r>
      <w:r w:rsidR="00C5663A" w:rsidRPr="00C578EB">
        <w:t xml:space="preserve"> ($)</w:t>
      </w:r>
    </w:p>
    <w:p w14:paraId="142FCD50" w14:textId="5A93599A" w:rsidR="006F104A" w:rsidRPr="00C578EB" w:rsidRDefault="00152DA3" w:rsidP="001D6893">
      <w:r w:rsidRPr="00597704">
        <w:rPr>
          <w:noProof/>
          <w:lang w:eastAsia="en-AU"/>
        </w:rPr>
        <w:drawing>
          <wp:inline distT="0" distB="0" distL="0" distR="0" wp14:anchorId="7E11EE30" wp14:editId="58B184E0">
            <wp:extent cx="5731510" cy="3342919"/>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31510" cy="3342919"/>
                    </a:xfrm>
                    <a:prstGeom prst="rect">
                      <a:avLst/>
                    </a:prstGeom>
                    <a:noFill/>
                    <a:ln>
                      <a:noFill/>
                    </a:ln>
                  </pic:spPr>
                </pic:pic>
              </a:graphicData>
            </a:graphic>
          </wp:inline>
        </w:drawing>
      </w:r>
    </w:p>
    <w:p w14:paraId="1C662A46" w14:textId="32489EC3" w:rsidR="00996C9B" w:rsidRPr="00C578EB" w:rsidRDefault="00996C9B" w:rsidP="00996C9B">
      <w:pPr>
        <w:keepNext/>
        <w:rPr>
          <w:b/>
          <w:i/>
          <w:color w:val="ED7D31" w:themeColor="accent2"/>
          <w:sz w:val="24"/>
        </w:rPr>
      </w:pPr>
      <w:r w:rsidRPr="00C578EB">
        <w:rPr>
          <w:b/>
          <w:i/>
          <w:color w:val="ED7D31" w:themeColor="accent2"/>
          <w:sz w:val="24"/>
        </w:rPr>
        <w:t xml:space="preserve">Overall payments have </w:t>
      </w:r>
      <w:r w:rsidR="00512FF0" w:rsidRPr="00C578EB">
        <w:rPr>
          <w:b/>
          <w:i/>
          <w:color w:val="ED7D31" w:themeColor="accent2"/>
          <w:sz w:val="24"/>
        </w:rPr>
        <w:t xml:space="preserve">been </w:t>
      </w:r>
      <w:r w:rsidRPr="00C578EB">
        <w:rPr>
          <w:b/>
          <w:i/>
          <w:color w:val="ED7D31" w:themeColor="accent2"/>
          <w:sz w:val="24"/>
        </w:rPr>
        <w:t xml:space="preserve">higher than expected </w:t>
      </w:r>
    </w:p>
    <w:p w14:paraId="16708078" w14:textId="1CDAB1C4" w:rsidR="00996C9B" w:rsidRPr="00C578EB" w:rsidRDefault="00996C9B" w:rsidP="00996C9B">
      <w:pPr>
        <w:spacing w:before="240"/>
      </w:pPr>
      <w:r w:rsidRPr="00597704">
        <w:fldChar w:fldCharType="begin"/>
      </w:r>
      <w:r w:rsidRPr="00C578EB">
        <w:instrText xml:space="preserve"> REF _Ref74333771 \h </w:instrText>
      </w:r>
      <w:r w:rsidR="00512FF0" w:rsidRPr="00C578EB">
        <w:instrText xml:space="preserve"> \* MERGEFORMAT </w:instrText>
      </w:r>
      <w:r w:rsidRPr="00597704">
        <w:fldChar w:fldCharType="separate"/>
      </w:r>
      <w:r w:rsidR="00715347" w:rsidRPr="00C578EB">
        <w:t xml:space="preserve">Figure </w:t>
      </w:r>
      <w:r w:rsidR="00715347">
        <w:rPr>
          <w:noProof/>
        </w:rPr>
        <w:t>41</w:t>
      </w:r>
      <w:r w:rsidRPr="00597704">
        <w:fldChar w:fldCharType="end"/>
      </w:r>
      <w:r w:rsidRPr="00C578EB">
        <w:t xml:space="preserve"> shows the monthly total payments from 1 July 2019 to 31 December 2020, and how it compares with </w:t>
      </w:r>
      <w:r w:rsidR="00C9049B" w:rsidRPr="00C578EB">
        <w:t>the expected 2020-21 PBS estimates</w:t>
      </w:r>
      <w:r w:rsidRPr="00C578EB">
        <w:t>.</w:t>
      </w:r>
    </w:p>
    <w:p w14:paraId="74FD488B" w14:textId="5F6C0654" w:rsidR="00996C9B" w:rsidRPr="00C578EB" w:rsidRDefault="00996C9B" w:rsidP="00996C9B">
      <w:pPr>
        <w:spacing w:before="240"/>
      </w:pPr>
      <w:r w:rsidRPr="00C578EB">
        <w:t xml:space="preserve">Note that total payments for the months of September 2020 and October 2020 were affected by cross-billing payments </w:t>
      </w:r>
      <w:r w:rsidR="007E7753" w:rsidRPr="00C578EB">
        <w:t xml:space="preserve">(with the Department of Health) </w:t>
      </w:r>
      <w:r w:rsidRPr="00C578EB">
        <w:t xml:space="preserve">totalling $147 million for </w:t>
      </w:r>
      <w:r w:rsidR="00B135C3" w:rsidRPr="00C578EB">
        <w:t xml:space="preserve">Residential Aged Care </w:t>
      </w:r>
      <w:r w:rsidRPr="00C578EB">
        <w:t xml:space="preserve">supports provided in 2017-18, 2018-19 and 2019-20. </w:t>
      </w:r>
    </w:p>
    <w:p w14:paraId="33D4EB3E" w14:textId="02D19F6D" w:rsidR="00996C9B" w:rsidRPr="00C578EB" w:rsidRDefault="00996C9B" w:rsidP="00996C9B">
      <w:r w:rsidRPr="00C578EB">
        <w:t>Total payments were 4% higher than expected in the six months to December 2020. In particular, total payments were 8% higher than expected for participants not in SIL, and 3% lower than expected for participants in SIL for the same period.</w:t>
      </w:r>
    </w:p>
    <w:p w14:paraId="0A516EFC" w14:textId="18354E5E" w:rsidR="00996C9B" w:rsidRPr="00C578EB" w:rsidRDefault="00996C9B" w:rsidP="00996C9B">
      <w:pPr>
        <w:pStyle w:val="Figures"/>
      </w:pPr>
      <w:bookmarkStart w:id="90" w:name="_Ref74333771"/>
      <w:r w:rsidRPr="00C578EB">
        <w:lastRenderedPageBreak/>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41</w:t>
      </w:r>
      <w:r w:rsidR="00C04E1B" w:rsidRPr="00597704">
        <w:rPr>
          <w:noProof/>
        </w:rPr>
        <w:fldChar w:fldCharType="end"/>
      </w:r>
      <w:bookmarkEnd w:id="90"/>
      <w:r w:rsidRPr="00C578EB">
        <w:t xml:space="preserve"> Total payments by month – actual versus expected</w:t>
      </w:r>
      <w:r w:rsidR="00762F1E" w:rsidRPr="00C578EB">
        <w:rPr>
          <w:rStyle w:val="FootnoteReference"/>
        </w:rPr>
        <w:footnoteReference w:id="46"/>
      </w:r>
    </w:p>
    <w:p w14:paraId="711B7BA2" w14:textId="50FA6422" w:rsidR="00996C9B" w:rsidRPr="00C578EB" w:rsidRDefault="00623A06" w:rsidP="00996C9B">
      <w:r w:rsidRPr="00C578EB">
        <w:t xml:space="preserve"> </w:t>
      </w:r>
      <w:r w:rsidRPr="00597704">
        <w:rPr>
          <w:noProof/>
          <w:lang w:eastAsia="en-AU"/>
        </w:rPr>
        <w:drawing>
          <wp:inline distT="0" distB="0" distL="0" distR="0" wp14:anchorId="055C292C" wp14:editId="7456274C">
            <wp:extent cx="5731510" cy="3538192"/>
            <wp:effectExtent l="0" t="0" r="2540" b="571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31510" cy="3538192"/>
                    </a:xfrm>
                    <a:prstGeom prst="rect">
                      <a:avLst/>
                    </a:prstGeom>
                    <a:noFill/>
                    <a:ln>
                      <a:noFill/>
                    </a:ln>
                  </pic:spPr>
                </pic:pic>
              </a:graphicData>
            </a:graphic>
          </wp:inline>
        </w:drawing>
      </w:r>
    </w:p>
    <w:p w14:paraId="1329970F" w14:textId="42D8C920" w:rsidR="00123D0B" w:rsidRPr="00C578EB" w:rsidRDefault="00123D0B" w:rsidP="00123D0B">
      <w:pPr>
        <w:keepNext/>
        <w:spacing w:before="240"/>
        <w:rPr>
          <w:b/>
          <w:i/>
          <w:color w:val="6B2976"/>
          <w:sz w:val="25"/>
        </w:rPr>
      </w:pPr>
      <w:r w:rsidRPr="00C578EB">
        <w:rPr>
          <w:b/>
          <w:i/>
          <w:color w:val="6B2976"/>
          <w:sz w:val="25"/>
        </w:rPr>
        <w:t>Actual versus expected payments by support category</w:t>
      </w:r>
      <w:r w:rsidR="00B7061A" w:rsidRPr="00C578EB">
        <w:rPr>
          <w:rStyle w:val="FootnoteReference"/>
          <w:b/>
          <w:i/>
          <w:color w:val="6B2976"/>
          <w:sz w:val="25"/>
        </w:rPr>
        <w:footnoteReference w:id="47"/>
      </w:r>
    </w:p>
    <w:p w14:paraId="3D94C2FC" w14:textId="390B9B1D" w:rsidR="00123D0B" w:rsidRPr="00C578EB" w:rsidRDefault="00123D0B" w:rsidP="00123D0B">
      <w:pPr>
        <w:spacing w:before="240"/>
      </w:pPr>
      <w:r w:rsidRPr="00597704">
        <w:fldChar w:fldCharType="begin"/>
      </w:r>
      <w:r w:rsidRPr="00C578EB">
        <w:instrText xml:space="preserve"> REF _Ref74334633 \h </w:instrText>
      </w:r>
      <w:r w:rsidR="00512FF0" w:rsidRPr="00C578EB">
        <w:instrText xml:space="preserve"> \* MERGEFORMAT </w:instrText>
      </w:r>
      <w:r w:rsidRPr="00597704">
        <w:fldChar w:fldCharType="separate"/>
      </w:r>
      <w:r w:rsidR="00715347" w:rsidRPr="00C578EB">
        <w:t xml:space="preserve">Table </w:t>
      </w:r>
      <w:r w:rsidR="00715347">
        <w:rPr>
          <w:noProof/>
        </w:rPr>
        <w:t>7</w:t>
      </w:r>
      <w:r w:rsidRPr="00597704">
        <w:fldChar w:fldCharType="end"/>
      </w:r>
      <w:r w:rsidRPr="00C578EB">
        <w:t xml:space="preserve"> below shows actual versus expected </w:t>
      </w:r>
      <w:r w:rsidR="00267C95" w:rsidRPr="00C578EB">
        <w:t xml:space="preserve">(using 2020-21 PBS estimates) </w:t>
      </w:r>
      <w:r w:rsidRPr="00C578EB">
        <w:t>payments by support category in the six months to 31 December 2020, for participants in SIL and not in SIL.</w:t>
      </w:r>
    </w:p>
    <w:p w14:paraId="0F0921A8" w14:textId="22B99105" w:rsidR="00123D0B" w:rsidRPr="00C578EB" w:rsidRDefault="00123D0B" w:rsidP="00123D0B">
      <w:pPr>
        <w:spacing w:before="240"/>
      </w:pPr>
      <w:bookmarkStart w:id="91" w:name="_Ref47598109"/>
      <w:bookmarkStart w:id="92" w:name="_Ref47599250"/>
      <w:r w:rsidRPr="00C578EB">
        <w:t xml:space="preserve">The majority of payments for non-SIL participants are for Daily Activities (42%), Social Community Civic (19%) supports and Capacity Building Daily Activities (18%). For Daily Activities, actual payments were 20% higher than expected over the six months to </w:t>
      </w:r>
      <w:r w:rsidR="00C5663A" w:rsidRPr="00C578EB">
        <w:t>31 </w:t>
      </w:r>
      <w:r w:rsidRPr="00C578EB">
        <w:t xml:space="preserve">December 2020. The increase in Daily Activities is the main driver behind the higher than expected non-SIL payments. This is largely attributable to increases in payments for supports relating to attendant care. </w:t>
      </w:r>
    </w:p>
    <w:p w14:paraId="6C5CD0EB" w14:textId="43FD3AAB" w:rsidR="00123D0B" w:rsidRPr="00C578EB" w:rsidRDefault="00123D0B" w:rsidP="00123D0B">
      <w:pPr>
        <w:spacing w:before="240"/>
      </w:pPr>
      <w:r w:rsidRPr="00C578EB">
        <w:t>For SIL participants, the majority of payments are for Daily Activities (81%) and Social Community Civic (11%). Lower payments than expected were observed for Daily Activities and Social</w:t>
      </w:r>
      <w:r w:rsidR="007E7753" w:rsidRPr="00C578EB">
        <w:t>,</w:t>
      </w:r>
      <w:r w:rsidRPr="00C578EB">
        <w:t xml:space="preserve"> Community </w:t>
      </w:r>
      <w:r w:rsidR="007E7753" w:rsidRPr="00C578EB">
        <w:t xml:space="preserve">and </w:t>
      </w:r>
      <w:r w:rsidRPr="00C578EB">
        <w:t>Civic</w:t>
      </w:r>
      <w:r w:rsidR="007E7753" w:rsidRPr="00C578EB">
        <w:t xml:space="preserve"> (both core support categories)</w:t>
      </w:r>
      <w:r w:rsidRPr="00C578EB">
        <w:t>. In contrast, payments for Capacity Building Daily Activities</w:t>
      </w:r>
      <w:r w:rsidRPr="00C578EB">
        <w:rPr>
          <w:vertAlign w:val="superscript"/>
        </w:rPr>
        <w:footnoteReference w:id="48"/>
      </w:r>
      <w:r w:rsidRPr="00C578EB">
        <w:t xml:space="preserve"> were above expectations. The increase in Capacity </w:t>
      </w:r>
      <w:r w:rsidRPr="00C578EB">
        <w:lastRenderedPageBreak/>
        <w:t>Building Daily Activities is largely driven by increases in payments for supports relating to therapy other than psychology and physiotherapy</w:t>
      </w:r>
      <w:r w:rsidRPr="00C578EB">
        <w:rPr>
          <w:vertAlign w:val="superscript"/>
        </w:rPr>
        <w:footnoteReference w:id="49"/>
      </w:r>
      <w:r w:rsidRPr="00C578EB">
        <w:t xml:space="preserve">, as well as </w:t>
      </w:r>
      <w:r w:rsidR="007E7753" w:rsidRPr="00C578EB">
        <w:t xml:space="preserve">therapy </w:t>
      </w:r>
      <w:r w:rsidRPr="00C578EB">
        <w:t xml:space="preserve">supports </w:t>
      </w:r>
      <w:r w:rsidR="007E7753" w:rsidRPr="00C578EB">
        <w:t xml:space="preserve">purchased by </w:t>
      </w:r>
      <w:r w:rsidRPr="00C578EB">
        <w:t>self-managed participants.</w:t>
      </w:r>
    </w:p>
    <w:p w14:paraId="3FC7ABA0" w14:textId="4830E046" w:rsidR="00123D0B" w:rsidRPr="00C578EB" w:rsidRDefault="00123D0B" w:rsidP="00123D0B">
      <w:pPr>
        <w:spacing w:before="120" w:after="120"/>
      </w:pPr>
      <w:r w:rsidRPr="00C578EB">
        <w:t>Across both SIL and non-SIL participants, higher payments than expected can be seen for Capacity Building Choice and Control (5</w:t>
      </w:r>
      <w:r w:rsidR="00623A06" w:rsidRPr="00C578EB">
        <w:t>2</w:t>
      </w:r>
      <w:r w:rsidRPr="00C578EB">
        <w:t>% higher overall)</w:t>
      </w:r>
      <w:r w:rsidR="007E7753" w:rsidRPr="00C578EB">
        <w:rPr>
          <w:rStyle w:val="FootnoteReference"/>
        </w:rPr>
        <w:footnoteReference w:id="50"/>
      </w:r>
      <w:r w:rsidRPr="00C578EB">
        <w:t xml:space="preserve"> and Consumables (2</w:t>
      </w:r>
      <w:r w:rsidR="00623A06" w:rsidRPr="00C578EB">
        <w:t>3</w:t>
      </w:r>
      <w:r w:rsidRPr="00C578EB">
        <w:t>% higher overall). This is attributable to increases in plan management and low cost assistive technology</w:t>
      </w:r>
      <w:r w:rsidRPr="00C578EB">
        <w:rPr>
          <w:vertAlign w:val="superscript"/>
        </w:rPr>
        <w:footnoteReference w:id="51"/>
      </w:r>
      <w:r w:rsidRPr="00C578EB">
        <w:t xml:space="preserve"> in response to the COVID-19 pandemic. </w:t>
      </w:r>
    </w:p>
    <w:p w14:paraId="6A0FF476" w14:textId="0B6D92F1" w:rsidR="00123D0B" w:rsidRPr="00C578EB" w:rsidRDefault="00123D0B" w:rsidP="00CB3999">
      <w:pPr>
        <w:pStyle w:val="Tables"/>
      </w:pPr>
      <w:bookmarkStart w:id="93" w:name="_Ref74334633"/>
      <w:bookmarkEnd w:id="91"/>
      <w:bookmarkEnd w:id="92"/>
      <w:r w:rsidRPr="00C578EB">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7</w:t>
      </w:r>
      <w:r w:rsidR="00C04E1B" w:rsidRPr="00597704">
        <w:rPr>
          <w:noProof/>
        </w:rPr>
        <w:fldChar w:fldCharType="end"/>
      </w:r>
      <w:bookmarkEnd w:id="93"/>
      <w:r w:rsidRPr="00C578EB">
        <w:t xml:space="preserve"> Actual versus expected payments by support category in the six months to </w:t>
      </w:r>
      <w:r w:rsidR="00C5663A" w:rsidRPr="00C578EB">
        <w:t>31 December </w:t>
      </w:r>
      <w:r w:rsidRPr="00C578EB">
        <w:t>2020</w:t>
      </w:r>
      <w:r w:rsidRPr="00C578EB">
        <w:rPr>
          <w:iCs/>
          <w:szCs w:val="24"/>
          <w:vertAlign w:val="superscript"/>
        </w:rPr>
        <w:footnoteReference w:id="52"/>
      </w:r>
    </w:p>
    <w:p w14:paraId="73B51B4E" w14:textId="414755F0" w:rsidR="00123D0B" w:rsidRPr="00C578EB" w:rsidRDefault="00623A06" w:rsidP="007B2293">
      <w:pPr>
        <w:pStyle w:val="FSRnormal"/>
      </w:pPr>
      <w:r w:rsidRPr="00597704">
        <w:rPr>
          <w:noProof/>
          <w:lang w:eastAsia="en-AU"/>
        </w:rPr>
        <w:drawing>
          <wp:inline distT="0" distB="0" distL="0" distR="0" wp14:anchorId="4AA51766" wp14:editId="16D0285F">
            <wp:extent cx="5731510" cy="2997615"/>
            <wp:effectExtent l="0" t="0" r="254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31510" cy="2997615"/>
                    </a:xfrm>
                    <a:prstGeom prst="rect">
                      <a:avLst/>
                    </a:prstGeom>
                    <a:noFill/>
                    <a:ln>
                      <a:noFill/>
                    </a:ln>
                  </pic:spPr>
                </pic:pic>
              </a:graphicData>
            </a:graphic>
          </wp:inline>
        </w:drawing>
      </w:r>
    </w:p>
    <w:p w14:paraId="4C032254" w14:textId="77777777" w:rsidR="00D40AB0" w:rsidRDefault="00D40AB0">
      <w:pPr>
        <w:spacing w:after="160" w:line="259" w:lineRule="auto"/>
        <w:rPr>
          <w:rFonts w:eastAsiaTheme="minorHAnsi"/>
          <w:b/>
          <w:color w:val="6A2875"/>
          <w:sz w:val="36"/>
          <w:szCs w:val="44"/>
        </w:rPr>
      </w:pPr>
      <w:bookmarkStart w:id="94" w:name="_Ref74834314"/>
      <w:r>
        <w:br w:type="page"/>
      </w:r>
    </w:p>
    <w:p w14:paraId="5F0CBDA7" w14:textId="190766E5" w:rsidR="00742DA0" w:rsidRPr="00C578EB" w:rsidRDefault="00742DA0" w:rsidP="00742DA0">
      <w:pPr>
        <w:pStyle w:val="FSRHeading2"/>
        <w:numPr>
          <w:ilvl w:val="1"/>
          <w:numId w:val="1"/>
        </w:numPr>
        <w:ind w:left="907" w:hanging="907"/>
      </w:pPr>
      <w:bookmarkStart w:id="95" w:name="_Toc76132727"/>
      <w:r w:rsidRPr="00C578EB">
        <w:lastRenderedPageBreak/>
        <w:t>Scheme experience since 31 December 2020</w:t>
      </w:r>
      <w:bookmarkEnd w:id="94"/>
      <w:bookmarkEnd w:id="95"/>
    </w:p>
    <w:p w14:paraId="00EB4089" w14:textId="012B162A" w:rsidR="00A31C3C" w:rsidRPr="00C578EB" w:rsidRDefault="00A31C3C" w:rsidP="007B2293">
      <w:pPr>
        <w:spacing w:before="240"/>
      </w:pPr>
      <w:r w:rsidRPr="00C578EB">
        <w:t>Scheme experience has further deviated in the five months between 31 December 2020 and 31 May 2021, with March to May demonstrating payment experience well above expectations</w:t>
      </w:r>
      <w:r w:rsidR="00682A27" w:rsidRPr="00C578EB">
        <w:t xml:space="preserve"> from the 2020-21 PBS estimates</w:t>
      </w:r>
      <w:r w:rsidRPr="00C578EB">
        <w:t xml:space="preserve">. </w:t>
      </w:r>
      <w:r w:rsidR="007E7753" w:rsidRPr="00C578EB">
        <w:t xml:space="preserve">At 31 May 2021, total payments were </w:t>
      </w:r>
      <w:r w:rsidR="00D25207" w:rsidRPr="00C578EB">
        <w:t xml:space="preserve">$20.9 billion compared with $19.7 billion (which is </w:t>
      </w:r>
      <w:r w:rsidR="007E7753" w:rsidRPr="00C578EB">
        <w:t>$1.2 billion</w:t>
      </w:r>
      <w:r w:rsidR="00D25207" w:rsidRPr="00C578EB">
        <w:t xml:space="preserve"> (6.4%)</w:t>
      </w:r>
      <w:r w:rsidR="006666FE" w:rsidRPr="00C578EB">
        <w:t xml:space="preserve"> above the 2020-21 PBS</w:t>
      </w:r>
      <w:r w:rsidR="007E7753" w:rsidRPr="00C578EB">
        <w:t>)</w:t>
      </w:r>
      <w:r w:rsidR="00C911D4" w:rsidRPr="00C578EB">
        <w:t>.</w:t>
      </w:r>
    </w:p>
    <w:p w14:paraId="3E4E25A2" w14:textId="5D41FAC7" w:rsidR="00D01051" w:rsidRPr="00C578EB" w:rsidRDefault="00E55A68" w:rsidP="007B2293">
      <w:pPr>
        <w:spacing w:before="240"/>
      </w:pPr>
      <w:r w:rsidRPr="00C578EB">
        <w:t xml:space="preserve">This can be seen in </w:t>
      </w:r>
      <w:r w:rsidRPr="00597704">
        <w:fldChar w:fldCharType="begin"/>
      </w:r>
      <w:r w:rsidRPr="00C578EB">
        <w:instrText xml:space="preserve"> REF _Ref74845687 \h </w:instrText>
      </w:r>
      <w:r w:rsidR="00512FF0" w:rsidRPr="00C578EB">
        <w:instrText xml:space="preserve"> \* MERGEFORMAT </w:instrText>
      </w:r>
      <w:r w:rsidRPr="00597704">
        <w:fldChar w:fldCharType="separate"/>
      </w:r>
      <w:r w:rsidR="00715347" w:rsidRPr="00C578EB">
        <w:t xml:space="preserve">Figure </w:t>
      </w:r>
      <w:r w:rsidR="00715347">
        <w:rPr>
          <w:noProof/>
        </w:rPr>
        <w:t>42</w:t>
      </w:r>
      <w:r w:rsidRPr="00597704">
        <w:fldChar w:fldCharType="end"/>
      </w:r>
      <w:r w:rsidRPr="00C578EB">
        <w:t xml:space="preserve"> below which compares actual annualised average </w:t>
      </w:r>
      <w:r w:rsidR="007E7753" w:rsidRPr="00C578EB">
        <w:t xml:space="preserve">payments </w:t>
      </w:r>
      <w:r w:rsidRPr="00C578EB">
        <w:t>per participant against the expect</w:t>
      </w:r>
      <w:r w:rsidR="002E33E5" w:rsidRPr="00C578EB">
        <w:t>ed</w:t>
      </w:r>
      <w:r w:rsidR="007E7753" w:rsidRPr="00C578EB">
        <w:t xml:space="preserve"> average payments</w:t>
      </w:r>
      <w:r w:rsidRPr="00C578EB">
        <w:t>.</w:t>
      </w:r>
    </w:p>
    <w:p w14:paraId="5265AA31" w14:textId="25653671" w:rsidR="00E55A68" w:rsidRPr="00C578EB" w:rsidRDefault="00E55A68" w:rsidP="007B2293">
      <w:pPr>
        <w:pStyle w:val="Figures"/>
      </w:pPr>
      <w:bookmarkStart w:id="96" w:name="_Ref74845687"/>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42</w:t>
      </w:r>
      <w:r w:rsidR="00C04E1B" w:rsidRPr="00597704">
        <w:rPr>
          <w:noProof/>
        </w:rPr>
        <w:fldChar w:fldCharType="end"/>
      </w:r>
      <w:bookmarkEnd w:id="96"/>
      <w:r w:rsidRPr="00C578EB">
        <w:t xml:space="preserve"> Total average annualised payments per participant – actual versus expected</w:t>
      </w:r>
    </w:p>
    <w:p w14:paraId="1EE30835" w14:textId="6AA0AEDC" w:rsidR="00A31C3C" w:rsidRPr="00C578EB" w:rsidRDefault="00623A06" w:rsidP="007B2293">
      <w:pPr>
        <w:spacing w:before="240"/>
      </w:pPr>
      <w:r w:rsidRPr="00597704">
        <w:rPr>
          <w:noProof/>
          <w:lang w:eastAsia="en-AU"/>
        </w:rPr>
        <w:drawing>
          <wp:inline distT="0" distB="0" distL="0" distR="0" wp14:anchorId="27C24C98" wp14:editId="177F4103">
            <wp:extent cx="5731510" cy="3236722"/>
            <wp:effectExtent l="0" t="0" r="2540" b="190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1510" cy="3236722"/>
                    </a:xfrm>
                    <a:prstGeom prst="rect">
                      <a:avLst/>
                    </a:prstGeom>
                    <a:noFill/>
                    <a:ln>
                      <a:noFill/>
                    </a:ln>
                  </pic:spPr>
                </pic:pic>
              </a:graphicData>
            </a:graphic>
          </wp:inline>
        </w:drawing>
      </w:r>
    </w:p>
    <w:p w14:paraId="52511426" w14:textId="43EF8AB9" w:rsidR="00E55A68" w:rsidRPr="00C578EB" w:rsidRDefault="00E55A68" w:rsidP="007B2293">
      <w:pPr>
        <w:spacing w:before="240"/>
      </w:pPr>
      <w:r w:rsidRPr="00C578EB">
        <w:t>It is evident there exists significant upwards pressure on participant costs</w:t>
      </w:r>
      <w:r w:rsidR="006666FE" w:rsidRPr="00C578EB">
        <w:t xml:space="preserve">. The impact of this most recent experience on scheme costs is discussed in </w:t>
      </w:r>
      <w:r w:rsidR="001D5A60">
        <w:t>s</w:t>
      </w:r>
      <w:r w:rsidR="006666FE" w:rsidRPr="00C578EB">
        <w:t>ection</w:t>
      </w:r>
      <w:r w:rsidR="005C4A8E" w:rsidRPr="00C578EB">
        <w:t xml:space="preserve"> </w:t>
      </w:r>
      <w:r w:rsidR="005C4A8E" w:rsidRPr="00597704">
        <w:fldChar w:fldCharType="begin"/>
      </w:r>
      <w:r w:rsidR="005C4A8E" w:rsidRPr="00C578EB">
        <w:instrText xml:space="preserve"> REF _Ref75094884 \n \h </w:instrText>
      </w:r>
      <w:r w:rsidR="00512FF0" w:rsidRPr="00C578EB">
        <w:instrText xml:space="preserve"> \* MERGEFORMAT </w:instrText>
      </w:r>
      <w:r w:rsidR="005C4A8E" w:rsidRPr="00597704">
        <w:fldChar w:fldCharType="separate"/>
      </w:r>
      <w:r w:rsidR="00715347">
        <w:t>5.6</w:t>
      </w:r>
      <w:r w:rsidR="005C4A8E" w:rsidRPr="00597704">
        <w:fldChar w:fldCharType="end"/>
      </w:r>
      <w:r w:rsidR="006666FE" w:rsidRPr="00C578EB">
        <w:t>.</w:t>
      </w:r>
    </w:p>
    <w:p w14:paraId="48BA16BE" w14:textId="5979D8E7" w:rsidR="006F104A" w:rsidRPr="00C578EB" w:rsidRDefault="006F104A" w:rsidP="006F104A">
      <w:pPr>
        <w:pStyle w:val="Heading2"/>
        <w:ind w:left="907" w:hanging="907"/>
      </w:pPr>
      <w:bookmarkStart w:id="97" w:name="_Toc74845954"/>
      <w:bookmarkStart w:id="98" w:name="_Toc74849898"/>
      <w:bookmarkStart w:id="99" w:name="_Toc74852199"/>
      <w:bookmarkStart w:id="100" w:name="_Toc74853352"/>
      <w:bookmarkStart w:id="101" w:name="_Toc74924950"/>
      <w:bookmarkStart w:id="102" w:name="_Toc74932411"/>
      <w:bookmarkStart w:id="103" w:name="_Toc75034637"/>
      <w:bookmarkStart w:id="104" w:name="_Toc75035694"/>
      <w:bookmarkStart w:id="105" w:name="_Toc75036683"/>
      <w:bookmarkStart w:id="106" w:name="_Toc74845955"/>
      <w:bookmarkStart w:id="107" w:name="_Toc74849899"/>
      <w:bookmarkStart w:id="108" w:name="_Toc74852200"/>
      <w:bookmarkStart w:id="109" w:name="_Toc74853353"/>
      <w:bookmarkStart w:id="110" w:name="_Toc74924951"/>
      <w:bookmarkStart w:id="111" w:name="_Toc74932412"/>
      <w:bookmarkStart w:id="112" w:name="_Toc75034638"/>
      <w:bookmarkStart w:id="113" w:name="_Toc75035695"/>
      <w:bookmarkStart w:id="114" w:name="_Toc75036684"/>
      <w:bookmarkStart w:id="115" w:name="_Toc74845956"/>
      <w:bookmarkStart w:id="116" w:name="_Toc74849900"/>
      <w:bookmarkStart w:id="117" w:name="_Toc74852201"/>
      <w:bookmarkStart w:id="118" w:name="_Toc74853354"/>
      <w:bookmarkStart w:id="119" w:name="_Toc74924952"/>
      <w:bookmarkStart w:id="120" w:name="_Toc74932413"/>
      <w:bookmarkStart w:id="121" w:name="_Toc75034639"/>
      <w:bookmarkStart w:id="122" w:name="_Toc75035696"/>
      <w:bookmarkStart w:id="123" w:name="_Toc75036685"/>
      <w:bookmarkStart w:id="124" w:name="_Toc74845957"/>
      <w:bookmarkStart w:id="125" w:name="_Toc74849901"/>
      <w:bookmarkStart w:id="126" w:name="_Toc74852202"/>
      <w:bookmarkStart w:id="127" w:name="_Toc74853355"/>
      <w:bookmarkStart w:id="128" w:name="_Toc74924953"/>
      <w:bookmarkStart w:id="129" w:name="_Toc74932414"/>
      <w:bookmarkStart w:id="130" w:name="_Toc75034640"/>
      <w:bookmarkStart w:id="131" w:name="_Toc75035697"/>
      <w:bookmarkStart w:id="132" w:name="_Toc75036686"/>
      <w:bookmarkStart w:id="133" w:name="_Toc76132728"/>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C578EB">
        <w:lastRenderedPageBreak/>
        <w:t>Projections</w:t>
      </w:r>
      <w:bookmarkEnd w:id="133"/>
    </w:p>
    <w:p w14:paraId="1472E0C6" w14:textId="1FDFBA3B" w:rsidR="002E33E5" w:rsidRPr="00C578EB" w:rsidRDefault="006B7355" w:rsidP="007B2293">
      <w:pPr>
        <w:pStyle w:val="FSRnormal"/>
      </w:pPr>
      <w:r w:rsidRPr="00C578EB">
        <w:t xml:space="preserve">This section </w:t>
      </w:r>
      <w:r w:rsidR="00FA7B83" w:rsidRPr="00C578EB">
        <w:t xml:space="preserve">includes </w:t>
      </w:r>
      <w:r w:rsidRPr="00C578EB">
        <w:t xml:space="preserve">the projection of scheme costs </w:t>
      </w:r>
      <w:r w:rsidR="00940A7A" w:rsidRPr="00C578EB">
        <w:t xml:space="preserve">from 2021-22 to 2029-30, using data as at 31 December 2020. </w:t>
      </w:r>
      <w:r w:rsidRPr="00C578EB">
        <w:t xml:space="preserve">The methodology for the projection is included in </w:t>
      </w:r>
      <w:r w:rsidR="001D5A60">
        <w:t>s</w:t>
      </w:r>
      <w:r w:rsidRPr="00C578EB">
        <w:t xml:space="preserve">ection 3, </w:t>
      </w:r>
      <w:r w:rsidR="00FA7B83" w:rsidRPr="00C578EB">
        <w:t xml:space="preserve">with more detail on the assumptions in the appendices. As outlined in </w:t>
      </w:r>
      <w:r w:rsidR="001D5A60">
        <w:t>s</w:t>
      </w:r>
      <w:r w:rsidR="00FA7B83" w:rsidRPr="00C578EB">
        <w:t xml:space="preserve">ection 4 of this report, actual experience </w:t>
      </w:r>
      <w:r w:rsidR="00940A7A" w:rsidRPr="00C578EB">
        <w:t xml:space="preserve">has </w:t>
      </w:r>
      <w:r w:rsidR="00FA7B83" w:rsidRPr="00C578EB">
        <w:t>exceed</w:t>
      </w:r>
      <w:r w:rsidR="00940A7A" w:rsidRPr="00C578EB">
        <w:t>ed</w:t>
      </w:r>
      <w:r w:rsidR="00FA7B83" w:rsidRPr="00C578EB">
        <w:t xml:space="preserve"> </w:t>
      </w:r>
      <w:r w:rsidR="00130D4D" w:rsidRPr="00C578EB">
        <w:t>the 2020-21 PBS estimates</w:t>
      </w:r>
      <w:r w:rsidR="00940A7A" w:rsidRPr="00C578EB">
        <w:t xml:space="preserve"> in 2020-21</w:t>
      </w:r>
      <w:r w:rsidR="00FA7B83" w:rsidRPr="00C578EB">
        <w:t xml:space="preserve">, </w:t>
      </w:r>
      <w:r w:rsidR="00130D4D" w:rsidRPr="00C578EB">
        <w:t xml:space="preserve">and this is </w:t>
      </w:r>
      <w:r w:rsidR="00FA7B83" w:rsidRPr="00C578EB">
        <w:t xml:space="preserve">driven by both higher rates of growth in both participant numbers and average payments per participant. </w:t>
      </w:r>
      <w:r w:rsidR="0078245B" w:rsidRPr="00C578EB">
        <w:t>The projections take into account this experience, and also adopt a forward</w:t>
      </w:r>
      <w:r w:rsidR="0061461D" w:rsidRPr="00C578EB">
        <w:t>-</w:t>
      </w:r>
      <w:r w:rsidR="0078245B" w:rsidRPr="00C578EB">
        <w:t xml:space="preserve">looking view to future scheme inflation. </w:t>
      </w:r>
    </w:p>
    <w:p w14:paraId="3CE4E38F" w14:textId="5CA26CF0" w:rsidR="006F104A" w:rsidRPr="00C578EB" w:rsidRDefault="006F104A" w:rsidP="006F104A">
      <w:pPr>
        <w:pStyle w:val="FSRHeading2"/>
        <w:numPr>
          <w:ilvl w:val="1"/>
          <w:numId w:val="1"/>
        </w:numPr>
        <w:ind w:left="907" w:hanging="907"/>
      </w:pPr>
      <w:bookmarkStart w:id="134" w:name="_Toc74849903"/>
      <w:bookmarkStart w:id="135" w:name="_Toc74852204"/>
      <w:bookmarkStart w:id="136" w:name="_Toc74853357"/>
      <w:bookmarkStart w:id="137" w:name="_Toc74924955"/>
      <w:bookmarkStart w:id="138" w:name="_Toc74932416"/>
      <w:bookmarkStart w:id="139" w:name="_Toc75034642"/>
      <w:bookmarkStart w:id="140" w:name="_Toc75035699"/>
      <w:bookmarkStart w:id="141" w:name="_Toc75036688"/>
      <w:bookmarkStart w:id="142" w:name="_Toc76132729"/>
      <w:bookmarkEnd w:id="134"/>
      <w:bookmarkEnd w:id="135"/>
      <w:bookmarkEnd w:id="136"/>
      <w:bookmarkEnd w:id="137"/>
      <w:bookmarkEnd w:id="138"/>
      <w:bookmarkEnd w:id="139"/>
      <w:bookmarkEnd w:id="140"/>
      <w:bookmarkEnd w:id="141"/>
      <w:r w:rsidRPr="00C578EB">
        <w:t>Participant</w:t>
      </w:r>
      <w:r w:rsidR="00C129EB" w:rsidRPr="00C578EB">
        <w:t xml:space="preserve"> </w:t>
      </w:r>
      <w:r w:rsidR="00021706" w:rsidRPr="00C578EB">
        <w:t>projections</w:t>
      </w:r>
      <w:bookmarkEnd w:id="142"/>
    </w:p>
    <w:p w14:paraId="01F21513" w14:textId="261DBA46" w:rsidR="00512FF0" w:rsidRPr="005D1AFD" w:rsidRDefault="00512FF0" w:rsidP="00512FF0">
      <w:pPr>
        <w:pStyle w:val="FSRnormal"/>
      </w:pPr>
      <w:r w:rsidRPr="00FC5C6C">
        <w:t xml:space="preserve">As presented in </w:t>
      </w:r>
      <w:r w:rsidR="001D5A60">
        <w:t>s</w:t>
      </w:r>
      <w:r w:rsidRPr="00AC4F79">
        <w:t>ection 4, the number of participants has continued to increase over and above previous forecasts. Analysis of new entrants in geographical sites that commenced in earlier years (</w:t>
      </w:r>
      <w:r w:rsidR="00C578EB" w:rsidRPr="00AB4E2F">
        <w:fldChar w:fldCharType="begin"/>
      </w:r>
      <w:r w:rsidR="00C578EB" w:rsidRPr="005D1AFD">
        <w:instrText xml:space="preserve"> REF _Ref75966917 \h </w:instrText>
      </w:r>
      <w:r w:rsidR="005D1AFD">
        <w:instrText xml:space="preserve"> \* MERGEFORMAT </w:instrText>
      </w:r>
      <w:r w:rsidR="00C578EB" w:rsidRPr="00AB4E2F">
        <w:fldChar w:fldCharType="separate"/>
      </w:r>
      <w:r w:rsidR="00715347" w:rsidRPr="005D1AFD">
        <w:t xml:space="preserve">Figure </w:t>
      </w:r>
      <w:r w:rsidR="00715347">
        <w:rPr>
          <w:noProof/>
        </w:rPr>
        <w:t>43</w:t>
      </w:r>
      <w:r w:rsidR="00C578EB" w:rsidRPr="00AB4E2F">
        <w:fldChar w:fldCharType="end"/>
      </w:r>
      <w:r w:rsidRPr="00AB4E2F">
        <w:t xml:space="preserve">), </w:t>
      </w:r>
      <w:r w:rsidR="005D1AFD" w:rsidRPr="00AC4F79">
        <w:t xml:space="preserve">indicates that the rate of new entrants is still higher than forecast (for example, the rate of new entrants in </w:t>
      </w:r>
      <w:r w:rsidR="00974989" w:rsidRPr="00AC4F79">
        <w:t xml:space="preserve">geographical </w:t>
      </w:r>
      <w:r w:rsidR="005D1AFD" w:rsidRPr="00AC4F79">
        <w:t xml:space="preserve">sites that </w:t>
      </w:r>
      <w:r w:rsidR="005D1AFD" w:rsidRPr="005D1AFD">
        <w:t>began phasing into the Scheme in 2013 is 303 per 100,</w:t>
      </w:r>
      <w:r w:rsidRPr="005D1AFD">
        <w:t>000 people</w:t>
      </w:r>
      <w:r w:rsidR="001F6C0C">
        <w:t>,</w:t>
      </w:r>
      <w:r w:rsidRPr="00FC5C6C">
        <w:t xml:space="preserve"> which is approximately 7</w:t>
      </w:r>
      <w:r w:rsidR="005D1AFD" w:rsidRPr="00AB4E2F">
        <w:t>1</w:t>
      </w:r>
      <w:r w:rsidRPr="00AC4F79">
        <w:t xml:space="preserve">% higher than the </w:t>
      </w:r>
      <w:r w:rsidR="005D1AFD" w:rsidRPr="00AC4F79">
        <w:t xml:space="preserve">previously </w:t>
      </w:r>
      <w:r w:rsidRPr="005D1AFD">
        <w:t>assumed rate). The assumption adopted in the 31 December 2020 projection (267 per 100,000 people), is higher than the previous assumption, but not as high</w:t>
      </w:r>
      <w:r w:rsidR="005D1AFD" w:rsidRPr="005D1AFD">
        <w:t xml:space="preserve"> as</w:t>
      </w:r>
      <w:r w:rsidRPr="005D1AFD">
        <w:t xml:space="preserve"> the rates </w:t>
      </w:r>
      <w:r w:rsidR="00974989">
        <w:t>observed</w:t>
      </w:r>
      <w:r w:rsidR="005D1AFD" w:rsidRPr="005D1AFD">
        <w:t>.</w:t>
      </w:r>
      <w:r w:rsidRPr="005D1AFD">
        <w:t xml:space="preserve"> </w:t>
      </w:r>
      <w:r w:rsidR="00860090" w:rsidRPr="00860090">
        <w:t>This means it is still expected that the rate of new entrants will be slower than previously observed and as a result there is significant upside risk in this assumption.</w:t>
      </w:r>
    </w:p>
    <w:p w14:paraId="3F1F3087" w14:textId="2C5469A6" w:rsidR="00512FF0" w:rsidRPr="00FC5C6C" w:rsidRDefault="00512FF0" w:rsidP="00512FF0">
      <w:pPr>
        <w:pStyle w:val="Figures"/>
      </w:pPr>
      <w:bookmarkStart w:id="143" w:name="_Ref75966917"/>
      <w:r w:rsidRPr="005D1AFD">
        <w:t xml:space="preserve">Figure </w:t>
      </w:r>
      <w:r w:rsidRPr="00AB4E2F">
        <w:fldChar w:fldCharType="begin"/>
      </w:r>
      <w:r w:rsidRPr="005D1AFD">
        <w:instrText xml:space="preserve"> SEQ Figure \* ARABIC </w:instrText>
      </w:r>
      <w:r w:rsidRPr="00AB4E2F">
        <w:fldChar w:fldCharType="separate"/>
      </w:r>
      <w:r w:rsidR="00715347">
        <w:rPr>
          <w:noProof/>
        </w:rPr>
        <w:t>43</w:t>
      </w:r>
      <w:r w:rsidRPr="00AB4E2F">
        <w:rPr>
          <w:noProof/>
        </w:rPr>
        <w:fldChar w:fldCharType="end"/>
      </w:r>
      <w:bookmarkEnd w:id="143"/>
      <w:r w:rsidRPr="00FC5C6C">
        <w:t xml:space="preserve"> New incidence by phasing yea</w:t>
      </w:r>
      <w:r w:rsidRPr="00AB4E2F">
        <w:t>r</w:t>
      </w:r>
    </w:p>
    <w:p w14:paraId="2A956E7B" w14:textId="2FDC77FB" w:rsidR="00512FF0" w:rsidRPr="00FC5C6C" w:rsidRDefault="00B80191" w:rsidP="00512FF0">
      <w:pPr>
        <w:pStyle w:val="FSRnormal"/>
      </w:pPr>
      <w:r w:rsidRPr="00AB4E2F">
        <w:rPr>
          <w:noProof/>
          <w:lang w:eastAsia="en-AU"/>
        </w:rPr>
        <w:drawing>
          <wp:inline distT="0" distB="0" distL="0" distR="0" wp14:anchorId="28E51C82" wp14:editId="5F3897BC">
            <wp:extent cx="5379720" cy="29946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79720" cy="2994660"/>
                    </a:xfrm>
                    <a:prstGeom prst="rect">
                      <a:avLst/>
                    </a:prstGeom>
                    <a:noFill/>
                    <a:ln>
                      <a:noFill/>
                    </a:ln>
                  </pic:spPr>
                </pic:pic>
              </a:graphicData>
            </a:graphic>
          </wp:inline>
        </w:drawing>
      </w:r>
    </w:p>
    <w:p w14:paraId="48641433" w14:textId="218A6289" w:rsidR="00860090" w:rsidRDefault="00512FF0" w:rsidP="00512FF0">
      <w:pPr>
        <w:pStyle w:val="FSRnormal"/>
      </w:pPr>
      <w:r w:rsidRPr="00AB4E2F">
        <w:t xml:space="preserve">In addition to the rate of new entrants, the rate that participants exit the Scheme is also considered. </w:t>
      </w:r>
      <w:r w:rsidR="00860090">
        <w:t>In particular, t</w:t>
      </w:r>
      <w:r w:rsidR="00860090" w:rsidRPr="00860090">
        <w:t>he rate at which participants exit the Scheme for reasons other than mortality is lower than originally assumed</w:t>
      </w:r>
      <w:r w:rsidR="00860090">
        <w:t xml:space="preserve">. </w:t>
      </w:r>
      <w:r w:rsidRPr="00AB4E2F">
        <w:t xml:space="preserve">Section 25 of the NDIS Act allows participants to enter the Scheme to receive early intervention support, and it was assumed </w:t>
      </w:r>
      <w:r w:rsidRPr="00AB4E2F">
        <w:lastRenderedPageBreak/>
        <w:t>that participants wou</w:t>
      </w:r>
      <w:r w:rsidRPr="00AC4F79">
        <w:t xml:space="preserve">ld receive this support and then </w:t>
      </w:r>
      <w:r w:rsidRPr="00FC5C6C">
        <w:t xml:space="preserve">be supported by mainstream and community services. The rate of </w:t>
      </w:r>
      <w:r w:rsidR="00860090">
        <w:t xml:space="preserve">non-mortality </w:t>
      </w:r>
      <w:r w:rsidRPr="00FC5C6C">
        <w:t>exit has not</w:t>
      </w:r>
      <w:r w:rsidR="001F6C0C" w:rsidRPr="00AB4E2F">
        <w:t xml:space="preserve"> been as high as expected (see </w:t>
      </w:r>
      <w:r w:rsidR="001D5A60">
        <w:t>s</w:t>
      </w:r>
      <w:r w:rsidRPr="00AC4F79">
        <w:t>ection 4)</w:t>
      </w:r>
      <w:r w:rsidR="001F6C0C">
        <w:t>.</w:t>
      </w:r>
      <w:r w:rsidRPr="00FC5C6C">
        <w:t xml:space="preserve"> </w:t>
      </w:r>
      <w:r w:rsidR="00213D85">
        <w:t>Non</w:t>
      </w:r>
      <w:r w:rsidR="00860090" w:rsidRPr="009F3CCA">
        <w:t>-mortality exit rates were assumed to be 2.</w:t>
      </w:r>
      <w:r w:rsidR="008E50BF">
        <w:t>01</w:t>
      </w:r>
      <w:r w:rsidR="00860090" w:rsidRPr="009F3CCA">
        <w:t>% for 0-6 year olds, and the rate in the past year to 31 December 2020 was 0.57%. Similarly for participants aged 7+ years the non-mortality exit rate was assumed to be 1.0</w:t>
      </w:r>
      <w:r w:rsidR="008E50BF">
        <w:t>4</w:t>
      </w:r>
      <w:r w:rsidR="00860090" w:rsidRPr="009F3CCA">
        <w:t>%, and the rate in the past year to 31 December 2020 was 0.55%.</w:t>
      </w:r>
    </w:p>
    <w:p w14:paraId="41BC4172" w14:textId="4E7E44B2" w:rsidR="00512FF0" w:rsidRPr="00FC5C6C" w:rsidRDefault="00213D85" w:rsidP="00512FF0">
      <w:pPr>
        <w:pStyle w:val="FSRnormal"/>
      </w:pPr>
      <w:r>
        <w:t>Despite the recent experience</w:t>
      </w:r>
      <w:r w:rsidR="00512FF0" w:rsidRPr="00FC5C6C">
        <w:t>, lower rate</w:t>
      </w:r>
      <w:r>
        <w:t>s of non-mortality exits have</w:t>
      </w:r>
      <w:r w:rsidR="00512FF0" w:rsidRPr="00FC5C6C">
        <w:t xml:space="preserve"> not been adopted in this projection</w:t>
      </w:r>
      <w:r>
        <w:t>. This is because</w:t>
      </w:r>
      <w:r w:rsidR="00512FF0" w:rsidRPr="00FC5C6C">
        <w:t xml:space="preserve"> it </w:t>
      </w:r>
      <w:r w:rsidR="001F6C0C">
        <w:t xml:space="preserve">is </w:t>
      </w:r>
      <w:r w:rsidR="00512FF0" w:rsidRPr="00FC5C6C">
        <w:t>assumed that rates of</w:t>
      </w:r>
      <w:r w:rsidR="00512FF0" w:rsidRPr="00AB4E2F">
        <w:t xml:space="preserve"> exit will increase as more children exit the Scheme after receiving early intervention support</w:t>
      </w:r>
      <w:r>
        <w:t xml:space="preserve">, </w:t>
      </w:r>
      <w:r w:rsidRPr="00213D85">
        <w:t>and the NDIA focuses on ensuring participants continue to meet the access criteria (as per the NDIS Act)</w:t>
      </w:r>
      <w:r w:rsidR="00512FF0" w:rsidRPr="00AB4E2F">
        <w:t xml:space="preserve">. </w:t>
      </w:r>
      <w:r w:rsidR="001F6C0C">
        <w:fldChar w:fldCharType="begin"/>
      </w:r>
      <w:r w:rsidR="001F6C0C">
        <w:instrText xml:space="preserve"> REF _Ref76036669 \h </w:instrText>
      </w:r>
      <w:r w:rsidR="001F6C0C">
        <w:fldChar w:fldCharType="separate"/>
      </w:r>
      <w:r w:rsidR="00715347" w:rsidRPr="00C578EB">
        <w:t xml:space="preserve">Figure </w:t>
      </w:r>
      <w:r w:rsidR="00715347">
        <w:rPr>
          <w:noProof/>
        </w:rPr>
        <w:t>44</w:t>
      </w:r>
      <w:r w:rsidR="001F6C0C">
        <w:fldChar w:fldCharType="end"/>
      </w:r>
      <w:r w:rsidR="001F6C0C">
        <w:t xml:space="preserve"> and </w:t>
      </w:r>
      <w:r w:rsidR="001F6C0C">
        <w:fldChar w:fldCharType="begin"/>
      </w:r>
      <w:r w:rsidR="001F6C0C">
        <w:instrText xml:space="preserve"> REF _Ref76036729 \h </w:instrText>
      </w:r>
      <w:r w:rsidR="001F6C0C">
        <w:fldChar w:fldCharType="separate"/>
      </w:r>
      <w:r w:rsidR="00715347" w:rsidRPr="00C578EB">
        <w:t xml:space="preserve">Figure </w:t>
      </w:r>
      <w:r w:rsidR="00715347">
        <w:rPr>
          <w:noProof/>
        </w:rPr>
        <w:t>45</w:t>
      </w:r>
      <w:r w:rsidR="001F6C0C">
        <w:fldChar w:fldCharType="end"/>
      </w:r>
      <w:r w:rsidR="001F6C0C">
        <w:t xml:space="preserve"> below compare actual </w:t>
      </w:r>
      <w:r w:rsidR="00860090">
        <w:t xml:space="preserve">non-mortality </w:t>
      </w:r>
      <w:r w:rsidR="001F6C0C">
        <w:t xml:space="preserve">exit rates over the 12 months to 31 December 2020 with the </w:t>
      </w:r>
      <w:r w:rsidR="00860090">
        <w:t xml:space="preserve">non-mortality </w:t>
      </w:r>
      <w:r w:rsidR="001F6C0C">
        <w:t>exit rates that have been adopted in the 31 December 2020 projection</w:t>
      </w:r>
      <w:r w:rsidR="00860090">
        <w:t xml:space="preserve"> by quarter</w:t>
      </w:r>
      <w:r w:rsidR="001F6C0C">
        <w:t>.</w:t>
      </w:r>
    </w:p>
    <w:p w14:paraId="6030C7EA" w14:textId="6BA92F7E" w:rsidR="00860090" w:rsidRPr="00FC5C6C" w:rsidRDefault="005D1AFD" w:rsidP="006661A1">
      <w:pPr>
        <w:pStyle w:val="Figures"/>
      </w:pPr>
      <w:bookmarkStart w:id="144" w:name="_Ref76036669"/>
      <w:r w:rsidRPr="00C578EB">
        <w:t xml:space="preserve">Figure </w:t>
      </w:r>
      <w:r w:rsidRPr="00597704">
        <w:rPr>
          <w:b w:val="0"/>
          <w:bCs w:val="0"/>
        </w:rPr>
        <w:fldChar w:fldCharType="begin"/>
      </w:r>
      <w:r w:rsidRPr="00C578EB">
        <w:instrText xml:space="preserve"> SEQ Figure \* ARABIC </w:instrText>
      </w:r>
      <w:r w:rsidRPr="00597704">
        <w:rPr>
          <w:b w:val="0"/>
          <w:bCs w:val="0"/>
        </w:rPr>
        <w:fldChar w:fldCharType="separate"/>
      </w:r>
      <w:r w:rsidR="00715347">
        <w:rPr>
          <w:noProof/>
        </w:rPr>
        <w:t>44</w:t>
      </w:r>
      <w:r w:rsidRPr="00597704">
        <w:rPr>
          <w:b w:val="0"/>
          <w:bCs w:val="0"/>
          <w:noProof/>
        </w:rPr>
        <w:fldChar w:fldCharType="end"/>
      </w:r>
      <w:bookmarkEnd w:id="144"/>
      <w:r w:rsidRPr="00C578EB">
        <w:t xml:space="preserve"> </w:t>
      </w:r>
      <w:r>
        <w:t xml:space="preserve">Actual versus expected </w:t>
      </w:r>
      <w:r w:rsidR="00860090">
        <w:t xml:space="preserve">non-mortality </w:t>
      </w:r>
      <w:r>
        <w:t>exits for participants aged 0 to 6</w:t>
      </w:r>
    </w:p>
    <w:p w14:paraId="5ED87198" w14:textId="41DB7379" w:rsidR="001F6C0C" w:rsidRDefault="00111E4D">
      <w:pPr>
        <w:pStyle w:val="FSRnormal"/>
      </w:pPr>
      <w:r w:rsidRPr="00111E4D">
        <w:rPr>
          <w:noProof/>
          <w:lang w:eastAsia="en-AU"/>
        </w:rPr>
        <w:drawing>
          <wp:inline distT="0" distB="0" distL="0" distR="0" wp14:anchorId="13D00DCD" wp14:editId="1094535A">
            <wp:extent cx="5731510" cy="2845396"/>
            <wp:effectExtent l="0" t="0" r="254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31510" cy="2845396"/>
                    </a:xfrm>
                    <a:prstGeom prst="rect">
                      <a:avLst/>
                    </a:prstGeom>
                    <a:noFill/>
                    <a:ln>
                      <a:noFill/>
                    </a:ln>
                  </pic:spPr>
                </pic:pic>
              </a:graphicData>
            </a:graphic>
          </wp:inline>
        </w:drawing>
      </w:r>
    </w:p>
    <w:p w14:paraId="2293E1FE" w14:textId="66651B9E" w:rsidR="001F6C0C" w:rsidRPr="00FC5C6C" w:rsidRDefault="001F6C0C" w:rsidP="006661A1">
      <w:pPr>
        <w:pStyle w:val="Figures"/>
      </w:pPr>
      <w:bookmarkStart w:id="145" w:name="_Ref76036729"/>
      <w:r w:rsidRPr="00C578EB">
        <w:lastRenderedPageBreak/>
        <w:t xml:space="preserve">Figure </w:t>
      </w:r>
      <w:r w:rsidRPr="00597704">
        <w:fldChar w:fldCharType="begin"/>
      </w:r>
      <w:r w:rsidRPr="00C578EB">
        <w:instrText xml:space="preserve"> SEQ Figure \* ARABIC </w:instrText>
      </w:r>
      <w:r w:rsidRPr="00597704">
        <w:fldChar w:fldCharType="separate"/>
      </w:r>
      <w:r w:rsidR="00715347">
        <w:rPr>
          <w:noProof/>
        </w:rPr>
        <w:t>45</w:t>
      </w:r>
      <w:r w:rsidRPr="00597704">
        <w:rPr>
          <w:noProof/>
        </w:rPr>
        <w:fldChar w:fldCharType="end"/>
      </w:r>
      <w:bookmarkEnd w:id="145"/>
      <w:r w:rsidRPr="00C578EB">
        <w:t xml:space="preserve"> </w:t>
      </w:r>
      <w:r>
        <w:t>Actual versus expected</w:t>
      </w:r>
      <w:r w:rsidR="00860090">
        <w:t xml:space="preserve"> non-mortality</w:t>
      </w:r>
      <w:r>
        <w:t xml:space="preserve"> exits for participants aged over 7</w:t>
      </w:r>
    </w:p>
    <w:p w14:paraId="45315622" w14:textId="30BE5FC1" w:rsidR="00CE16E7" w:rsidRPr="00C578EB" w:rsidRDefault="00111E4D">
      <w:pPr>
        <w:pStyle w:val="FSRnormal"/>
      </w:pPr>
      <w:r w:rsidRPr="00111E4D">
        <w:rPr>
          <w:noProof/>
          <w:lang w:eastAsia="en-AU"/>
        </w:rPr>
        <w:drawing>
          <wp:inline distT="0" distB="0" distL="0" distR="0" wp14:anchorId="5E51407C" wp14:editId="4CD7FCE5">
            <wp:extent cx="5731510" cy="2719231"/>
            <wp:effectExtent l="0" t="0" r="2540" b="508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31510" cy="2719231"/>
                    </a:xfrm>
                    <a:prstGeom prst="rect">
                      <a:avLst/>
                    </a:prstGeom>
                    <a:noFill/>
                    <a:ln>
                      <a:noFill/>
                    </a:ln>
                  </pic:spPr>
                </pic:pic>
              </a:graphicData>
            </a:graphic>
          </wp:inline>
        </w:drawing>
      </w:r>
    </w:p>
    <w:p w14:paraId="24203035" w14:textId="1AF95609" w:rsidR="00021706" w:rsidRPr="00C578EB" w:rsidRDefault="00512FF0" w:rsidP="007B2293">
      <w:pPr>
        <w:pStyle w:val="FSRnormal"/>
      </w:pPr>
      <w:r w:rsidRPr="00C578EB">
        <w:t xml:space="preserve">The expected number of participants at the end of each year is calculated as the starting participant population adding on participant intake and subtracting participant exits over the year. </w:t>
      </w:r>
      <w:r w:rsidR="0078245B" w:rsidRPr="00C578EB">
        <w:t xml:space="preserve">The </w:t>
      </w:r>
      <w:r w:rsidRPr="00C578EB">
        <w:t xml:space="preserve">resulting </w:t>
      </w:r>
      <w:r w:rsidR="0078245B" w:rsidRPr="00C578EB">
        <w:t>participant</w:t>
      </w:r>
      <w:r w:rsidRPr="00C578EB">
        <w:t xml:space="preserve"> projections</w:t>
      </w:r>
      <w:r w:rsidR="0078245B" w:rsidRPr="00C578EB">
        <w:t xml:space="preserve"> by age group is </w:t>
      </w:r>
      <w:r w:rsidRPr="00C578EB">
        <w:t xml:space="preserve">shown </w:t>
      </w:r>
      <w:r w:rsidR="00021706" w:rsidRPr="00C578EB">
        <w:t xml:space="preserve">in </w:t>
      </w:r>
      <w:r w:rsidR="00021706" w:rsidRPr="00597704">
        <w:fldChar w:fldCharType="begin"/>
      </w:r>
      <w:r w:rsidR="00021706" w:rsidRPr="00C578EB">
        <w:instrText xml:space="preserve"> REF _Ref74848839 \h  \* MERGEFORMAT </w:instrText>
      </w:r>
      <w:r w:rsidR="00021706" w:rsidRPr="00597704">
        <w:fldChar w:fldCharType="separate"/>
      </w:r>
      <w:r w:rsidR="00715347" w:rsidRPr="00C578EB">
        <w:t xml:space="preserve">Table </w:t>
      </w:r>
      <w:r w:rsidR="00715347">
        <w:rPr>
          <w:noProof/>
        </w:rPr>
        <w:t>8</w:t>
      </w:r>
      <w:r w:rsidR="00021706" w:rsidRPr="00597704">
        <w:fldChar w:fldCharType="end"/>
      </w:r>
      <w:r w:rsidR="00021706" w:rsidRPr="00C578EB">
        <w:t xml:space="preserve"> below. </w:t>
      </w:r>
    </w:p>
    <w:p w14:paraId="0697B29F" w14:textId="7B04063D" w:rsidR="00021706" w:rsidRPr="00C578EB" w:rsidRDefault="00021706" w:rsidP="007B2293">
      <w:pPr>
        <w:pStyle w:val="Tables"/>
      </w:pPr>
      <w:bookmarkStart w:id="146" w:name="_Ref74848839"/>
      <w:r w:rsidRPr="00C578EB">
        <w:t xml:space="preserve">Table </w:t>
      </w:r>
      <w:r w:rsidRPr="00597704">
        <w:fldChar w:fldCharType="begin"/>
      </w:r>
      <w:r w:rsidRPr="00C578EB">
        <w:instrText xml:space="preserve"> SEQ Table \* ARABIC </w:instrText>
      </w:r>
      <w:r w:rsidRPr="00597704">
        <w:fldChar w:fldCharType="separate"/>
      </w:r>
      <w:r w:rsidR="00715347">
        <w:rPr>
          <w:noProof/>
        </w:rPr>
        <w:t>8</w:t>
      </w:r>
      <w:r w:rsidRPr="00597704">
        <w:fldChar w:fldCharType="end"/>
      </w:r>
      <w:bookmarkEnd w:id="146"/>
      <w:r w:rsidRPr="00C578EB">
        <w:t xml:space="preserve"> Projected participant numbers by age band</w:t>
      </w:r>
    </w:p>
    <w:p w14:paraId="34F98FFF" w14:textId="341D5673" w:rsidR="005921B9" w:rsidRPr="00C578EB" w:rsidRDefault="000F2269" w:rsidP="007B2293">
      <w:pPr>
        <w:pStyle w:val="FSRnormal"/>
      </w:pPr>
      <w:r w:rsidRPr="00597704">
        <w:rPr>
          <w:noProof/>
          <w:lang w:eastAsia="en-AU"/>
        </w:rPr>
        <w:drawing>
          <wp:inline distT="0" distB="0" distL="0" distR="0" wp14:anchorId="4A2F1C2A" wp14:editId="3794B3FC">
            <wp:extent cx="5731510" cy="984964"/>
            <wp:effectExtent l="0" t="0" r="2540" b="571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31510" cy="984964"/>
                    </a:xfrm>
                    <a:prstGeom prst="rect">
                      <a:avLst/>
                    </a:prstGeom>
                    <a:noFill/>
                    <a:ln>
                      <a:noFill/>
                    </a:ln>
                  </pic:spPr>
                </pic:pic>
              </a:graphicData>
            </a:graphic>
          </wp:inline>
        </w:drawing>
      </w:r>
    </w:p>
    <w:p w14:paraId="1CED4E1A" w14:textId="6B79BE07" w:rsidR="00021706" w:rsidRPr="00C578EB" w:rsidRDefault="00021706" w:rsidP="007B2293">
      <w:pPr>
        <w:pStyle w:val="FSRnormal"/>
      </w:pPr>
      <w:r w:rsidRPr="00C578EB">
        <w:t>Young adults represent a growing proportion of the Scheme’s participant numbers as the children from the intake of prior projection years begin to age into older age bands.</w:t>
      </w:r>
    </w:p>
    <w:p w14:paraId="2EC37DF1" w14:textId="0F0A5985" w:rsidR="00021706" w:rsidRPr="00C578EB" w:rsidRDefault="00021706" w:rsidP="007B2293">
      <w:pPr>
        <w:pStyle w:val="FSRnormal"/>
        <w:rPr>
          <w:lang w:eastAsia="en-AU"/>
        </w:rPr>
      </w:pPr>
      <w:r w:rsidRPr="00597704">
        <w:rPr>
          <w:lang w:eastAsia="en-AU"/>
        </w:rPr>
        <w:fldChar w:fldCharType="begin"/>
      </w:r>
      <w:r w:rsidRPr="00C578EB">
        <w:rPr>
          <w:lang w:eastAsia="en-AU"/>
        </w:rPr>
        <w:instrText xml:space="preserve"> REF _Ref74849130 \h  \* MERGEFORMAT </w:instrText>
      </w:r>
      <w:r w:rsidRPr="00597704">
        <w:rPr>
          <w:lang w:eastAsia="en-AU"/>
        </w:rPr>
      </w:r>
      <w:r w:rsidRPr="00597704">
        <w:rPr>
          <w:lang w:eastAsia="en-AU"/>
        </w:rPr>
        <w:fldChar w:fldCharType="separate"/>
      </w:r>
      <w:r w:rsidR="00715347" w:rsidRPr="00C578EB">
        <w:t xml:space="preserve">Table </w:t>
      </w:r>
      <w:r w:rsidR="00715347">
        <w:rPr>
          <w:noProof/>
        </w:rPr>
        <w:t>9</w:t>
      </w:r>
      <w:r w:rsidRPr="00597704">
        <w:rPr>
          <w:lang w:eastAsia="en-AU"/>
        </w:rPr>
        <w:fldChar w:fldCharType="end"/>
      </w:r>
      <w:r w:rsidRPr="00C578EB">
        <w:rPr>
          <w:lang w:eastAsia="en-AU"/>
        </w:rPr>
        <w:t xml:space="preserve"> has the same projections split by disability group.</w:t>
      </w:r>
    </w:p>
    <w:p w14:paraId="563AF481" w14:textId="5F46F0A6" w:rsidR="00021706" w:rsidRPr="00C578EB" w:rsidRDefault="00021706" w:rsidP="007B2293">
      <w:pPr>
        <w:pStyle w:val="Tables"/>
      </w:pPr>
      <w:bookmarkStart w:id="147" w:name="_Ref74849130"/>
      <w:r w:rsidRPr="00C578EB">
        <w:t xml:space="preserve">Table </w:t>
      </w:r>
      <w:r w:rsidRPr="00597704">
        <w:fldChar w:fldCharType="begin"/>
      </w:r>
      <w:r w:rsidRPr="00C578EB">
        <w:instrText xml:space="preserve"> SEQ Table \* ARABIC </w:instrText>
      </w:r>
      <w:r w:rsidRPr="00597704">
        <w:fldChar w:fldCharType="separate"/>
      </w:r>
      <w:r w:rsidR="00715347">
        <w:rPr>
          <w:noProof/>
        </w:rPr>
        <w:t>9</w:t>
      </w:r>
      <w:r w:rsidRPr="00597704">
        <w:fldChar w:fldCharType="end"/>
      </w:r>
      <w:bookmarkEnd w:id="147"/>
      <w:r w:rsidRPr="00C578EB">
        <w:t xml:space="preserve"> Projected participant numbers by disability group</w:t>
      </w:r>
    </w:p>
    <w:p w14:paraId="7D46AEA8" w14:textId="44C324BB" w:rsidR="00021706" w:rsidRPr="00C578EB" w:rsidRDefault="000F2269" w:rsidP="007B2293">
      <w:pPr>
        <w:pStyle w:val="FSRnormal"/>
        <w:rPr>
          <w:lang w:eastAsia="en-AU"/>
        </w:rPr>
      </w:pPr>
      <w:r w:rsidRPr="00597704">
        <w:rPr>
          <w:noProof/>
          <w:lang w:eastAsia="en-AU"/>
        </w:rPr>
        <w:drawing>
          <wp:inline distT="0" distB="0" distL="0" distR="0" wp14:anchorId="3A82E415" wp14:editId="683BA402">
            <wp:extent cx="5731510" cy="1266637"/>
            <wp:effectExtent l="0" t="0" r="254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31510" cy="1266637"/>
                    </a:xfrm>
                    <a:prstGeom prst="rect">
                      <a:avLst/>
                    </a:prstGeom>
                    <a:noFill/>
                    <a:ln>
                      <a:noFill/>
                    </a:ln>
                  </pic:spPr>
                </pic:pic>
              </a:graphicData>
            </a:graphic>
          </wp:inline>
        </w:drawing>
      </w:r>
    </w:p>
    <w:p w14:paraId="5D996F7A" w14:textId="40FE8367" w:rsidR="007D693C" w:rsidRPr="00C578EB" w:rsidRDefault="007D693C" w:rsidP="007B2293">
      <w:pPr>
        <w:pStyle w:val="FSRnormal"/>
        <w:rPr>
          <w:lang w:eastAsia="en-AU"/>
        </w:rPr>
      </w:pPr>
      <w:r w:rsidRPr="00C578EB">
        <w:rPr>
          <w:lang w:eastAsia="en-AU"/>
        </w:rPr>
        <w:t xml:space="preserve">The increase in projected participant numbers prior to 2030 is mainly attributable to higher assumed prevalence of developmental delay. After 2030, autism and intellectual disability are the main drivers of increasing participant numbers, reflecting the transition of children with developmental delay to autism and </w:t>
      </w:r>
      <w:r w:rsidRPr="00C578EB">
        <w:t xml:space="preserve">intellectual disability. The trajectory is consistent </w:t>
      </w:r>
      <w:r w:rsidRPr="00C578EB">
        <w:lastRenderedPageBreak/>
        <w:t xml:space="preserve">with the increasing trends seen in successive Surveys of Disability, Caring and Ageing (released by the ABS) but </w:t>
      </w:r>
      <w:r w:rsidR="006B2743" w:rsidRPr="00C578EB">
        <w:t xml:space="preserve">based on Scheme experience is </w:t>
      </w:r>
      <w:r w:rsidRPr="00C578EB">
        <w:t>projected to increase at a faster rate.</w:t>
      </w:r>
    </w:p>
    <w:p w14:paraId="4856FE76" w14:textId="6FEA4713" w:rsidR="002A1072" w:rsidRPr="00C578EB" w:rsidRDefault="002A1072" w:rsidP="007D693C">
      <w:pPr>
        <w:spacing w:before="240"/>
      </w:pPr>
      <w:r w:rsidRPr="00597704">
        <w:fldChar w:fldCharType="begin"/>
      </w:r>
      <w:r w:rsidRPr="00C578EB">
        <w:instrText xml:space="preserve"> REF _Ref74849343 \h  \* MERGEFORMAT </w:instrText>
      </w:r>
      <w:r w:rsidRPr="00597704">
        <w:fldChar w:fldCharType="separate"/>
      </w:r>
      <w:r w:rsidR="00715347" w:rsidRPr="00C578EB">
        <w:t xml:space="preserve">Table </w:t>
      </w:r>
      <w:r w:rsidR="00715347">
        <w:rPr>
          <w:noProof/>
        </w:rPr>
        <w:t>10</w:t>
      </w:r>
      <w:r w:rsidRPr="00597704">
        <w:fldChar w:fldCharType="end"/>
      </w:r>
      <w:r w:rsidRPr="00C578EB">
        <w:t xml:space="preserve"> presents the projections split by whether or not the participant is in SIL.</w:t>
      </w:r>
    </w:p>
    <w:p w14:paraId="2B1251E5" w14:textId="32A793C3" w:rsidR="002A1072" w:rsidRPr="00C578EB" w:rsidRDefault="002A1072" w:rsidP="007B2293">
      <w:pPr>
        <w:pStyle w:val="Tables"/>
      </w:pPr>
      <w:bookmarkStart w:id="148" w:name="_Ref74849343"/>
      <w:r w:rsidRPr="00C578EB">
        <w:t xml:space="preserve">Table </w:t>
      </w:r>
      <w:r w:rsidRPr="00597704">
        <w:fldChar w:fldCharType="begin"/>
      </w:r>
      <w:r w:rsidRPr="00C578EB">
        <w:instrText xml:space="preserve"> SEQ Table \* ARABIC </w:instrText>
      </w:r>
      <w:r w:rsidRPr="00597704">
        <w:fldChar w:fldCharType="separate"/>
      </w:r>
      <w:r w:rsidR="00715347">
        <w:rPr>
          <w:noProof/>
        </w:rPr>
        <w:t>10</w:t>
      </w:r>
      <w:r w:rsidRPr="00597704">
        <w:fldChar w:fldCharType="end"/>
      </w:r>
      <w:bookmarkEnd w:id="148"/>
      <w:r w:rsidRPr="00C578EB">
        <w:t xml:space="preserve"> Projected participant numbers by SIL group</w:t>
      </w:r>
    </w:p>
    <w:p w14:paraId="199E64D7" w14:textId="25C08062" w:rsidR="005921B9" w:rsidRPr="00C578EB" w:rsidRDefault="00E540D5" w:rsidP="007B2293">
      <w:pPr>
        <w:pStyle w:val="FSRnormal"/>
      </w:pPr>
      <w:r w:rsidRPr="00597704">
        <w:rPr>
          <w:noProof/>
          <w:lang w:eastAsia="en-AU"/>
        </w:rPr>
        <w:drawing>
          <wp:inline distT="0" distB="0" distL="0" distR="0" wp14:anchorId="63C6E633" wp14:editId="4A4D3032">
            <wp:extent cx="5731510" cy="1125530"/>
            <wp:effectExtent l="0" t="0" r="254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31510" cy="1125530"/>
                    </a:xfrm>
                    <a:prstGeom prst="rect">
                      <a:avLst/>
                    </a:prstGeom>
                    <a:noFill/>
                    <a:ln>
                      <a:noFill/>
                    </a:ln>
                  </pic:spPr>
                </pic:pic>
              </a:graphicData>
            </a:graphic>
          </wp:inline>
        </w:drawing>
      </w:r>
    </w:p>
    <w:p w14:paraId="1E587BC6" w14:textId="348B02DE" w:rsidR="002A1072" w:rsidRPr="00C578EB" w:rsidRDefault="002A1072" w:rsidP="007B2293">
      <w:pPr>
        <w:pStyle w:val="FSRnormal"/>
      </w:pPr>
      <w:r w:rsidRPr="00C578EB">
        <w:t>The number of participants with SIL arrangements is projected to increase over time to reflect existing participants moving to SIL arrangements and, to a lesser extent, new entrants with SIL arrangements in place transferring from existing programs into the Scheme.</w:t>
      </w:r>
      <w:r w:rsidR="00E30C83" w:rsidRPr="00C578EB">
        <w:t xml:space="preserve"> </w:t>
      </w:r>
      <w:r w:rsidRPr="00C578EB">
        <w:t xml:space="preserve">However, it is expected that the majority of new entrants into the Scheme will not require SIL which results in the projected proportion of participants in SIL steadily decreasing over time. </w:t>
      </w:r>
    </w:p>
    <w:p w14:paraId="024C8E24" w14:textId="106767BA" w:rsidR="002A1072" w:rsidRPr="00C578EB" w:rsidRDefault="00AB6962" w:rsidP="007B2293">
      <w:pPr>
        <w:pStyle w:val="FSRnormal"/>
      </w:pPr>
      <w:r w:rsidRPr="00597704">
        <w:fldChar w:fldCharType="begin"/>
      </w:r>
      <w:r w:rsidRPr="00C578EB">
        <w:instrText xml:space="preserve"> REF _Ref74849763 \h </w:instrText>
      </w:r>
      <w:r w:rsidR="00AD0F8A" w:rsidRPr="00C578EB">
        <w:instrText xml:space="preserve"> \* MERGEFORMAT </w:instrText>
      </w:r>
      <w:r w:rsidRPr="00597704">
        <w:fldChar w:fldCharType="separate"/>
      </w:r>
      <w:r w:rsidR="00715347" w:rsidRPr="00C578EB">
        <w:t xml:space="preserve">Figure </w:t>
      </w:r>
      <w:r w:rsidR="00715347">
        <w:rPr>
          <w:noProof/>
        </w:rPr>
        <w:t>46</w:t>
      </w:r>
      <w:r w:rsidRPr="00597704">
        <w:fldChar w:fldCharType="end"/>
      </w:r>
      <w:r w:rsidRPr="00C578EB">
        <w:t xml:space="preserve"> shows the projected number of participants graphically</w:t>
      </w:r>
      <w:r w:rsidR="00AD0F8A" w:rsidRPr="00C578EB">
        <w:t xml:space="preserve"> and compares the participant intake experience to date with the trajectory of the projected intake.</w:t>
      </w:r>
    </w:p>
    <w:p w14:paraId="5178A2DA" w14:textId="29AF2F83" w:rsidR="00AB6962" w:rsidRPr="00C578EB" w:rsidRDefault="00AB6962" w:rsidP="00AB6962">
      <w:pPr>
        <w:pStyle w:val="Figures"/>
      </w:pPr>
      <w:bookmarkStart w:id="149" w:name="_Ref74849763"/>
      <w:r w:rsidRPr="00C578EB">
        <w:t xml:space="preserve">Figure </w:t>
      </w:r>
      <w:r w:rsidRPr="00597704">
        <w:fldChar w:fldCharType="begin"/>
      </w:r>
      <w:r w:rsidRPr="00C578EB">
        <w:instrText xml:space="preserve"> SEQ Figure \* ARABIC </w:instrText>
      </w:r>
      <w:r w:rsidRPr="00597704">
        <w:fldChar w:fldCharType="separate"/>
      </w:r>
      <w:r w:rsidR="00715347">
        <w:rPr>
          <w:noProof/>
        </w:rPr>
        <w:t>46</w:t>
      </w:r>
      <w:r w:rsidRPr="00597704">
        <w:rPr>
          <w:noProof/>
        </w:rPr>
        <w:fldChar w:fldCharType="end"/>
      </w:r>
      <w:bookmarkEnd w:id="149"/>
      <w:r w:rsidRPr="00C578EB">
        <w:t xml:space="preserve"> Projected participant numbers for all ages</w:t>
      </w:r>
    </w:p>
    <w:p w14:paraId="62F10524" w14:textId="0CE283BD" w:rsidR="005921B9" w:rsidRPr="00C578EB" w:rsidRDefault="005C4A8E" w:rsidP="007B2293">
      <w:pPr>
        <w:pStyle w:val="FSRnormal"/>
      </w:pPr>
      <w:r w:rsidRPr="00597704">
        <w:rPr>
          <w:noProof/>
          <w:lang w:eastAsia="en-AU"/>
        </w:rPr>
        <w:drawing>
          <wp:inline distT="0" distB="0" distL="0" distR="0" wp14:anchorId="4D149AA5" wp14:editId="43678E48">
            <wp:extent cx="5731510" cy="2902274"/>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31510" cy="2902274"/>
                    </a:xfrm>
                    <a:prstGeom prst="rect">
                      <a:avLst/>
                    </a:prstGeom>
                    <a:noFill/>
                    <a:ln>
                      <a:noFill/>
                    </a:ln>
                  </pic:spPr>
                </pic:pic>
              </a:graphicData>
            </a:graphic>
          </wp:inline>
        </w:drawing>
      </w:r>
    </w:p>
    <w:p w14:paraId="7D11E0E4" w14:textId="77777777" w:rsidR="00D40AB0" w:rsidRDefault="00D40AB0">
      <w:pPr>
        <w:spacing w:after="160" w:line="259" w:lineRule="auto"/>
        <w:rPr>
          <w:rFonts w:eastAsiaTheme="minorHAnsi"/>
          <w:b/>
          <w:color w:val="6A2875"/>
          <w:sz w:val="36"/>
          <w:szCs w:val="44"/>
        </w:rPr>
      </w:pPr>
      <w:r>
        <w:br w:type="page"/>
      </w:r>
    </w:p>
    <w:p w14:paraId="7C262712" w14:textId="77185F6D" w:rsidR="006F104A" w:rsidRPr="00C578EB" w:rsidRDefault="006F104A" w:rsidP="006F104A">
      <w:pPr>
        <w:pStyle w:val="FSRHeading2"/>
        <w:numPr>
          <w:ilvl w:val="1"/>
          <w:numId w:val="1"/>
        </w:numPr>
        <w:ind w:left="907" w:hanging="907"/>
      </w:pPr>
      <w:bookmarkStart w:id="150" w:name="_Toc76132730"/>
      <w:r w:rsidRPr="00C578EB">
        <w:lastRenderedPageBreak/>
        <w:t>Average payment</w:t>
      </w:r>
      <w:r w:rsidR="00C129EB" w:rsidRPr="00C578EB">
        <w:t xml:space="preserve"> assumptions</w:t>
      </w:r>
      <w:bookmarkEnd w:id="150"/>
    </w:p>
    <w:p w14:paraId="4C63C1DC" w14:textId="7395DCAC" w:rsidR="00A60FA5" w:rsidRPr="00C578EB" w:rsidRDefault="003C3C23" w:rsidP="007B2293">
      <w:pPr>
        <w:pStyle w:val="FSRnormal"/>
      </w:pPr>
      <w:r w:rsidRPr="00C578EB">
        <w:t xml:space="preserve">Scheme experience over the past six months has demonstrated higher average costs per participant than expected when compared to </w:t>
      </w:r>
      <w:r w:rsidR="00A60FA5" w:rsidRPr="00C578EB">
        <w:t xml:space="preserve">previous </w:t>
      </w:r>
      <w:r w:rsidRPr="00C578EB">
        <w:t xml:space="preserve">assumptions. </w:t>
      </w:r>
      <w:r w:rsidR="00512FF0" w:rsidRPr="00C578EB">
        <w:t xml:space="preserve">The base average cost assumptions were </w:t>
      </w:r>
      <w:r w:rsidR="00974989">
        <w:t xml:space="preserve">derived </w:t>
      </w:r>
      <w:r w:rsidR="00512FF0" w:rsidRPr="00C578EB">
        <w:t>using 31 December 2020 data, reflecting the actual payment experience over the 3 months to 31 December 2020.</w:t>
      </w:r>
    </w:p>
    <w:p w14:paraId="7C2620C4" w14:textId="15355042" w:rsidR="003C3C23" w:rsidRPr="00C578EB" w:rsidRDefault="003C3C23" w:rsidP="007B2293">
      <w:pPr>
        <w:pStyle w:val="FSRnormal"/>
      </w:pPr>
      <w:r w:rsidRPr="00C578EB">
        <w:t xml:space="preserve">This can be </w:t>
      </w:r>
      <w:r w:rsidR="00CB6A88" w:rsidRPr="00C578EB">
        <w:t xml:space="preserve">seen in </w:t>
      </w:r>
      <w:r w:rsidR="00CB6A88" w:rsidRPr="00597704">
        <w:fldChar w:fldCharType="begin"/>
      </w:r>
      <w:r w:rsidR="00CB6A88" w:rsidRPr="00C578EB">
        <w:instrText xml:space="preserve"> REF _Ref75451452 \h </w:instrText>
      </w:r>
      <w:r w:rsidR="00512FF0" w:rsidRPr="00C578EB">
        <w:instrText xml:space="preserve"> \* MERGEFORMAT </w:instrText>
      </w:r>
      <w:r w:rsidR="00CB6A88" w:rsidRPr="00597704">
        <w:fldChar w:fldCharType="separate"/>
      </w:r>
      <w:r w:rsidR="00715347" w:rsidRPr="00C578EB">
        <w:t xml:space="preserve">Table </w:t>
      </w:r>
      <w:r w:rsidR="00715347">
        <w:rPr>
          <w:noProof/>
        </w:rPr>
        <w:t>11</w:t>
      </w:r>
      <w:r w:rsidR="00CB6A88" w:rsidRPr="00597704">
        <w:fldChar w:fldCharType="end"/>
      </w:r>
      <w:r w:rsidR="00CB6A88" w:rsidRPr="00C578EB">
        <w:t xml:space="preserve"> </w:t>
      </w:r>
      <w:r w:rsidRPr="00C578EB">
        <w:t>which displays the projected average annual payments (in current dollars) by grouped disability and age band for the 202</w:t>
      </w:r>
      <w:r w:rsidR="00B648E8" w:rsidRPr="00C578EB">
        <w:t>1</w:t>
      </w:r>
      <w:r w:rsidR="000B42B3" w:rsidRPr="00C578EB">
        <w:t>-</w:t>
      </w:r>
      <w:r w:rsidRPr="00C578EB">
        <w:t>2</w:t>
      </w:r>
      <w:r w:rsidR="00B648E8" w:rsidRPr="00C578EB">
        <w:t>2</w:t>
      </w:r>
      <w:r w:rsidRPr="00C578EB">
        <w:t xml:space="preserve"> financial year. The following table shows that:</w:t>
      </w:r>
    </w:p>
    <w:p w14:paraId="0306F9F2" w14:textId="35DC9C05" w:rsidR="00650C77" w:rsidRPr="00C578EB" w:rsidRDefault="00650C77" w:rsidP="007B2293">
      <w:pPr>
        <w:pStyle w:val="FSRlist"/>
      </w:pPr>
      <w:r w:rsidRPr="00C578EB">
        <w:t>The average annualised payment amount for all Scheme participants in 202</w:t>
      </w:r>
      <w:r w:rsidR="00B648E8" w:rsidRPr="00C578EB">
        <w:t>1</w:t>
      </w:r>
      <w:r w:rsidRPr="00C578EB">
        <w:t>-2</w:t>
      </w:r>
      <w:r w:rsidR="00B648E8" w:rsidRPr="00C578EB">
        <w:t>2</w:t>
      </w:r>
      <w:r w:rsidRPr="00C578EB">
        <w:t xml:space="preserve"> is $</w:t>
      </w:r>
      <w:r w:rsidR="00B648E8" w:rsidRPr="00C578EB">
        <w:t xml:space="preserve">53,149 </w:t>
      </w:r>
      <w:r w:rsidRPr="00C578EB">
        <w:t xml:space="preserve">in current dollars. </w:t>
      </w:r>
    </w:p>
    <w:p w14:paraId="3DAF6B0B" w14:textId="77777777" w:rsidR="00650C77" w:rsidRPr="00C578EB" w:rsidRDefault="00650C77" w:rsidP="007B2293">
      <w:pPr>
        <w:pStyle w:val="FSRlist"/>
      </w:pPr>
      <w:r w:rsidRPr="00C578EB">
        <w:t>Children have lower average annualised payments than adults, reflecting a higher proportion of early intervention participants, less usage of SIL arrangements and more informal supports, primarily provided by parents.</w:t>
      </w:r>
    </w:p>
    <w:p w14:paraId="0DAA4C55" w14:textId="77777777" w:rsidR="00650C77" w:rsidRPr="00C578EB" w:rsidRDefault="00650C77" w:rsidP="007B2293">
      <w:pPr>
        <w:pStyle w:val="FSRlist"/>
      </w:pPr>
      <w:r w:rsidRPr="00C578EB">
        <w:t>Participants with intellectual disability and other disabilities</w:t>
      </w:r>
      <w:r w:rsidRPr="00C578EB">
        <w:rPr>
          <w:vertAlign w:val="superscript"/>
        </w:rPr>
        <w:footnoteReference w:id="53"/>
      </w:r>
      <w:r w:rsidRPr="00C578EB">
        <w:t xml:space="preserve"> have the largest average costs.</w:t>
      </w:r>
    </w:p>
    <w:p w14:paraId="4CA7F320" w14:textId="4382E01E" w:rsidR="00CB6A88" w:rsidRPr="00C578EB" w:rsidRDefault="00650C77" w:rsidP="00CB6A88">
      <w:pPr>
        <w:pStyle w:val="FSRlist"/>
      </w:pPr>
      <w:r w:rsidRPr="00C578EB">
        <w:t>Participants with sensory disabilities</w:t>
      </w:r>
      <w:r w:rsidRPr="00C578EB">
        <w:rPr>
          <w:vertAlign w:val="superscript"/>
        </w:rPr>
        <w:footnoteReference w:id="54"/>
      </w:r>
      <w:r w:rsidRPr="00C578EB">
        <w:t xml:space="preserve"> and developmental delay have the lowest average costs.</w:t>
      </w:r>
    </w:p>
    <w:p w14:paraId="319BA7BC" w14:textId="14EAC003" w:rsidR="00CB6A88" w:rsidRPr="00C578EB" w:rsidRDefault="00CB6A88" w:rsidP="00CB6A88">
      <w:pPr>
        <w:pStyle w:val="Tables"/>
      </w:pPr>
      <w:bookmarkStart w:id="151" w:name="_Ref75451452"/>
      <w:r w:rsidRPr="00C578EB">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11</w:t>
      </w:r>
      <w:r w:rsidR="00C04E1B" w:rsidRPr="00597704">
        <w:rPr>
          <w:noProof/>
        </w:rPr>
        <w:fldChar w:fldCharType="end"/>
      </w:r>
      <w:bookmarkEnd w:id="151"/>
      <w:r w:rsidRPr="00C578EB">
        <w:t xml:space="preserve"> Average annual payments ($) by age band and disability group in 2021-22 (current dollars)</w:t>
      </w:r>
    </w:p>
    <w:p w14:paraId="37A246AA" w14:textId="77A83055" w:rsidR="005C4A8E" w:rsidRPr="00C578EB" w:rsidRDefault="00E540D5" w:rsidP="007B2293">
      <w:pPr>
        <w:pStyle w:val="FSRnormal"/>
      </w:pPr>
      <w:r w:rsidRPr="00597704">
        <w:rPr>
          <w:noProof/>
          <w:lang w:eastAsia="en-AU"/>
        </w:rPr>
        <w:drawing>
          <wp:inline distT="0" distB="0" distL="0" distR="0" wp14:anchorId="0BB8E527" wp14:editId="629B571A">
            <wp:extent cx="5731510" cy="1371629"/>
            <wp:effectExtent l="0" t="0" r="254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1510" cy="1371629"/>
                    </a:xfrm>
                    <a:prstGeom prst="rect">
                      <a:avLst/>
                    </a:prstGeom>
                    <a:noFill/>
                    <a:ln>
                      <a:noFill/>
                    </a:ln>
                  </pic:spPr>
                </pic:pic>
              </a:graphicData>
            </a:graphic>
          </wp:inline>
        </w:drawing>
      </w:r>
    </w:p>
    <w:p w14:paraId="5C93193E" w14:textId="37DB3605" w:rsidR="00E540D5" w:rsidRPr="00C578EB" w:rsidRDefault="00E540D5" w:rsidP="007B2293">
      <w:pPr>
        <w:pStyle w:val="FSRnormal"/>
      </w:pPr>
      <w:r w:rsidRPr="00597704">
        <w:rPr>
          <w:noProof/>
          <w:lang w:eastAsia="en-AU"/>
        </w:rPr>
        <w:drawing>
          <wp:inline distT="0" distB="0" distL="0" distR="0" wp14:anchorId="631CE12C" wp14:editId="432A2563">
            <wp:extent cx="5731510" cy="1371629"/>
            <wp:effectExtent l="0" t="0" r="254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31510" cy="1371629"/>
                    </a:xfrm>
                    <a:prstGeom prst="rect">
                      <a:avLst/>
                    </a:prstGeom>
                    <a:noFill/>
                    <a:ln>
                      <a:noFill/>
                    </a:ln>
                  </pic:spPr>
                </pic:pic>
              </a:graphicData>
            </a:graphic>
          </wp:inline>
        </w:drawing>
      </w:r>
    </w:p>
    <w:p w14:paraId="3AC14454" w14:textId="41353B88" w:rsidR="006332EA" w:rsidRPr="00C578EB" w:rsidRDefault="00650C77" w:rsidP="007B2293">
      <w:pPr>
        <w:pStyle w:val="FSRnormal"/>
      </w:pPr>
      <w:r w:rsidRPr="00C578EB">
        <w:t>Similarly, the expected average annual payment assumptions (in current dollars) in 202</w:t>
      </w:r>
      <w:r w:rsidR="00B648E8" w:rsidRPr="00C578EB">
        <w:t>1</w:t>
      </w:r>
      <w:r w:rsidRPr="00C578EB">
        <w:t>-2</w:t>
      </w:r>
      <w:r w:rsidR="00B648E8" w:rsidRPr="00C578EB">
        <w:t>2</w:t>
      </w:r>
      <w:r w:rsidRPr="00C578EB">
        <w:t xml:space="preserve">, split by support category and age band, are </w:t>
      </w:r>
      <w:r w:rsidR="006332EA" w:rsidRPr="00C578EB">
        <w:t xml:space="preserve">shown in </w:t>
      </w:r>
      <w:r w:rsidR="006332EA" w:rsidRPr="00597704">
        <w:fldChar w:fldCharType="begin"/>
      </w:r>
      <w:r w:rsidR="006332EA" w:rsidRPr="00C578EB">
        <w:instrText xml:space="preserve"> REF _Ref74852148 \h  \* MERGEFORMAT </w:instrText>
      </w:r>
      <w:r w:rsidR="006332EA" w:rsidRPr="00597704">
        <w:fldChar w:fldCharType="separate"/>
      </w:r>
      <w:r w:rsidR="00715347" w:rsidRPr="00C578EB">
        <w:t xml:space="preserve">Table </w:t>
      </w:r>
      <w:r w:rsidR="00715347">
        <w:rPr>
          <w:noProof/>
        </w:rPr>
        <w:t>12</w:t>
      </w:r>
      <w:r w:rsidR="006332EA" w:rsidRPr="00597704">
        <w:fldChar w:fldCharType="end"/>
      </w:r>
      <w:r w:rsidR="006332EA" w:rsidRPr="00C578EB">
        <w:t xml:space="preserve">. The averages presented in </w:t>
      </w:r>
      <w:r w:rsidR="006332EA" w:rsidRPr="00C578EB">
        <w:lastRenderedPageBreak/>
        <w:t xml:space="preserve">the tables below are a weighted combination of the assumptions by Projection Group for each support category. </w:t>
      </w:r>
    </w:p>
    <w:p w14:paraId="5CC17089" w14:textId="63B8B532" w:rsidR="006332EA" w:rsidRPr="00C578EB" w:rsidRDefault="006332EA" w:rsidP="007B2293">
      <w:pPr>
        <w:pStyle w:val="Tables"/>
      </w:pPr>
      <w:bookmarkStart w:id="152" w:name="_Ref74852148"/>
      <w:r w:rsidRPr="00C578EB">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12</w:t>
      </w:r>
      <w:r w:rsidR="00C04E1B" w:rsidRPr="00597704">
        <w:rPr>
          <w:noProof/>
        </w:rPr>
        <w:fldChar w:fldCharType="end"/>
      </w:r>
      <w:bookmarkEnd w:id="152"/>
      <w:r w:rsidRPr="00C578EB">
        <w:t xml:space="preserve"> Average annual payments ($) by age band and support category in 202</w:t>
      </w:r>
      <w:r w:rsidR="00B648E8" w:rsidRPr="00C578EB">
        <w:t>1</w:t>
      </w:r>
      <w:r w:rsidRPr="00C578EB">
        <w:t>-2</w:t>
      </w:r>
      <w:r w:rsidR="00B648E8" w:rsidRPr="00C578EB">
        <w:t>2</w:t>
      </w:r>
      <w:r w:rsidRPr="00C578EB">
        <w:t xml:space="preserve"> (current dollars)</w:t>
      </w:r>
    </w:p>
    <w:p w14:paraId="0B99B74A" w14:textId="7BD4FFB9" w:rsidR="005921B9" w:rsidRPr="00C578EB" w:rsidRDefault="00E540D5" w:rsidP="007B2293">
      <w:pPr>
        <w:pStyle w:val="FSRnormal"/>
      </w:pPr>
      <w:r w:rsidRPr="00597704">
        <w:rPr>
          <w:noProof/>
          <w:lang w:eastAsia="en-AU"/>
        </w:rPr>
        <w:drawing>
          <wp:inline distT="0" distB="0" distL="0" distR="0" wp14:anchorId="6896D370" wp14:editId="21D2D681">
            <wp:extent cx="5731510" cy="2053913"/>
            <wp:effectExtent l="0" t="0" r="2540" b="381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1510" cy="2053913"/>
                    </a:xfrm>
                    <a:prstGeom prst="rect">
                      <a:avLst/>
                    </a:prstGeom>
                    <a:noFill/>
                    <a:ln>
                      <a:noFill/>
                    </a:ln>
                  </pic:spPr>
                </pic:pic>
              </a:graphicData>
            </a:graphic>
          </wp:inline>
        </w:drawing>
      </w:r>
    </w:p>
    <w:p w14:paraId="40DB4E3F" w14:textId="48655791" w:rsidR="00E540D5" w:rsidRPr="00C578EB" w:rsidRDefault="00E540D5" w:rsidP="007B2293">
      <w:pPr>
        <w:pStyle w:val="FSRnormal"/>
      </w:pPr>
      <w:r w:rsidRPr="00597704">
        <w:rPr>
          <w:noProof/>
          <w:lang w:eastAsia="en-AU"/>
        </w:rPr>
        <w:drawing>
          <wp:inline distT="0" distB="0" distL="0" distR="0" wp14:anchorId="1196D5B6" wp14:editId="525821CE">
            <wp:extent cx="5731510" cy="2053913"/>
            <wp:effectExtent l="0" t="0" r="2540" b="381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1510" cy="2053913"/>
                    </a:xfrm>
                    <a:prstGeom prst="rect">
                      <a:avLst/>
                    </a:prstGeom>
                    <a:noFill/>
                    <a:ln>
                      <a:noFill/>
                    </a:ln>
                  </pic:spPr>
                </pic:pic>
              </a:graphicData>
            </a:graphic>
          </wp:inline>
        </w:drawing>
      </w:r>
    </w:p>
    <w:p w14:paraId="2898997E" w14:textId="77777777" w:rsidR="00D40AB0" w:rsidRDefault="00D40AB0">
      <w:pPr>
        <w:spacing w:after="160" w:line="259" w:lineRule="auto"/>
        <w:rPr>
          <w:rFonts w:eastAsiaTheme="minorHAnsi"/>
          <w:b/>
          <w:color w:val="6A2875"/>
          <w:sz w:val="36"/>
          <w:szCs w:val="44"/>
        </w:rPr>
      </w:pPr>
      <w:bookmarkStart w:id="153" w:name="_Toc74932419"/>
      <w:bookmarkStart w:id="154" w:name="_Toc75034645"/>
      <w:bookmarkStart w:id="155" w:name="_Toc75035702"/>
      <w:bookmarkStart w:id="156" w:name="_Toc75036691"/>
      <w:bookmarkStart w:id="157" w:name="_Toc74852207"/>
      <w:bookmarkStart w:id="158" w:name="_Toc74853360"/>
      <w:bookmarkStart w:id="159" w:name="_Toc74924958"/>
      <w:bookmarkStart w:id="160" w:name="_Toc74932420"/>
      <w:bookmarkStart w:id="161" w:name="_Toc75034646"/>
      <w:bookmarkStart w:id="162" w:name="_Toc75035703"/>
      <w:bookmarkStart w:id="163" w:name="_Toc75036692"/>
      <w:bookmarkStart w:id="164" w:name="_Ref76048809"/>
      <w:bookmarkEnd w:id="153"/>
      <w:bookmarkEnd w:id="154"/>
      <w:bookmarkEnd w:id="155"/>
      <w:bookmarkEnd w:id="156"/>
      <w:bookmarkEnd w:id="157"/>
      <w:bookmarkEnd w:id="158"/>
      <w:bookmarkEnd w:id="159"/>
      <w:bookmarkEnd w:id="160"/>
      <w:bookmarkEnd w:id="161"/>
      <w:bookmarkEnd w:id="162"/>
      <w:bookmarkEnd w:id="163"/>
      <w:r>
        <w:br w:type="page"/>
      </w:r>
    </w:p>
    <w:p w14:paraId="3B1AEEAE" w14:textId="64F510F6" w:rsidR="006F104A" w:rsidRPr="00C578EB" w:rsidRDefault="006F104A" w:rsidP="006F104A">
      <w:pPr>
        <w:pStyle w:val="FSRHeading2"/>
        <w:numPr>
          <w:ilvl w:val="1"/>
          <w:numId w:val="1"/>
        </w:numPr>
        <w:ind w:left="907" w:hanging="907"/>
      </w:pPr>
      <w:bookmarkStart w:id="165" w:name="_Toc76132731"/>
      <w:r w:rsidRPr="00C578EB">
        <w:lastRenderedPageBreak/>
        <w:t>Inflation</w:t>
      </w:r>
      <w:r w:rsidR="00C129EB" w:rsidRPr="00C578EB">
        <w:t xml:space="preserve"> assumptions</w:t>
      </w:r>
      <w:bookmarkEnd w:id="164"/>
      <w:bookmarkEnd w:id="165"/>
    </w:p>
    <w:p w14:paraId="308008B9" w14:textId="77777777" w:rsidR="00650C77" w:rsidRPr="00C578EB" w:rsidRDefault="00650C77" w:rsidP="00650C77">
      <w:pPr>
        <w:keepNext/>
        <w:spacing w:before="240"/>
        <w:rPr>
          <w:b/>
          <w:i/>
          <w:color w:val="6B2976"/>
          <w:sz w:val="25"/>
        </w:rPr>
      </w:pPr>
      <w:r w:rsidRPr="00C578EB">
        <w:rPr>
          <w:b/>
          <w:i/>
          <w:color w:val="6B2976"/>
          <w:sz w:val="25"/>
        </w:rPr>
        <w:t>Normal inflation</w:t>
      </w:r>
    </w:p>
    <w:p w14:paraId="0C6082D6" w14:textId="37B16C71" w:rsidR="00650C77" w:rsidRPr="00C578EB" w:rsidRDefault="00607B6B" w:rsidP="00650C77">
      <w:pPr>
        <w:spacing w:before="240"/>
      </w:pPr>
      <w:r w:rsidRPr="00C578EB">
        <w:t>Participant costs are assumed to increase over time with inflation (examples of inflationary sources include general increases in wages and consumer prices)</w:t>
      </w:r>
      <w:r w:rsidR="00C76484" w:rsidRPr="00C578EB">
        <w:t xml:space="preserve">. </w:t>
      </w:r>
    </w:p>
    <w:p w14:paraId="72A9E5D6" w14:textId="0E0FDACD" w:rsidR="00650C77" w:rsidRPr="00C578EB" w:rsidRDefault="00650C77" w:rsidP="00650C77">
      <w:pPr>
        <w:spacing w:before="240"/>
      </w:pPr>
      <w:r w:rsidRPr="00C578EB">
        <w:rPr>
          <w:szCs w:val="22"/>
        </w:rPr>
        <w:t>The adopted inflation rate for the coming four years is 2.6% to 2.7% per annum, increasing to 3.2% to 3.3% per annum in the longer term</w:t>
      </w:r>
      <w:r w:rsidRPr="00C578EB">
        <w:t>. This comprises</w:t>
      </w:r>
      <w:r w:rsidR="00C76484" w:rsidRPr="00C578EB">
        <w:t xml:space="preserve"> of</w:t>
      </w:r>
      <w:r w:rsidRPr="00C578EB">
        <w:t>:</w:t>
      </w:r>
    </w:p>
    <w:p w14:paraId="7AE33BD3" w14:textId="77777777" w:rsidR="00650C77" w:rsidRPr="00C578EB" w:rsidRDefault="00650C77" w:rsidP="00650C77">
      <w:pPr>
        <w:numPr>
          <w:ilvl w:val="0"/>
          <w:numId w:val="4"/>
        </w:numPr>
        <w:spacing w:before="120" w:after="120"/>
        <w:ind w:left="360"/>
        <w:rPr>
          <w:b/>
        </w:rPr>
      </w:pPr>
      <w:r w:rsidRPr="00C578EB">
        <w:rPr>
          <w:b/>
        </w:rPr>
        <w:t>3.0% per annual for attendant care rates</w:t>
      </w:r>
      <w:r w:rsidRPr="00C578EB">
        <w:t>, which incorporates an additional 0.5% per annum for five years to allow for increases in the minimum employer superannuation contribution; and</w:t>
      </w:r>
    </w:p>
    <w:p w14:paraId="7A7AFBDE" w14:textId="0F1F905B" w:rsidR="00650C77" w:rsidRPr="00C578EB" w:rsidRDefault="00650C77" w:rsidP="00650C77">
      <w:pPr>
        <w:numPr>
          <w:ilvl w:val="0"/>
          <w:numId w:val="4"/>
        </w:numPr>
        <w:spacing w:before="120" w:after="120"/>
        <w:ind w:left="360"/>
      </w:pPr>
      <w:r w:rsidRPr="00C578EB">
        <w:rPr>
          <w:b/>
        </w:rPr>
        <w:t xml:space="preserve">Rates varying between 1.5% to 2.5% per annum for </w:t>
      </w:r>
      <w:r w:rsidR="00C76484" w:rsidRPr="00C578EB">
        <w:rPr>
          <w:b/>
        </w:rPr>
        <w:t xml:space="preserve">the remaining </w:t>
      </w:r>
      <w:r w:rsidRPr="00C578EB">
        <w:rPr>
          <w:b/>
        </w:rPr>
        <w:t xml:space="preserve">support categories </w:t>
      </w:r>
      <w:r w:rsidRPr="00C578EB">
        <w:t xml:space="preserve">(predominantly assistive technology, home modifications and therapy supports). This increase is based on the target Consumer Price Index range currently adopted by </w:t>
      </w:r>
      <w:r w:rsidR="00A60FA5" w:rsidRPr="00C578EB">
        <w:t xml:space="preserve">the Commonwealth </w:t>
      </w:r>
      <w:r w:rsidRPr="00C578EB">
        <w:t>Treasury</w:t>
      </w:r>
      <w:r w:rsidR="00A60FA5" w:rsidRPr="00C578EB">
        <w:t xml:space="preserve"> department</w:t>
      </w:r>
      <w:r w:rsidRPr="00C578EB">
        <w:t>.</w:t>
      </w:r>
    </w:p>
    <w:p w14:paraId="1EF14C73" w14:textId="24108E3F" w:rsidR="00C76484" w:rsidRPr="00C578EB" w:rsidRDefault="00C76484" w:rsidP="007B2293">
      <w:pPr>
        <w:pStyle w:val="Tables"/>
      </w:pPr>
      <w:r w:rsidRPr="00C578EB">
        <w:t xml:space="preserve">Table </w:t>
      </w:r>
      <w:r w:rsidRPr="00597704">
        <w:fldChar w:fldCharType="begin"/>
      </w:r>
      <w:r w:rsidRPr="00C578EB">
        <w:instrText xml:space="preserve"> SEQ Table \* ARABIC </w:instrText>
      </w:r>
      <w:r w:rsidRPr="00597704">
        <w:fldChar w:fldCharType="separate"/>
      </w:r>
      <w:r w:rsidR="00715347">
        <w:rPr>
          <w:noProof/>
        </w:rPr>
        <w:t>13</w:t>
      </w:r>
      <w:r w:rsidRPr="00597704">
        <w:fldChar w:fldCharType="end"/>
      </w:r>
      <w:r w:rsidRPr="00C578EB">
        <w:t xml:space="preserve"> Selected normal inflation rates</w:t>
      </w:r>
    </w:p>
    <w:p w14:paraId="304658EB" w14:textId="3C2295F1" w:rsidR="005921B9" w:rsidRPr="00C578EB" w:rsidRDefault="005921B9" w:rsidP="007B2293">
      <w:pPr>
        <w:pStyle w:val="FSRnormal"/>
      </w:pPr>
      <w:r w:rsidRPr="00597704">
        <w:rPr>
          <w:noProof/>
          <w:lang w:eastAsia="en-AU"/>
        </w:rPr>
        <w:drawing>
          <wp:inline distT="0" distB="0" distL="0" distR="0" wp14:anchorId="58F25B34" wp14:editId="75A4F33F">
            <wp:extent cx="5248910" cy="962025"/>
            <wp:effectExtent l="0" t="0" r="889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248910" cy="962025"/>
                    </a:xfrm>
                    <a:prstGeom prst="rect">
                      <a:avLst/>
                    </a:prstGeom>
                    <a:noFill/>
                    <a:ln>
                      <a:noFill/>
                    </a:ln>
                  </pic:spPr>
                </pic:pic>
              </a:graphicData>
            </a:graphic>
          </wp:inline>
        </w:drawing>
      </w:r>
    </w:p>
    <w:p w14:paraId="50CA1BAE" w14:textId="77777777" w:rsidR="00650C77" w:rsidRPr="00C578EB" w:rsidRDefault="00650C77" w:rsidP="00650C77">
      <w:pPr>
        <w:keepNext/>
        <w:spacing w:before="240"/>
        <w:rPr>
          <w:b/>
          <w:i/>
          <w:color w:val="6B2976"/>
          <w:sz w:val="25"/>
        </w:rPr>
      </w:pPr>
      <w:r w:rsidRPr="00C578EB">
        <w:rPr>
          <w:b/>
          <w:i/>
          <w:color w:val="6B2976"/>
          <w:sz w:val="25"/>
        </w:rPr>
        <w:t>Superimposed inflation</w:t>
      </w:r>
    </w:p>
    <w:p w14:paraId="527045DA" w14:textId="3A166C16" w:rsidR="00C84A85" w:rsidRPr="00C578EB" w:rsidRDefault="00650C77" w:rsidP="00650C77">
      <w:pPr>
        <w:spacing w:before="240"/>
        <w:rPr>
          <w:szCs w:val="22"/>
        </w:rPr>
      </w:pPr>
      <w:r w:rsidRPr="00C578EB">
        <w:t xml:space="preserve">Superimposed inflation is defined as the increase in average payments above the normal inflation rate. </w:t>
      </w:r>
      <w:r w:rsidRPr="00C578EB">
        <w:rPr>
          <w:szCs w:val="22"/>
        </w:rPr>
        <w:t xml:space="preserve">In the early years of the Scheme, this inflation reflected the dynamic and rapidly changing environment of a newly established scheme. However, these high levels of superimposed inflation have persisted or increased over time, despite the increasing maturity of the Scheme. </w:t>
      </w:r>
      <w:r w:rsidR="00C84A85" w:rsidRPr="00C578EB">
        <w:rPr>
          <w:szCs w:val="22"/>
        </w:rPr>
        <w:t xml:space="preserve">This is evidenced in the observed inflation of </w:t>
      </w:r>
      <w:r w:rsidR="007C69C6" w:rsidRPr="00C578EB">
        <w:rPr>
          <w:szCs w:val="22"/>
        </w:rPr>
        <w:t>15-17% per annum</w:t>
      </w:r>
      <w:r w:rsidR="00C84A85" w:rsidRPr="00C578EB">
        <w:rPr>
          <w:szCs w:val="22"/>
        </w:rPr>
        <w:t xml:space="preserve"> over the past two years for both SIL and non-SIL participants.</w:t>
      </w:r>
    </w:p>
    <w:p w14:paraId="5FF4F8B4" w14:textId="6F340845" w:rsidR="00C76484" w:rsidRPr="00C578EB" w:rsidRDefault="00650C77" w:rsidP="00650C77">
      <w:pPr>
        <w:spacing w:before="240"/>
      </w:pPr>
      <w:r w:rsidRPr="00C578EB">
        <w:rPr>
          <w:szCs w:val="22"/>
        </w:rPr>
        <w:t>The sustained high levels of superimposed inflation remain one of the most critical sustainability pressures for the Scheme given its material impact on projected costs</w:t>
      </w:r>
      <w:r w:rsidR="00C84A85" w:rsidRPr="00C578EB">
        <w:rPr>
          <w:szCs w:val="22"/>
        </w:rPr>
        <w:t xml:space="preserve">. </w:t>
      </w:r>
      <w:r w:rsidR="00C84A85" w:rsidRPr="00C578EB">
        <w:t>T</w:t>
      </w:r>
      <w:r w:rsidRPr="00C578EB">
        <w:t>he main sources of expected superimposed inflation going forward are discussed below.</w:t>
      </w:r>
    </w:p>
    <w:p w14:paraId="0434217A" w14:textId="77777777" w:rsidR="00650C77" w:rsidRPr="00C578EB" w:rsidRDefault="00650C77" w:rsidP="007B2293">
      <w:pPr>
        <w:pStyle w:val="FSRHeading5"/>
        <w:spacing w:before="120"/>
        <w:rPr>
          <w:b w:val="0"/>
          <w:i w:val="0"/>
        </w:rPr>
      </w:pPr>
      <w:r w:rsidRPr="00C578EB">
        <w:t>Increased focus on participant experience</w:t>
      </w:r>
    </w:p>
    <w:p w14:paraId="5EF4FBB7" w14:textId="77777777" w:rsidR="00650C77" w:rsidRPr="00C578EB" w:rsidRDefault="00650C77" w:rsidP="00650C77">
      <w:pPr>
        <w:numPr>
          <w:ilvl w:val="0"/>
          <w:numId w:val="4"/>
        </w:numPr>
        <w:spacing w:before="120" w:after="120"/>
        <w:ind w:left="360"/>
      </w:pPr>
      <w:r w:rsidRPr="00C578EB">
        <w:rPr>
          <w:b/>
        </w:rPr>
        <w:t>Increasing use of support coordination and of plan management.</w:t>
      </w:r>
      <w:r w:rsidRPr="00C578EB">
        <w:t xml:space="preserve"> This reflects a greater desire from participants for more choice and control. </w:t>
      </w:r>
    </w:p>
    <w:p w14:paraId="776996BC" w14:textId="28B99984" w:rsidR="00650C77" w:rsidRPr="00C578EB" w:rsidRDefault="00650C77">
      <w:pPr>
        <w:numPr>
          <w:ilvl w:val="0"/>
          <w:numId w:val="4"/>
        </w:numPr>
        <w:spacing w:before="120" w:after="120"/>
        <w:ind w:left="360"/>
        <w:rPr>
          <w:rFonts w:eastAsia="Times New Roman"/>
          <w:b/>
        </w:rPr>
      </w:pPr>
      <w:r w:rsidRPr="00C578EB">
        <w:rPr>
          <w:b/>
        </w:rPr>
        <w:t xml:space="preserve">Allowance for inflation from unanticipated sources. </w:t>
      </w:r>
      <w:r w:rsidRPr="00C578EB">
        <w:t xml:space="preserve">There are inevitably cost pressures from unknown and unanticipated sources which emerge over time. While these unanticipated cost pressures may lead to both cost increases and cost reductions, the experience of the Scheme to date has seen significant bias towards cost increases. </w:t>
      </w:r>
    </w:p>
    <w:p w14:paraId="28C8A2C9" w14:textId="77777777" w:rsidR="00650C77" w:rsidRPr="00C578EB" w:rsidRDefault="00650C77" w:rsidP="007B2293">
      <w:pPr>
        <w:pStyle w:val="FSRHeading5"/>
        <w:rPr>
          <w:b w:val="0"/>
          <w:i w:val="0"/>
        </w:rPr>
      </w:pPr>
      <w:r w:rsidRPr="00C578EB">
        <w:lastRenderedPageBreak/>
        <w:t>Emerging cost pressures due to interactions with the mainstream interfaces</w:t>
      </w:r>
    </w:p>
    <w:p w14:paraId="1B184B38" w14:textId="6E361815" w:rsidR="00650C77" w:rsidRPr="00C578EB" w:rsidRDefault="00650C77" w:rsidP="009630FF">
      <w:pPr>
        <w:spacing w:before="120" w:after="120"/>
      </w:pPr>
      <w:r w:rsidRPr="00C578EB">
        <w:rPr>
          <w:szCs w:val="22"/>
        </w:rPr>
        <w:t>The Scheme is facing a number of pressures related to Scheme entry and funding decisions</w:t>
      </w:r>
      <w:r w:rsidR="00B836CC" w:rsidRPr="00C578EB">
        <w:rPr>
          <w:szCs w:val="22"/>
        </w:rPr>
        <w:t xml:space="preserve">, including the intersection with </w:t>
      </w:r>
      <w:r w:rsidRPr="00C578EB">
        <w:t>mainstream interfaces</w:t>
      </w:r>
      <w:r w:rsidRPr="00C578EB">
        <w:rPr>
          <w:szCs w:val="22"/>
        </w:rPr>
        <w:t>.</w:t>
      </w:r>
      <w:r w:rsidR="00B836CC" w:rsidRPr="00C578EB">
        <w:t xml:space="preserve"> </w:t>
      </w:r>
      <w:r w:rsidRPr="00C578EB">
        <w:t>Expansion of coverage means the Scheme may be required to meet unanticipated costs that would otherwise be met through the State/Territory education, health, transport, or justice systems. The following sources of superimposed inflation due to Scheme interfaces with mainstream services have been allowed for in the model.</w:t>
      </w:r>
    </w:p>
    <w:p w14:paraId="0E0A5A32" w14:textId="192552A8" w:rsidR="00650C77" w:rsidRPr="00C578EB" w:rsidRDefault="00650C77" w:rsidP="00650C77">
      <w:pPr>
        <w:numPr>
          <w:ilvl w:val="0"/>
          <w:numId w:val="4"/>
        </w:numPr>
        <w:spacing w:before="120" w:after="120"/>
        <w:ind w:left="360"/>
      </w:pPr>
      <w:r w:rsidRPr="00C578EB">
        <w:rPr>
          <w:b/>
        </w:rPr>
        <w:t>Allowance for participants in taxi subsidies schemes</w:t>
      </w:r>
      <w:r w:rsidRPr="00C578EB">
        <w:t>. These costs are currently being met through the taxi subsidy schemes and are paid for</w:t>
      </w:r>
      <w:r w:rsidR="00607B6B" w:rsidRPr="00C578EB">
        <w:t xml:space="preserve"> by the Agency</w:t>
      </w:r>
      <w:r w:rsidRPr="00C578EB">
        <w:t xml:space="preserve"> off-system. </w:t>
      </w:r>
    </w:p>
    <w:p w14:paraId="3E32E224" w14:textId="129B48F3" w:rsidR="00650C77" w:rsidRPr="00C578EB" w:rsidRDefault="00650C77" w:rsidP="00650C77">
      <w:pPr>
        <w:numPr>
          <w:ilvl w:val="0"/>
          <w:numId w:val="4"/>
        </w:numPr>
        <w:spacing w:before="120" w:after="120"/>
        <w:ind w:left="360"/>
      </w:pPr>
      <w:r w:rsidRPr="00C578EB">
        <w:rPr>
          <w:b/>
        </w:rPr>
        <w:t>The Agency’s new supported employment strategy.</w:t>
      </w:r>
      <w:r w:rsidRPr="00C578EB">
        <w:t xml:space="preserve"> In 2020</w:t>
      </w:r>
      <w:r w:rsidRPr="00C578EB">
        <w:noBreakHyphen/>
        <w:t xml:space="preserve">21, a new pricing framework which introduces an hours-based, per-participant model was implemented. However due to the pandemic, the new supported employment strategy was unlikely to have gained traction over 2020-21. The impact is now expected to arise over 2021-22 and 2022-23. </w:t>
      </w:r>
    </w:p>
    <w:p w14:paraId="136C3728" w14:textId="31179CB0" w:rsidR="00C76484" w:rsidRPr="00C578EB" w:rsidRDefault="00650C77">
      <w:pPr>
        <w:numPr>
          <w:ilvl w:val="0"/>
          <w:numId w:val="4"/>
        </w:numPr>
        <w:spacing w:before="120" w:after="120"/>
        <w:ind w:left="360"/>
      </w:pPr>
      <w:r w:rsidRPr="00C578EB">
        <w:rPr>
          <w:b/>
        </w:rPr>
        <w:t>An allowance for additional inflation</w:t>
      </w:r>
      <w:r w:rsidRPr="00C578EB">
        <w:t xml:space="preserve"> is designed to cover potential changes where the impact of mainstream interfaces are not yet confirmed but are likely to result in cost deterioration over time.</w:t>
      </w:r>
      <w:r w:rsidRPr="00C578EB">
        <w:rPr>
          <w:vertAlign w:val="superscript"/>
        </w:rPr>
        <w:footnoteReference w:id="55"/>
      </w:r>
      <w:r w:rsidRPr="00C578EB">
        <w:t xml:space="preserve"> For example, erosion of access criteria for people with chronic health conditions, expansion of personal care in schools and school transport, resolution of transport interface (including removal of taxi subsidies), and clarification of funding for children in out-of-home care. </w:t>
      </w:r>
    </w:p>
    <w:p w14:paraId="071FE9B5" w14:textId="77777777" w:rsidR="00650C77" w:rsidRPr="00C578EB" w:rsidRDefault="00650C77" w:rsidP="007B2293">
      <w:pPr>
        <w:pStyle w:val="FSRHeading5"/>
        <w:rPr>
          <w:b w:val="0"/>
          <w:i w:val="0"/>
        </w:rPr>
      </w:pPr>
      <w:r w:rsidRPr="00C578EB">
        <w:t>The Scheme is rapidly maturing</w:t>
      </w:r>
    </w:p>
    <w:p w14:paraId="6E55802B" w14:textId="51A656A7" w:rsidR="00650C77" w:rsidRPr="00C578EB" w:rsidRDefault="00650C77" w:rsidP="00650C77">
      <w:pPr>
        <w:numPr>
          <w:ilvl w:val="0"/>
          <w:numId w:val="4"/>
        </w:numPr>
        <w:spacing w:before="120" w:after="120"/>
        <w:ind w:left="360"/>
      </w:pPr>
      <w:r w:rsidRPr="00C578EB">
        <w:rPr>
          <w:b/>
        </w:rPr>
        <w:t>Utilisation expected to increase over time.</w:t>
      </w:r>
      <w:r w:rsidR="0061461D" w:rsidRPr="00C578EB">
        <w:rPr>
          <w:rStyle w:val="FootnoteReference"/>
          <w:b/>
        </w:rPr>
        <w:footnoteReference w:id="56"/>
      </w:r>
      <w:r w:rsidRPr="00C578EB">
        <w:t xml:space="preserve"> As participants become more familiar and adept at navigating the Scheme, and the provider market for supports develops, utilisation of plan budgets is expected to increase towards an ultimate level. </w:t>
      </w:r>
      <w:r w:rsidR="000C309D">
        <w:t xml:space="preserve">There is significant upside risk in this assumption. </w:t>
      </w:r>
    </w:p>
    <w:p w14:paraId="6122F365" w14:textId="77777777" w:rsidR="00650C77" w:rsidRPr="00C578EB" w:rsidRDefault="00650C77" w:rsidP="00650C77">
      <w:pPr>
        <w:numPr>
          <w:ilvl w:val="0"/>
          <w:numId w:val="4"/>
        </w:numPr>
        <w:spacing w:before="120" w:after="120"/>
        <w:ind w:left="360"/>
      </w:pPr>
      <w:r w:rsidRPr="00C578EB">
        <w:rPr>
          <w:b/>
        </w:rPr>
        <w:t>Unwinding the Temporary Transformation Payment (TTP).</w:t>
      </w:r>
      <w:r w:rsidRPr="00C578EB">
        <w:t xml:space="preserve"> A </w:t>
      </w:r>
      <w:r w:rsidRPr="00C578EB">
        <w:rPr>
          <w:rFonts w:cs="Arial"/>
        </w:rPr>
        <w:t xml:space="preserve">7.5% TTP, </w:t>
      </w:r>
      <w:r w:rsidRPr="00C578EB">
        <w:t xml:space="preserve">introduced at 1 July 2019, was designed to support providers as they moved from previous block funding arrangements to the Scheme, thereby offsetting </w:t>
      </w:r>
      <w:r w:rsidRPr="00C578EB">
        <w:rPr>
          <w:rFonts w:cs="Arial"/>
        </w:rPr>
        <w:t>some of the short-term overhead costs of transitioning into the Scheme</w:t>
      </w:r>
      <w:r w:rsidRPr="00C578EB">
        <w:t>. The removal of the TTP is expected to occur over the next five years, leading to future reductions in costs.</w:t>
      </w:r>
    </w:p>
    <w:p w14:paraId="14E05A9C" w14:textId="10DCEE3A" w:rsidR="00650C77" w:rsidRPr="00C578EB" w:rsidRDefault="00650C77" w:rsidP="00650C77">
      <w:pPr>
        <w:numPr>
          <w:ilvl w:val="0"/>
          <w:numId w:val="4"/>
        </w:numPr>
        <w:spacing w:before="120" w:after="120"/>
        <w:ind w:left="360"/>
      </w:pPr>
      <w:r w:rsidRPr="00C578EB">
        <w:rPr>
          <w:b/>
        </w:rPr>
        <w:t>Payment calibration bias.</w:t>
      </w:r>
      <w:r w:rsidRPr="00C578EB">
        <w:rPr>
          <w:rFonts w:eastAsia="Times New Roman"/>
        </w:rPr>
        <w:t xml:space="preserve"> Participants from existing State/Territory programs have higher payment levels than those from Commonwealth programs or those previously not receiving supports. Analysis has shown that there is an implicit bias in the payment assumptions as these participants currently make up a greater proportion of participants </w:t>
      </w:r>
      <w:r w:rsidR="00CD6F0C" w:rsidRPr="00C578EB">
        <w:rPr>
          <w:rFonts w:eastAsia="Times New Roman"/>
        </w:rPr>
        <w:t>than they will in the future</w:t>
      </w:r>
      <w:r w:rsidRPr="00C578EB">
        <w:rPr>
          <w:rFonts w:eastAsia="Times New Roman"/>
        </w:rPr>
        <w:t>. A decrease in projected Scheme costs is thus expected as the participant profile changes and this payment bias recedes.</w:t>
      </w:r>
    </w:p>
    <w:p w14:paraId="7E00E23E" w14:textId="10D0F1B8" w:rsidR="00650C77" w:rsidRPr="00C578EB" w:rsidRDefault="00650C77" w:rsidP="00650C77">
      <w:pPr>
        <w:numPr>
          <w:ilvl w:val="0"/>
          <w:numId w:val="4"/>
        </w:numPr>
        <w:spacing w:before="120" w:after="120"/>
        <w:ind w:left="360"/>
      </w:pPr>
      <w:r w:rsidRPr="00C578EB">
        <w:rPr>
          <w:b/>
        </w:rPr>
        <w:lastRenderedPageBreak/>
        <w:t>Increases in the usage of specialist disability accommodation (SDA).</w:t>
      </w:r>
      <w:r w:rsidRPr="00C578EB">
        <w:t xml:space="preserve"> </w:t>
      </w:r>
      <w:r w:rsidRPr="00C578EB">
        <w:rPr>
          <w:rFonts w:eastAsia="Times New Roman"/>
        </w:rPr>
        <w:t xml:space="preserve">Over time more participants are expected to access SIL arrangements and this will increase SDA costs. In addition, around 35% of current participants in SIL do not yet have SDA in their plans and costs are expected to increase </w:t>
      </w:r>
      <w:r w:rsidR="006B2743" w:rsidRPr="00C578EB">
        <w:rPr>
          <w:rFonts w:eastAsia="Times New Roman"/>
        </w:rPr>
        <w:t>for this reason</w:t>
      </w:r>
      <w:r w:rsidRPr="00C578EB">
        <w:rPr>
          <w:rFonts w:eastAsia="Times New Roman"/>
        </w:rPr>
        <w:t xml:space="preserve">. </w:t>
      </w:r>
    </w:p>
    <w:p w14:paraId="02F460FC" w14:textId="77777777" w:rsidR="00650C77" w:rsidRPr="00C578EB" w:rsidRDefault="00650C77" w:rsidP="00650C77">
      <w:pPr>
        <w:numPr>
          <w:ilvl w:val="0"/>
          <w:numId w:val="4"/>
        </w:numPr>
        <w:spacing w:before="120" w:after="120"/>
        <w:ind w:left="360"/>
      </w:pPr>
      <w:r w:rsidRPr="00C578EB">
        <w:rPr>
          <w:b/>
        </w:rPr>
        <w:t>An allowance for additional inflation</w:t>
      </w:r>
      <w:r w:rsidRPr="00C578EB">
        <w:t xml:space="preserve"> to allow for further “unidentified” areas of growth. This follows the high proportion of unaccounted sources of inflation seen in historical inflation experience over the past two years.</w:t>
      </w:r>
    </w:p>
    <w:p w14:paraId="628FEC93" w14:textId="6460603A" w:rsidR="00607B6B" w:rsidRPr="00C578EB" w:rsidRDefault="00650C77" w:rsidP="00650C77">
      <w:pPr>
        <w:spacing w:before="240"/>
      </w:pPr>
      <w:r w:rsidRPr="00C578EB">
        <w:t>The following table shows that the overall impact of superimposed inflation is estimated to be a 14.</w:t>
      </w:r>
      <w:r w:rsidR="00BA6748" w:rsidRPr="00C578EB">
        <w:t>3</w:t>
      </w:r>
      <w:r w:rsidRPr="00C578EB">
        <w:t xml:space="preserve">% increase in costs </w:t>
      </w:r>
      <w:r w:rsidR="007F2FEE" w:rsidRPr="00C578EB">
        <w:t>until 2029-30</w:t>
      </w:r>
      <w:r w:rsidRPr="00C578EB">
        <w:t>.</w:t>
      </w:r>
      <w:r w:rsidR="00D21AB9" w:rsidRPr="00C578EB">
        <w:t xml:space="preserve"> This impact is expected to be more significant over the first four years.</w:t>
      </w:r>
    </w:p>
    <w:p w14:paraId="02E63CFB" w14:textId="63367806" w:rsidR="00607B6B" w:rsidRPr="00C578EB" w:rsidRDefault="00607B6B" w:rsidP="007B2293">
      <w:pPr>
        <w:pStyle w:val="Tables"/>
      </w:pPr>
      <w:r w:rsidRPr="00C578EB">
        <w:t xml:space="preserve">Table </w:t>
      </w:r>
      <w:r w:rsidRPr="00597704">
        <w:fldChar w:fldCharType="begin"/>
      </w:r>
      <w:r w:rsidRPr="00C578EB">
        <w:instrText xml:space="preserve"> SEQ Table \* ARABIC </w:instrText>
      </w:r>
      <w:r w:rsidRPr="00597704">
        <w:fldChar w:fldCharType="separate"/>
      </w:r>
      <w:r w:rsidR="00715347">
        <w:rPr>
          <w:noProof/>
        </w:rPr>
        <w:t>14</w:t>
      </w:r>
      <w:r w:rsidRPr="00597704">
        <w:fldChar w:fldCharType="end"/>
      </w:r>
      <w:r w:rsidRPr="00C578EB">
        <w:t xml:space="preserve"> Impact of adopted superimposed inflation assumptions on payments</w:t>
      </w:r>
    </w:p>
    <w:p w14:paraId="438892D0" w14:textId="35D23E13" w:rsidR="005921B9" w:rsidRPr="00C578EB" w:rsidRDefault="0061461D" w:rsidP="007B2293">
      <w:pPr>
        <w:pStyle w:val="FSRnormal"/>
      </w:pPr>
      <w:r w:rsidRPr="00597704">
        <w:rPr>
          <w:noProof/>
          <w:lang w:eastAsia="en-AU"/>
        </w:rPr>
        <w:drawing>
          <wp:inline distT="0" distB="0" distL="0" distR="0" wp14:anchorId="701B6E8E" wp14:editId="4B5A8B4D">
            <wp:extent cx="5731510" cy="2220971"/>
            <wp:effectExtent l="0" t="0" r="2540" b="825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1510" cy="2220971"/>
                    </a:xfrm>
                    <a:prstGeom prst="rect">
                      <a:avLst/>
                    </a:prstGeom>
                    <a:noFill/>
                    <a:ln>
                      <a:noFill/>
                    </a:ln>
                  </pic:spPr>
                </pic:pic>
              </a:graphicData>
            </a:graphic>
          </wp:inline>
        </w:drawing>
      </w:r>
    </w:p>
    <w:p w14:paraId="1DA10FC5" w14:textId="0B72ECF2" w:rsidR="00607B6B" w:rsidRPr="00C578EB" w:rsidRDefault="00607B6B" w:rsidP="007B2293">
      <w:pPr>
        <w:keepNext/>
        <w:spacing w:before="240"/>
        <w:rPr>
          <w:b/>
          <w:i/>
          <w:color w:val="6B2976"/>
          <w:sz w:val="25"/>
        </w:rPr>
      </w:pPr>
      <w:r w:rsidRPr="00C578EB">
        <w:rPr>
          <w:b/>
          <w:i/>
          <w:color w:val="6B2976"/>
          <w:sz w:val="25"/>
        </w:rPr>
        <w:t>Total inflation</w:t>
      </w:r>
    </w:p>
    <w:p w14:paraId="32EE3DB8" w14:textId="1298370C" w:rsidR="00650C77" w:rsidRPr="00C578EB" w:rsidRDefault="00650C77" w:rsidP="00650C77">
      <w:r w:rsidRPr="00C578EB">
        <w:t xml:space="preserve">Normal inflation has been combined with superimposed inflation rates to calculate total inflation. </w:t>
      </w:r>
      <w:r w:rsidR="009364CD" w:rsidRPr="00597704">
        <w:fldChar w:fldCharType="begin"/>
      </w:r>
      <w:r w:rsidR="009364CD" w:rsidRPr="00C578EB">
        <w:instrText xml:space="preserve"> REF _Ref75452215 \h </w:instrText>
      </w:r>
      <w:r w:rsidR="00512FF0" w:rsidRPr="00C578EB">
        <w:instrText xml:space="preserve"> \* MERGEFORMAT </w:instrText>
      </w:r>
      <w:r w:rsidR="009364CD" w:rsidRPr="00597704">
        <w:fldChar w:fldCharType="separate"/>
      </w:r>
      <w:r w:rsidR="00715347" w:rsidRPr="00C578EB">
        <w:t xml:space="preserve">Table </w:t>
      </w:r>
      <w:r w:rsidR="00715347">
        <w:rPr>
          <w:noProof/>
        </w:rPr>
        <w:t>15</w:t>
      </w:r>
      <w:r w:rsidR="009364CD" w:rsidRPr="00597704">
        <w:fldChar w:fldCharType="end"/>
      </w:r>
      <w:r w:rsidR="001A6F9A">
        <w:t xml:space="preserve"> and </w:t>
      </w:r>
      <w:r w:rsidR="001A6F9A" w:rsidRPr="00597704">
        <w:fldChar w:fldCharType="begin"/>
      </w:r>
      <w:r w:rsidR="001A6F9A" w:rsidRPr="00C578EB">
        <w:instrText xml:space="preserve"> REF _Ref74850773 \h  \* MERGEFORMAT </w:instrText>
      </w:r>
      <w:r w:rsidR="001A6F9A" w:rsidRPr="00597704">
        <w:fldChar w:fldCharType="separate"/>
      </w:r>
      <w:r w:rsidR="00715347" w:rsidRPr="00C578EB">
        <w:t xml:space="preserve">Figure </w:t>
      </w:r>
      <w:r w:rsidR="00715347">
        <w:rPr>
          <w:noProof/>
        </w:rPr>
        <w:t>47</w:t>
      </w:r>
      <w:r w:rsidR="001A6F9A" w:rsidRPr="00597704">
        <w:fldChar w:fldCharType="end"/>
      </w:r>
      <w:r w:rsidR="009364CD" w:rsidRPr="00C578EB">
        <w:t xml:space="preserve"> below detail the underlying normal and superimposed inflation for each projection year</w:t>
      </w:r>
      <w:r w:rsidR="00607B6B" w:rsidRPr="00C578EB">
        <w:t xml:space="preserve">, </w:t>
      </w:r>
      <w:r w:rsidR="00CE5AE1">
        <w:t>with a comparison made to historical inflation experience.</w:t>
      </w:r>
    </w:p>
    <w:p w14:paraId="74EA7BDB" w14:textId="60E230CD" w:rsidR="00775C63" w:rsidRDefault="00D21AB9" w:rsidP="00775C63">
      <w:pPr>
        <w:pStyle w:val="Tables"/>
      </w:pPr>
      <w:bookmarkStart w:id="166" w:name="_Ref75452215"/>
      <w:r w:rsidRPr="00C578EB">
        <w:t xml:space="preserve">Table </w:t>
      </w:r>
      <w:r w:rsidRPr="00597704">
        <w:fldChar w:fldCharType="begin"/>
      </w:r>
      <w:r w:rsidRPr="00C578EB">
        <w:instrText xml:space="preserve"> SEQ Table \* ARABIC </w:instrText>
      </w:r>
      <w:r w:rsidRPr="00597704">
        <w:fldChar w:fldCharType="separate"/>
      </w:r>
      <w:r w:rsidR="00715347">
        <w:rPr>
          <w:noProof/>
        </w:rPr>
        <w:t>15</w:t>
      </w:r>
      <w:r w:rsidRPr="00597704">
        <w:fldChar w:fldCharType="end"/>
      </w:r>
      <w:bookmarkEnd w:id="166"/>
      <w:r w:rsidRPr="00C578EB">
        <w:t xml:space="preserve"> </w:t>
      </w:r>
      <w:r w:rsidR="00775C63" w:rsidRPr="00775C63">
        <w:t>Comparison of historical inflation experience and adopted total inflation</w:t>
      </w:r>
      <w:r w:rsidR="004D5319">
        <w:rPr>
          <w:rStyle w:val="FootnoteReference"/>
        </w:rPr>
        <w:footnoteReference w:id="57"/>
      </w:r>
      <w:r w:rsidR="00775C63" w:rsidRPr="00775C63">
        <w:t xml:space="preserve"> </w:t>
      </w:r>
    </w:p>
    <w:p w14:paraId="24F2E872" w14:textId="2E0C2D2F" w:rsidR="00D21AB9" w:rsidRDefault="006D52C6" w:rsidP="006661A1">
      <w:pPr>
        <w:pStyle w:val="FSRnormal"/>
      </w:pPr>
      <w:r w:rsidRPr="006D52C6">
        <w:rPr>
          <w:noProof/>
          <w:lang w:eastAsia="en-AU"/>
        </w:rPr>
        <w:drawing>
          <wp:inline distT="0" distB="0" distL="0" distR="0" wp14:anchorId="600821D8" wp14:editId="29709973">
            <wp:extent cx="5731510" cy="59804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31510" cy="598049"/>
                    </a:xfrm>
                    <a:prstGeom prst="rect">
                      <a:avLst/>
                    </a:prstGeom>
                    <a:noFill/>
                    <a:ln>
                      <a:noFill/>
                    </a:ln>
                  </pic:spPr>
                </pic:pic>
              </a:graphicData>
            </a:graphic>
          </wp:inline>
        </w:drawing>
      </w:r>
    </w:p>
    <w:p w14:paraId="29DB9D71" w14:textId="567146E8" w:rsidR="00CE5AE1" w:rsidRPr="00C578EB" w:rsidRDefault="00CE5AE1" w:rsidP="009630FF">
      <w:pPr>
        <w:pStyle w:val="FSRnormal"/>
      </w:pPr>
      <w:r>
        <w:t xml:space="preserve">It is evident that the Scheme has experienced high levels of historical inflation, and these levels substantially exceed the adopted total inflation assumptions in the projections. This reflects an understanding that certain drivers of historical inflation </w:t>
      </w:r>
      <w:r w:rsidR="00817820">
        <w:t>are unlikely to persist over time.</w:t>
      </w:r>
    </w:p>
    <w:p w14:paraId="36ACA926" w14:textId="66A804BD" w:rsidR="00607B6B" w:rsidRPr="00C578EB" w:rsidRDefault="00607B6B" w:rsidP="00607B6B">
      <w:pPr>
        <w:pStyle w:val="Figures"/>
      </w:pPr>
      <w:bookmarkStart w:id="167" w:name="_Ref74850773"/>
      <w:r w:rsidRPr="00C578EB">
        <w:lastRenderedPageBreak/>
        <w:t xml:space="preserve">Figure </w:t>
      </w:r>
      <w:r w:rsidRPr="00597704">
        <w:fldChar w:fldCharType="begin"/>
      </w:r>
      <w:r w:rsidRPr="00C578EB">
        <w:instrText xml:space="preserve"> SEQ Figure \* ARABIC </w:instrText>
      </w:r>
      <w:r w:rsidRPr="00597704">
        <w:fldChar w:fldCharType="separate"/>
      </w:r>
      <w:r w:rsidR="00715347">
        <w:rPr>
          <w:noProof/>
        </w:rPr>
        <w:t>47</w:t>
      </w:r>
      <w:r w:rsidRPr="00597704">
        <w:rPr>
          <w:noProof/>
        </w:rPr>
        <w:fldChar w:fldCharType="end"/>
      </w:r>
      <w:bookmarkEnd w:id="167"/>
      <w:r w:rsidRPr="00C578EB">
        <w:t xml:space="preserve"> </w:t>
      </w:r>
      <w:r w:rsidR="00775C63" w:rsidRPr="00775C63">
        <w:t>Comparison of historical inflation experience and adopted total inflation</w:t>
      </w:r>
      <w:r w:rsidR="00775C63" w:rsidRPr="00775C63" w:rsidDel="00775C63">
        <w:t xml:space="preserve"> </w:t>
      </w:r>
    </w:p>
    <w:p w14:paraId="38522A42" w14:textId="5724E2B7" w:rsidR="005921B9" w:rsidRPr="00C578EB" w:rsidRDefault="00896549" w:rsidP="007B2293">
      <w:pPr>
        <w:pStyle w:val="FSRnormal"/>
      </w:pPr>
      <w:r w:rsidRPr="00896549">
        <w:rPr>
          <w:noProof/>
          <w:lang w:eastAsia="en-AU"/>
        </w:rPr>
        <w:drawing>
          <wp:inline distT="0" distB="0" distL="0" distR="0" wp14:anchorId="7BE51BCB" wp14:editId="3B3E6F13">
            <wp:extent cx="5731510" cy="2834640"/>
            <wp:effectExtent l="0" t="0" r="2540" b="381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31510" cy="2834640"/>
                    </a:xfrm>
                    <a:prstGeom prst="rect">
                      <a:avLst/>
                    </a:prstGeom>
                    <a:noFill/>
                    <a:ln>
                      <a:noFill/>
                    </a:ln>
                  </pic:spPr>
                </pic:pic>
              </a:graphicData>
            </a:graphic>
          </wp:inline>
        </w:drawing>
      </w:r>
    </w:p>
    <w:p w14:paraId="2D949B8F" w14:textId="6C8F19ED" w:rsidR="00B648E8" w:rsidRPr="00C578EB" w:rsidRDefault="00B648E8" w:rsidP="00B648E8">
      <w:pPr>
        <w:keepNext/>
        <w:spacing w:before="240"/>
        <w:rPr>
          <w:b/>
          <w:i/>
          <w:color w:val="6B2976"/>
          <w:sz w:val="25"/>
        </w:rPr>
      </w:pPr>
      <w:r w:rsidRPr="00C578EB">
        <w:rPr>
          <w:b/>
          <w:i/>
          <w:color w:val="6B2976"/>
          <w:sz w:val="25"/>
        </w:rPr>
        <w:t xml:space="preserve">Average </w:t>
      </w:r>
      <w:r w:rsidR="00651284" w:rsidRPr="00C578EB">
        <w:rPr>
          <w:b/>
          <w:i/>
          <w:color w:val="6B2976"/>
          <w:sz w:val="25"/>
        </w:rPr>
        <w:t xml:space="preserve">payment per participant </w:t>
      </w:r>
      <w:r w:rsidRPr="00C578EB">
        <w:rPr>
          <w:b/>
          <w:i/>
          <w:color w:val="6B2976"/>
          <w:sz w:val="25"/>
        </w:rPr>
        <w:t>assumptions after inflation</w:t>
      </w:r>
    </w:p>
    <w:p w14:paraId="4D68F17F" w14:textId="4F7A779B" w:rsidR="00B648E8" w:rsidRPr="00C578EB" w:rsidRDefault="00751236" w:rsidP="007B2293">
      <w:pPr>
        <w:pStyle w:val="FSRnormal"/>
      </w:pPr>
      <w:r w:rsidRPr="00597704">
        <w:fldChar w:fldCharType="begin"/>
      </w:r>
      <w:r w:rsidRPr="00C578EB">
        <w:instrText xml:space="preserve"> REF _Ref75033356 \h </w:instrText>
      </w:r>
      <w:r w:rsidR="00512FF0" w:rsidRPr="00C578EB">
        <w:instrText xml:space="preserve"> \* MERGEFORMAT </w:instrText>
      </w:r>
      <w:r w:rsidRPr="00597704">
        <w:fldChar w:fldCharType="separate"/>
      </w:r>
      <w:r w:rsidR="00715347" w:rsidRPr="00C578EB">
        <w:t xml:space="preserve">Table </w:t>
      </w:r>
      <w:r w:rsidR="00715347">
        <w:rPr>
          <w:noProof/>
        </w:rPr>
        <w:t>16</w:t>
      </w:r>
      <w:r w:rsidRPr="00597704">
        <w:fldChar w:fldCharType="end"/>
      </w:r>
      <w:r w:rsidRPr="00C578EB">
        <w:t xml:space="preserve"> details the resulting</w:t>
      </w:r>
      <w:r w:rsidR="00B648E8" w:rsidRPr="00C578EB">
        <w:t xml:space="preserve"> average annual payments </w:t>
      </w:r>
      <w:r w:rsidRPr="00C578EB">
        <w:t>by age group in each projection year after total inflation has been applied to the base average cost assumptions</w:t>
      </w:r>
      <w:r w:rsidR="00B648E8" w:rsidRPr="00C578EB">
        <w:t>.</w:t>
      </w:r>
      <w:r w:rsidR="00CE5AE1">
        <w:t xml:space="preserve"> Actual average annual payments</w:t>
      </w:r>
      <w:r w:rsidR="00CE5AE1" w:rsidRPr="00C578EB">
        <w:t xml:space="preserve"> for 2020-21 is also included below for comparison</w:t>
      </w:r>
      <w:r w:rsidR="00CE5AE1">
        <w:t>.</w:t>
      </w:r>
    </w:p>
    <w:p w14:paraId="7E64649D" w14:textId="52A220A3" w:rsidR="00751236" w:rsidRPr="00C578EB" w:rsidRDefault="00751236" w:rsidP="00751236">
      <w:pPr>
        <w:pStyle w:val="Tables"/>
      </w:pPr>
      <w:bookmarkStart w:id="168" w:name="_Ref75033356"/>
      <w:r w:rsidRPr="00C578EB">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16</w:t>
      </w:r>
      <w:r w:rsidR="00C04E1B" w:rsidRPr="00597704">
        <w:rPr>
          <w:noProof/>
        </w:rPr>
        <w:fldChar w:fldCharType="end"/>
      </w:r>
      <w:bookmarkEnd w:id="168"/>
      <w:r w:rsidRPr="00C578EB">
        <w:t xml:space="preserve"> Average annual payments ($) by age group and projection year</w:t>
      </w:r>
    </w:p>
    <w:p w14:paraId="14293653" w14:textId="6774CF32" w:rsidR="00B648E8" w:rsidRPr="00C578EB" w:rsidRDefault="00CE5AE1" w:rsidP="007B2293">
      <w:pPr>
        <w:pStyle w:val="FSRnormal"/>
      </w:pPr>
      <w:r w:rsidRPr="00CE5AE1">
        <w:rPr>
          <w:noProof/>
          <w:lang w:eastAsia="en-AU"/>
        </w:rPr>
        <w:drawing>
          <wp:inline distT="0" distB="0" distL="0" distR="0" wp14:anchorId="6F739A54" wp14:editId="3BE05B9F">
            <wp:extent cx="5731510" cy="1085663"/>
            <wp:effectExtent l="0" t="0" r="2540" b="63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1510" cy="1085663"/>
                    </a:xfrm>
                    <a:prstGeom prst="rect">
                      <a:avLst/>
                    </a:prstGeom>
                    <a:noFill/>
                    <a:ln>
                      <a:noFill/>
                    </a:ln>
                  </pic:spPr>
                </pic:pic>
              </a:graphicData>
            </a:graphic>
          </wp:inline>
        </w:drawing>
      </w:r>
    </w:p>
    <w:p w14:paraId="3773FC25" w14:textId="254CDE5E" w:rsidR="00751236" w:rsidRPr="00C578EB" w:rsidRDefault="00751236" w:rsidP="007B2293">
      <w:pPr>
        <w:pStyle w:val="FSRnormal"/>
      </w:pPr>
      <w:r w:rsidRPr="00C578EB">
        <w:t xml:space="preserve">Average annual payments increases each year across all age groups. </w:t>
      </w:r>
      <w:r w:rsidRPr="00597704">
        <w:fldChar w:fldCharType="begin"/>
      </w:r>
      <w:r w:rsidRPr="00C578EB">
        <w:instrText xml:space="preserve"> REF _Ref75033427 \h </w:instrText>
      </w:r>
      <w:r w:rsidR="00512FF0" w:rsidRPr="00C578EB">
        <w:instrText xml:space="preserve"> \* MERGEFORMAT </w:instrText>
      </w:r>
      <w:r w:rsidRPr="00597704">
        <w:fldChar w:fldCharType="separate"/>
      </w:r>
      <w:r w:rsidR="00715347" w:rsidRPr="00C578EB">
        <w:t xml:space="preserve">Table </w:t>
      </w:r>
      <w:r w:rsidR="00715347">
        <w:rPr>
          <w:noProof/>
        </w:rPr>
        <w:t>17</w:t>
      </w:r>
      <w:r w:rsidRPr="00597704">
        <w:fldChar w:fldCharType="end"/>
      </w:r>
      <w:r w:rsidRPr="00C578EB">
        <w:t xml:space="preserve"> illustrates the percentage change in average annual payments by age group and projection year. The </w:t>
      </w:r>
      <w:r w:rsidR="00A405B6" w:rsidRPr="00C578EB">
        <w:t xml:space="preserve">average annual costs, and therefore </w:t>
      </w:r>
      <w:r w:rsidRPr="00C578EB">
        <w:t>percentage change</w:t>
      </w:r>
      <w:r w:rsidR="00A405B6" w:rsidRPr="00C578EB">
        <w:t>,</w:t>
      </w:r>
      <w:r w:rsidRPr="00C578EB">
        <w:t xml:space="preserve"> each year is impacted by the change in the profile of participants.</w:t>
      </w:r>
    </w:p>
    <w:p w14:paraId="7DB75D3B" w14:textId="2CB1D2DD" w:rsidR="00751236" w:rsidRPr="00C578EB" w:rsidRDefault="00751236" w:rsidP="007B2293">
      <w:pPr>
        <w:pStyle w:val="Tables"/>
      </w:pPr>
      <w:bookmarkStart w:id="169" w:name="_Ref75033427"/>
      <w:r w:rsidRPr="00C578EB">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17</w:t>
      </w:r>
      <w:r w:rsidR="00C04E1B" w:rsidRPr="00597704">
        <w:rPr>
          <w:noProof/>
        </w:rPr>
        <w:fldChar w:fldCharType="end"/>
      </w:r>
      <w:bookmarkEnd w:id="169"/>
      <w:r w:rsidRPr="00C578EB">
        <w:t xml:space="preserve"> Change in average annual payments ($) by age group and projection year</w:t>
      </w:r>
    </w:p>
    <w:p w14:paraId="3BEFD202" w14:textId="632A51DB" w:rsidR="00B648E8" w:rsidRPr="00C578EB" w:rsidRDefault="00CE5AE1" w:rsidP="007B2293">
      <w:pPr>
        <w:pStyle w:val="FSRnormal"/>
      </w:pPr>
      <w:r w:rsidRPr="00CE5AE1">
        <w:rPr>
          <w:noProof/>
          <w:lang w:eastAsia="en-AU"/>
        </w:rPr>
        <w:drawing>
          <wp:inline distT="0" distB="0" distL="0" distR="0" wp14:anchorId="5ED0BE4A" wp14:editId="78F6280A">
            <wp:extent cx="5731510" cy="1377245"/>
            <wp:effectExtent l="0" t="0" r="254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1510" cy="1377245"/>
                    </a:xfrm>
                    <a:prstGeom prst="rect">
                      <a:avLst/>
                    </a:prstGeom>
                    <a:noFill/>
                    <a:ln>
                      <a:noFill/>
                    </a:ln>
                  </pic:spPr>
                </pic:pic>
              </a:graphicData>
            </a:graphic>
          </wp:inline>
        </w:drawing>
      </w:r>
    </w:p>
    <w:p w14:paraId="56CC4301" w14:textId="5FCB9466" w:rsidR="00751236" w:rsidRPr="00C578EB" w:rsidRDefault="00751236" w:rsidP="00B648E8">
      <w:pPr>
        <w:pStyle w:val="FSRnormal"/>
      </w:pPr>
      <w:r w:rsidRPr="00C578EB">
        <w:lastRenderedPageBreak/>
        <w:t>The greatest growth in average annual payments occurs for participants aged 0 to 14 and over 65 (children and older adults respectively).</w:t>
      </w:r>
    </w:p>
    <w:p w14:paraId="27209BF1" w14:textId="7B2B3FA2" w:rsidR="00B648E8" w:rsidRPr="00C578EB" w:rsidRDefault="00751236" w:rsidP="00B648E8">
      <w:pPr>
        <w:pStyle w:val="FSRnormal"/>
      </w:pPr>
      <w:r w:rsidRPr="00597704">
        <w:fldChar w:fldCharType="begin"/>
      </w:r>
      <w:r w:rsidRPr="00C578EB">
        <w:instrText xml:space="preserve"> REF _Ref75033661 \h </w:instrText>
      </w:r>
      <w:r w:rsidR="00512FF0" w:rsidRPr="00C578EB">
        <w:instrText xml:space="preserve"> \* MERGEFORMAT </w:instrText>
      </w:r>
      <w:r w:rsidRPr="00597704">
        <w:fldChar w:fldCharType="separate"/>
      </w:r>
      <w:r w:rsidR="00715347" w:rsidRPr="00C578EB">
        <w:t xml:space="preserve">Table </w:t>
      </w:r>
      <w:r w:rsidR="00715347">
        <w:rPr>
          <w:noProof/>
        </w:rPr>
        <w:t>18</w:t>
      </w:r>
      <w:r w:rsidRPr="00597704">
        <w:fldChar w:fldCharType="end"/>
      </w:r>
      <w:r w:rsidRPr="00C578EB">
        <w:t xml:space="preserve"> below </w:t>
      </w:r>
      <w:r w:rsidR="00B648E8" w:rsidRPr="00C578EB">
        <w:t xml:space="preserve">displays the projected average annual payments (in </w:t>
      </w:r>
      <w:r w:rsidRPr="00C578EB">
        <w:t>20</w:t>
      </w:r>
      <w:r w:rsidR="00F658C5" w:rsidRPr="00C578EB">
        <w:t>24-</w:t>
      </w:r>
      <w:r w:rsidRPr="00C578EB">
        <w:t>25</w:t>
      </w:r>
      <w:r w:rsidR="00B648E8" w:rsidRPr="00C578EB">
        <w:t xml:space="preserve"> dollars) by grouped disability and age band for the 202</w:t>
      </w:r>
      <w:r w:rsidRPr="00C578EB">
        <w:t>4</w:t>
      </w:r>
      <w:r w:rsidR="00B648E8" w:rsidRPr="00C578EB">
        <w:t>-2</w:t>
      </w:r>
      <w:r w:rsidRPr="00C578EB">
        <w:t>5</w:t>
      </w:r>
      <w:r w:rsidR="00B648E8" w:rsidRPr="00C578EB">
        <w:t xml:space="preserve"> financial year. The following table</w:t>
      </w:r>
      <w:r w:rsidR="00CB6A88" w:rsidRPr="00C578EB">
        <w:t xml:space="preserve"> </w:t>
      </w:r>
      <w:r w:rsidR="00B648E8" w:rsidRPr="00C578EB">
        <w:t>shows that:</w:t>
      </w:r>
    </w:p>
    <w:p w14:paraId="290B21FA" w14:textId="6D91F10E" w:rsidR="00B648E8" w:rsidRPr="00C578EB" w:rsidRDefault="00B648E8" w:rsidP="00B648E8">
      <w:pPr>
        <w:pStyle w:val="FSRlist"/>
      </w:pPr>
      <w:r w:rsidRPr="00C578EB">
        <w:t>The average annualised payment amount for all Scheme participants in 202</w:t>
      </w:r>
      <w:r w:rsidR="00751236" w:rsidRPr="00C578EB">
        <w:t>4</w:t>
      </w:r>
      <w:r w:rsidRPr="00C578EB">
        <w:t>-2</w:t>
      </w:r>
      <w:r w:rsidR="00751236" w:rsidRPr="00C578EB">
        <w:t>5</w:t>
      </w:r>
      <w:r w:rsidRPr="00C578EB">
        <w:t xml:space="preserve"> is $</w:t>
      </w:r>
      <w:r w:rsidR="00751236" w:rsidRPr="00C578EB">
        <w:t>60</w:t>
      </w:r>
      <w:r w:rsidRPr="00C578EB">
        <w:t>,</w:t>
      </w:r>
      <w:r w:rsidR="00751236" w:rsidRPr="00C578EB">
        <w:t>913</w:t>
      </w:r>
      <w:r w:rsidRPr="00C578EB">
        <w:t xml:space="preserve"> in </w:t>
      </w:r>
      <w:r w:rsidR="00751236" w:rsidRPr="00C578EB">
        <w:t>2024-2025</w:t>
      </w:r>
      <w:r w:rsidRPr="00C578EB">
        <w:t xml:space="preserve"> dollars. </w:t>
      </w:r>
    </w:p>
    <w:p w14:paraId="2B233ADB" w14:textId="77777777" w:rsidR="00B648E8" w:rsidRPr="00C578EB" w:rsidRDefault="00B648E8" w:rsidP="00B648E8">
      <w:pPr>
        <w:pStyle w:val="FSRlist"/>
      </w:pPr>
      <w:r w:rsidRPr="00C578EB">
        <w:t>Children have lower average annualised payments than adults, reflecting a higher proportion of early intervention participants, less usage of SIL arrangements and more informal supports, primarily provided by parents.</w:t>
      </w:r>
    </w:p>
    <w:p w14:paraId="01959E88" w14:textId="77777777" w:rsidR="00B648E8" w:rsidRPr="00C578EB" w:rsidRDefault="00B648E8" w:rsidP="00B648E8">
      <w:pPr>
        <w:pStyle w:val="FSRlist"/>
      </w:pPr>
      <w:r w:rsidRPr="00C578EB">
        <w:t>Participants with intellectual disability and other disabilities</w:t>
      </w:r>
      <w:r w:rsidRPr="00C578EB">
        <w:rPr>
          <w:vertAlign w:val="superscript"/>
        </w:rPr>
        <w:footnoteReference w:id="58"/>
      </w:r>
      <w:r w:rsidRPr="00C578EB">
        <w:t xml:space="preserve"> have the largest average costs.</w:t>
      </w:r>
    </w:p>
    <w:p w14:paraId="63EF7902" w14:textId="77777777" w:rsidR="00B648E8" w:rsidRPr="00C578EB" w:rsidRDefault="00B648E8" w:rsidP="00B648E8">
      <w:pPr>
        <w:pStyle w:val="FSRlist"/>
      </w:pPr>
      <w:r w:rsidRPr="00C578EB">
        <w:t>Participants with sensory disabilities</w:t>
      </w:r>
      <w:r w:rsidRPr="00C578EB">
        <w:rPr>
          <w:vertAlign w:val="superscript"/>
        </w:rPr>
        <w:footnoteReference w:id="59"/>
      </w:r>
      <w:r w:rsidRPr="00C578EB">
        <w:t xml:space="preserve"> and developmental delay have the lowest average costs.</w:t>
      </w:r>
    </w:p>
    <w:p w14:paraId="75022501" w14:textId="1FB829BF" w:rsidR="00B648E8" w:rsidRPr="00C578EB" w:rsidRDefault="00B648E8" w:rsidP="00B648E8">
      <w:pPr>
        <w:pStyle w:val="Tables"/>
      </w:pPr>
      <w:bookmarkStart w:id="170" w:name="_Ref75033661"/>
      <w:r w:rsidRPr="00C578EB">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18</w:t>
      </w:r>
      <w:r w:rsidR="00C04E1B" w:rsidRPr="00597704">
        <w:rPr>
          <w:noProof/>
        </w:rPr>
        <w:fldChar w:fldCharType="end"/>
      </w:r>
      <w:bookmarkEnd w:id="170"/>
      <w:r w:rsidRPr="00C578EB">
        <w:t xml:space="preserve"> Average annual payments ($) by age band and disability group in 202</w:t>
      </w:r>
      <w:r w:rsidR="00751236" w:rsidRPr="00C578EB">
        <w:t>4</w:t>
      </w:r>
      <w:r w:rsidRPr="00C578EB">
        <w:t>-2</w:t>
      </w:r>
      <w:r w:rsidR="00751236" w:rsidRPr="00C578EB">
        <w:t>5</w:t>
      </w:r>
      <w:r w:rsidRPr="00C578EB">
        <w:t xml:space="preserve"> (</w:t>
      </w:r>
      <w:r w:rsidR="00751236" w:rsidRPr="00C578EB">
        <w:t xml:space="preserve">2024-25 </w:t>
      </w:r>
      <w:r w:rsidRPr="00C578EB">
        <w:t>dollars)</w:t>
      </w:r>
    </w:p>
    <w:p w14:paraId="644E4704" w14:textId="0F6020F8" w:rsidR="000F2269" w:rsidRPr="00C578EB" w:rsidRDefault="00E540D5" w:rsidP="00B648E8">
      <w:pPr>
        <w:pStyle w:val="FSRnormal"/>
      </w:pPr>
      <w:r w:rsidRPr="00597704">
        <w:rPr>
          <w:noProof/>
          <w:lang w:eastAsia="en-AU"/>
        </w:rPr>
        <w:drawing>
          <wp:inline distT="0" distB="0" distL="0" distR="0" wp14:anchorId="0FBEE00B" wp14:editId="7BA0C5D0">
            <wp:extent cx="5731510" cy="1371629"/>
            <wp:effectExtent l="0" t="0" r="254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31510" cy="1371629"/>
                    </a:xfrm>
                    <a:prstGeom prst="rect">
                      <a:avLst/>
                    </a:prstGeom>
                    <a:noFill/>
                    <a:ln>
                      <a:noFill/>
                    </a:ln>
                  </pic:spPr>
                </pic:pic>
              </a:graphicData>
            </a:graphic>
          </wp:inline>
        </w:drawing>
      </w:r>
    </w:p>
    <w:p w14:paraId="6E529684" w14:textId="2931531D" w:rsidR="00B648E8" w:rsidRPr="00C578EB" w:rsidRDefault="00E540D5" w:rsidP="00B648E8">
      <w:pPr>
        <w:pStyle w:val="FSRnormal"/>
      </w:pPr>
      <w:r w:rsidRPr="00597704">
        <w:rPr>
          <w:noProof/>
          <w:lang w:eastAsia="en-AU"/>
        </w:rPr>
        <w:drawing>
          <wp:inline distT="0" distB="0" distL="0" distR="0" wp14:anchorId="0203992A" wp14:editId="022033B5">
            <wp:extent cx="5731510" cy="1371629"/>
            <wp:effectExtent l="0" t="0" r="254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31510" cy="1371629"/>
                    </a:xfrm>
                    <a:prstGeom prst="rect">
                      <a:avLst/>
                    </a:prstGeom>
                    <a:noFill/>
                    <a:ln>
                      <a:noFill/>
                    </a:ln>
                  </pic:spPr>
                </pic:pic>
              </a:graphicData>
            </a:graphic>
          </wp:inline>
        </w:drawing>
      </w:r>
    </w:p>
    <w:p w14:paraId="7165293B" w14:textId="6E4BD548" w:rsidR="00B648E8" w:rsidRPr="00C578EB" w:rsidRDefault="00B648E8" w:rsidP="00B648E8">
      <w:pPr>
        <w:pStyle w:val="FSRnormal"/>
      </w:pPr>
      <w:r w:rsidRPr="00C578EB">
        <w:t xml:space="preserve">Similarly, the expected average annual payment assumptions (in </w:t>
      </w:r>
      <w:r w:rsidR="00751236" w:rsidRPr="00C578EB">
        <w:t>2024-25</w:t>
      </w:r>
      <w:r w:rsidRPr="00C578EB">
        <w:t xml:space="preserve"> dollars) in 2021-22, split by support category and age band, are </w:t>
      </w:r>
      <w:r w:rsidR="00751236" w:rsidRPr="00C578EB">
        <w:t xml:space="preserve">shown in </w:t>
      </w:r>
      <w:r w:rsidR="00751236" w:rsidRPr="00597704">
        <w:fldChar w:fldCharType="begin"/>
      </w:r>
      <w:r w:rsidR="00751236" w:rsidRPr="00C578EB">
        <w:instrText xml:space="preserve"> REF _Ref75033748 \h </w:instrText>
      </w:r>
      <w:r w:rsidR="00512FF0" w:rsidRPr="00C578EB">
        <w:instrText xml:space="preserve"> \* MERGEFORMAT </w:instrText>
      </w:r>
      <w:r w:rsidR="00751236" w:rsidRPr="00597704">
        <w:fldChar w:fldCharType="separate"/>
      </w:r>
      <w:r w:rsidR="00715347" w:rsidRPr="00C578EB">
        <w:t xml:space="preserve">Table </w:t>
      </w:r>
      <w:r w:rsidR="00715347">
        <w:rPr>
          <w:noProof/>
        </w:rPr>
        <w:t>19</w:t>
      </w:r>
      <w:r w:rsidR="00751236" w:rsidRPr="00597704">
        <w:fldChar w:fldCharType="end"/>
      </w:r>
      <w:r w:rsidRPr="00C578EB">
        <w:t xml:space="preserve">. The averages presented in the tables below are a weighted combination of the assumptions by Projection Group for each support category. </w:t>
      </w:r>
    </w:p>
    <w:p w14:paraId="50EBB032" w14:textId="0CDBEC5E" w:rsidR="00B648E8" w:rsidRPr="00C578EB" w:rsidRDefault="00B648E8" w:rsidP="00B648E8">
      <w:pPr>
        <w:pStyle w:val="Tables"/>
      </w:pPr>
      <w:bookmarkStart w:id="171" w:name="_Ref75033748"/>
      <w:r w:rsidRPr="00C578EB">
        <w:lastRenderedPageBreak/>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19</w:t>
      </w:r>
      <w:r w:rsidR="00C04E1B" w:rsidRPr="00597704">
        <w:rPr>
          <w:noProof/>
        </w:rPr>
        <w:fldChar w:fldCharType="end"/>
      </w:r>
      <w:bookmarkEnd w:id="171"/>
      <w:r w:rsidRPr="00C578EB">
        <w:t xml:space="preserve"> Average annual payments ($) by age band and support category in 202</w:t>
      </w:r>
      <w:r w:rsidR="00751236" w:rsidRPr="00C578EB">
        <w:t>4</w:t>
      </w:r>
      <w:r w:rsidRPr="00C578EB">
        <w:t>-2</w:t>
      </w:r>
      <w:r w:rsidR="00751236" w:rsidRPr="00C578EB">
        <w:t>5</w:t>
      </w:r>
      <w:r w:rsidRPr="00C578EB">
        <w:t xml:space="preserve"> (</w:t>
      </w:r>
      <w:r w:rsidR="00751236" w:rsidRPr="00C578EB">
        <w:t xml:space="preserve">2024-25 </w:t>
      </w:r>
      <w:r w:rsidRPr="00C578EB">
        <w:t>dollars)</w:t>
      </w:r>
    </w:p>
    <w:p w14:paraId="45E4F086" w14:textId="4ACA0B13" w:rsidR="000F2269" w:rsidRPr="00C578EB" w:rsidRDefault="00E540D5" w:rsidP="0072428B">
      <w:pPr>
        <w:pStyle w:val="FSRnormal"/>
        <w:keepNext/>
      </w:pPr>
      <w:r w:rsidRPr="00597704">
        <w:rPr>
          <w:noProof/>
          <w:lang w:eastAsia="en-AU"/>
        </w:rPr>
        <w:drawing>
          <wp:inline distT="0" distB="0" distL="0" distR="0" wp14:anchorId="34AE299A" wp14:editId="26DAE3AF">
            <wp:extent cx="5731510" cy="2053913"/>
            <wp:effectExtent l="0" t="0" r="2540" b="381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731510" cy="2053913"/>
                    </a:xfrm>
                    <a:prstGeom prst="rect">
                      <a:avLst/>
                    </a:prstGeom>
                    <a:noFill/>
                    <a:ln>
                      <a:noFill/>
                    </a:ln>
                  </pic:spPr>
                </pic:pic>
              </a:graphicData>
            </a:graphic>
          </wp:inline>
        </w:drawing>
      </w:r>
    </w:p>
    <w:p w14:paraId="7CD3606D" w14:textId="4E2A3FF8" w:rsidR="00B648E8" w:rsidRPr="00C578EB" w:rsidRDefault="00E540D5" w:rsidP="00B648E8">
      <w:pPr>
        <w:pStyle w:val="FSRnormal"/>
      </w:pPr>
      <w:r w:rsidRPr="00597704">
        <w:rPr>
          <w:noProof/>
          <w:lang w:eastAsia="en-AU"/>
        </w:rPr>
        <w:drawing>
          <wp:inline distT="0" distB="0" distL="0" distR="0" wp14:anchorId="02391DC5" wp14:editId="53B4CCC8">
            <wp:extent cx="5731510" cy="2053913"/>
            <wp:effectExtent l="0" t="0" r="2540" b="381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31510" cy="2053913"/>
                    </a:xfrm>
                    <a:prstGeom prst="rect">
                      <a:avLst/>
                    </a:prstGeom>
                    <a:noFill/>
                    <a:ln>
                      <a:noFill/>
                    </a:ln>
                  </pic:spPr>
                </pic:pic>
              </a:graphicData>
            </a:graphic>
          </wp:inline>
        </w:drawing>
      </w:r>
    </w:p>
    <w:p w14:paraId="47AC25E6" w14:textId="1725E3FD" w:rsidR="00836613" w:rsidRPr="00C578EB" w:rsidRDefault="00851BF3" w:rsidP="00B648E8">
      <w:pPr>
        <w:pStyle w:val="FSRnormal"/>
      </w:pPr>
      <w:r w:rsidRPr="00C578EB">
        <w:t xml:space="preserve">It is expected that projected participants and their projected average costs will follow a similar cost distribution by ventile as those presented in </w:t>
      </w:r>
      <w:r w:rsidRPr="00597704">
        <w:fldChar w:fldCharType="begin"/>
      </w:r>
      <w:r w:rsidRPr="00C578EB">
        <w:instrText xml:space="preserve"> REF _Ref74333309 \h </w:instrText>
      </w:r>
      <w:r w:rsidR="00512FF0" w:rsidRPr="00C578EB">
        <w:instrText xml:space="preserve"> \* MERGEFORMAT </w:instrText>
      </w:r>
      <w:r w:rsidRPr="00597704">
        <w:fldChar w:fldCharType="separate"/>
      </w:r>
      <w:r w:rsidR="00715347" w:rsidRPr="00C578EB">
        <w:t xml:space="preserve">Figure </w:t>
      </w:r>
      <w:r w:rsidR="00715347">
        <w:rPr>
          <w:noProof/>
        </w:rPr>
        <w:t>23</w:t>
      </w:r>
      <w:r w:rsidRPr="00597704">
        <w:fldChar w:fldCharType="end"/>
      </w:r>
      <w:r w:rsidRPr="00C578EB">
        <w:t>. Applying this distribution results in the following average projected costs by ventile in 2024-25 (2024-25 dollars).</w:t>
      </w:r>
    </w:p>
    <w:p w14:paraId="6523E1E0" w14:textId="0BC704EE" w:rsidR="00836613" w:rsidRPr="00C578EB" w:rsidRDefault="00836613" w:rsidP="009630FF">
      <w:pPr>
        <w:pStyle w:val="Figures"/>
      </w:pPr>
      <w:bookmarkStart w:id="172" w:name="_Ref75453032"/>
      <w:r w:rsidRPr="00C578EB">
        <w:t xml:space="preserve">Figure </w:t>
      </w:r>
      <w:r w:rsidR="00C04E1B" w:rsidRPr="00597704">
        <w:fldChar w:fldCharType="begin"/>
      </w:r>
      <w:r w:rsidR="00C04E1B" w:rsidRPr="00C578EB">
        <w:instrText xml:space="preserve"> SEQ Figure \* ARABIC </w:instrText>
      </w:r>
      <w:r w:rsidR="00C04E1B" w:rsidRPr="00597704">
        <w:fldChar w:fldCharType="separate"/>
      </w:r>
      <w:r w:rsidR="00715347">
        <w:rPr>
          <w:noProof/>
        </w:rPr>
        <w:t>48</w:t>
      </w:r>
      <w:r w:rsidR="00C04E1B" w:rsidRPr="00597704">
        <w:rPr>
          <w:noProof/>
        </w:rPr>
        <w:fldChar w:fldCharType="end"/>
      </w:r>
      <w:bookmarkEnd w:id="172"/>
      <w:r w:rsidRPr="00C578EB">
        <w:t xml:space="preserve"> Average projected cost by ventile (5% band) in 2024-25 (2024-25 dollars)</w:t>
      </w:r>
    </w:p>
    <w:p w14:paraId="5658AA18" w14:textId="367EE326" w:rsidR="00836613" w:rsidRPr="00C578EB" w:rsidRDefault="00836613" w:rsidP="00B648E8">
      <w:pPr>
        <w:pStyle w:val="FSRnormal"/>
      </w:pPr>
      <w:r w:rsidRPr="00597704">
        <w:rPr>
          <w:noProof/>
          <w:lang w:eastAsia="en-AU"/>
        </w:rPr>
        <w:drawing>
          <wp:inline distT="0" distB="0" distL="0" distR="0" wp14:anchorId="3C5E5E08" wp14:editId="1D3A491F">
            <wp:extent cx="5731510" cy="2520493"/>
            <wp:effectExtent l="0" t="0" r="254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31510" cy="2520493"/>
                    </a:xfrm>
                    <a:prstGeom prst="rect">
                      <a:avLst/>
                    </a:prstGeom>
                    <a:noFill/>
                    <a:ln>
                      <a:noFill/>
                    </a:ln>
                  </pic:spPr>
                </pic:pic>
              </a:graphicData>
            </a:graphic>
          </wp:inline>
        </w:drawing>
      </w:r>
    </w:p>
    <w:p w14:paraId="22F9326F" w14:textId="3167BDAF" w:rsidR="006F104A" w:rsidRPr="00C578EB" w:rsidRDefault="00C129EB" w:rsidP="006F104A">
      <w:pPr>
        <w:pStyle w:val="FSRHeading2"/>
        <w:numPr>
          <w:ilvl w:val="1"/>
          <w:numId w:val="1"/>
        </w:numPr>
        <w:ind w:left="907" w:hanging="907"/>
      </w:pPr>
      <w:bookmarkStart w:id="173" w:name="_Toc75034648"/>
      <w:bookmarkStart w:id="174" w:name="_Toc75035705"/>
      <w:bookmarkStart w:id="175" w:name="_Toc75036694"/>
      <w:bookmarkStart w:id="176" w:name="_Toc76132732"/>
      <w:bookmarkEnd w:id="173"/>
      <w:bookmarkEnd w:id="174"/>
      <w:bookmarkEnd w:id="175"/>
      <w:r w:rsidRPr="00C578EB">
        <w:lastRenderedPageBreak/>
        <w:t xml:space="preserve">Total </w:t>
      </w:r>
      <w:r w:rsidR="003B6332" w:rsidRPr="00C578EB">
        <w:t xml:space="preserve">participant </w:t>
      </w:r>
      <w:r w:rsidRPr="00C578EB">
        <w:t>cost p</w:t>
      </w:r>
      <w:r w:rsidR="006F104A" w:rsidRPr="00C578EB">
        <w:t>rojection</w:t>
      </w:r>
      <w:r w:rsidRPr="00C578EB">
        <w:t>s</w:t>
      </w:r>
      <w:bookmarkEnd w:id="176"/>
    </w:p>
    <w:p w14:paraId="4757619F" w14:textId="3087747A" w:rsidR="00DC1374" w:rsidRPr="00C578EB" w:rsidRDefault="00481243" w:rsidP="007B2293">
      <w:pPr>
        <w:pStyle w:val="FSRnormal"/>
      </w:pPr>
      <w:r w:rsidRPr="00C578EB">
        <w:t xml:space="preserve">Combining participant number projections with average cost assumptions results in total </w:t>
      </w:r>
      <w:r w:rsidR="00724311" w:rsidRPr="00C578EB">
        <w:t xml:space="preserve">participant </w:t>
      </w:r>
      <w:r w:rsidRPr="00C578EB">
        <w:t>cost projections for each financial year</w:t>
      </w:r>
      <w:r w:rsidR="00DC1374" w:rsidRPr="00C578EB">
        <w:t xml:space="preserve"> on a cash basis</w:t>
      </w:r>
      <w:r w:rsidRPr="00C578EB">
        <w:t>.</w:t>
      </w:r>
      <w:r w:rsidR="00DC1374" w:rsidRPr="00C578EB">
        <w:t xml:space="preserve"> An allowance for the expected change in the participant plan provision is then made to convert projected costs from a cash basis to an accrual basis.</w:t>
      </w:r>
      <w:r w:rsidRPr="00C578EB">
        <w:t xml:space="preserve"> </w:t>
      </w:r>
    </w:p>
    <w:p w14:paraId="4685D7A1" w14:textId="66B96361" w:rsidR="00DC1374" w:rsidRPr="00C578EB" w:rsidRDefault="00DC1374" w:rsidP="007B2293">
      <w:pPr>
        <w:pStyle w:val="FSRnormal"/>
      </w:pPr>
      <w:r w:rsidRPr="00C578EB">
        <w:t xml:space="preserve">Projected total participant costs, on both a cash and accrual basis, are presented below in </w:t>
      </w:r>
      <w:r w:rsidRPr="00597704">
        <w:fldChar w:fldCharType="begin"/>
      </w:r>
      <w:r w:rsidRPr="00C578EB">
        <w:instrText xml:space="preserve"> REF _Ref75035682 \h </w:instrText>
      </w:r>
      <w:r w:rsidR="00512FF0" w:rsidRPr="00C578EB">
        <w:instrText xml:space="preserve"> \* MERGEFORMAT </w:instrText>
      </w:r>
      <w:r w:rsidRPr="00597704">
        <w:fldChar w:fldCharType="separate"/>
      </w:r>
      <w:r w:rsidR="00715347" w:rsidRPr="00C578EB">
        <w:t xml:space="preserve">Table </w:t>
      </w:r>
      <w:r w:rsidR="00715347">
        <w:rPr>
          <w:noProof/>
        </w:rPr>
        <w:t>20</w:t>
      </w:r>
      <w:r w:rsidRPr="00597704">
        <w:fldChar w:fldCharType="end"/>
      </w:r>
      <w:r w:rsidRPr="00C578EB">
        <w:t>.</w:t>
      </w:r>
      <w:r w:rsidR="00512FF0" w:rsidRPr="00C578EB">
        <w:t xml:space="preserve"> Participant costs for 2020-21 is also included in the below tables for comparison.</w:t>
      </w:r>
    </w:p>
    <w:p w14:paraId="1B95E5D6" w14:textId="709EF412" w:rsidR="00DC1374" w:rsidRPr="00C578EB" w:rsidRDefault="00DC1374" w:rsidP="00DC1374">
      <w:pPr>
        <w:pStyle w:val="Tables"/>
      </w:pPr>
      <w:bookmarkStart w:id="177" w:name="_Ref75035682"/>
      <w:r w:rsidRPr="00C578EB">
        <w:t xml:space="preserve">Table </w:t>
      </w:r>
      <w:r w:rsidRPr="00597704">
        <w:fldChar w:fldCharType="begin"/>
      </w:r>
      <w:r w:rsidRPr="00C578EB">
        <w:instrText xml:space="preserve"> SEQ Table \* ARABIC </w:instrText>
      </w:r>
      <w:r w:rsidRPr="00597704">
        <w:fldChar w:fldCharType="separate"/>
      </w:r>
      <w:r w:rsidR="00715347">
        <w:rPr>
          <w:noProof/>
        </w:rPr>
        <w:t>20</w:t>
      </w:r>
      <w:r w:rsidRPr="00597704">
        <w:fldChar w:fldCharType="end"/>
      </w:r>
      <w:bookmarkEnd w:id="177"/>
      <w:r w:rsidRPr="00C578EB">
        <w:t xml:space="preserve"> Projected participant costs (on a cash and accrual basis)</w:t>
      </w:r>
      <w:r w:rsidR="001C2BE8" w:rsidRPr="00C578EB">
        <w:rPr>
          <w:rStyle w:val="FootnoteReference"/>
        </w:rPr>
        <w:footnoteReference w:id="60"/>
      </w:r>
    </w:p>
    <w:p w14:paraId="4E73B2CF" w14:textId="6D63CD0D" w:rsidR="00DC1374" w:rsidRPr="00C578EB" w:rsidRDefault="00512FF0" w:rsidP="007B2293">
      <w:pPr>
        <w:pStyle w:val="FSRnormal"/>
      </w:pPr>
      <w:r w:rsidRPr="00597704">
        <w:rPr>
          <w:noProof/>
          <w:lang w:eastAsia="en-AU"/>
        </w:rPr>
        <w:drawing>
          <wp:inline distT="0" distB="0" distL="0" distR="0" wp14:anchorId="6BDDEEDE" wp14:editId="062BD9A9">
            <wp:extent cx="5731510" cy="1269365"/>
            <wp:effectExtent l="0" t="0" r="254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269365"/>
                    </a:xfrm>
                    <a:prstGeom prst="rect">
                      <a:avLst/>
                    </a:prstGeom>
                    <a:noFill/>
                    <a:ln>
                      <a:noFill/>
                    </a:ln>
                  </pic:spPr>
                </pic:pic>
              </a:graphicData>
            </a:graphic>
          </wp:inline>
        </w:drawing>
      </w:r>
    </w:p>
    <w:p w14:paraId="340F0385" w14:textId="532382F7" w:rsidR="00D21AB9" w:rsidRPr="00C578EB" w:rsidRDefault="00D21AB9" w:rsidP="007B2293">
      <w:pPr>
        <w:pStyle w:val="FSRnormal"/>
      </w:pPr>
      <w:r w:rsidRPr="00C578EB">
        <w:t>The projected total participant costs</w:t>
      </w:r>
      <w:r w:rsidR="000A6092" w:rsidRPr="00C578EB">
        <w:t xml:space="preserve"> on an accrual basis</w:t>
      </w:r>
      <w:r w:rsidRPr="00C578EB">
        <w:t xml:space="preserve"> as a percentage of Gross Domestic Product (GDP) </w:t>
      </w:r>
      <w:r w:rsidR="00555596" w:rsidRPr="00C578EB">
        <w:t xml:space="preserve">is included </w:t>
      </w:r>
      <w:r w:rsidRPr="00C578EB">
        <w:t xml:space="preserve">in </w:t>
      </w:r>
      <w:r w:rsidRPr="00597704">
        <w:fldChar w:fldCharType="begin"/>
      </w:r>
      <w:r w:rsidRPr="00C578EB">
        <w:instrText xml:space="preserve"> REF _Ref75447106 \h </w:instrText>
      </w:r>
      <w:r w:rsidR="00512FF0" w:rsidRPr="00C578EB">
        <w:instrText xml:space="preserve"> \* MERGEFORMAT </w:instrText>
      </w:r>
      <w:r w:rsidRPr="00597704">
        <w:fldChar w:fldCharType="separate"/>
      </w:r>
      <w:r w:rsidR="00715347" w:rsidRPr="00C578EB">
        <w:t xml:space="preserve">Table </w:t>
      </w:r>
      <w:r w:rsidR="00715347">
        <w:rPr>
          <w:noProof/>
        </w:rPr>
        <w:t>21</w:t>
      </w:r>
      <w:r w:rsidRPr="00597704">
        <w:fldChar w:fldCharType="end"/>
      </w:r>
      <w:r w:rsidRPr="00C578EB">
        <w:t>.</w:t>
      </w:r>
    </w:p>
    <w:p w14:paraId="5445A741" w14:textId="3FDD6666" w:rsidR="00D21AB9" w:rsidRPr="00C578EB" w:rsidRDefault="00D21AB9" w:rsidP="00851BF3">
      <w:pPr>
        <w:pStyle w:val="Tables"/>
      </w:pPr>
      <w:bookmarkStart w:id="178" w:name="_Ref75447106"/>
      <w:r w:rsidRPr="00C578EB">
        <w:t xml:space="preserve">Table </w:t>
      </w:r>
      <w:r w:rsidRPr="00597704">
        <w:rPr>
          <w:b w:val="0"/>
          <w:bCs w:val="0"/>
        </w:rPr>
        <w:fldChar w:fldCharType="begin"/>
      </w:r>
      <w:r w:rsidRPr="00C578EB">
        <w:instrText xml:space="preserve"> SEQ Table \* ARABIC </w:instrText>
      </w:r>
      <w:r w:rsidRPr="00597704">
        <w:rPr>
          <w:b w:val="0"/>
          <w:bCs w:val="0"/>
        </w:rPr>
        <w:fldChar w:fldCharType="separate"/>
      </w:r>
      <w:r w:rsidR="00715347">
        <w:rPr>
          <w:noProof/>
        </w:rPr>
        <w:t>21</w:t>
      </w:r>
      <w:r w:rsidRPr="00597704">
        <w:rPr>
          <w:b w:val="0"/>
          <w:bCs w:val="0"/>
        </w:rPr>
        <w:fldChar w:fldCharType="end"/>
      </w:r>
      <w:bookmarkEnd w:id="178"/>
      <w:r w:rsidRPr="00C578EB">
        <w:t xml:space="preserve"> Projected participant costs as a percentage of GDP</w:t>
      </w:r>
      <w:r w:rsidR="003C21D1" w:rsidRPr="00C578EB">
        <w:t xml:space="preserve"> (on an accrual basis)</w:t>
      </w:r>
    </w:p>
    <w:p w14:paraId="7C555D7D" w14:textId="094BD37C" w:rsidR="00D21AB9" w:rsidRPr="00C578EB" w:rsidRDefault="00111E4D" w:rsidP="007B2293">
      <w:pPr>
        <w:pStyle w:val="FSRnormal"/>
      </w:pPr>
      <w:r w:rsidRPr="00111E4D">
        <w:rPr>
          <w:noProof/>
          <w:lang w:eastAsia="en-AU"/>
        </w:rPr>
        <w:drawing>
          <wp:inline distT="0" distB="0" distL="0" distR="0" wp14:anchorId="7742BC53" wp14:editId="7171FAFB">
            <wp:extent cx="5731510" cy="511677"/>
            <wp:effectExtent l="0" t="0" r="2540" b="317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731510" cy="511677"/>
                    </a:xfrm>
                    <a:prstGeom prst="rect">
                      <a:avLst/>
                    </a:prstGeom>
                    <a:noFill/>
                    <a:ln>
                      <a:noFill/>
                    </a:ln>
                  </pic:spPr>
                </pic:pic>
              </a:graphicData>
            </a:graphic>
          </wp:inline>
        </w:drawing>
      </w:r>
    </w:p>
    <w:p w14:paraId="228C31E4" w14:textId="4B8D58F6" w:rsidR="00481243" w:rsidRPr="00C578EB" w:rsidRDefault="00481243" w:rsidP="007B2293">
      <w:pPr>
        <w:pStyle w:val="FSRnormal"/>
      </w:pPr>
      <w:r w:rsidRPr="00597704">
        <w:fldChar w:fldCharType="begin"/>
      </w:r>
      <w:r w:rsidRPr="00C578EB">
        <w:instrText xml:space="preserve"> REF _Ref74921958 \h </w:instrText>
      </w:r>
      <w:r w:rsidR="00441148" w:rsidRPr="00C578EB">
        <w:instrText xml:space="preserve"> \* MERGEFORMAT </w:instrText>
      </w:r>
      <w:r w:rsidRPr="00597704">
        <w:fldChar w:fldCharType="separate"/>
      </w:r>
      <w:r w:rsidR="00715347" w:rsidRPr="00C578EB">
        <w:t xml:space="preserve">Table </w:t>
      </w:r>
      <w:r w:rsidR="00715347">
        <w:rPr>
          <w:noProof/>
        </w:rPr>
        <w:t>22</w:t>
      </w:r>
      <w:r w:rsidRPr="00597704">
        <w:fldChar w:fldCharType="end"/>
      </w:r>
      <w:r w:rsidRPr="00C578EB">
        <w:t xml:space="preserve"> </w:t>
      </w:r>
      <w:r w:rsidR="00DC1374" w:rsidRPr="00C578EB">
        <w:t>further breaks down</w:t>
      </w:r>
      <w:r w:rsidRPr="00C578EB">
        <w:t xml:space="preserve"> projected participant costs</w:t>
      </w:r>
      <w:r w:rsidR="00DC1374" w:rsidRPr="00C578EB">
        <w:t xml:space="preserve"> on a cash basis</w:t>
      </w:r>
      <w:r w:rsidRPr="00C578EB">
        <w:t>, split between participants in SIL and those not in SIL.</w:t>
      </w:r>
    </w:p>
    <w:p w14:paraId="1371F8BD" w14:textId="7A8FFE30" w:rsidR="00C06094" w:rsidRPr="00C578EB" w:rsidRDefault="00481243" w:rsidP="007B2293">
      <w:pPr>
        <w:pStyle w:val="Tables"/>
      </w:pPr>
      <w:bookmarkStart w:id="179" w:name="_Ref74921958"/>
      <w:r w:rsidRPr="00C578EB">
        <w:t xml:space="preserve">Table </w:t>
      </w:r>
      <w:r w:rsidRPr="00597704">
        <w:rPr>
          <w:b w:val="0"/>
          <w:bCs w:val="0"/>
        </w:rPr>
        <w:fldChar w:fldCharType="begin"/>
      </w:r>
      <w:r w:rsidRPr="00C578EB">
        <w:instrText xml:space="preserve"> SEQ Table \* ARABIC </w:instrText>
      </w:r>
      <w:r w:rsidRPr="00597704">
        <w:rPr>
          <w:b w:val="0"/>
          <w:bCs w:val="0"/>
        </w:rPr>
        <w:fldChar w:fldCharType="separate"/>
      </w:r>
      <w:r w:rsidR="00715347">
        <w:rPr>
          <w:noProof/>
        </w:rPr>
        <w:t>22</w:t>
      </w:r>
      <w:r w:rsidRPr="00597704">
        <w:rPr>
          <w:b w:val="0"/>
          <w:bCs w:val="0"/>
        </w:rPr>
        <w:fldChar w:fldCharType="end"/>
      </w:r>
      <w:bookmarkEnd w:id="179"/>
      <w:r w:rsidRPr="00C578EB">
        <w:t xml:space="preserve"> Projected participant costs by SIL group (on a cash basis)</w:t>
      </w:r>
    </w:p>
    <w:p w14:paraId="51C00E41" w14:textId="15A66591" w:rsidR="00A405B6" w:rsidRPr="00C578EB" w:rsidRDefault="00512FF0" w:rsidP="007B2293">
      <w:pPr>
        <w:pStyle w:val="FSRnormal"/>
      </w:pPr>
      <w:r w:rsidRPr="00597704">
        <w:rPr>
          <w:noProof/>
          <w:lang w:eastAsia="en-AU"/>
        </w:rPr>
        <w:drawing>
          <wp:inline distT="0" distB="0" distL="0" distR="0" wp14:anchorId="442979BD" wp14:editId="6E8B97E0">
            <wp:extent cx="5731510" cy="803275"/>
            <wp:effectExtent l="0" t="0" r="254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31510" cy="803275"/>
                    </a:xfrm>
                    <a:prstGeom prst="rect">
                      <a:avLst/>
                    </a:prstGeom>
                    <a:noFill/>
                    <a:ln>
                      <a:noFill/>
                    </a:ln>
                  </pic:spPr>
                </pic:pic>
              </a:graphicData>
            </a:graphic>
          </wp:inline>
        </w:drawing>
      </w:r>
    </w:p>
    <w:p w14:paraId="263E2AB6" w14:textId="2C3E9E0B" w:rsidR="00481243" w:rsidRPr="00C578EB" w:rsidRDefault="00481243" w:rsidP="007B2293">
      <w:pPr>
        <w:pStyle w:val="FSRnormal"/>
      </w:pPr>
      <w:r w:rsidRPr="00C578EB">
        <w:t xml:space="preserve">The projected costs are well above those projected previously, reflecting the recent Scheme experience of higher participant intake and higher average costs per participant. </w:t>
      </w:r>
    </w:p>
    <w:p w14:paraId="707EAC88" w14:textId="6C107858" w:rsidR="00481243" w:rsidRPr="00C578EB" w:rsidRDefault="00481243" w:rsidP="007B2293">
      <w:pPr>
        <w:pStyle w:val="FSRnormal"/>
      </w:pPr>
      <w:r w:rsidRPr="00C578EB">
        <w:t>Projected participant costs, split by support category,</w:t>
      </w:r>
      <w:r w:rsidR="00DC1374" w:rsidRPr="00C578EB">
        <w:t xml:space="preserve"> on a cash basis</w:t>
      </w:r>
      <w:r w:rsidRPr="00C578EB">
        <w:t xml:space="preserve"> are presented below in </w:t>
      </w:r>
      <w:r w:rsidRPr="00597704">
        <w:fldChar w:fldCharType="begin"/>
      </w:r>
      <w:r w:rsidRPr="00C578EB">
        <w:instrText xml:space="preserve"> REF _Ref74922228 \h </w:instrText>
      </w:r>
      <w:r w:rsidR="00441148" w:rsidRPr="00C578EB">
        <w:instrText xml:space="preserve"> \* MERGEFORMAT </w:instrText>
      </w:r>
      <w:r w:rsidRPr="00597704">
        <w:fldChar w:fldCharType="separate"/>
      </w:r>
      <w:r w:rsidR="00715347" w:rsidRPr="00C578EB">
        <w:t xml:space="preserve">Table </w:t>
      </w:r>
      <w:r w:rsidR="00715347">
        <w:rPr>
          <w:noProof/>
        </w:rPr>
        <w:t>23</w:t>
      </w:r>
      <w:r w:rsidRPr="00597704">
        <w:fldChar w:fldCharType="end"/>
      </w:r>
      <w:r w:rsidRPr="00C578EB">
        <w:t xml:space="preserve">. </w:t>
      </w:r>
    </w:p>
    <w:p w14:paraId="43CCE2A5" w14:textId="35F3562E" w:rsidR="00481243" w:rsidRPr="00C578EB" w:rsidRDefault="00481243" w:rsidP="007B2293">
      <w:pPr>
        <w:pStyle w:val="Tables"/>
      </w:pPr>
      <w:bookmarkStart w:id="180" w:name="_Ref74922228"/>
      <w:r w:rsidRPr="00C578EB">
        <w:lastRenderedPageBreak/>
        <w:t xml:space="preserve">Table </w:t>
      </w:r>
      <w:r w:rsidRPr="00597704">
        <w:rPr>
          <w:b w:val="0"/>
          <w:bCs w:val="0"/>
        </w:rPr>
        <w:fldChar w:fldCharType="begin"/>
      </w:r>
      <w:r w:rsidRPr="00C578EB">
        <w:instrText xml:space="preserve"> SEQ Table \* ARABIC </w:instrText>
      </w:r>
      <w:r w:rsidRPr="00597704">
        <w:rPr>
          <w:b w:val="0"/>
          <w:bCs w:val="0"/>
        </w:rPr>
        <w:fldChar w:fldCharType="separate"/>
      </w:r>
      <w:r w:rsidR="00715347">
        <w:rPr>
          <w:noProof/>
        </w:rPr>
        <w:t>23</w:t>
      </w:r>
      <w:r w:rsidRPr="00597704">
        <w:rPr>
          <w:b w:val="0"/>
          <w:bCs w:val="0"/>
        </w:rPr>
        <w:fldChar w:fldCharType="end"/>
      </w:r>
      <w:bookmarkEnd w:id="180"/>
      <w:r w:rsidRPr="00C578EB">
        <w:t xml:space="preserve"> Projected participant costs by support category (on a cash basis)</w:t>
      </w:r>
    </w:p>
    <w:p w14:paraId="6D32DBF7" w14:textId="67F53882" w:rsidR="00C06094" w:rsidRPr="00C578EB" w:rsidRDefault="00512FF0" w:rsidP="007B2293">
      <w:pPr>
        <w:pStyle w:val="FSRnormal"/>
      </w:pPr>
      <w:r w:rsidRPr="00597704">
        <w:rPr>
          <w:noProof/>
          <w:lang w:eastAsia="en-AU"/>
        </w:rPr>
        <w:drawing>
          <wp:inline distT="0" distB="0" distL="0" distR="0" wp14:anchorId="2C7389AA" wp14:editId="16B053A4">
            <wp:extent cx="5731510" cy="2709545"/>
            <wp:effectExtent l="0" t="0" r="254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1510" cy="2709545"/>
                    </a:xfrm>
                    <a:prstGeom prst="rect">
                      <a:avLst/>
                    </a:prstGeom>
                    <a:noFill/>
                    <a:ln>
                      <a:noFill/>
                    </a:ln>
                  </pic:spPr>
                </pic:pic>
              </a:graphicData>
            </a:graphic>
          </wp:inline>
        </w:drawing>
      </w:r>
    </w:p>
    <w:p w14:paraId="662885C0" w14:textId="7EF3CD56" w:rsidR="00441148" w:rsidRPr="00C578EB" w:rsidRDefault="00441148" w:rsidP="007B2293">
      <w:pPr>
        <w:pStyle w:val="FSRnormal"/>
      </w:pPr>
      <w:r w:rsidRPr="00C578EB">
        <w:t xml:space="preserve">It can be seen that the Daily Activities support category </w:t>
      </w:r>
      <w:r w:rsidR="00CD2A2A" w:rsidRPr="00C578EB">
        <w:t>is a large component of participant costs, representing</w:t>
      </w:r>
      <w:r w:rsidRPr="00C578EB">
        <w:t xml:space="preserve"> over half of all participant costs. For the Capacity Building Daily Activities support category, the projected participant costs have increased and represent around 12% of participant costs over the next 15 projection years. This reflects the increases in payments for supports relating to therapy. </w:t>
      </w:r>
    </w:p>
    <w:p w14:paraId="283AD82F" w14:textId="553A0FEE" w:rsidR="00CD2A2A" w:rsidRPr="00C578EB" w:rsidRDefault="00CD2A2A" w:rsidP="007B2293">
      <w:pPr>
        <w:pStyle w:val="FSRnormal"/>
      </w:pPr>
      <w:r w:rsidRPr="00597704">
        <w:fldChar w:fldCharType="begin"/>
      </w:r>
      <w:r w:rsidRPr="00C578EB">
        <w:instrText xml:space="preserve"> REF _Ref74924045 \h </w:instrText>
      </w:r>
      <w:r w:rsidR="00DF5173" w:rsidRPr="00C578EB">
        <w:instrText xml:space="preserve"> \* MERGEFORMAT </w:instrText>
      </w:r>
      <w:r w:rsidRPr="00597704">
        <w:fldChar w:fldCharType="separate"/>
      </w:r>
      <w:r w:rsidR="00715347" w:rsidRPr="00C578EB">
        <w:t xml:space="preserve">Table </w:t>
      </w:r>
      <w:r w:rsidR="00715347">
        <w:rPr>
          <w:noProof/>
        </w:rPr>
        <w:t>24</w:t>
      </w:r>
      <w:r w:rsidRPr="00597704">
        <w:fldChar w:fldCharType="end"/>
      </w:r>
      <w:r w:rsidRPr="00C578EB">
        <w:t xml:space="preserve"> details projected participant costs by age group</w:t>
      </w:r>
      <w:r w:rsidR="00DC1374" w:rsidRPr="00C578EB">
        <w:t xml:space="preserve"> on a cash basis</w:t>
      </w:r>
      <w:r w:rsidRPr="00C578EB">
        <w:t xml:space="preserve">. </w:t>
      </w:r>
    </w:p>
    <w:p w14:paraId="1216EEE0" w14:textId="04A9D128" w:rsidR="00650C77" w:rsidRPr="00C578EB" w:rsidRDefault="00CD2A2A" w:rsidP="007B2293">
      <w:pPr>
        <w:pStyle w:val="Tables"/>
      </w:pPr>
      <w:bookmarkStart w:id="181" w:name="_Ref74924045"/>
      <w:r w:rsidRPr="00C578EB">
        <w:t xml:space="preserve">Table </w:t>
      </w:r>
      <w:r w:rsidRPr="00597704">
        <w:fldChar w:fldCharType="begin"/>
      </w:r>
      <w:r w:rsidRPr="00C578EB">
        <w:instrText xml:space="preserve"> SEQ Table \* ARABIC </w:instrText>
      </w:r>
      <w:r w:rsidRPr="00597704">
        <w:fldChar w:fldCharType="separate"/>
      </w:r>
      <w:r w:rsidR="00715347">
        <w:rPr>
          <w:noProof/>
        </w:rPr>
        <w:t>24</w:t>
      </w:r>
      <w:r w:rsidRPr="00597704">
        <w:fldChar w:fldCharType="end"/>
      </w:r>
      <w:bookmarkEnd w:id="181"/>
      <w:r w:rsidRPr="00C578EB">
        <w:t xml:space="preserve"> Projected participant costs by age group (on a cash basis)</w:t>
      </w:r>
    </w:p>
    <w:p w14:paraId="038644E5" w14:textId="3DC1152F" w:rsidR="00C06094" w:rsidRPr="00C578EB" w:rsidRDefault="00512FF0">
      <w:pPr>
        <w:pStyle w:val="FSRnormal"/>
      </w:pPr>
      <w:r w:rsidRPr="00597704">
        <w:rPr>
          <w:noProof/>
          <w:lang w:eastAsia="en-AU"/>
        </w:rPr>
        <w:drawing>
          <wp:inline distT="0" distB="0" distL="0" distR="0" wp14:anchorId="39A7C30C" wp14:editId="16E074DD">
            <wp:extent cx="5731510" cy="1165225"/>
            <wp:effectExtent l="0" t="0" r="254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1510" cy="1165225"/>
                    </a:xfrm>
                    <a:prstGeom prst="rect">
                      <a:avLst/>
                    </a:prstGeom>
                    <a:noFill/>
                    <a:ln>
                      <a:noFill/>
                    </a:ln>
                  </pic:spPr>
                </pic:pic>
              </a:graphicData>
            </a:graphic>
          </wp:inline>
        </w:drawing>
      </w:r>
    </w:p>
    <w:p w14:paraId="7A2923D7" w14:textId="69191C17" w:rsidR="00DF5173" w:rsidRPr="00C578EB" w:rsidRDefault="00CD2A2A" w:rsidP="007B2293">
      <w:pPr>
        <w:pStyle w:val="FSRnormal"/>
      </w:pPr>
      <w:r w:rsidRPr="00C578EB">
        <w:t>Projected participant costs have increased across all age groups</w:t>
      </w:r>
      <w:r w:rsidR="00DF5173" w:rsidRPr="00C578EB">
        <w:t>, with young adults representing a larger proportion of total participant costs over time</w:t>
      </w:r>
      <w:r w:rsidR="001A19AB" w:rsidRPr="00C578EB">
        <w:t xml:space="preserve"> which reflects both</w:t>
      </w:r>
      <w:r w:rsidR="00DF5173" w:rsidRPr="00C578EB">
        <w:t xml:space="preserve"> higher expected participant intake</w:t>
      </w:r>
      <w:r w:rsidR="001A19AB" w:rsidRPr="00C578EB">
        <w:t xml:space="preserve"> in th</w:t>
      </w:r>
      <w:r w:rsidR="00E30C83" w:rsidRPr="00C578EB">
        <w:t>e</w:t>
      </w:r>
      <w:r w:rsidR="001A19AB" w:rsidRPr="00C578EB">
        <w:t>se ages</w:t>
      </w:r>
      <w:r w:rsidR="00DF5173" w:rsidRPr="00C578EB">
        <w:t xml:space="preserve"> and ageing of </w:t>
      </w:r>
      <w:r w:rsidR="00E30C83" w:rsidRPr="00C578EB">
        <w:t>a greater number of</w:t>
      </w:r>
      <w:r w:rsidR="00DF5173" w:rsidRPr="00C578EB">
        <w:t xml:space="preserve"> participants</w:t>
      </w:r>
      <w:r w:rsidR="001A19AB" w:rsidRPr="00C578EB">
        <w:t xml:space="preserve"> that have entered at earlier ages</w:t>
      </w:r>
      <w:r w:rsidR="00DF5173" w:rsidRPr="00C578EB">
        <w:t>.</w:t>
      </w:r>
    </w:p>
    <w:p w14:paraId="614BD0E8" w14:textId="12E2634A" w:rsidR="00DF5173" w:rsidRPr="00C578EB" w:rsidRDefault="00DF5173" w:rsidP="007B2293">
      <w:pPr>
        <w:pStyle w:val="FSRnormal"/>
      </w:pPr>
      <w:r w:rsidRPr="00C578EB">
        <w:t>A breakdown of projected participant costs by disability group</w:t>
      </w:r>
      <w:r w:rsidR="00DC1374" w:rsidRPr="00C578EB">
        <w:t xml:space="preserve"> on a cash basis</w:t>
      </w:r>
      <w:r w:rsidRPr="00C578EB">
        <w:t xml:space="preserve"> is presented below in </w:t>
      </w:r>
      <w:r w:rsidRPr="00597704">
        <w:fldChar w:fldCharType="begin"/>
      </w:r>
      <w:r w:rsidRPr="00C578EB">
        <w:instrText xml:space="preserve"> REF _Ref74924306 \h </w:instrText>
      </w:r>
      <w:r w:rsidR="00CB3999" w:rsidRPr="00C578EB">
        <w:instrText xml:space="preserve"> \* MERGEFORMAT </w:instrText>
      </w:r>
      <w:r w:rsidRPr="00597704">
        <w:fldChar w:fldCharType="separate"/>
      </w:r>
      <w:r w:rsidR="00715347" w:rsidRPr="00C578EB">
        <w:t xml:space="preserve">Table </w:t>
      </w:r>
      <w:r w:rsidR="00715347">
        <w:rPr>
          <w:noProof/>
        </w:rPr>
        <w:t>25</w:t>
      </w:r>
      <w:r w:rsidRPr="00597704">
        <w:fldChar w:fldCharType="end"/>
      </w:r>
      <w:r w:rsidRPr="00C578EB">
        <w:t>.</w:t>
      </w:r>
    </w:p>
    <w:p w14:paraId="7F4B0D2C" w14:textId="7B1582B8" w:rsidR="00650C77" w:rsidRPr="00C578EB" w:rsidRDefault="00DF5173" w:rsidP="007B2293">
      <w:pPr>
        <w:pStyle w:val="Tables"/>
      </w:pPr>
      <w:bookmarkStart w:id="182" w:name="_Ref74924306"/>
      <w:r w:rsidRPr="00C578EB">
        <w:lastRenderedPageBreak/>
        <w:t xml:space="preserve">Table </w:t>
      </w:r>
      <w:r w:rsidRPr="00597704">
        <w:fldChar w:fldCharType="begin"/>
      </w:r>
      <w:r w:rsidRPr="00C578EB">
        <w:instrText xml:space="preserve"> SEQ Table \* ARABIC </w:instrText>
      </w:r>
      <w:r w:rsidRPr="00597704">
        <w:fldChar w:fldCharType="separate"/>
      </w:r>
      <w:r w:rsidR="00715347">
        <w:rPr>
          <w:noProof/>
        </w:rPr>
        <w:t>25</w:t>
      </w:r>
      <w:r w:rsidRPr="00597704">
        <w:fldChar w:fldCharType="end"/>
      </w:r>
      <w:bookmarkEnd w:id="182"/>
      <w:r w:rsidRPr="00C578EB">
        <w:t xml:space="preserve"> Projected participant costs by disability group (on a cash basis)</w:t>
      </w:r>
    </w:p>
    <w:p w14:paraId="398BF3BC" w14:textId="35A200AB" w:rsidR="00C06094" w:rsidRPr="00C578EB" w:rsidRDefault="00512FF0" w:rsidP="007B2293">
      <w:pPr>
        <w:pStyle w:val="FSRnormal"/>
      </w:pPr>
      <w:r w:rsidRPr="00597704">
        <w:rPr>
          <w:noProof/>
          <w:lang w:eastAsia="en-AU"/>
        </w:rPr>
        <w:drawing>
          <wp:inline distT="0" distB="0" distL="0" distR="0" wp14:anchorId="7F171B68" wp14:editId="630FC420">
            <wp:extent cx="5731510" cy="1496060"/>
            <wp:effectExtent l="0" t="0" r="2540" b="889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31510" cy="1496060"/>
                    </a:xfrm>
                    <a:prstGeom prst="rect">
                      <a:avLst/>
                    </a:prstGeom>
                    <a:noFill/>
                    <a:ln>
                      <a:noFill/>
                    </a:ln>
                  </pic:spPr>
                </pic:pic>
              </a:graphicData>
            </a:graphic>
          </wp:inline>
        </w:drawing>
      </w:r>
    </w:p>
    <w:p w14:paraId="69ED9BB3" w14:textId="483343B8" w:rsidR="00DF5173" w:rsidRPr="00C578EB" w:rsidRDefault="00DF5173" w:rsidP="00DF5173">
      <w:r w:rsidRPr="00C578EB">
        <w:t xml:space="preserve">Participants with autism and intellectual disability continue to represent a significant component of total participant costs. Additionally, </w:t>
      </w:r>
      <w:r w:rsidR="00CB3999" w:rsidRPr="00C578EB">
        <w:t xml:space="preserve">higher expected intake </w:t>
      </w:r>
      <w:r w:rsidRPr="00C578EB">
        <w:t xml:space="preserve">of participants with psychosocial disability, partly driven by the introduction of the disability-specific participant pathway, </w:t>
      </w:r>
      <w:r w:rsidR="00CB3999" w:rsidRPr="00C578EB">
        <w:t xml:space="preserve">and developmental delay </w:t>
      </w:r>
      <w:r w:rsidRPr="00C578EB">
        <w:t xml:space="preserve">has resulted in </w:t>
      </w:r>
      <w:r w:rsidR="00CB3999" w:rsidRPr="00C578EB">
        <w:t xml:space="preserve">higher </w:t>
      </w:r>
      <w:r w:rsidRPr="00C578EB">
        <w:t>projected participant costs.</w:t>
      </w:r>
    </w:p>
    <w:p w14:paraId="140C7BC5" w14:textId="3D291E5F" w:rsidR="000A547C" w:rsidRPr="00C578EB" w:rsidRDefault="000A547C" w:rsidP="000A547C">
      <w:pPr>
        <w:pStyle w:val="FSRHeading2"/>
        <w:numPr>
          <w:ilvl w:val="1"/>
          <w:numId w:val="1"/>
        </w:numPr>
        <w:ind w:left="907" w:hanging="907"/>
      </w:pPr>
      <w:bookmarkStart w:id="183" w:name="_Toc75034650"/>
      <w:bookmarkStart w:id="184" w:name="_Toc75035707"/>
      <w:bookmarkStart w:id="185" w:name="_Toc75036696"/>
      <w:bookmarkStart w:id="186" w:name="_Toc75034652"/>
      <w:bookmarkStart w:id="187" w:name="_Toc75035709"/>
      <w:bookmarkStart w:id="188" w:name="_Toc75036698"/>
      <w:bookmarkStart w:id="189" w:name="_Toc75034653"/>
      <w:bookmarkStart w:id="190" w:name="_Toc75035710"/>
      <w:bookmarkStart w:id="191" w:name="_Toc75036699"/>
      <w:bookmarkStart w:id="192" w:name="_Toc75034654"/>
      <w:bookmarkStart w:id="193" w:name="_Toc75035711"/>
      <w:bookmarkStart w:id="194" w:name="_Toc75036700"/>
      <w:bookmarkStart w:id="195" w:name="_Toc75034655"/>
      <w:bookmarkStart w:id="196" w:name="_Toc75035712"/>
      <w:bookmarkStart w:id="197" w:name="_Toc75036701"/>
      <w:bookmarkStart w:id="198" w:name="_Toc75034656"/>
      <w:bookmarkStart w:id="199" w:name="_Toc75035713"/>
      <w:bookmarkStart w:id="200" w:name="_Toc75036702"/>
      <w:bookmarkStart w:id="201" w:name="_Toc75034657"/>
      <w:bookmarkStart w:id="202" w:name="_Toc75035714"/>
      <w:bookmarkStart w:id="203" w:name="_Toc75036703"/>
      <w:bookmarkStart w:id="204" w:name="_Toc75034658"/>
      <w:bookmarkStart w:id="205" w:name="_Toc75035715"/>
      <w:bookmarkStart w:id="206" w:name="_Toc75036704"/>
      <w:bookmarkStart w:id="207" w:name="_Toc75034659"/>
      <w:bookmarkStart w:id="208" w:name="_Toc75035716"/>
      <w:bookmarkStart w:id="209" w:name="_Toc75036705"/>
      <w:bookmarkStart w:id="210" w:name="_Toc75034660"/>
      <w:bookmarkStart w:id="211" w:name="_Toc75035717"/>
      <w:bookmarkStart w:id="212" w:name="_Toc75036706"/>
      <w:bookmarkStart w:id="213" w:name="_Toc75034661"/>
      <w:bookmarkStart w:id="214" w:name="_Toc75035718"/>
      <w:bookmarkStart w:id="215" w:name="_Toc75036707"/>
      <w:bookmarkStart w:id="216" w:name="_Toc75034662"/>
      <w:bookmarkStart w:id="217" w:name="_Toc75035719"/>
      <w:bookmarkStart w:id="218" w:name="_Toc75036708"/>
      <w:bookmarkStart w:id="219" w:name="_Toc75034663"/>
      <w:bookmarkStart w:id="220" w:name="_Toc75035720"/>
      <w:bookmarkStart w:id="221" w:name="_Toc75036709"/>
      <w:bookmarkStart w:id="222" w:name="_Toc75034664"/>
      <w:bookmarkStart w:id="223" w:name="_Toc75035721"/>
      <w:bookmarkStart w:id="224" w:name="_Toc75036710"/>
      <w:bookmarkStart w:id="225" w:name="_Toc75034665"/>
      <w:bookmarkStart w:id="226" w:name="_Toc75035722"/>
      <w:bookmarkStart w:id="227" w:name="_Toc75036711"/>
      <w:bookmarkStart w:id="228" w:name="_Toc75034666"/>
      <w:bookmarkStart w:id="229" w:name="_Toc75035723"/>
      <w:bookmarkStart w:id="230" w:name="_Toc75036712"/>
      <w:bookmarkStart w:id="231" w:name="_Toc75034667"/>
      <w:bookmarkStart w:id="232" w:name="_Toc75035724"/>
      <w:bookmarkStart w:id="233" w:name="_Toc75036713"/>
      <w:bookmarkStart w:id="234" w:name="_Toc75034668"/>
      <w:bookmarkStart w:id="235" w:name="_Toc75035725"/>
      <w:bookmarkStart w:id="236" w:name="_Toc75036714"/>
      <w:bookmarkStart w:id="237" w:name="_Toc75034669"/>
      <w:bookmarkStart w:id="238" w:name="_Toc75035726"/>
      <w:bookmarkStart w:id="239" w:name="_Toc75036715"/>
      <w:bookmarkStart w:id="240" w:name="_Ref75451614"/>
      <w:bookmarkStart w:id="241" w:name="_Toc76132733"/>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578EB">
        <w:t xml:space="preserve">Comparison with PBS </w:t>
      </w:r>
      <w:r w:rsidR="00FA626F" w:rsidRPr="00C578EB">
        <w:t xml:space="preserve">estimates </w:t>
      </w:r>
      <w:r w:rsidRPr="00C578EB">
        <w:t xml:space="preserve">and </w:t>
      </w:r>
      <w:r w:rsidR="00FA626F" w:rsidRPr="00C578EB">
        <w:t xml:space="preserve">the Productivity </w:t>
      </w:r>
      <w:r w:rsidRPr="00C578EB">
        <w:t>C</w:t>
      </w:r>
      <w:r w:rsidR="00FA626F" w:rsidRPr="00C578EB">
        <w:t>ommission estimates</w:t>
      </w:r>
      <w:bookmarkEnd w:id="240"/>
      <w:bookmarkEnd w:id="241"/>
      <w:r w:rsidR="00FA626F" w:rsidRPr="00C578EB">
        <w:t xml:space="preserve"> </w:t>
      </w:r>
    </w:p>
    <w:p w14:paraId="310FEA68" w14:textId="1661F0D8" w:rsidR="00C129EB" w:rsidRPr="00C578EB" w:rsidRDefault="00C129EB" w:rsidP="006F104A">
      <w:r w:rsidRPr="00597704">
        <w:fldChar w:fldCharType="begin"/>
      </w:r>
      <w:r w:rsidRPr="00C578EB">
        <w:instrText xml:space="preserve"> REF _Ref74331923 \h </w:instrText>
      </w:r>
      <w:r w:rsidR="00090F13" w:rsidRPr="00C578EB">
        <w:instrText xml:space="preserve"> \* MERGEFORMAT </w:instrText>
      </w:r>
      <w:r w:rsidRPr="00597704">
        <w:fldChar w:fldCharType="separate"/>
      </w:r>
      <w:r w:rsidR="00715347" w:rsidRPr="00C578EB">
        <w:t xml:space="preserve">Table </w:t>
      </w:r>
      <w:r w:rsidR="00715347">
        <w:rPr>
          <w:noProof/>
        </w:rPr>
        <w:t>26</w:t>
      </w:r>
      <w:r w:rsidRPr="00597704">
        <w:fldChar w:fldCharType="end"/>
      </w:r>
      <w:r w:rsidRPr="00C578EB">
        <w:t xml:space="preserve"> shows that the baseline projection is materially higher than the estimate of reasonable and necessary supports </w:t>
      </w:r>
      <w:r w:rsidR="00D40483" w:rsidRPr="00C578EB">
        <w:t xml:space="preserve">in the </w:t>
      </w:r>
      <w:r w:rsidR="00524624" w:rsidRPr="00C578EB">
        <w:t xml:space="preserve">most recent </w:t>
      </w:r>
      <w:r w:rsidRPr="00C578EB">
        <w:t xml:space="preserve">PBS </w:t>
      </w:r>
      <w:r w:rsidR="00524624" w:rsidRPr="00C578EB">
        <w:t xml:space="preserve">(2021-22) </w:t>
      </w:r>
      <w:r w:rsidRPr="00C578EB">
        <w:t>from 2021-22 onwards.</w:t>
      </w:r>
    </w:p>
    <w:p w14:paraId="57D53F20" w14:textId="2508C608" w:rsidR="00C129EB" w:rsidRPr="00C578EB" w:rsidRDefault="00C129EB" w:rsidP="007B2293">
      <w:pPr>
        <w:pStyle w:val="Tables"/>
      </w:pPr>
      <w:bookmarkStart w:id="242" w:name="_Ref74331923"/>
      <w:r w:rsidRPr="00C578EB">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26</w:t>
      </w:r>
      <w:r w:rsidR="00C04E1B" w:rsidRPr="00597704">
        <w:rPr>
          <w:noProof/>
        </w:rPr>
        <w:fldChar w:fldCharType="end"/>
      </w:r>
      <w:bookmarkEnd w:id="242"/>
      <w:r w:rsidRPr="00C578EB">
        <w:t xml:space="preserve"> Total Participant costs (accrual basis) compared to PBS</w:t>
      </w:r>
    </w:p>
    <w:p w14:paraId="036EF7D7" w14:textId="055E9F41" w:rsidR="00C9310A" w:rsidRPr="00C578EB" w:rsidRDefault="00E540D5" w:rsidP="006F104A">
      <w:r w:rsidRPr="00597704">
        <w:rPr>
          <w:noProof/>
          <w:lang w:eastAsia="en-AU"/>
        </w:rPr>
        <w:drawing>
          <wp:inline distT="0" distB="0" distL="0" distR="0" wp14:anchorId="1C623F97" wp14:editId="271BF141">
            <wp:extent cx="5731510" cy="1338688"/>
            <wp:effectExtent l="0" t="0" r="254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338688"/>
                    </a:xfrm>
                    <a:prstGeom prst="rect">
                      <a:avLst/>
                    </a:prstGeom>
                    <a:noFill/>
                    <a:ln>
                      <a:noFill/>
                    </a:ln>
                  </pic:spPr>
                </pic:pic>
              </a:graphicData>
            </a:graphic>
          </wp:inline>
        </w:drawing>
      </w:r>
    </w:p>
    <w:p w14:paraId="47B9C05B" w14:textId="4691C9BC" w:rsidR="00C6134D" w:rsidRPr="00C578EB" w:rsidRDefault="00C6134D" w:rsidP="00C6134D">
      <w:pPr>
        <w:pStyle w:val="FSRnormal"/>
      </w:pPr>
      <w:r w:rsidRPr="00C578EB">
        <w:t xml:space="preserve">The baseline projection </w:t>
      </w:r>
      <w:r w:rsidR="00C129EB" w:rsidRPr="00C578EB">
        <w:t>has also</w:t>
      </w:r>
      <w:r w:rsidRPr="00C578EB">
        <w:t xml:space="preserve"> be</w:t>
      </w:r>
      <w:r w:rsidR="00C129EB" w:rsidRPr="00C578EB">
        <w:t>en</w:t>
      </w:r>
      <w:r w:rsidRPr="00C578EB">
        <w:t xml:space="preserve"> compared against the projections outlined in 2017 PC study report</w:t>
      </w:r>
      <w:r w:rsidRPr="00C578EB">
        <w:rPr>
          <w:rStyle w:val="FootnoteReference"/>
          <w:bCs/>
        </w:rPr>
        <w:footnoteReference w:id="61"/>
      </w:r>
      <w:r w:rsidR="001A6F9A">
        <w:rPr>
          <w:bCs/>
        </w:rPr>
        <w:t>.</w:t>
      </w:r>
    </w:p>
    <w:p w14:paraId="074B1A24" w14:textId="7811D818" w:rsidR="00090F13" w:rsidRPr="00C578EB" w:rsidRDefault="00090F13">
      <w:r w:rsidRPr="00597704">
        <w:fldChar w:fldCharType="begin"/>
      </w:r>
      <w:r w:rsidRPr="00C578EB">
        <w:instrText xml:space="preserve"> REF _Ref74332051 \h  \* MERGEFORMAT </w:instrText>
      </w:r>
      <w:r w:rsidRPr="00597704">
        <w:fldChar w:fldCharType="separate"/>
      </w:r>
      <w:r w:rsidR="00715347" w:rsidRPr="00C578EB">
        <w:t xml:space="preserve">Table </w:t>
      </w:r>
      <w:r w:rsidR="00715347">
        <w:rPr>
          <w:noProof/>
        </w:rPr>
        <w:t>27</w:t>
      </w:r>
      <w:r w:rsidRPr="00597704">
        <w:fldChar w:fldCharType="end"/>
      </w:r>
      <w:r w:rsidRPr="00C578EB">
        <w:t xml:space="preserve"> </w:t>
      </w:r>
      <w:r w:rsidR="00C6134D" w:rsidRPr="00C578EB">
        <w:t xml:space="preserve">shows that based on the 2017 PC study report, the </w:t>
      </w:r>
      <w:r w:rsidR="00C33A15" w:rsidRPr="00C578EB">
        <w:t xml:space="preserve">estimated </w:t>
      </w:r>
      <w:r w:rsidR="00C6134D" w:rsidRPr="00C578EB">
        <w:t>annual cost of the Scheme in 202</w:t>
      </w:r>
      <w:r w:rsidR="00C129EB" w:rsidRPr="00C578EB">
        <w:t>1</w:t>
      </w:r>
      <w:r w:rsidR="00C6134D" w:rsidRPr="00C578EB">
        <w:t>-2</w:t>
      </w:r>
      <w:r w:rsidR="00C129EB" w:rsidRPr="00C578EB">
        <w:t>2</w:t>
      </w:r>
      <w:r w:rsidR="00C6134D" w:rsidRPr="00C578EB">
        <w:t xml:space="preserve"> was $2</w:t>
      </w:r>
      <w:r w:rsidR="00C129EB" w:rsidRPr="00C578EB">
        <w:t>5</w:t>
      </w:r>
      <w:r w:rsidR="00C6134D" w:rsidRPr="00C578EB">
        <w:t>.</w:t>
      </w:r>
      <w:r w:rsidR="00C129EB" w:rsidRPr="00C578EB">
        <w:t>2</w:t>
      </w:r>
      <w:r w:rsidR="00C6134D" w:rsidRPr="00C578EB">
        <w:t xml:space="preserve"> billion, or $2</w:t>
      </w:r>
      <w:r w:rsidR="00C129EB" w:rsidRPr="00C578EB">
        <w:t>3.7</w:t>
      </w:r>
      <w:r w:rsidR="00C6134D" w:rsidRPr="00C578EB">
        <w:t xml:space="preserve"> billion attributable to participant costs. By comparison, the baseline proj</w:t>
      </w:r>
      <w:r w:rsidRPr="00C578EB">
        <w:t>ected participant costs in 2021-</w:t>
      </w:r>
      <w:r w:rsidR="00C6134D" w:rsidRPr="00C578EB">
        <w:t>2</w:t>
      </w:r>
      <w:r w:rsidRPr="00C578EB">
        <w:t>2</w:t>
      </w:r>
      <w:r w:rsidR="00C6134D" w:rsidRPr="00C578EB">
        <w:t xml:space="preserve"> are about $2</w:t>
      </w:r>
      <w:r w:rsidRPr="00C578EB">
        <w:t>8</w:t>
      </w:r>
      <w:r w:rsidR="00C6134D" w:rsidRPr="00C578EB">
        <w:t>.</w:t>
      </w:r>
      <w:r w:rsidRPr="00C578EB">
        <w:t>1</w:t>
      </w:r>
      <w:r w:rsidR="00C6134D" w:rsidRPr="00C578EB">
        <w:t xml:space="preserve"> billion, or about </w:t>
      </w:r>
      <w:r w:rsidRPr="00C578EB">
        <w:t>1</w:t>
      </w:r>
      <w:r w:rsidR="00E443EC">
        <w:t>9</w:t>
      </w:r>
      <w:r w:rsidR="00C6134D" w:rsidRPr="00C578EB">
        <w:t xml:space="preserve">% </w:t>
      </w:r>
      <w:r w:rsidRPr="00C578EB">
        <w:t>above</w:t>
      </w:r>
      <w:r w:rsidR="00C6134D" w:rsidRPr="00C578EB">
        <w:t xml:space="preserve"> the 2017 PC estimate. </w:t>
      </w:r>
    </w:p>
    <w:p w14:paraId="1DFA11C8" w14:textId="72CF160A" w:rsidR="00C6134D" w:rsidRPr="00C578EB" w:rsidRDefault="00C6134D" w:rsidP="00C6134D">
      <w:r w:rsidRPr="00C578EB">
        <w:t xml:space="preserve">The difference is expected to continue to grow, such that by </w:t>
      </w:r>
      <w:r w:rsidR="00D40483" w:rsidRPr="00C578EB">
        <w:t>2029-30</w:t>
      </w:r>
      <w:r w:rsidRPr="00C578EB">
        <w:t>, the baseline projected participant costs ($</w:t>
      </w:r>
      <w:r w:rsidR="00D40483" w:rsidRPr="00C578EB">
        <w:t>60.3 billion</w:t>
      </w:r>
      <w:r w:rsidRPr="00C578EB">
        <w:t xml:space="preserve">) are </w:t>
      </w:r>
      <w:r w:rsidR="00E443EC">
        <w:t>58</w:t>
      </w:r>
      <w:r w:rsidR="00D40483" w:rsidRPr="00C578EB">
        <w:t>%</w:t>
      </w:r>
      <w:r w:rsidRPr="00C578EB">
        <w:t xml:space="preserve"> above the 2017 PC estimate of $</w:t>
      </w:r>
      <w:r w:rsidR="00E443EC">
        <w:t>38</w:t>
      </w:r>
      <w:r w:rsidR="00D40483" w:rsidRPr="00C578EB">
        <w:t>.</w:t>
      </w:r>
      <w:r w:rsidR="00E443EC">
        <w:t>1</w:t>
      </w:r>
      <w:r w:rsidR="00D40483" w:rsidRPr="00C578EB">
        <w:t> </w:t>
      </w:r>
      <w:r w:rsidRPr="00C578EB">
        <w:t xml:space="preserve">billion. </w:t>
      </w:r>
      <w:r w:rsidR="001A0136">
        <w:t xml:space="preserve">It should be noted that 2017 PC estimate did not include costs for </w:t>
      </w:r>
      <w:r w:rsidR="001A0136" w:rsidRPr="001A0136">
        <w:t xml:space="preserve">children with developmental </w:t>
      </w:r>
      <w:r w:rsidR="001A0136" w:rsidRPr="001A0136">
        <w:lastRenderedPageBreak/>
        <w:t>delay, school transport, personal care in schools, disability related health supports</w:t>
      </w:r>
      <w:r w:rsidR="001A0136">
        <w:t xml:space="preserve">, or a </w:t>
      </w:r>
      <w:r w:rsidR="001A0136" w:rsidRPr="001A0136">
        <w:t>NIIS offset for motor/workplace injuries only</w:t>
      </w:r>
      <w:r w:rsidR="001A0136">
        <w:t xml:space="preserve"> – these are referred to as “unanticipated costs” in the table below.</w:t>
      </w:r>
    </w:p>
    <w:p w14:paraId="3538A926" w14:textId="75616935" w:rsidR="003C21D1" w:rsidRPr="00C578EB" w:rsidRDefault="00555596" w:rsidP="00C6134D">
      <w:r w:rsidRPr="00C578EB">
        <w:t xml:space="preserve">A </w:t>
      </w:r>
      <w:r w:rsidR="003C21D1" w:rsidRPr="00C578EB">
        <w:t xml:space="preserve">comparison of projected participants with </w:t>
      </w:r>
      <w:r w:rsidRPr="00C578EB">
        <w:t xml:space="preserve">2017 </w:t>
      </w:r>
      <w:r w:rsidR="003C21D1" w:rsidRPr="00C578EB">
        <w:t xml:space="preserve">PC estimates, </w:t>
      </w:r>
      <w:r w:rsidRPr="00C578EB">
        <w:t>is included in</w:t>
      </w:r>
      <w:r w:rsidR="00176D1B" w:rsidRPr="00C578EB">
        <w:t xml:space="preserve"> </w:t>
      </w:r>
      <w:hyperlink w:anchor="_Appendix_F:_Participant" w:history="1">
        <w:r w:rsidR="00176D1B" w:rsidRPr="00C46358">
          <w:rPr>
            <w:rStyle w:val="FSRnormalChar"/>
            <w:lang w:val="en-AU"/>
          </w:rPr>
          <w:t>Appendix F</w:t>
        </w:r>
      </w:hyperlink>
      <w:r w:rsidR="003C21D1" w:rsidRPr="00C578EB">
        <w:t>.</w:t>
      </w:r>
    </w:p>
    <w:p w14:paraId="55B16AF3" w14:textId="675AE587" w:rsidR="00C129EB" w:rsidRPr="00C578EB" w:rsidRDefault="00C129EB" w:rsidP="007B2293">
      <w:pPr>
        <w:pStyle w:val="Tables"/>
      </w:pPr>
      <w:bookmarkStart w:id="243" w:name="_Ref74332051"/>
      <w:r w:rsidRPr="00C578EB">
        <w:t xml:space="preserve">Table </w:t>
      </w:r>
      <w:r w:rsidR="00C04E1B" w:rsidRPr="00597704">
        <w:fldChar w:fldCharType="begin"/>
      </w:r>
      <w:r w:rsidR="00C04E1B" w:rsidRPr="00C578EB">
        <w:instrText xml:space="preserve"> SEQ Table \* ARABIC </w:instrText>
      </w:r>
      <w:r w:rsidR="00C04E1B" w:rsidRPr="00597704">
        <w:fldChar w:fldCharType="separate"/>
      </w:r>
      <w:r w:rsidR="00715347">
        <w:rPr>
          <w:noProof/>
        </w:rPr>
        <w:t>27</w:t>
      </w:r>
      <w:r w:rsidR="00C04E1B" w:rsidRPr="00597704">
        <w:rPr>
          <w:noProof/>
        </w:rPr>
        <w:fldChar w:fldCharType="end"/>
      </w:r>
      <w:bookmarkEnd w:id="243"/>
      <w:r w:rsidRPr="00C578EB">
        <w:t xml:space="preserve"> </w:t>
      </w:r>
      <w:r w:rsidR="00090F13" w:rsidRPr="00C578EB">
        <w:t>Estimates of Scheme costs in the 2017 PC study report</w:t>
      </w:r>
      <w:r w:rsidR="00090F13" w:rsidRPr="00C578EB">
        <w:rPr>
          <w:rStyle w:val="FootnoteReference"/>
          <w:noProof/>
          <w:szCs w:val="22"/>
        </w:rPr>
        <w:footnoteReference w:id="62"/>
      </w:r>
    </w:p>
    <w:p w14:paraId="00AEA56B" w14:textId="3A112ABA" w:rsidR="00C9310A" w:rsidRPr="00C578EB" w:rsidRDefault="008E50BF" w:rsidP="007B2293">
      <w:pPr>
        <w:pStyle w:val="FSRnormal"/>
      </w:pPr>
      <w:r w:rsidRPr="008E50BF">
        <w:rPr>
          <w:noProof/>
          <w:lang w:eastAsia="en-AU"/>
        </w:rPr>
        <w:drawing>
          <wp:inline distT="0" distB="0" distL="0" distR="0" wp14:anchorId="449C2D81" wp14:editId="0FB66D8E">
            <wp:extent cx="5731510" cy="1496174"/>
            <wp:effectExtent l="0" t="0" r="254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31510" cy="1496174"/>
                    </a:xfrm>
                    <a:prstGeom prst="rect">
                      <a:avLst/>
                    </a:prstGeom>
                    <a:noFill/>
                    <a:ln>
                      <a:noFill/>
                    </a:ln>
                  </pic:spPr>
                </pic:pic>
              </a:graphicData>
            </a:graphic>
          </wp:inline>
        </w:drawing>
      </w:r>
    </w:p>
    <w:p w14:paraId="76C668D7" w14:textId="4F6C6200" w:rsidR="001F4FAE" w:rsidRPr="00C578EB" w:rsidRDefault="001F4FAE" w:rsidP="001F4FAE">
      <w:pPr>
        <w:pStyle w:val="FSRHeading2"/>
        <w:numPr>
          <w:ilvl w:val="1"/>
          <w:numId w:val="1"/>
        </w:numPr>
        <w:ind w:left="907" w:hanging="907"/>
      </w:pPr>
      <w:bookmarkStart w:id="244" w:name="_Ref75094884"/>
      <w:bookmarkStart w:id="245" w:name="_Toc76132734"/>
      <w:r w:rsidRPr="00C578EB">
        <w:t xml:space="preserve">Impact of recent experience post </w:t>
      </w:r>
      <w:r w:rsidR="00524624" w:rsidRPr="00C578EB">
        <w:t>31 December </w:t>
      </w:r>
      <w:r w:rsidRPr="00C578EB">
        <w:t>2020</w:t>
      </w:r>
      <w:bookmarkEnd w:id="244"/>
      <w:bookmarkEnd w:id="245"/>
    </w:p>
    <w:p w14:paraId="2EAF8E21" w14:textId="3300DEEF" w:rsidR="005C3D41" w:rsidRPr="00C578EB" w:rsidRDefault="00D40483" w:rsidP="006F104A">
      <w:r w:rsidRPr="00C578EB">
        <w:t xml:space="preserve">As </w:t>
      </w:r>
      <w:r w:rsidR="000C5D7E" w:rsidRPr="00C578EB">
        <w:t xml:space="preserve">discussed in </w:t>
      </w:r>
      <w:r w:rsidR="001D5A60">
        <w:t>s</w:t>
      </w:r>
      <w:r w:rsidR="000C5D7E" w:rsidRPr="00C578EB">
        <w:t xml:space="preserve">ection 4.4, the gap between actual experience and expected experience has continued to widen, </w:t>
      </w:r>
      <w:r w:rsidR="00F3361A" w:rsidRPr="00C578EB">
        <w:t>with total cost 6.4% above expected in 2020-21 at 31 May 2021</w:t>
      </w:r>
      <w:r w:rsidR="00BD0AD6" w:rsidRPr="00C578EB">
        <w:t>,</w:t>
      </w:r>
      <w:r w:rsidR="00F3361A" w:rsidRPr="00C578EB">
        <w:t xml:space="preserve"> compared with 4.2% at 31 December 2020. Analysis of this most recent experience post 31 December 2020 indicates that scheme costs are likely to be 4% higher than projected </w:t>
      </w:r>
      <w:r w:rsidR="00C33A15" w:rsidRPr="00C578EB">
        <w:t>in this report</w:t>
      </w:r>
      <w:r w:rsidR="00F3361A" w:rsidRPr="00C578EB">
        <w:t xml:space="preserve">. The impact </w:t>
      </w:r>
      <w:r w:rsidR="00C33A15" w:rsidRPr="00C578EB">
        <w:t xml:space="preserve">if this trend continued would be </w:t>
      </w:r>
      <w:r w:rsidR="00F3361A" w:rsidRPr="00C578EB">
        <w:t>an additional $</w:t>
      </w:r>
      <w:r w:rsidR="00215823" w:rsidRPr="00C578EB">
        <w:t>5.5</w:t>
      </w:r>
      <w:r w:rsidR="00F3361A" w:rsidRPr="00C578EB">
        <w:t xml:space="preserve"> billion over the four year period from 2021-22 to 2024-25. </w:t>
      </w:r>
      <w:r w:rsidR="005C3D41" w:rsidRPr="00C578EB">
        <w:t>The 4% increase is based on the increasing rate of average participant payments over and above the curre</w:t>
      </w:r>
      <w:r w:rsidR="00215823" w:rsidRPr="00C578EB">
        <w:t>n</w:t>
      </w:r>
      <w:r w:rsidR="005C3D41" w:rsidRPr="00C578EB">
        <w:t xml:space="preserve">t projection, and the consequent increases on total cost. This figure is only indicative and a </w:t>
      </w:r>
      <w:r w:rsidR="00C33A15" w:rsidRPr="00C578EB">
        <w:t xml:space="preserve">deeper </w:t>
      </w:r>
      <w:r w:rsidR="005C3D41" w:rsidRPr="00C578EB">
        <w:t>assessment is underway</w:t>
      </w:r>
      <w:r w:rsidR="00BD0AD6" w:rsidRPr="00C578EB">
        <w:t>.</w:t>
      </w:r>
      <w:r w:rsidR="005C3D41" w:rsidRPr="00C578EB">
        <w:t xml:space="preserve"> </w:t>
      </w:r>
      <w:r w:rsidR="00BD0AD6" w:rsidRPr="00C578EB">
        <w:t xml:space="preserve">This revised projection </w:t>
      </w:r>
      <w:r w:rsidR="005C3D41" w:rsidRPr="00C578EB">
        <w:t xml:space="preserve">will be included in the AFSR summary </w:t>
      </w:r>
      <w:r w:rsidR="00524624" w:rsidRPr="00C578EB">
        <w:t xml:space="preserve">included </w:t>
      </w:r>
      <w:r w:rsidR="005C3D41" w:rsidRPr="00C578EB">
        <w:t>in the NDIA annual report in October 2021.</w:t>
      </w:r>
      <w:r w:rsidR="00DC1374" w:rsidRPr="00C578EB">
        <w:t xml:space="preserve"> A comparison of the estimated participant costs, allowing for experience post </w:t>
      </w:r>
      <w:r w:rsidR="00BD0AD6" w:rsidRPr="00C578EB">
        <w:t>31 December </w:t>
      </w:r>
      <w:r w:rsidR="00DC1374" w:rsidRPr="00C578EB">
        <w:t xml:space="preserve">2020, with the </w:t>
      </w:r>
      <w:r w:rsidR="00524624" w:rsidRPr="00C578EB">
        <w:t xml:space="preserve">most recent </w:t>
      </w:r>
      <w:r w:rsidR="00DC1374" w:rsidRPr="00C578EB">
        <w:t xml:space="preserve">PBS </w:t>
      </w:r>
      <w:r w:rsidR="00524624" w:rsidRPr="00C578EB">
        <w:t xml:space="preserve">(2021-22) is included </w:t>
      </w:r>
      <w:r w:rsidR="00DC1374" w:rsidRPr="00C578EB">
        <w:t xml:space="preserve">in </w:t>
      </w:r>
      <w:r w:rsidR="00DC1374" w:rsidRPr="00597704">
        <w:fldChar w:fldCharType="begin"/>
      </w:r>
      <w:r w:rsidR="00DC1374" w:rsidRPr="00C578EB">
        <w:instrText xml:space="preserve"> REF _Ref75035079 \h  \* MERGEFORMAT </w:instrText>
      </w:r>
      <w:r w:rsidR="00DC1374" w:rsidRPr="00597704">
        <w:fldChar w:fldCharType="separate"/>
      </w:r>
      <w:r w:rsidR="00715347" w:rsidRPr="00C578EB">
        <w:t xml:space="preserve">Table </w:t>
      </w:r>
      <w:r w:rsidR="00715347">
        <w:rPr>
          <w:noProof/>
        </w:rPr>
        <w:t>28</w:t>
      </w:r>
      <w:r w:rsidR="00DC1374" w:rsidRPr="00597704">
        <w:fldChar w:fldCharType="end"/>
      </w:r>
      <w:r w:rsidR="00DC1374" w:rsidRPr="00C578EB">
        <w:t>.</w:t>
      </w:r>
    </w:p>
    <w:p w14:paraId="0F30C9AD" w14:textId="5986642C" w:rsidR="00A405B6" w:rsidRPr="00C578EB" w:rsidRDefault="00A405B6" w:rsidP="007B2293">
      <w:pPr>
        <w:pStyle w:val="Tables"/>
      </w:pPr>
      <w:bookmarkStart w:id="246" w:name="_Ref75035079"/>
      <w:r w:rsidRPr="00C578EB">
        <w:lastRenderedPageBreak/>
        <w:t xml:space="preserve">Table </w:t>
      </w:r>
      <w:r w:rsidRPr="00597704">
        <w:fldChar w:fldCharType="begin"/>
      </w:r>
      <w:r w:rsidRPr="00C578EB">
        <w:instrText xml:space="preserve"> SEQ Table \* ARABIC </w:instrText>
      </w:r>
      <w:r w:rsidRPr="00597704">
        <w:fldChar w:fldCharType="separate"/>
      </w:r>
      <w:r w:rsidR="00715347">
        <w:rPr>
          <w:noProof/>
        </w:rPr>
        <w:t>28</w:t>
      </w:r>
      <w:r w:rsidRPr="00597704">
        <w:rPr>
          <w:noProof/>
        </w:rPr>
        <w:fldChar w:fldCharType="end"/>
      </w:r>
      <w:bookmarkEnd w:id="246"/>
      <w:r w:rsidRPr="00C578EB">
        <w:t xml:space="preserve"> Estimated </w:t>
      </w:r>
      <w:r w:rsidR="00524624" w:rsidRPr="00C578EB">
        <w:t xml:space="preserve">increase in </w:t>
      </w:r>
      <w:r w:rsidRPr="00C578EB">
        <w:t>participant cost allowing for the impact of recent experience</w:t>
      </w:r>
    </w:p>
    <w:p w14:paraId="1A2F222E" w14:textId="1B289863" w:rsidR="007E5BA2" w:rsidRPr="00C578EB" w:rsidRDefault="00E540D5" w:rsidP="007B2293">
      <w:pPr>
        <w:pStyle w:val="FSRnormal"/>
      </w:pPr>
      <w:r w:rsidRPr="00597704">
        <w:rPr>
          <w:noProof/>
          <w:lang w:eastAsia="en-AU"/>
        </w:rPr>
        <w:drawing>
          <wp:inline distT="0" distB="0" distL="0" distR="0" wp14:anchorId="0ACF5EFE" wp14:editId="0EBA24AB">
            <wp:extent cx="5731510" cy="1338688"/>
            <wp:effectExtent l="0" t="0" r="254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31510" cy="1338688"/>
                    </a:xfrm>
                    <a:prstGeom prst="rect">
                      <a:avLst/>
                    </a:prstGeom>
                    <a:noFill/>
                    <a:ln>
                      <a:noFill/>
                    </a:ln>
                  </pic:spPr>
                </pic:pic>
              </a:graphicData>
            </a:graphic>
          </wp:inline>
        </w:drawing>
      </w:r>
    </w:p>
    <w:p w14:paraId="6305F204" w14:textId="60A6FC51" w:rsidR="009C08BC" w:rsidRPr="00C578EB" w:rsidRDefault="003232F1" w:rsidP="009C08BC">
      <w:pPr>
        <w:pStyle w:val="FSRHeading2"/>
        <w:numPr>
          <w:ilvl w:val="1"/>
          <w:numId w:val="1"/>
        </w:numPr>
        <w:ind w:left="907" w:hanging="907"/>
      </w:pPr>
      <w:bookmarkStart w:id="247" w:name="_Toc74849910"/>
      <w:bookmarkStart w:id="248" w:name="_Toc74852212"/>
      <w:bookmarkStart w:id="249" w:name="_Toc74853365"/>
      <w:bookmarkStart w:id="250" w:name="_Toc74924963"/>
      <w:bookmarkStart w:id="251" w:name="_Toc74932425"/>
      <w:bookmarkStart w:id="252" w:name="_Toc75034672"/>
      <w:bookmarkStart w:id="253" w:name="_Toc75035729"/>
      <w:bookmarkStart w:id="254" w:name="_Toc75036718"/>
      <w:bookmarkStart w:id="255" w:name="_Toc74849911"/>
      <w:bookmarkStart w:id="256" w:name="_Toc74852213"/>
      <w:bookmarkStart w:id="257" w:name="_Toc74853366"/>
      <w:bookmarkStart w:id="258" w:name="_Toc74924964"/>
      <w:bookmarkStart w:id="259" w:name="_Toc74932426"/>
      <w:bookmarkStart w:id="260" w:name="_Toc75034673"/>
      <w:bookmarkStart w:id="261" w:name="_Toc75035730"/>
      <w:bookmarkStart w:id="262" w:name="_Toc75036719"/>
      <w:bookmarkStart w:id="263" w:name="_Toc76132735"/>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t>S</w:t>
      </w:r>
      <w:r w:rsidR="009C08BC" w:rsidRPr="00C578EB">
        <w:t>cheme reform</w:t>
      </w:r>
      <w:bookmarkEnd w:id="263"/>
    </w:p>
    <w:p w14:paraId="1C1D0797" w14:textId="559B963B" w:rsidR="009C08BC" w:rsidRPr="00C578EB" w:rsidRDefault="00CE4152" w:rsidP="007B2293">
      <w:pPr>
        <w:pStyle w:val="FSRnormal"/>
      </w:pPr>
      <w:r w:rsidRPr="00C578EB">
        <w:t xml:space="preserve">The projection of Scheme costs is </w:t>
      </w:r>
      <w:r w:rsidR="00215823" w:rsidRPr="00C578EB">
        <w:t>substantially</w:t>
      </w:r>
      <w:r w:rsidRPr="00C578EB">
        <w:t xml:space="preserve"> higher than originally projected</w:t>
      </w:r>
      <w:r w:rsidR="00C33A15" w:rsidRPr="00C578EB">
        <w:t xml:space="preserve"> by the Productivity Commission, and higher than the estimates in the 2021-22 Portfolio Budget Statements. </w:t>
      </w:r>
      <w:r w:rsidR="009C08BC" w:rsidRPr="00C578EB">
        <w:t xml:space="preserve">The introduction to NDIA’s </w:t>
      </w:r>
      <w:r w:rsidRPr="00C578EB">
        <w:t xml:space="preserve">Quarterly </w:t>
      </w:r>
      <w:r w:rsidR="009C08BC" w:rsidRPr="00C578EB">
        <w:t xml:space="preserve">Report to Disability Ministers at </w:t>
      </w:r>
      <w:r w:rsidR="00524624" w:rsidRPr="00C578EB">
        <w:t>31 March </w:t>
      </w:r>
      <w:r w:rsidR="009C08BC" w:rsidRPr="00C578EB">
        <w:t xml:space="preserve">2021 provided detail on a comprehensive set of initiatives being progressed to improve the Scheme’s fairness, consistency, flexibility and affordability. These initiatives are in-line with the participant-focussed vision embodied in the 2011 Productivity Commission Report on Disability Care and Support. </w:t>
      </w:r>
      <w:r w:rsidRPr="00C578EB">
        <w:t>The initiatives include:</w:t>
      </w:r>
    </w:p>
    <w:p w14:paraId="552779A0" w14:textId="085E62B0" w:rsidR="00CE4152" w:rsidRPr="00C578EB" w:rsidRDefault="00CE4152" w:rsidP="007B2293">
      <w:pPr>
        <w:pStyle w:val="FSRlist"/>
      </w:pPr>
      <w:r w:rsidRPr="00C578EB">
        <w:t>Implementing the Participant Service Guarantee recommend in the Tune review</w:t>
      </w:r>
    </w:p>
    <w:p w14:paraId="18FFB302" w14:textId="221CFE20" w:rsidR="00CE4152" w:rsidRPr="00C578EB" w:rsidRDefault="00CE4152" w:rsidP="007B2293">
      <w:pPr>
        <w:pStyle w:val="FSRlist"/>
      </w:pPr>
      <w:r w:rsidRPr="00C578EB">
        <w:t>Reviewing Early Childhood Early Intervention (ECEI)</w:t>
      </w:r>
    </w:p>
    <w:p w14:paraId="5189F7D4" w14:textId="4D4DC76C" w:rsidR="00CE4152" w:rsidRPr="00C578EB" w:rsidRDefault="00CE4152" w:rsidP="007B2293">
      <w:pPr>
        <w:pStyle w:val="FSRlist"/>
      </w:pPr>
      <w:r w:rsidRPr="00C578EB">
        <w:t>Reviewing Supported Independent Living (SIL)</w:t>
      </w:r>
    </w:p>
    <w:p w14:paraId="2099B861" w14:textId="3BE8641C" w:rsidR="00CE4152" w:rsidRPr="00C578EB" w:rsidRDefault="00CE4152" w:rsidP="007B2293">
      <w:pPr>
        <w:pStyle w:val="FSRlist"/>
      </w:pPr>
      <w:r w:rsidRPr="00C578EB">
        <w:t>Reviewing reasonable and necessary levels of support and improving operational guidelines</w:t>
      </w:r>
    </w:p>
    <w:p w14:paraId="31B9CF23" w14:textId="28A26B88" w:rsidR="00CE4152" w:rsidRPr="00C578EB" w:rsidRDefault="00CE4152" w:rsidP="007B2293">
      <w:pPr>
        <w:pStyle w:val="FSRlist"/>
      </w:pPr>
      <w:r w:rsidRPr="00C578EB">
        <w:t>Clarifying mainstream interfaces.</w:t>
      </w:r>
    </w:p>
    <w:p w14:paraId="6D94B21A" w14:textId="6C5A06A6" w:rsidR="00524624" w:rsidRPr="00C578EB" w:rsidRDefault="00524624" w:rsidP="007B2293">
      <w:pPr>
        <w:pStyle w:val="FSRnormal"/>
      </w:pPr>
      <w:r w:rsidRPr="00C578EB">
        <w:t xml:space="preserve">Independent assessments for access and planning decisions are also being considered, including determining an overall package of supports rather than the support line item approach currently used in planning. Consultation is underway on this initiative, including how to best implement independent assessments. </w:t>
      </w:r>
    </w:p>
    <w:p w14:paraId="41C3AAB4" w14:textId="58FEE466" w:rsidR="00CE4152" w:rsidRPr="00C578EB" w:rsidRDefault="00CE4152" w:rsidP="007B2293">
      <w:pPr>
        <w:pStyle w:val="FSRnormal"/>
      </w:pPr>
      <w:r w:rsidRPr="00C578EB">
        <w:t xml:space="preserve">More detail on </w:t>
      </w:r>
      <w:r w:rsidR="00524624" w:rsidRPr="00C578EB">
        <w:t xml:space="preserve">independent assessments and the consultation underway is </w:t>
      </w:r>
      <w:r w:rsidRPr="00C578EB">
        <w:t>included in the 31 March 2021 quarterly report to Disability Ministers</w:t>
      </w:r>
      <w:r w:rsidR="00524624" w:rsidRPr="00C578EB">
        <w:t>. This report also includes more detail on the other initiatives listed above</w:t>
      </w:r>
      <w:r w:rsidRPr="00C578EB">
        <w:t>.</w:t>
      </w:r>
    </w:p>
    <w:p w14:paraId="715D7476" w14:textId="5C6A1320" w:rsidR="00CE4152" w:rsidRPr="00C578EB" w:rsidRDefault="003232F1" w:rsidP="007B2293">
      <w:pPr>
        <w:pStyle w:val="FSRnormal"/>
      </w:pPr>
      <w:r>
        <w:t>The NDIA considers these</w:t>
      </w:r>
      <w:r w:rsidRPr="00C578EB">
        <w:t xml:space="preserve"> reforms </w:t>
      </w:r>
      <w:r>
        <w:t>to be</w:t>
      </w:r>
      <w:r w:rsidRPr="00C578EB">
        <w:t xml:space="preserve"> necessary to improve the financial sustainably of the NDIS now and into the future.</w:t>
      </w:r>
    </w:p>
    <w:p w14:paraId="49322B06" w14:textId="0A82383B" w:rsidR="002D4829" w:rsidRPr="00C578EB" w:rsidRDefault="002D4829" w:rsidP="002D4829">
      <w:pPr>
        <w:pStyle w:val="Heading2"/>
        <w:ind w:left="907" w:hanging="907"/>
      </w:pPr>
      <w:bookmarkStart w:id="264" w:name="_Toc76132736"/>
      <w:r w:rsidRPr="00C578EB">
        <w:lastRenderedPageBreak/>
        <w:t>Actuarial peer review</w:t>
      </w:r>
      <w:bookmarkEnd w:id="264"/>
    </w:p>
    <w:p w14:paraId="19D2D95C" w14:textId="1D0F80C9" w:rsidR="007C69C6" w:rsidRDefault="00525333" w:rsidP="007C69C6">
      <w:r>
        <w:rPr>
          <w:noProof/>
          <w:lang w:eastAsia="en-AU"/>
        </w:rPr>
        <w:drawing>
          <wp:inline distT="0" distB="0" distL="0" distR="0" wp14:anchorId="145F4AF1" wp14:editId="6677532D">
            <wp:extent cx="5731510" cy="81540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5731510" cy="8154035"/>
                    </a:xfrm>
                    <a:prstGeom prst="rect">
                      <a:avLst/>
                    </a:prstGeom>
                  </pic:spPr>
                </pic:pic>
              </a:graphicData>
            </a:graphic>
          </wp:inline>
        </w:drawing>
      </w:r>
    </w:p>
    <w:p w14:paraId="7C9120CE" w14:textId="5A0D3EE2" w:rsidR="00525333" w:rsidRPr="00C578EB" w:rsidRDefault="00525333" w:rsidP="007C69C6">
      <w:r>
        <w:rPr>
          <w:noProof/>
          <w:lang w:eastAsia="en-AU"/>
        </w:rPr>
        <w:lastRenderedPageBreak/>
        <w:drawing>
          <wp:inline distT="0" distB="0" distL="0" distR="0" wp14:anchorId="49324210" wp14:editId="281D311D">
            <wp:extent cx="5362575" cy="4495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5362575" cy="4495800"/>
                    </a:xfrm>
                    <a:prstGeom prst="rect">
                      <a:avLst/>
                    </a:prstGeom>
                  </pic:spPr>
                </pic:pic>
              </a:graphicData>
            </a:graphic>
          </wp:inline>
        </w:drawing>
      </w:r>
    </w:p>
    <w:p w14:paraId="6C577E9D" w14:textId="77777777" w:rsidR="002D4829" w:rsidRPr="00C578EB" w:rsidRDefault="002D4829" w:rsidP="00CE4152"/>
    <w:bookmarkEnd w:id="23"/>
    <w:p w14:paraId="5E1C81CD" w14:textId="21E9B396" w:rsidR="00C33D1E" w:rsidRPr="00C578EB" w:rsidRDefault="00C33D1E" w:rsidP="007B2293">
      <w:pPr>
        <w:pStyle w:val="FSRnormal"/>
      </w:pPr>
    </w:p>
    <w:p w14:paraId="4DC0236E" w14:textId="193CEA79" w:rsidR="004138F6" w:rsidRPr="00C578EB" w:rsidRDefault="004138F6" w:rsidP="007B2293">
      <w:pPr>
        <w:pStyle w:val="FSRnormal"/>
      </w:pPr>
      <w:r w:rsidRPr="00C578EB">
        <w:br w:type="page"/>
      </w:r>
    </w:p>
    <w:p w14:paraId="50FBD7BB" w14:textId="3E5EC08D" w:rsidR="00B428FD" w:rsidRPr="00C578EB" w:rsidRDefault="004138F6" w:rsidP="007B2293">
      <w:pPr>
        <w:pStyle w:val="Heading2"/>
        <w:numPr>
          <w:ilvl w:val="0"/>
          <w:numId w:val="0"/>
        </w:numPr>
        <w:ind w:left="720" w:hanging="720"/>
      </w:pPr>
      <w:bookmarkStart w:id="265" w:name="_Toc76132737"/>
      <w:r w:rsidRPr="00C578EB">
        <w:lastRenderedPageBreak/>
        <w:t xml:space="preserve">Appendix A: New </w:t>
      </w:r>
      <w:r w:rsidR="007E5BA2" w:rsidRPr="00C578EB">
        <w:t>i</w:t>
      </w:r>
      <w:r w:rsidRPr="00C578EB">
        <w:t>ncidence</w:t>
      </w:r>
      <w:bookmarkEnd w:id="265"/>
    </w:p>
    <w:p w14:paraId="379A9086" w14:textId="6902C73F" w:rsidR="0033225C" w:rsidRPr="00C578EB" w:rsidRDefault="0033225C" w:rsidP="0033225C">
      <w:pPr>
        <w:keepNext/>
        <w:spacing w:before="240"/>
        <w:rPr>
          <w:b/>
          <w:i/>
          <w:color w:val="6B2976"/>
          <w:sz w:val="25"/>
        </w:rPr>
      </w:pPr>
      <w:r w:rsidRPr="00C578EB">
        <w:rPr>
          <w:b/>
          <w:i/>
          <w:color w:val="6B2976"/>
          <w:sz w:val="25"/>
        </w:rPr>
        <w:t>Modelling new incidence rates</w:t>
      </w:r>
    </w:p>
    <w:p w14:paraId="00E8640F" w14:textId="771ACCDE" w:rsidR="0055135F" w:rsidRPr="00C578EB" w:rsidRDefault="0055135F" w:rsidP="007B2293">
      <w:pPr>
        <w:tabs>
          <w:tab w:val="left" w:pos="904"/>
        </w:tabs>
        <w:spacing w:before="240"/>
        <w:rPr>
          <w:rFonts w:cs="Arial"/>
        </w:rPr>
      </w:pPr>
      <w:r w:rsidRPr="00C578EB">
        <w:t>The prevalence rates of disability for New South Wales, Victoria, Australian Capital Territory and Queensland were used to derive an implicit new incidence rate.</w:t>
      </w:r>
      <w:r w:rsidRPr="00C578EB">
        <w:rPr>
          <w:vertAlign w:val="superscript"/>
        </w:rPr>
        <w:footnoteReference w:id="63"/>
      </w:r>
      <w:r w:rsidRPr="00C578EB">
        <w:rPr>
          <w:rFonts w:cs="Arial"/>
        </w:rPr>
        <w:t xml:space="preserve"> The model developed for this analysis presumes that the prevalence rate for any age (say X) is equal to the prevalence rate at the previous age (X</w:t>
      </w:r>
      <w:r w:rsidRPr="00C578EB">
        <w:rPr>
          <w:rFonts w:cs="Arial"/>
        </w:rPr>
        <w:noBreakHyphen/>
        <w:t xml:space="preserve">1) plus the new incidence rate (for age X) minus the exit rate (again, for age X). From this relationship, a raw new incidence rate for each age can be indirectly calculated. </w:t>
      </w:r>
      <w:r w:rsidRPr="00C578EB">
        <w:rPr>
          <w:rStyle w:val="FootnoteReference"/>
          <w:rFonts w:cs="Arial"/>
        </w:rPr>
        <w:footnoteReference w:id="64"/>
      </w:r>
    </w:p>
    <w:p w14:paraId="30706984" w14:textId="43B3D776" w:rsidR="0055135F" w:rsidRPr="00C578EB" w:rsidRDefault="0055135F" w:rsidP="007B2293">
      <w:pPr>
        <w:tabs>
          <w:tab w:val="left" w:pos="904"/>
        </w:tabs>
        <w:spacing w:before="240"/>
      </w:pPr>
      <w:r w:rsidRPr="00C578EB">
        <w:t>This methodology was preferred to directly modelling new incidence as prior investigations into the rate of participant intake in mature regions showed elevated levels of participant intake</w:t>
      </w:r>
      <w:r w:rsidR="007E5BA2" w:rsidRPr="00C578EB">
        <w:t>.</w:t>
      </w:r>
      <w:r w:rsidRPr="00C578EB">
        <w:t xml:space="preserve"> </w:t>
      </w:r>
      <w:r w:rsidR="007E5BA2" w:rsidRPr="00C578EB">
        <w:t>This</w:t>
      </w:r>
      <w:r w:rsidRPr="00C578EB">
        <w:t xml:space="preserve"> suggested intake represent</w:t>
      </w:r>
      <w:r w:rsidR="007E5BA2" w:rsidRPr="00C578EB">
        <w:t>ed</w:t>
      </w:r>
      <w:r w:rsidRPr="00C578EB">
        <w:t xml:space="preserve"> </w:t>
      </w:r>
      <w:r w:rsidR="007E5BA2" w:rsidRPr="00C578EB">
        <w:t>both new incidence and intake from people with existing disabilities who are new to funded supports. However, recent experience has shown that participant intake in mature regions has no indication of slowing down. Therefore, in this model, it was prudent to adopt a blended approach giving equal credibility to the indirect new incidence rate and the direct new incidence rate.</w:t>
      </w:r>
    </w:p>
    <w:p w14:paraId="6A8117DE" w14:textId="77777777" w:rsidR="0033225C" w:rsidRPr="00C578EB" w:rsidRDefault="0033225C" w:rsidP="0033225C">
      <w:pPr>
        <w:pStyle w:val="FSRHeading4"/>
      </w:pPr>
      <w:r w:rsidRPr="00C578EB">
        <w:t>Adopted assumptions</w:t>
      </w:r>
    </w:p>
    <w:p w14:paraId="01105431" w14:textId="72DFFFA1" w:rsidR="00554C96" w:rsidRPr="00C578EB" w:rsidRDefault="00DB4970" w:rsidP="007B2293">
      <w:pPr>
        <w:pStyle w:val="FSRnormal"/>
      </w:pPr>
      <w:r w:rsidRPr="00597704">
        <w:rPr>
          <w:noProof/>
          <w:lang w:eastAsia="en-AU"/>
        </w:rPr>
        <w:drawing>
          <wp:inline distT="0" distB="0" distL="0" distR="0" wp14:anchorId="57389C30" wp14:editId="3F33A794">
            <wp:extent cx="5731510" cy="1127224"/>
            <wp:effectExtent l="0" t="0" r="254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31510" cy="1127224"/>
                    </a:xfrm>
                    <a:prstGeom prst="rect">
                      <a:avLst/>
                    </a:prstGeom>
                    <a:noFill/>
                    <a:ln>
                      <a:noFill/>
                    </a:ln>
                  </pic:spPr>
                </pic:pic>
              </a:graphicData>
            </a:graphic>
          </wp:inline>
        </w:drawing>
      </w:r>
      <w:r w:rsidR="00554C96" w:rsidRPr="00C578EB" w:rsidDel="00554C96">
        <w:t xml:space="preserve"> </w:t>
      </w:r>
    </w:p>
    <w:p w14:paraId="08FEA4FD" w14:textId="77777777" w:rsidR="003B6332" w:rsidRPr="00C578EB" w:rsidRDefault="00DB4970" w:rsidP="007B2293">
      <w:pPr>
        <w:pStyle w:val="FSRnormal"/>
      </w:pPr>
      <w:r w:rsidRPr="00597704">
        <w:rPr>
          <w:noProof/>
          <w:lang w:eastAsia="en-AU"/>
        </w:rPr>
        <w:drawing>
          <wp:inline distT="0" distB="0" distL="0" distR="0" wp14:anchorId="5843E0AA" wp14:editId="03350FE1">
            <wp:extent cx="5731510" cy="1691459"/>
            <wp:effectExtent l="0" t="0" r="2540" b="444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31510" cy="1691459"/>
                    </a:xfrm>
                    <a:prstGeom prst="rect">
                      <a:avLst/>
                    </a:prstGeom>
                    <a:noFill/>
                    <a:ln>
                      <a:noFill/>
                    </a:ln>
                  </pic:spPr>
                </pic:pic>
              </a:graphicData>
            </a:graphic>
          </wp:inline>
        </w:drawing>
      </w:r>
      <w:r w:rsidR="00554C96" w:rsidRPr="00C578EB" w:rsidDel="00554C96">
        <w:t xml:space="preserve"> </w:t>
      </w:r>
    </w:p>
    <w:p w14:paraId="3FCABCBC" w14:textId="576E857C" w:rsidR="003B6332" w:rsidRPr="00C578EB" w:rsidRDefault="003B6332" w:rsidP="007B2293">
      <w:pPr>
        <w:pStyle w:val="FSRnormal"/>
      </w:pPr>
      <w:r w:rsidRPr="00597704">
        <w:rPr>
          <w:noProof/>
          <w:lang w:eastAsia="en-AU"/>
        </w:rPr>
        <w:lastRenderedPageBreak/>
        <w:drawing>
          <wp:inline distT="0" distB="0" distL="0" distR="0" wp14:anchorId="39E3D80D" wp14:editId="704DD093">
            <wp:extent cx="5731510" cy="1691459"/>
            <wp:effectExtent l="0" t="0" r="254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31510" cy="1691459"/>
                    </a:xfrm>
                    <a:prstGeom prst="rect">
                      <a:avLst/>
                    </a:prstGeom>
                    <a:noFill/>
                    <a:ln>
                      <a:noFill/>
                    </a:ln>
                  </pic:spPr>
                </pic:pic>
              </a:graphicData>
            </a:graphic>
          </wp:inline>
        </w:drawing>
      </w:r>
    </w:p>
    <w:p w14:paraId="300918CE" w14:textId="25325164" w:rsidR="0061461D" w:rsidRPr="00C578EB" w:rsidRDefault="003B6332" w:rsidP="007B2293">
      <w:pPr>
        <w:pStyle w:val="FSRnormal"/>
      </w:pPr>
      <w:r w:rsidRPr="00597704">
        <w:rPr>
          <w:noProof/>
          <w:lang w:eastAsia="en-AU"/>
        </w:rPr>
        <w:drawing>
          <wp:inline distT="0" distB="0" distL="0" distR="0" wp14:anchorId="4984F7D3" wp14:editId="68D65B34">
            <wp:extent cx="5731510" cy="1691459"/>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731510" cy="1691459"/>
                    </a:xfrm>
                    <a:prstGeom prst="rect">
                      <a:avLst/>
                    </a:prstGeom>
                    <a:noFill/>
                    <a:ln>
                      <a:noFill/>
                    </a:ln>
                  </pic:spPr>
                </pic:pic>
              </a:graphicData>
            </a:graphic>
          </wp:inline>
        </w:drawing>
      </w:r>
    </w:p>
    <w:p w14:paraId="1AD7DFBF" w14:textId="306BBB9C" w:rsidR="004138F6" w:rsidRPr="00C578EB" w:rsidRDefault="004138F6" w:rsidP="007B2293">
      <w:pPr>
        <w:pStyle w:val="FSRnormal"/>
      </w:pPr>
      <w:r w:rsidRPr="00C578EB">
        <w:br w:type="page"/>
      </w:r>
    </w:p>
    <w:p w14:paraId="78903C3D" w14:textId="7719D956" w:rsidR="004138F6" w:rsidRPr="00C578EB" w:rsidRDefault="004138F6" w:rsidP="004138F6">
      <w:pPr>
        <w:pStyle w:val="Heading2"/>
        <w:numPr>
          <w:ilvl w:val="0"/>
          <w:numId w:val="0"/>
        </w:numPr>
        <w:ind w:left="720" w:hanging="720"/>
      </w:pPr>
      <w:bookmarkStart w:id="266" w:name="_Toc76132738"/>
      <w:r w:rsidRPr="00C578EB">
        <w:lastRenderedPageBreak/>
        <w:t>Appendix B: Exits</w:t>
      </w:r>
      <w:bookmarkEnd w:id="266"/>
    </w:p>
    <w:p w14:paraId="42335664" w14:textId="77777777" w:rsidR="00EF08AC" w:rsidRPr="00C578EB" w:rsidRDefault="00EF08AC" w:rsidP="00EF08AC">
      <w:pPr>
        <w:keepNext/>
        <w:spacing w:before="240"/>
        <w:rPr>
          <w:b/>
          <w:i/>
          <w:color w:val="6B2976"/>
          <w:sz w:val="25"/>
        </w:rPr>
      </w:pPr>
      <w:r w:rsidRPr="00C578EB">
        <w:rPr>
          <w:b/>
          <w:i/>
          <w:color w:val="6B2976"/>
          <w:sz w:val="25"/>
        </w:rPr>
        <w:t>Modelling mortality exit rates</w:t>
      </w:r>
    </w:p>
    <w:p w14:paraId="46860196" w14:textId="6CA9A930" w:rsidR="00EF08AC" w:rsidRPr="00C578EB" w:rsidRDefault="00EF08AC" w:rsidP="00EF08AC">
      <w:pPr>
        <w:spacing w:before="240"/>
      </w:pPr>
      <w:r w:rsidRPr="00C578EB">
        <w:t>The mortality exit assumptions are calibrated using an experience-based model, drawing on the experience during the 2019 calendar year. Actual experience has been explicitly allowed for in the mortality model through a credibility</w:t>
      </w:r>
      <w:r w:rsidRPr="00C578EB">
        <w:rPr>
          <w:rStyle w:val="FootnoteReference"/>
        </w:rPr>
        <w:footnoteReference w:id="65"/>
      </w:r>
      <w:r w:rsidRPr="00C578EB">
        <w:t xml:space="preserve"> approach, applied at the gender, level of function and primary disability level, and then distributed at the age group level based on exposure.  </w:t>
      </w:r>
    </w:p>
    <w:p w14:paraId="1DF7A75E" w14:textId="77777777" w:rsidR="00EF08AC" w:rsidRPr="00C578EB" w:rsidRDefault="00EF08AC" w:rsidP="00EF08AC">
      <w:pPr>
        <w:keepNext/>
        <w:spacing w:before="240"/>
        <w:rPr>
          <w:b/>
          <w:i/>
          <w:color w:val="6B2976"/>
          <w:sz w:val="25"/>
        </w:rPr>
      </w:pPr>
      <w:r w:rsidRPr="00C578EB">
        <w:rPr>
          <w:b/>
          <w:i/>
          <w:color w:val="6B2976"/>
          <w:sz w:val="25"/>
        </w:rPr>
        <w:t>Modelling non-mortality exit rates</w:t>
      </w:r>
    </w:p>
    <w:p w14:paraId="40DC8CC0" w14:textId="2ABC4946" w:rsidR="00EF08AC" w:rsidRPr="00C578EB" w:rsidRDefault="00EF08AC" w:rsidP="00EF08AC">
      <w:pPr>
        <w:spacing w:before="240"/>
      </w:pPr>
      <w:r w:rsidRPr="00C578EB">
        <w:t>Non-mortality rates are expected to be higher at younger ages, reflecting exits due to early intervention, and for participants over the age of 65, as they exit the Scheme into the aged care system. Non-mortality exit rates are also highest for those disabilities with the greatest proportion of participants entering the Scheme through the early intervention requi</w:t>
      </w:r>
      <w:r w:rsidR="0033225C" w:rsidRPr="00C578EB">
        <w:t>rement (Section 25 of the Act).</w:t>
      </w:r>
    </w:p>
    <w:p w14:paraId="68108627" w14:textId="0EA9AEA4" w:rsidR="00EF08AC" w:rsidRPr="00C578EB" w:rsidRDefault="00EF08AC" w:rsidP="00EF08AC">
      <w:pPr>
        <w:spacing w:before="240"/>
      </w:pPr>
      <w:r w:rsidRPr="00C578EB">
        <w:t xml:space="preserve">The experience of non-mortality exits to date has </w:t>
      </w:r>
      <w:r w:rsidR="00C50D60" w:rsidRPr="00C578EB">
        <w:t xml:space="preserve">been </w:t>
      </w:r>
      <w:r w:rsidRPr="00C578EB">
        <w:t xml:space="preserve">volatile </w:t>
      </w:r>
      <w:r w:rsidR="00C50D60" w:rsidRPr="00C578EB">
        <w:t>to date</w:t>
      </w:r>
      <w:r w:rsidRPr="00C578EB">
        <w:t xml:space="preserve">. </w:t>
      </w:r>
      <w:r w:rsidR="00C50D60" w:rsidRPr="00C578EB">
        <w:t>A</w:t>
      </w:r>
      <w:r w:rsidRPr="00C578EB">
        <w:t xml:space="preserve"> blend</w:t>
      </w:r>
      <w:r w:rsidR="0033225C" w:rsidRPr="00C578EB">
        <w:t>ed approach was adopted for this projection</w:t>
      </w:r>
      <w:r w:rsidRPr="00C578EB">
        <w:t>, with assumed non-mortality exit rates starting broadly at current levels and progressively increasing over the next 4 years</w:t>
      </w:r>
      <w:r w:rsidRPr="00C578EB" w:rsidDel="00CF2972">
        <w:t xml:space="preserve"> </w:t>
      </w:r>
      <w:r w:rsidRPr="00C578EB">
        <w:t xml:space="preserve">to reach the long-term assumptions by 2024-25. This reflects the expectation that </w:t>
      </w:r>
      <w:r w:rsidR="0033225C" w:rsidRPr="00C578EB">
        <w:t>non-mortality exits</w:t>
      </w:r>
      <w:r w:rsidRPr="00C578EB">
        <w:t xml:space="preserve"> will gradually </w:t>
      </w:r>
      <w:r w:rsidR="0033225C" w:rsidRPr="00C578EB">
        <w:t xml:space="preserve">become </w:t>
      </w:r>
      <w:r w:rsidRPr="00C578EB">
        <w:t>mor</w:t>
      </w:r>
      <w:r w:rsidR="0033225C" w:rsidRPr="00C578EB">
        <w:t>e stable by 2024-25 and reach</w:t>
      </w:r>
      <w:r w:rsidRPr="00C578EB">
        <w:t xml:space="preserve"> similar levels to that seen in CY2018.</w:t>
      </w:r>
      <w:r w:rsidR="00C50D60" w:rsidRPr="00C578EB">
        <w:rPr>
          <w:vertAlign w:val="superscript"/>
        </w:rPr>
        <w:footnoteReference w:id="66"/>
      </w:r>
    </w:p>
    <w:p w14:paraId="05D45E43" w14:textId="77777777" w:rsidR="0033225C" w:rsidRPr="00C578EB" w:rsidRDefault="0033225C" w:rsidP="007B2293">
      <w:pPr>
        <w:pStyle w:val="FSRHeading4"/>
      </w:pPr>
      <w:r w:rsidRPr="00C578EB">
        <w:t>Adopted assumptions</w:t>
      </w:r>
    </w:p>
    <w:p w14:paraId="43206FEF" w14:textId="041CB764" w:rsidR="000C0376" w:rsidRPr="00C578EB" w:rsidRDefault="000C0376" w:rsidP="007B2293">
      <w:pPr>
        <w:pStyle w:val="FSRnormal"/>
      </w:pPr>
      <w:r w:rsidRPr="00597704">
        <w:rPr>
          <w:noProof/>
          <w:lang w:eastAsia="en-AU"/>
        </w:rPr>
        <w:drawing>
          <wp:inline distT="0" distB="0" distL="0" distR="0" wp14:anchorId="561E54D7" wp14:editId="061EB4B0">
            <wp:extent cx="5837555" cy="114808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837555" cy="1148080"/>
                    </a:xfrm>
                    <a:prstGeom prst="rect">
                      <a:avLst/>
                    </a:prstGeom>
                    <a:noFill/>
                    <a:ln>
                      <a:noFill/>
                    </a:ln>
                  </pic:spPr>
                </pic:pic>
              </a:graphicData>
            </a:graphic>
          </wp:inline>
        </w:drawing>
      </w:r>
      <w:r w:rsidRPr="00C578EB">
        <w:t xml:space="preserve"> </w:t>
      </w:r>
    </w:p>
    <w:p w14:paraId="7587D506" w14:textId="77777777" w:rsidR="0061461D" w:rsidRPr="00C578EB" w:rsidRDefault="000C0376" w:rsidP="007B2293">
      <w:pPr>
        <w:pStyle w:val="FSRnormal"/>
      </w:pPr>
      <w:r w:rsidRPr="00597704">
        <w:rPr>
          <w:noProof/>
          <w:lang w:eastAsia="en-AU"/>
        </w:rPr>
        <w:lastRenderedPageBreak/>
        <w:drawing>
          <wp:inline distT="0" distB="0" distL="0" distR="0" wp14:anchorId="238F70C3" wp14:editId="2E3AC46F">
            <wp:extent cx="5837555" cy="1722755"/>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837555" cy="1722755"/>
                    </a:xfrm>
                    <a:prstGeom prst="rect">
                      <a:avLst/>
                    </a:prstGeom>
                    <a:noFill/>
                    <a:ln>
                      <a:noFill/>
                    </a:ln>
                  </pic:spPr>
                </pic:pic>
              </a:graphicData>
            </a:graphic>
          </wp:inline>
        </w:drawing>
      </w:r>
      <w:r w:rsidRPr="00C578EB">
        <w:t xml:space="preserve"> </w:t>
      </w:r>
    </w:p>
    <w:p w14:paraId="5063FA7A" w14:textId="4648E50C" w:rsidR="004138F6" w:rsidRPr="00C578EB" w:rsidRDefault="004138F6" w:rsidP="007B2293">
      <w:pPr>
        <w:pStyle w:val="FSRnormal"/>
      </w:pPr>
      <w:r w:rsidRPr="00C578EB">
        <w:br w:type="page"/>
      </w:r>
    </w:p>
    <w:p w14:paraId="344C9DE5" w14:textId="430062FF" w:rsidR="004138F6" w:rsidRPr="00C578EB" w:rsidRDefault="004138F6" w:rsidP="004138F6">
      <w:pPr>
        <w:pStyle w:val="Heading2"/>
        <w:numPr>
          <w:ilvl w:val="0"/>
          <w:numId w:val="0"/>
        </w:numPr>
        <w:ind w:left="720" w:hanging="720"/>
      </w:pPr>
      <w:bookmarkStart w:id="267" w:name="_Ref74851922"/>
      <w:bookmarkStart w:id="268" w:name="_Toc76132739"/>
      <w:r w:rsidRPr="00C578EB">
        <w:lastRenderedPageBreak/>
        <w:t>Appendix C: Payments</w:t>
      </w:r>
      <w:bookmarkEnd w:id="267"/>
      <w:bookmarkEnd w:id="268"/>
    </w:p>
    <w:p w14:paraId="72BB1400" w14:textId="4D5FAB9D" w:rsidR="0033225C" w:rsidRPr="00C578EB" w:rsidRDefault="0033225C" w:rsidP="0033225C">
      <w:pPr>
        <w:keepNext/>
        <w:spacing w:before="240"/>
        <w:rPr>
          <w:b/>
          <w:i/>
          <w:color w:val="6B2976"/>
          <w:sz w:val="25"/>
        </w:rPr>
      </w:pPr>
      <w:r w:rsidRPr="00C578EB">
        <w:rPr>
          <w:b/>
          <w:i/>
          <w:color w:val="6B2976"/>
          <w:sz w:val="25"/>
        </w:rPr>
        <w:t>Modelling average payment assumptions</w:t>
      </w:r>
    </w:p>
    <w:p w14:paraId="266A8D84" w14:textId="77777777" w:rsidR="007E5BA2" w:rsidRPr="00C578EB" w:rsidRDefault="007E5BA2" w:rsidP="007E5BA2">
      <w:pPr>
        <w:spacing w:before="240"/>
      </w:pPr>
      <w:r w:rsidRPr="00C578EB">
        <w:t>Payment assumptions have been calculated separately for each of the 15 different support categories, with different types of participant costs treated as follows:</w:t>
      </w:r>
    </w:p>
    <w:p w14:paraId="60C3D0E6" w14:textId="77777777" w:rsidR="007E5BA2" w:rsidRPr="00C578EB" w:rsidRDefault="007E5BA2" w:rsidP="007E5BA2">
      <w:pPr>
        <w:numPr>
          <w:ilvl w:val="0"/>
          <w:numId w:val="21"/>
        </w:numPr>
        <w:spacing w:before="240"/>
        <w:ind w:left="720"/>
      </w:pPr>
      <w:r w:rsidRPr="00C578EB">
        <w:t xml:space="preserve">Payments to participants and providers are treated on a cash basis (when the cash is paid out by the Agency, regardless of when the support was provided). </w:t>
      </w:r>
    </w:p>
    <w:p w14:paraId="5332007D" w14:textId="77777777" w:rsidR="007E5BA2" w:rsidRPr="00C578EB" w:rsidRDefault="007E5BA2" w:rsidP="007E5BA2">
      <w:pPr>
        <w:numPr>
          <w:ilvl w:val="0"/>
          <w:numId w:val="21"/>
        </w:numPr>
        <w:spacing w:before="240"/>
        <w:ind w:left="720"/>
      </w:pPr>
      <w:r w:rsidRPr="00C578EB">
        <w:t>Payments relating to in-kind supports are treated on an accrual basis (when the service was actually provided to the participant).</w:t>
      </w:r>
      <w:r w:rsidRPr="00C578EB">
        <w:rPr>
          <w:vertAlign w:val="superscript"/>
        </w:rPr>
        <w:footnoteReference w:id="67"/>
      </w:r>
      <w:r w:rsidRPr="00C578EB">
        <w:t xml:space="preserve"> </w:t>
      </w:r>
    </w:p>
    <w:p w14:paraId="40499BB1" w14:textId="027E30E0" w:rsidR="007E5BA2" w:rsidRPr="00C578EB" w:rsidRDefault="007E5BA2" w:rsidP="007E5BA2">
      <w:pPr>
        <w:numPr>
          <w:ilvl w:val="0"/>
          <w:numId w:val="21"/>
        </w:numPr>
        <w:spacing w:before="240"/>
        <w:ind w:left="720"/>
      </w:pPr>
      <w:r w:rsidRPr="00C578EB">
        <w:t>Payments relating to Residential Aged Care supports have been removed due to the infrequent occurrence of cross-billing payments which distort the payment experience in a given period. Costs relating to Residential Aged Care are allowed for separately in the projection.</w:t>
      </w:r>
    </w:p>
    <w:p w14:paraId="4425A474" w14:textId="3D0B9233" w:rsidR="007E5BA2" w:rsidRPr="00C578EB" w:rsidRDefault="007E5BA2" w:rsidP="007B2293">
      <w:pPr>
        <w:spacing w:before="240"/>
      </w:pPr>
      <w:r w:rsidRPr="00C578EB">
        <w:t>Payments in the three months to 31 December 2020</w:t>
      </w:r>
      <w:r w:rsidR="0075176C" w:rsidRPr="00C578EB">
        <w:t xml:space="preserve"> for mature participants</w:t>
      </w:r>
      <w:r w:rsidR="0075176C" w:rsidRPr="00C578EB">
        <w:rPr>
          <w:rStyle w:val="FootnoteReference"/>
        </w:rPr>
        <w:footnoteReference w:id="68"/>
      </w:r>
      <w:r w:rsidRPr="00C578EB">
        <w:t xml:space="preserve"> were considered</w:t>
      </w:r>
      <w:r w:rsidR="0075176C" w:rsidRPr="00C578EB">
        <w:t>, annualised and smoothed into cost assumptions per Projection Group.</w:t>
      </w:r>
    </w:p>
    <w:p w14:paraId="7AD9179E" w14:textId="020A9E22" w:rsidR="0033225C" w:rsidRPr="00C578EB" w:rsidRDefault="0033225C" w:rsidP="0033225C">
      <w:pPr>
        <w:pStyle w:val="FSRHeading4"/>
      </w:pPr>
      <w:r w:rsidRPr="00C578EB">
        <w:t>Adopted assumptions</w:t>
      </w:r>
      <w:r w:rsidR="00D61E7D" w:rsidRPr="00C578EB">
        <w:rPr>
          <w:rStyle w:val="FootnoteReference"/>
        </w:rPr>
        <w:footnoteReference w:id="69"/>
      </w:r>
    </w:p>
    <w:p w14:paraId="0C4F7019" w14:textId="2DF54FCB" w:rsidR="004138F6" w:rsidRPr="00C578EB" w:rsidRDefault="00DC1374" w:rsidP="007B2293">
      <w:pPr>
        <w:pStyle w:val="FSRnormal"/>
      </w:pPr>
      <w:r w:rsidRPr="00597704">
        <w:rPr>
          <w:noProof/>
          <w:lang w:eastAsia="en-AU"/>
        </w:rPr>
        <w:drawing>
          <wp:inline distT="0" distB="0" distL="0" distR="0" wp14:anchorId="659B08CB" wp14:editId="06802C6C">
            <wp:extent cx="5731510" cy="1127224"/>
            <wp:effectExtent l="0" t="0" r="254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731510" cy="1127224"/>
                    </a:xfrm>
                    <a:prstGeom prst="rect">
                      <a:avLst/>
                    </a:prstGeom>
                    <a:noFill/>
                    <a:ln>
                      <a:noFill/>
                    </a:ln>
                  </pic:spPr>
                </pic:pic>
              </a:graphicData>
            </a:graphic>
          </wp:inline>
        </w:drawing>
      </w:r>
    </w:p>
    <w:p w14:paraId="0A98138B" w14:textId="17A2C509" w:rsidR="00DC1374" w:rsidRPr="00C578EB" w:rsidRDefault="00DC1374" w:rsidP="007B2293">
      <w:pPr>
        <w:pStyle w:val="FSRnormal"/>
      </w:pPr>
      <w:r w:rsidRPr="00597704">
        <w:rPr>
          <w:noProof/>
          <w:lang w:eastAsia="en-AU"/>
        </w:rPr>
        <w:drawing>
          <wp:inline distT="0" distB="0" distL="0" distR="0" wp14:anchorId="1C4D32DE" wp14:editId="2FD7AB1F">
            <wp:extent cx="5731510" cy="1691459"/>
            <wp:effectExtent l="0" t="0" r="2540" b="444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31510" cy="1691459"/>
                    </a:xfrm>
                    <a:prstGeom prst="rect">
                      <a:avLst/>
                    </a:prstGeom>
                    <a:noFill/>
                    <a:ln>
                      <a:noFill/>
                    </a:ln>
                  </pic:spPr>
                </pic:pic>
              </a:graphicData>
            </a:graphic>
          </wp:inline>
        </w:drawing>
      </w:r>
    </w:p>
    <w:p w14:paraId="57216ECF" w14:textId="0803C792" w:rsidR="00D220B8" w:rsidRPr="00C578EB" w:rsidRDefault="00DC1374" w:rsidP="007B2293">
      <w:pPr>
        <w:pStyle w:val="FSRnormal"/>
      </w:pPr>
      <w:r w:rsidRPr="00597704">
        <w:rPr>
          <w:noProof/>
          <w:lang w:eastAsia="en-AU"/>
        </w:rPr>
        <w:lastRenderedPageBreak/>
        <w:drawing>
          <wp:inline distT="0" distB="0" distL="0" distR="0" wp14:anchorId="21630A2A" wp14:editId="3BCE9CE9">
            <wp:extent cx="5731510" cy="2442734"/>
            <wp:effectExtent l="0" t="0" r="254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731510" cy="2442734"/>
                    </a:xfrm>
                    <a:prstGeom prst="rect">
                      <a:avLst/>
                    </a:prstGeom>
                    <a:noFill/>
                    <a:ln>
                      <a:noFill/>
                    </a:ln>
                  </pic:spPr>
                </pic:pic>
              </a:graphicData>
            </a:graphic>
          </wp:inline>
        </w:drawing>
      </w:r>
    </w:p>
    <w:p w14:paraId="55D6577C" w14:textId="45C96FF1" w:rsidR="004C1E0F" w:rsidRPr="00C578EB" w:rsidRDefault="004C1E0F" w:rsidP="007B2293">
      <w:pPr>
        <w:pStyle w:val="FSRnormal"/>
      </w:pPr>
    </w:p>
    <w:p w14:paraId="5BD842AC" w14:textId="66D3EC90" w:rsidR="0061461D" w:rsidRPr="00C578EB" w:rsidRDefault="0061461D">
      <w:pPr>
        <w:spacing w:after="160" w:line="259" w:lineRule="auto"/>
      </w:pPr>
      <w:r w:rsidRPr="00C578EB">
        <w:br w:type="page"/>
      </w:r>
    </w:p>
    <w:p w14:paraId="0182514C" w14:textId="7CD0D725" w:rsidR="0061461D" w:rsidRPr="00C578EB" w:rsidRDefault="0061461D" w:rsidP="0061461D">
      <w:pPr>
        <w:pStyle w:val="Heading2"/>
        <w:numPr>
          <w:ilvl w:val="0"/>
          <w:numId w:val="0"/>
        </w:numPr>
        <w:ind w:left="720" w:hanging="720"/>
      </w:pPr>
      <w:bookmarkStart w:id="269" w:name="_Appendix_D:_Utilisation"/>
      <w:bookmarkStart w:id="270" w:name="_Ref75446230"/>
      <w:bookmarkStart w:id="271" w:name="_Toc76132740"/>
      <w:bookmarkEnd w:id="269"/>
      <w:r w:rsidRPr="00C578EB">
        <w:lastRenderedPageBreak/>
        <w:t>Appendix D: Utilisation over time</w:t>
      </w:r>
      <w:bookmarkEnd w:id="270"/>
      <w:bookmarkEnd w:id="271"/>
    </w:p>
    <w:p w14:paraId="70211975" w14:textId="2877A63D" w:rsidR="0061461D" w:rsidRPr="00C578EB" w:rsidRDefault="006412F2">
      <w:pPr>
        <w:pStyle w:val="FSRnormal"/>
      </w:pPr>
      <w:r w:rsidRPr="00C578EB">
        <w:t>Plan budgets represent the dollar amount of support that has been made available to participants in their plan. Experience has demonstrated that participants do not use all that is included in their plan budget. The proportion of plan budgets which are used is referred to as the ‘utilisation rate’.</w:t>
      </w:r>
    </w:p>
    <w:p w14:paraId="491A5698" w14:textId="3E755905" w:rsidR="008105DB" w:rsidRPr="00C578EB" w:rsidRDefault="008105DB">
      <w:pPr>
        <w:pStyle w:val="FSRnormal"/>
      </w:pPr>
      <w:r w:rsidRPr="00C578EB">
        <w:t xml:space="preserve">For supports provided between 1 </w:t>
      </w:r>
      <w:r w:rsidR="0020222C" w:rsidRPr="00C578EB">
        <w:t>April 2020</w:t>
      </w:r>
      <w:r w:rsidRPr="00C578EB">
        <w:t xml:space="preserve"> and 30 September 2020</w:t>
      </w:r>
      <w:r w:rsidR="0020222C" w:rsidRPr="00C578EB">
        <w:rPr>
          <w:rStyle w:val="FootnoteReference"/>
        </w:rPr>
        <w:footnoteReference w:id="70"/>
      </w:r>
      <w:r w:rsidRPr="00C578EB">
        <w:t xml:space="preserve">, data as at 31 December 2020 indicated that 67% of support had been utilised nationally. </w:t>
      </w:r>
    </w:p>
    <w:p w14:paraId="3437FD6B" w14:textId="7B540D55" w:rsidR="0020222C" w:rsidRPr="00C578EB" w:rsidRDefault="0020222C">
      <w:pPr>
        <w:pStyle w:val="FSRnormal"/>
      </w:pPr>
      <w:r w:rsidRPr="00597704">
        <w:fldChar w:fldCharType="begin"/>
      </w:r>
      <w:r w:rsidRPr="00C578EB">
        <w:instrText xml:space="preserve"> REF _Ref75455292 \h </w:instrText>
      </w:r>
      <w:r w:rsidR="00512FF0" w:rsidRPr="00C578EB">
        <w:instrText xml:space="preserve"> \* MERGEFORMAT </w:instrText>
      </w:r>
      <w:r w:rsidRPr="00597704">
        <w:fldChar w:fldCharType="separate"/>
      </w:r>
      <w:r w:rsidR="00715347" w:rsidRPr="00C578EB">
        <w:t xml:space="preserve">Figure </w:t>
      </w:r>
      <w:r w:rsidR="00715347">
        <w:rPr>
          <w:noProof/>
        </w:rPr>
        <w:t>49</w:t>
      </w:r>
      <w:r w:rsidRPr="00597704">
        <w:fldChar w:fldCharType="end"/>
      </w:r>
      <w:r w:rsidRPr="00C578EB">
        <w:t xml:space="preserve"> shows the breakdown of utilisation rates by plan number. Utilisation of plan budgets for participants on their first plan is 50%, compared to 76% for participants on their fifth plan. This highlights that the longer a participant is in the Scheme, the more they utilise their plan, as they get more familiar with the Scheme and are better able to navigate their supports. </w:t>
      </w:r>
      <w:r w:rsidR="00E50A8B" w:rsidRPr="00C578EB">
        <w:t>Over time, the number of participants on their first plan decreases relative to the number of participants on their second (or later) plan. This is one of the reasons that aggregate plan utilisation is increasing over time.</w:t>
      </w:r>
    </w:p>
    <w:p w14:paraId="57682C22" w14:textId="469AC318" w:rsidR="0020222C" w:rsidRPr="00C578EB" w:rsidRDefault="0020222C" w:rsidP="009630FF">
      <w:pPr>
        <w:pStyle w:val="Figures"/>
      </w:pPr>
      <w:bookmarkStart w:id="272" w:name="_Ref75455292"/>
      <w:r w:rsidRPr="00C578EB">
        <w:t xml:space="preserve">Figure </w:t>
      </w:r>
      <w:r w:rsidRPr="00597704">
        <w:fldChar w:fldCharType="begin"/>
      </w:r>
      <w:r w:rsidRPr="00C578EB">
        <w:instrText xml:space="preserve"> SEQ Figure \* ARABIC </w:instrText>
      </w:r>
      <w:r w:rsidRPr="00597704">
        <w:fldChar w:fldCharType="separate"/>
      </w:r>
      <w:r w:rsidR="00715347">
        <w:rPr>
          <w:noProof/>
        </w:rPr>
        <w:t>49</w:t>
      </w:r>
      <w:r w:rsidRPr="00597704">
        <w:rPr>
          <w:noProof/>
        </w:rPr>
        <w:fldChar w:fldCharType="end"/>
      </w:r>
      <w:bookmarkEnd w:id="272"/>
      <w:r w:rsidRPr="00C578EB">
        <w:t xml:space="preserve"> Utilisation of plan budgets by plan number from 1 April 2020 to 30 September 2020 based on data to 31 December 2020</w:t>
      </w:r>
      <w:r w:rsidRPr="00C578EB">
        <w:rPr>
          <w:rStyle w:val="FootnoteReference"/>
        </w:rPr>
        <w:footnoteReference w:id="71"/>
      </w:r>
    </w:p>
    <w:p w14:paraId="79F8A2AA" w14:textId="12DBA53A" w:rsidR="00F9243D" w:rsidRPr="00C578EB" w:rsidRDefault="008105DB">
      <w:pPr>
        <w:pStyle w:val="FSRnormal"/>
      </w:pPr>
      <w:r w:rsidRPr="00597704">
        <w:rPr>
          <w:noProof/>
          <w:lang w:eastAsia="en-AU"/>
        </w:rPr>
        <w:drawing>
          <wp:inline distT="0" distB="0" distL="0" distR="0" wp14:anchorId="34130886" wp14:editId="1332D217">
            <wp:extent cx="5731510" cy="3578397"/>
            <wp:effectExtent l="0" t="0" r="2540" b="317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31510" cy="3578397"/>
                    </a:xfrm>
                    <a:prstGeom prst="rect">
                      <a:avLst/>
                    </a:prstGeom>
                    <a:noFill/>
                    <a:ln>
                      <a:noFill/>
                    </a:ln>
                  </pic:spPr>
                </pic:pic>
              </a:graphicData>
            </a:graphic>
          </wp:inline>
        </w:drawing>
      </w:r>
    </w:p>
    <w:p w14:paraId="165C771E" w14:textId="1FA7CA62" w:rsidR="0020222C" w:rsidRPr="00C578EB" w:rsidRDefault="0020222C">
      <w:pPr>
        <w:pStyle w:val="FSRnormal"/>
      </w:pPr>
      <w:r w:rsidRPr="00C578EB">
        <w:lastRenderedPageBreak/>
        <w:t xml:space="preserve">Further evidence that utilisation increases over time can be seen below when considering plan budgets by support year. </w:t>
      </w:r>
      <w:r w:rsidR="00B12A0D" w:rsidRPr="00597704">
        <w:fldChar w:fldCharType="begin"/>
      </w:r>
      <w:r w:rsidR="00B12A0D" w:rsidRPr="00C578EB">
        <w:instrText xml:space="preserve"> REF _Ref75455825 \h </w:instrText>
      </w:r>
      <w:r w:rsidR="00512FF0" w:rsidRPr="00C578EB">
        <w:instrText xml:space="preserve"> \* MERGEFORMAT </w:instrText>
      </w:r>
      <w:r w:rsidR="00B12A0D" w:rsidRPr="00597704">
        <w:fldChar w:fldCharType="separate"/>
      </w:r>
      <w:r w:rsidR="00715347" w:rsidRPr="00C578EB">
        <w:t xml:space="preserve">Table </w:t>
      </w:r>
      <w:r w:rsidR="00715347">
        <w:rPr>
          <w:noProof/>
        </w:rPr>
        <w:t>29</w:t>
      </w:r>
      <w:r w:rsidR="00B12A0D" w:rsidRPr="00597704">
        <w:fldChar w:fldCharType="end"/>
      </w:r>
      <w:r w:rsidR="00B12A0D" w:rsidRPr="00C578EB">
        <w:t xml:space="preserve"> </w:t>
      </w:r>
      <w:r w:rsidRPr="00C578EB">
        <w:t>provides an overview of the estimated ultimate utilisation rates</w:t>
      </w:r>
      <w:r w:rsidRPr="00C578EB">
        <w:rPr>
          <w:rStyle w:val="FootnoteReference"/>
        </w:rPr>
        <w:footnoteReference w:id="72"/>
      </w:r>
      <w:r w:rsidRPr="00C578EB">
        <w:t xml:space="preserve"> by support year as at 31 December 2020.</w:t>
      </w:r>
    </w:p>
    <w:p w14:paraId="7197788B" w14:textId="57457AA1" w:rsidR="0020222C" w:rsidRPr="00C578EB" w:rsidRDefault="0020222C" w:rsidP="0020222C">
      <w:pPr>
        <w:pStyle w:val="Tables"/>
      </w:pPr>
      <w:bookmarkStart w:id="273" w:name="_Ref75455825"/>
      <w:r w:rsidRPr="00C578EB">
        <w:t xml:space="preserve">Table </w:t>
      </w:r>
      <w:r w:rsidRPr="00597704">
        <w:fldChar w:fldCharType="begin"/>
      </w:r>
      <w:r w:rsidRPr="00C578EB">
        <w:instrText xml:space="preserve"> SEQ Table \* ARABIC </w:instrText>
      </w:r>
      <w:r w:rsidRPr="00597704">
        <w:fldChar w:fldCharType="separate"/>
      </w:r>
      <w:r w:rsidR="00715347">
        <w:rPr>
          <w:noProof/>
        </w:rPr>
        <w:t>29</w:t>
      </w:r>
      <w:r w:rsidRPr="00597704">
        <w:fldChar w:fldCharType="end"/>
      </w:r>
      <w:bookmarkEnd w:id="273"/>
      <w:r w:rsidRPr="00C578EB">
        <w:t xml:space="preserve"> Estimated ultimate utilisation rate by support year as at 31 December 2020 </w:t>
      </w:r>
    </w:p>
    <w:p w14:paraId="1B042F97" w14:textId="2989E62D" w:rsidR="0020222C" w:rsidRPr="00C578EB" w:rsidRDefault="0020222C">
      <w:pPr>
        <w:pStyle w:val="FSRnormal"/>
      </w:pPr>
      <w:r w:rsidRPr="00597704">
        <w:rPr>
          <w:noProof/>
          <w:lang w:eastAsia="en-AU"/>
        </w:rPr>
        <w:drawing>
          <wp:inline distT="0" distB="0" distL="0" distR="0" wp14:anchorId="15845B81" wp14:editId="6947A79E">
            <wp:extent cx="5731510" cy="898364"/>
            <wp:effectExtent l="0" t="0" r="254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731510" cy="898364"/>
                    </a:xfrm>
                    <a:prstGeom prst="rect">
                      <a:avLst/>
                    </a:prstGeom>
                    <a:noFill/>
                    <a:ln>
                      <a:noFill/>
                    </a:ln>
                  </pic:spPr>
                </pic:pic>
              </a:graphicData>
            </a:graphic>
          </wp:inline>
        </w:drawing>
      </w:r>
    </w:p>
    <w:p w14:paraId="54B15F54" w14:textId="36377D64" w:rsidR="006412F2" w:rsidRPr="00C578EB" w:rsidRDefault="00E50A8B">
      <w:pPr>
        <w:pStyle w:val="FSRnormal"/>
      </w:pPr>
      <w:r w:rsidRPr="00C578EB">
        <w:t xml:space="preserve">Over the transition period (from 1 July 2016), </w:t>
      </w:r>
      <w:r w:rsidR="00F9243D" w:rsidRPr="00C578EB">
        <w:t xml:space="preserve">projected ultimate utilisation rates </w:t>
      </w:r>
      <w:r w:rsidRPr="00C578EB">
        <w:t xml:space="preserve">have been </w:t>
      </w:r>
      <w:r w:rsidR="00F9243D" w:rsidRPr="00C578EB">
        <w:t>steadily increas</w:t>
      </w:r>
      <w:r w:rsidRPr="00C578EB">
        <w:t xml:space="preserve">ing and are currently at </w:t>
      </w:r>
      <w:r w:rsidR="0020222C" w:rsidRPr="00C578EB">
        <w:t>72% in the latest support year</w:t>
      </w:r>
      <w:r w:rsidRPr="00C578EB">
        <w:t xml:space="preserve"> (2020-21)</w:t>
      </w:r>
      <w:r w:rsidR="00F9243D" w:rsidRPr="00C578EB">
        <w:t>.</w:t>
      </w:r>
    </w:p>
    <w:p w14:paraId="7512E779" w14:textId="719BDCCA" w:rsidR="004C1E0F" w:rsidRPr="00C578EB" w:rsidRDefault="004C1E0F" w:rsidP="007B2293">
      <w:pPr>
        <w:pStyle w:val="FSRnormal"/>
        <w:sectPr w:rsidR="004C1E0F" w:rsidRPr="00C578EB" w:rsidSect="004C1E0F">
          <w:footerReference w:type="default" r:id="rId107"/>
          <w:type w:val="continuous"/>
          <w:pgSz w:w="11906" w:h="16838"/>
          <w:pgMar w:top="1440" w:right="1440" w:bottom="1440" w:left="1440" w:header="708" w:footer="708" w:gutter="0"/>
          <w:cols w:space="708"/>
          <w:docGrid w:linePitch="360"/>
        </w:sectPr>
      </w:pPr>
    </w:p>
    <w:p w14:paraId="12BDE454" w14:textId="1280DCA0" w:rsidR="004C1E0F" w:rsidRPr="00C578EB" w:rsidRDefault="004C1E0F" w:rsidP="009630FF">
      <w:pPr>
        <w:pStyle w:val="Heading2"/>
        <w:numPr>
          <w:ilvl w:val="0"/>
          <w:numId w:val="0"/>
        </w:numPr>
        <w:ind w:left="720" w:hanging="720"/>
      </w:pPr>
      <w:bookmarkStart w:id="274" w:name="_Appendix_E:_State/Territory"/>
      <w:bookmarkStart w:id="275" w:name="_Ref75193654"/>
      <w:bookmarkStart w:id="276" w:name="_Toc76132741"/>
      <w:bookmarkEnd w:id="274"/>
      <w:r w:rsidRPr="00C578EB">
        <w:lastRenderedPageBreak/>
        <w:t xml:space="preserve">Appendix </w:t>
      </w:r>
      <w:r w:rsidR="0061461D" w:rsidRPr="00C578EB">
        <w:t>E</w:t>
      </w:r>
      <w:r w:rsidRPr="00C578EB">
        <w:t>: State/Territory breakdown</w:t>
      </w:r>
      <w:bookmarkEnd w:id="275"/>
      <w:bookmarkEnd w:id="276"/>
    </w:p>
    <w:p w14:paraId="786B9108" w14:textId="617BBFEF" w:rsidR="004C1E0F" w:rsidRPr="00C578EB" w:rsidRDefault="004C1E0F" w:rsidP="004C1E0F">
      <w:r w:rsidRPr="00C578EB">
        <w:t xml:space="preserve">As mentioned in </w:t>
      </w:r>
      <w:r w:rsidR="001D5A60">
        <w:t>s</w:t>
      </w:r>
      <w:r w:rsidRPr="00C578EB">
        <w:t xml:space="preserve">ection </w:t>
      </w:r>
      <w:r w:rsidRPr="00597704">
        <w:fldChar w:fldCharType="begin"/>
      </w:r>
      <w:r w:rsidRPr="00C578EB">
        <w:instrText xml:space="preserve"> REF _Ref74937424 \r \h </w:instrText>
      </w:r>
      <w:r w:rsidR="00512FF0" w:rsidRPr="00C578EB">
        <w:instrText xml:space="preserve"> \* MERGEFORMAT </w:instrText>
      </w:r>
      <w:r w:rsidRPr="00597704">
        <w:fldChar w:fldCharType="separate"/>
      </w:r>
      <w:r w:rsidR="00715347">
        <w:t>3</w:t>
      </w:r>
      <w:r w:rsidRPr="00597704">
        <w:fldChar w:fldCharType="end"/>
      </w:r>
      <w:r w:rsidRPr="00C578EB">
        <w:t xml:space="preserve">, the projection model adopts a national view on </w:t>
      </w:r>
      <w:r w:rsidR="006632E7" w:rsidRPr="00C578EB">
        <w:t xml:space="preserve">its assumptions, and therefore its projected </w:t>
      </w:r>
      <w:r w:rsidRPr="00C578EB">
        <w:t xml:space="preserve">participant </w:t>
      </w:r>
      <w:r w:rsidR="006632E7" w:rsidRPr="00C578EB">
        <w:t xml:space="preserve">numbers </w:t>
      </w:r>
      <w:r w:rsidRPr="00C578EB">
        <w:t>and costs. A separate model has been developed to allocate projected national participant numbers and costs by State and Territory.</w:t>
      </w:r>
      <w:r w:rsidR="001C2BE8" w:rsidRPr="00C578EB">
        <w:t xml:space="preserve"> The resulting participant numbers and costs by jurisdiction can be seen below in</w:t>
      </w:r>
      <w:r w:rsidR="00BA6748" w:rsidRPr="00C578EB">
        <w:t xml:space="preserve"> </w:t>
      </w:r>
      <w:r w:rsidR="00BA6748" w:rsidRPr="00597704">
        <w:fldChar w:fldCharType="begin"/>
      </w:r>
      <w:r w:rsidR="00BA6748" w:rsidRPr="00C578EB">
        <w:instrText xml:space="preserve"> REF _Ref75287096 \h </w:instrText>
      </w:r>
      <w:r w:rsidR="00512FF0" w:rsidRPr="00C578EB">
        <w:instrText xml:space="preserve"> \* MERGEFORMAT </w:instrText>
      </w:r>
      <w:r w:rsidR="00BA6748" w:rsidRPr="00597704">
        <w:fldChar w:fldCharType="separate"/>
      </w:r>
      <w:r w:rsidR="00715347" w:rsidRPr="00C578EB">
        <w:t xml:space="preserve">Table </w:t>
      </w:r>
      <w:r w:rsidR="00715347">
        <w:rPr>
          <w:noProof/>
        </w:rPr>
        <w:t>30</w:t>
      </w:r>
      <w:r w:rsidR="00BA6748" w:rsidRPr="00597704">
        <w:fldChar w:fldCharType="end"/>
      </w:r>
      <w:r w:rsidR="00BA6748" w:rsidRPr="00C578EB">
        <w:t xml:space="preserve"> and</w:t>
      </w:r>
      <w:r w:rsidR="001C2BE8" w:rsidRPr="00C578EB">
        <w:t xml:space="preserve"> </w:t>
      </w:r>
      <w:r w:rsidR="001C2BE8" w:rsidRPr="00597704">
        <w:fldChar w:fldCharType="begin"/>
      </w:r>
      <w:r w:rsidR="001C2BE8" w:rsidRPr="00C578EB">
        <w:instrText xml:space="preserve"> REF _Ref75193423 \h </w:instrText>
      </w:r>
      <w:r w:rsidR="00512FF0" w:rsidRPr="00C578EB">
        <w:instrText xml:space="preserve"> \* MERGEFORMAT </w:instrText>
      </w:r>
      <w:r w:rsidR="001C2BE8" w:rsidRPr="00597704">
        <w:fldChar w:fldCharType="separate"/>
      </w:r>
      <w:r w:rsidR="00715347" w:rsidRPr="00C578EB">
        <w:t xml:space="preserve">Table </w:t>
      </w:r>
      <w:r w:rsidR="00715347">
        <w:rPr>
          <w:noProof/>
        </w:rPr>
        <w:t>31</w:t>
      </w:r>
      <w:r w:rsidR="001C2BE8" w:rsidRPr="00597704">
        <w:fldChar w:fldCharType="end"/>
      </w:r>
      <w:r w:rsidR="001C2BE8" w:rsidRPr="00C578EB">
        <w:t>.</w:t>
      </w:r>
    </w:p>
    <w:p w14:paraId="5483418F" w14:textId="629FED82" w:rsidR="00BA6748" w:rsidRPr="00C578EB" w:rsidRDefault="00BA6748" w:rsidP="00BA6748">
      <w:pPr>
        <w:pStyle w:val="Tables"/>
      </w:pPr>
      <w:bookmarkStart w:id="277" w:name="_Ref75287096"/>
      <w:r w:rsidRPr="00C578EB">
        <w:t xml:space="preserve">Table </w:t>
      </w:r>
      <w:r w:rsidRPr="00597704">
        <w:fldChar w:fldCharType="begin"/>
      </w:r>
      <w:r w:rsidRPr="00C578EB">
        <w:instrText xml:space="preserve"> SEQ Table \* ARABIC </w:instrText>
      </w:r>
      <w:r w:rsidRPr="00597704">
        <w:fldChar w:fldCharType="separate"/>
      </w:r>
      <w:r w:rsidR="00715347">
        <w:rPr>
          <w:noProof/>
        </w:rPr>
        <w:t>30</w:t>
      </w:r>
      <w:r w:rsidRPr="00597704">
        <w:fldChar w:fldCharType="end"/>
      </w:r>
      <w:bookmarkEnd w:id="277"/>
      <w:r w:rsidRPr="00C578EB">
        <w:t xml:space="preserve"> Projected participant numbers by jurisdiction</w:t>
      </w:r>
    </w:p>
    <w:p w14:paraId="4A76DE58" w14:textId="3694C51A" w:rsidR="00BA6748" w:rsidRPr="00C578EB" w:rsidRDefault="00BA6748" w:rsidP="00BA6748">
      <w:r w:rsidRPr="00597704">
        <w:rPr>
          <w:noProof/>
          <w:lang w:eastAsia="en-AU"/>
        </w:rPr>
        <w:drawing>
          <wp:inline distT="0" distB="0" distL="0" distR="0" wp14:anchorId="662E3DF6" wp14:editId="1B4A79DA">
            <wp:extent cx="6677025" cy="210502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677025" cy="2105025"/>
                    </a:xfrm>
                    <a:prstGeom prst="rect">
                      <a:avLst/>
                    </a:prstGeom>
                    <a:noFill/>
                    <a:ln>
                      <a:noFill/>
                    </a:ln>
                  </pic:spPr>
                </pic:pic>
              </a:graphicData>
            </a:graphic>
          </wp:inline>
        </w:drawing>
      </w:r>
      <w:r w:rsidRPr="00C578EB">
        <w:t xml:space="preserve"> </w:t>
      </w:r>
    </w:p>
    <w:p w14:paraId="3B04C390" w14:textId="6E5C4CD5" w:rsidR="001C2BE8" w:rsidRPr="00C578EB" w:rsidRDefault="001C2BE8" w:rsidP="001C2BE8">
      <w:pPr>
        <w:pStyle w:val="Tables"/>
      </w:pPr>
      <w:bookmarkStart w:id="278" w:name="_Ref75193423"/>
      <w:r w:rsidRPr="00C578EB">
        <w:lastRenderedPageBreak/>
        <w:t xml:space="preserve">Table </w:t>
      </w:r>
      <w:r w:rsidRPr="00597704">
        <w:fldChar w:fldCharType="begin"/>
      </w:r>
      <w:r w:rsidRPr="00C578EB">
        <w:instrText xml:space="preserve"> SEQ Table \* ARABIC </w:instrText>
      </w:r>
      <w:r w:rsidRPr="00597704">
        <w:fldChar w:fldCharType="separate"/>
      </w:r>
      <w:r w:rsidR="00715347">
        <w:rPr>
          <w:noProof/>
        </w:rPr>
        <w:t>31</w:t>
      </w:r>
      <w:r w:rsidRPr="00597704">
        <w:fldChar w:fldCharType="end"/>
      </w:r>
      <w:bookmarkEnd w:id="278"/>
      <w:r w:rsidRPr="00C578EB">
        <w:t xml:space="preserve"> Projected participant </w:t>
      </w:r>
      <w:r w:rsidR="00BA6748" w:rsidRPr="00C578EB">
        <w:t>costs</w:t>
      </w:r>
      <w:r w:rsidRPr="00C578EB">
        <w:t xml:space="preserve"> by </w:t>
      </w:r>
      <w:r w:rsidR="00BA6748" w:rsidRPr="00C578EB">
        <w:t>jurisdiction</w:t>
      </w:r>
    </w:p>
    <w:p w14:paraId="2FC65029" w14:textId="314EA5B3" w:rsidR="004C1E0F" w:rsidRPr="00C578EB" w:rsidRDefault="001C2BE8" w:rsidP="004C1E0F">
      <w:r w:rsidRPr="00597704">
        <w:rPr>
          <w:noProof/>
          <w:lang w:eastAsia="en-AU"/>
        </w:rPr>
        <w:drawing>
          <wp:inline distT="0" distB="0" distL="0" distR="0" wp14:anchorId="1140AE86" wp14:editId="05C3D9DE">
            <wp:extent cx="6677025" cy="2105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677025" cy="2105025"/>
                    </a:xfrm>
                    <a:prstGeom prst="rect">
                      <a:avLst/>
                    </a:prstGeom>
                    <a:noFill/>
                    <a:ln>
                      <a:noFill/>
                    </a:ln>
                  </pic:spPr>
                </pic:pic>
              </a:graphicData>
            </a:graphic>
          </wp:inline>
        </w:drawing>
      </w:r>
      <w:r w:rsidR="004C1E0F" w:rsidRPr="00C578EB">
        <w:t xml:space="preserve"> </w:t>
      </w:r>
    </w:p>
    <w:p w14:paraId="635FEAB7" w14:textId="014BF49A" w:rsidR="003C21D1" w:rsidRPr="00C578EB" w:rsidRDefault="003C21D1">
      <w:pPr>
        <w:spacing w:after="160" w:line="259" w:lineRule="auto"/>
      </w:pPr>
      <w:r w:rsidRPr="00C578EB">
        <w:br w:type="page"/>
      </w:r>
    </w:p>
    <w:p w14:paraId="705422E6" w14:textId="7C04A1AF" w:rsidR="003C21D1" w:rsidRPr="00C578EB" w:rsidRDefault="003C21D1" w:rsidP="003C21D1">
      <w:pPr>
        <w:pStyle w:val="Heading2"/>
        <w:numPr>
          <w:ilvl w:val="0"/>
          <w:numId w:val="0"/>
        </w:numPr>
        <w:ind w:left="720" w:hanging="720"/>
      </w:pPr>
      <w:bookmarkStart w:id="279" w:name="_Appendix_F:_Participant"/>
      <w:bookmarkStart w:id="280" w:name="_Ref75447315"/>
      <w:bookmarkStart w:id="281" w:name="_Toc76132742"/>
      <w:bookmarkEnd w:id="279"/>
      <w:r w:rsidRPr="00C578EB">
        <w:lastRenderedPageBreak/>
        <w:t>Appendix F: Participant projection comparison</w:t>
      </w:r>
      <w:bookmarkEnd w:id="280"/>
      <w:bookmarkEnd w:id="281"/>
    </w:p>
    <w:p w14:paraId="59F3632D" w14:textId="2C65CF6A" w:rsidR="003C21D1" w:rsidRPr="00C578EB" w:rsidRDefault="000A6092" w:rsidP="003C21D1">
      <w:r w:rsidRPr="00C578EB">
        <w:t xml:space="preserve">Section </w:t>
      </w:r>
      <w:r w:rsidRPr="00597704">
        <w:fldChar w:fldCharType="begin"/>
      </w:r>
      <w:r w:rsidRPr="00C578EB">
        <w:instrText xml:space="preserve"> REF _Ref75451614 \r \h </w:instrText>
      </w:r>
      <w:r w:rsidR="00512FF0" w:rsidRPr="00C578EB">
        <w:instrText xml:space="preserve"> \* MERGEFORMAT </w:instrText>
      </w:r>
      <w:r w:rsidRPr="00597704">
        <w:fldChar w:fldCharType="separate"/>
      </w:r>
      <w:r w:rsidR="00715347">
        <w:t>5.5</w:t>
      </w:r>
      <w:r w:rsidRPr="00597704">
        <w:fldChar w:fldCharType="end"/>
      </w:r>
      <w:r w:rsidRPr="00C578EB">
        <w:t xml:space="preserve"> compared total participant cost projections with </w:t>
      </w:r>
      <w:r w:rsidR="00E50A8B" w:rsidRPr="00C578EB">
        <w:t xml:space="preserve">2017 </w:t>
      </w:r>
      <w:r w:rsidRPr="00C578EB">
        <w:t xml:space="preserve">PC estimates. </w:t>
      </w:r>
      <w:r w:rsidR="009364CD" w:rsidRPr="00C578EB">
        <w:t xml:space="preserve">The following table and figure compare the underlying participant number projections. While participant number projections are similar as at 30 June 2021, the projections diverge </w:t>
      </w:r>
      <w:r w:rsidR="00E50A8B" w:rsidRPr="00C578EB">
        <w:t xml:space="preserve">significantly </w:t>
      </w:r>
      <w:r w:rsidR="009364CD" w:rsidRPr="00C578EB">
        <w:t>in subsequent years, and reach a total difference of 287,900 by 2030.</w:t>
      </w:r>
    </w:p>
    <w:p w14:paraId="58D5FC33" w14:textId="6A06F1F5" w:rsidR="0090227F" w:rsidRPr="00C578EB" w:rsidRDefault="009364CD" w:rsidP="009630FF">
      <w:pPr>
        <w:pStyle w:val="Tables"/>
      </w:pPr>
      <w:r w:rsidRPr="00C578EB">
        <w:t xml:space="preserve">Table </w:t>
      </w:r>
      <w:r w:rsidRPr="00597704">
        <w:fldChar w:fldCharType="begin"/>
      </w:r>
      <w:r w:rsidRPr="00C578EB">
        <w:instrText xml:space="preserve"> SEQ Table \* ARABIC </w:instrText>
      </w:r>
      <w:r w:rsidRPr="00597704">
        <w:fldChar w:fldCharType="separate"/>
      </w:r>
      <w:r w:rsidR="00715347">
        <w:rPr>
          <w:noProof/>
        </w:rPr>
        <w:t>32</w:t>
      </w:r>
      <w:r w:rsidRPr="00597704">
        <w:fldChar w:fldCharType="end"/>
      </w:r>
      <w:r w:rsidRPr="00C578EB">
        <w:t xml:space="preserve"> Comparison of projected participant numbers with PC estimates</w:t>
      </w:r>
    </w:p>
    <w:p w14:paraId="15F61861" w14:textId="3B8DEE76" w:rsidR="0090227F" w:rsidRPr="00C578EB" w:rsidRDefault="009364CD" w:rsidP="009630FF">
      <w:pPr>
        <w:pStyle w:val="FSRnormal"/>
      </w:pPr>
      <w:r w:rsidRPr="00597704">
        <w:rPr>
          <w:noProof/>
          <w:lang w:eastAsia="en-AU"/>
        </w:rPr>
        <w:drawing>
          <wp:inline distT="0" distB="0" distL="0" distR="0" wp14:anchorId="51E966F5" wp14:editId="03846BAE">
            <wp:extent cx="7038975" cy="2044700"/>
            <wp:effectExtent l="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038975" cy="2044700"/>
                    </a:xfrm>
                    <a:prstGeom prst="rect">
                      <a:avLst/>
                    </a:prstGeom>
                    <a:noFill/>
                    <a:ln>
                      <a:noFill/>
                    </a:ln>
                  </pic:spPr>
                </pic:pic>
              </a:graphicData>
            </a:graphic>
          </wp:inline>
        </w:drawing>
      </w:r>
    </w:p>
    <w:p w14:paraId="305417E9" w14:textId="0117AE18" w:rsidR="00CB6A88" w:rsidRPr="00C578EB" w:rsidRDefault="009364CD" w:rsidP="009630FF">
      <w:pPr>
        <w:pStyle w:val="Figures"/>
      </w:pPr>
      <w:r w:rsidRPr="00C578EB">
        <w:lastRenderedPageBreak/>
        <w:t xml:space="preserve">Figure </w:t>
      </w:r>
      <w:r w:rsidRPr="00597704">
        <w:fldChar w:fldCharType="begin"/>
      </w:r>
      <w:r w:rsidRPr="00C578EB">
        <w:instrText xml:space="preserve"> SEQ Figure \* ARABIC </w:instrText>
      </w:r>
      <w:r w:rsidRPr="00597704">
        <w:fldChar w:fldCharType="separate"/>
      </w:r>
      <w:r w:rsidR="00715347">
        <w:rPr>
          <w:noProof/>
        </w:rPr>
        <w:t>50</w:t>
      </w:r>
      <w:r w:rsidRPr="00597704">
        <w:rPr>
          <w:noProof/>
        </w:rPr>
        <w:fldChar w:fldCharType="end"/>
      </w:r>
      <w:r w:rsidRPr="00C578EB">
        <w:t xml:space="preserve"> Comparison of projected total participant numbers with PC estimates</w:t>
      </w:r>
    </w:p>
    <w:p w14:paraId="04A117BA" w14:textId="4C601270" w:rsidR="00CB6A88" w:rsidRPr="00C578EB" w:rsidRDefault="00CB6A88" w:rsidP="009630FF">
      <w:pPr>
        <w:pStyle w:val="FSRnormal"/>
      </w:pPr>
      <w:r w:rsidRPr="00597704">
        <w:rPr>
          <w:noProof/>
          <w:lang w:eastAsia="en-AU"/>
        </w:rPr>
        <w:drawing>
          <wp:inline distT="0" distB="0" distL="0" distR="0" wp14:anchorId="1CB03E5D" wp14:editId="13FB33BD">
            <wp:extent cx="8863330" cy="4450080"/>
            <wp:effectExtent l="0" t="0" r="0" b="762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863330" cy="4450080"/>
                    </a:xfrm>
                    <a:prstGeom prst="rect">
                      <a:avLst/>
                    </a:prstGeom>
                    <a:noFill/>
                    <a:ln>
                      <a:noFill/>
                    </a:ln>
                  </pic:spPr>
                </pic:pic>
              </a:graphicData>
            </a:graphic>
          </wp:inline>
        </w:drawing>
      </w:r>
    </w:p>
    <w:sectPr w:rsidR="00CB6A88" w:rsidRPr="00C578EB" w:rsidSect="004C1E0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F41B8" w14:textId="77777777" w:rsidR="00182B4C" w:rsidRDefault="00182B4C" w:rsidP="00BD4A22">
      <w:pPr>
        <w:spacing w:after="0" w:line="240" w:lineRule="auto"/>
      </w:pPr>
      <w:r>
        <w:separator/>
      </w:r>
    </w:p>
  </w:endnote>
  <w:endnote w:type="continuationSeparator" w:id="0">
    <w:p w14:paraId="42267EEB" w14:textId="77777777" w:rsidR="00182B4C" w:rsidRDefault="00182B4C" w:rsidP="00BD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3FF8" w14:textId="77777777" w:rsidR="008E50BF" w:rsidRDefault="008E50BF" w:rsidP="00562550">
    <w:pPr>
      <w:pStyle w:val="Footer"/>
      <w:pBdr>
        <w:top w:val="single" w:sz="4" w:space="1" w:color="E7E6E6" w:themeColor="background2"/>
      </w:pBdr>
    </w:pPr>
  </w:p>
  <w:p w14:paraId="4BDAA8A9" w14:textId="2B575EE7" w:rsidR="008E50BF" w:rsidRDefault="008E50BF" w:rsidP="00821DF0">
    <w:pPr>
      <w:pStyle w:val="Footer"/>
      <w:pBdr>
        <w:top w:val="single" w:sz="4" w:space="1" w:color="E7E6E6" w:themeColor="background2"/>
      </w:pBdr>
    </w:pPr>
    <w:r>
      <w:t>National Disability Insurance Scheme: Annual Financial Sustainability Report Summary – Interim update</w:t>
    </w:r>
    <w:r>
      <w:tab/>
    </w:r>
    <w:r>
      <w:tab/>
    </w:r>
    <w:r>
      <w:fldChar w:fldCharType="begin"/>
    </w:r>
    <w:r>
      <w:instrText xml:space="preserve"> PAGE   \* MERGEFORMAT </w:instrText>
    </w:r>
    <w:r>
      <w:fldChar w:fldCharType="separate"/>
    </w:r>
    <w:r w:rsidR="00E674EE">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5C40" w14:textId="77777777" w:rsidR="008E50BF" w:rsidRDefault="008E5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A0C6" w14:textId="6F9CE161" w:rsidR="008E50BF" w:rsidRDefault="008E50BF" w:rsidP="00BD4A22">
    <w:pPr>
      <w:pStyle w:val="Footer"/>
      <w:pBdr>
        <w:top w:val="single" w:sz="4" w:space="1" w:color="E7E6E6" w:themeColor="background2"/>
      </w:pBdr>
    </w:pPr>
    <w:r>
      <w:t xml:space="preserve">National Disability Insurance Scheme: </w:t>
    </w:r>
    <w:r w:rsidRPr="004138F6">
      <w:t>Annual Financial Sustainability Report Summary – Interim update</w:t>
    </w:r>
    <w:r w:rsidRPr="004138F6">
      <w:tab/>
    </w:r>
    <w:r>
      <w:tab/>
    </w:r>
    <w:r>
      <w:tab/>
    </w:r>
    <w:r>
      <w:tab/>
    </w:r>
    <w:r>
      <w:tab/>
    </w:r>
    <w:r>
      <w:fldChar w:fldCharType="begin"/>
    </w:r>
    <w:r>
      <w:instrText xml:space="preserve"> PAGE   \* MERGEFORMAT </w:instrText>
    </w:r>
    <w:r>
      <w:fldChar w:fldCharType="separate"/>
    </w:r>
    <w:r w:rsidR="00E674EE">
      <w:rPr>
        <w:noProof/>
      </w:rPr>
      <w:t>25</w:t>
    </w:r>
    <w:r>
      <w:rPr>
        <w:noProof/>
      </w:rPr>
      <w:fldChar w:fldCharType="end"/>
    </w:r>
  </w:p>
  <w:p w14:paraId="71AA70A4" w14:textId="77777777" w:rsidR="008E50BF" w:rsidRDefault="008E50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423DF" w14:textId="77777777" w:rsidR="008E50BF" w:rsidRDefault="008E50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DEA0" w14:textId="2D78B482" w:rsidR="008E50BF" w:rsidRDefault="008E50BF" w:rsidP="00BD4A22">
    <w:pPr>
      <w:pStyle w:val="Footer"/>
      <w:pBdr>
        <w:top w:val="single" w:sz="4" w:space="1" w:color="E7E6E6" w:themeColor="background2"/>
      </w:pBdr>
    </w:pPr>
    <w:r>
      <w:t>National Disability Insurance Scheme: Annual Financial Sustainability Report Summary – Interim update</w:t>
    </w:r>
    <w:r>
      <w:tab/>
    </w:r>
    <w:r>
      <w:tab/>
    </w:r>
    <w:r>
      <w:fldChar w:fldCharType="begin"/>
    </w:r>
    <w:r>
      <w:instrText xml:space="preserve"> PAGE   \* MERGEFORMAT </w:instrText>
    </w:r>
    <w:r>
      <w:fldChar w:fldCharType="separate"/>
    </w:r>
    <w:r w:rsidR="00E674EE">
      <w:rPr>
        <w:noProof/>
      </w:rPr>
      <w:t>84</w:t>
    </w:r>
    <w:r>
      <w:rPr>
        <w:noProof/>
      </w:rPr>
      <w:fldChar w:fldCharType="end"/>
    </w:r>
  </w:p>
  <w:p w14:paraId="109155A1" w14:textId="77777777" w:rsidR="008E50BF" w:rsidRDefault="008E5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AA0B" w14:textId="77777777" w:rsidR="00182B4C" w:rsidRDefault="00182B4C" w:rsidP="00BD4A22">
      <w:pPr>
        <w:spacing w:after="0" w:line="240" w:lineRule="auto"/>
      </w:pPr>
      <w:r>
        <w:separator/>
      </w:r>
    </w:p>
  </w:footnote>
  <w:footnote w:type="continuationSeparator" w:id="0">
    <w:p w14:paraId="03994C93" w14:textId="77777777" w:rsidR="00182B4C" w:rsidRDefault="00182B4C" w:rsidP="00BD4A22">
      <w:pPr>
        <w:spacing w:after="0" w:line="240" w:lineRule="auto"/>
      </w:pPr>
      <w:r>
        <w:continuationSeparator/>
      </w:r>
    </w:p>
  </w:footnote>
  <w:footnote w:id="1">
    <w:p w14:paraId="215DC771" w14:textId="77777777" w:rsidR="008E50BF" w:rsidRPr="009B5936" w:rsidRDefault="008E50BF" w:rsidP="006C26E9">
      <w:pPr>
        <w:pStyle w:val="FootnoteText"/>
      </w:pPr>
      <w:r>
        <w:rPr>
          <w:rStyle w:val="FootnoteReference"/>
        </w:rPr>
        <w:footnoteRef/>
      </w:r>
      <w:r>
        <w:t xml:space="preserve"> Analysis post 31 December 2020 (until 31 May 2021) is also included in parts of the report, and the impacts on the projection of Scheme costs due to this recent Scheme experience is also discussed. </w:t>
      </w:r>
    </w:p>
  </w:footnote>
  <w:footnote w:id="2">
    <w:p w14:paraId="25B905A8" w14:textId="767F2377" w:rsidR="008E50BF" w:rsidRPr="00645F49" w:rsidRDefault="008E50BF" w:rsidP="006C26E9">
      <w:pPr>
        <w:pStyle w:val="FootnoteText"/>
      </w:pPr>
      <w:r>
        <w:rPr>
          <w:rStyle w:val="FootnoteReference"/>
        </w:rPr>
        <w:footnoteRef/>
      </w:r>
      <w:r>
        <w:t xml:space="preserve"> </w:t>
      </w:r>
      <w:hyperlink r:id="rId1" w:history="1">
        <w:r w:rsidRPr="00E91591">
          <w:rPr>
            <w:rStyle w:val="Hyperlink"/>
          </w:rPr>
          <w:t>https://www.ndis.gov.au/media/833/download</w:t>
        </w:r>
      </w:hyperlink>
      <w:r>
        <w:t xml:space="preserve"> </w:t>
      </w:r>
    </w:p>
  </w:footnote>
  <w:footnote w:id="3">
    <w:p w14:paraId="461ABC12" w14:textId="77777777" w:rsidR="008E50BF" w:rsidRPr="009B5936" w:rsidRDefault="008E50BF" w:rsidP="006C26E9">
      <w:pPr>
        <w:pStyle w:val="FootnoteText"/>
      </w:pPr>
      <w:r>
        <w:rPr>
          <w:rStyle w:val="FootnoteReference"/>
        </w:rPr>
        <w:footnoteRef/>
      </w:r>
      <w:r>
        <w:t xml:space="preserve"> </w:t>
      </w:r>
      <w:r w:rsidRPr="007A5CBB">
        <w:t>Outcomes for participants and their families/carers are reported regularly in the NDIA’s quarterly reports to Disability Ministers, and more detailed analysis and data is available on the</w:t>
      </w:r>
      <w:r>
        <w:t xml:space="preserve"> NDIA Data and Insights website: </w:t>
      </w:r>
      <w:hyperlink r:id="rId2" w:history="1">
        <w:r w:rsidRPr="00725851">
          <w:rPr>
            <w:rStyle w:val="Hyperlink"/>
          </w:rPr>
          <w:t>https://data.ndis.gov.au/reports-and-analyses/outcomes-and-goals</w:t>
        </w:r>
      </w:hyperlink>
      <w:r>
        <w:rPr>
          <w:rStyle w:val="Hyperlink"/>
        </w:rPr>
        <w:t xml:space="preserve"> </w:t>
      </w:r>
    </w:p>
  </w:footnote>
  <w:footnote w:id="4">
    <w:p w14:paraId="0AADE7AB" w14:textId="26E30E22" w:rsidR="008E50BF" w:rsidRDefault="008E50BF" w:rsidP="006C26E9">
      <w:pPr>
        <w:pStyle w:val="FootnoteText"/>
      </w:pPr>
      <w:r>
        <w:rPr>
          <w:rStyle w:val="FootnoteReference"/>
        </w:rPr>
        <w:footnoteRef/>
      </w:r>
      <w:r>
        <w:t xml:space="preserve"> Supported Independent Living is modelled separately due to the high average payment per participant. SIL participants represent 5.7% of all participants, and 34% of payments made in the 2020-21 financial year to date. The average annualised payments year to date for SIL participants is $318,000, and $37,400 for participants not in SIL.</w:t>
      </w:r>
    </w:p>
  </w:footnote>
  <w:footnote w:id="5">
    <w:p w14:paraId="647D8612" w14:textId="21C5B6F4" w:rsidR="008E50BF" w:rsidRDefault="008E50BF" w:rsidP="00B56B5D">
      <w:pPr>
        <w:pStyle w:val="FootnoteText"/>
      </w:pPr>
      <w:r>
        <w:rPr>
          <w:rStyle w:val="FootnoteReference"/>
        </w:rPr>
        <w:footnoteRef/>
      </w:r>
      <w:r>
        <w:t xml:space="preserve"> </w:t>
      </w:r>
      <w:r w:rsidRPr="00966DF8">
        <w:t xml:space="preserve">Productivity Commission 2017, </w:t>
      </w:r>
      <w:r w:rsidRPr="00966DF8">
        <w:rPr>
          <w:i/>
        </w:rPr>
        <w:t>National Disability Insurance Scheme (NDIS) Costs</w:t>
      </w:r>
      <w:r>
        <w:t>, Study Report, Canberra (Table 2.3)</w:t>
      </w:r>
    </w:p>
  </w:footnote>
  <w:footnote w:id="6">
    <w:p w14:paraId="6D4130D5" w14:textId="44C64AD6" w:rsidR="008E50BF" w:rsidRDefault="008E50BF">
      <w:pPr>
        <w:pStyle w:val="FootnoteText"/>
      </w:pPr>
      <w:r>
        <w:rPr>
          <w:rStyle w:val="FootnoteReference"/>
        </w:rPr>
        <w:footnoteRef/>
      </w:r>
      <w:r>
        <w:t xml:space="preserve"> Average annualised payments have been calculated on a cash basis using the 12 months over each year ending 31 March.</w:t>
      </w:r>
    </w:p>
  </w:footnote>
  <w:footnote w:id="7">
    <w:p w14:paraId="2E8A612F" w14:textId="77777777" w:rsidR="00464CEB" w:rsidRDefault="00464CEB" w:rsidP="00464CEB">
      <w:pPr>
        <w:pStyle w:val="FootnoteText"/>
      </w:pPr>
      <w:r>
        <w:rPr>
          <w:rStyle w:val="FootnoteReference"/>
        </w:rPr>
        <w:footnoteRef/>
      </w:r>
      <w:r>
        <w:t xml:space="preserve"> Average annualised payments have been calculated on a cash basis using the 12 months over each year ending 31 March.</w:t>
      </w:r>
    </w:p>
  </w:footnote>
  <w:footnote w:id="8">
    <w:p w14:paraId="245F823E" w14:textId="77777777" w:rsidR="008E50BF" w:rsidRDefault="008E50BF" w:rsidP="00243F4D">
      <w:pPr>
        <w:pStyle w:val="FootnoteText"/>
      </w:pPr>
      <w:r>
        <w:rPr>
          <w:rStyle w:val="FootnoteReference"/>
        </w:rPr>
        <w:footnoteRef/>
      </w:r>
      <w:r>
        <w:t xml:space="preserve"> Average annualised payments have been calculated on a cash basis using the 12 months over each year ending 31 March.</w:t>
      </w:r>
    </w:p>
  </w:footnote>
  <w:footnote w:id="9">
    <w:p w14:paraId="449A7DD1" w14:textId="06AB6EF1" w:rsidR="008E50BF" w:rsidRDefault="008E50BF">
      <w:pPr>
        <w:pStyle w:val="FootnoteText"/>
      </w:pPr>
      <w:r>
        <w:rPr>
          <w:rStyle w:val="FootnoteReference"/>
        </w:rPr>
        <w:footnoteRef/>
      </w:r>
      <w:r>
        <w:t xml:space="preserve"> See section </w:t>
      </w:r>
      <w:r>
        <w:fldChar w:fldCharType="begin"/>
      </w:r>
      <w:r>
        <w:instrText xml:space="preserve"> REF _Ref76048809 \r \h </w:instrText>
      </w:r>
      <w:r>
        <w:fldChar w:fldCharType="separate"/>
      </w:r>
      <w:r w:rsidR="00715347">
        <w:t>5.3</w:t>
      </w:r>
      <w:r>
        <w:fldChar w:fldCharType="end"/>
      </w:r>
      <w:r>
        <w:t xml:space="preserve"> for more detail.</w:t>
      </w:r>
    </w:p>
  </w:footnote>
  <w:footnote w:id="10">
    <w:p w14:paraId="28B1019A" w14:textId="478AAA7C" w:rsidR="008E50BF" w:rsidRDefault="008E50BF">
      <w:pPr>
        <w:pStyle w:val="FootnoteText"/>
      </w:pPr>
      <w:r>
        <w:rPr>
          <w:rStyle w:val="FootnoteReference"/>
        </w:rPr>
        <w:footnoteRef/>
      </w:r>
      <w:r>
        <w:t xml:space="preserve"> </w:t>
      </w:r>
      <w:r w:rsidRPr="004D5319">
        <w:t>The inflation assumptions are higher in 2022-23 than in 2021-22. These inflation assumptions are further stress-tested by analysing the change in the average payment per participant over time. The increase in the average payment per participant is similar from 2020-21 to 2021-22, and from 2021-22 to 2022-23.</w:t>
      </w:r>
    </w:p>
  </w:footnote>
  <w:footnote w:id="11">
    <w:p w14:paraId="3C8ABCB4" w14:textId="5A7F4A36" w:rsidR="008E50BF" w:rsidRDefault="008E50BF">
      <w:pPr>
        <w:pStyle w:val="FootnoteText"/>
      </w:pPr>
      <w:r>
        <w:rPr>
          <w:rStyle w:val="FootnoteReference"/>
        </w:rPr>
        <w:footnoteRef/>
      </w:r>
      <w:r>
        <w:t xml:space="preserve"> </w:t>
      </w:r>
      <w:r w:rsidR="00921CFB" w:rsidRPr="00921CFB">
        <w:t>Cost is based on when the service was actually provided to the participant recognising some services are paid f</w:t>
      </w:r>
      <w:r w:rsidR="00921CFB">
        <w:t>or after the end of the period.</w:t>
      </w:r>
      <w:r>
        <w:t xml:space="preserve"> Estimates in the PBS are on an accrual basis.</w:t>
      </w:r>
    </w:p>
  </w:footnote>
  <w:footnote w:id="12">
    <w:p w14:paraId="3F2A767D" w14:textId="29A15713" w:rsidR="008E50BF" w:rsidRDefault="008E50BF">
      <w:pPr>
        <w:pStyle w:val="FootnoteText"/>
      </w:pPr>
      <w:r>
        <w:rPr>
          <w:rStyle w:val="FootnoteReference"/>
        </w:rPr>
        <w:footnoteRef/>
      </w:r>
      <w:r>
        <w:t xml:space="preserve"> </w:t>
      </w:r>
      <w:r w:rsidRPr="008518E6">
        <w:t>This projection is also higher than the 2021 Intergenerational Report projection which is based on the 2021-22 PBS in the short-term.</w:t>
      </w:r>
    </w:p>
  </w:footnote>
  <w:footnote w:id="13">
    <w:p w14:paraId="70206FDB" w14:textId="77777777" w:rsidR="008E50BF" w:rsidRPr="00CA7DBA" w:rsidRDefault="008E50BF" w:rsidP="00775C63">
      <w:pPr>
        <w:pStyle w:val="FootnoteText"/>
      </w:pPr>
      <w:r>
        <w:rPr>
          <w:rStyle w:val="FootnoteReference"/>
        </w:rPr>
        <w:footnoteRef/>
      </w:r>
      <w:r>
        <w:t xml:space="preserve"> The Productivity Commission costings did not include an explicit allowance for children with </w:t>
      </w:r>
      <w:r w:rsidRPr="00CA7DBA">
        <w:t>developmental delay</w:t>
      </w:r>
      <w:r>
        <w:t>,</w:t>
      </w:r>
      <w:r w:rsidRPr="00CA7DBA">
        <w:t xml:space="preserve"> </w:t>
      </w:r>
      <w:r>
        <w:t>for the student transport and personal care in schools in</w:t>
      </w:r>
      <w:r>
        <w:noBreakHyphen/>
        <w:t>kind support programs and for disability related health supports</w:t>
      </w:r>
      <w:r w:rsidRPr="00CA7DBA">
        <w:t xml:space="preserve">, noting that these </w:t>
      </w:r>
      <w:r>
        <w:t>four</w:t>
      </w:r>
      <w:r w:rsidRPr="00CA7DBA">
        <w:t xml:space="preserve"> items could account for an additional $</w:t>
      </w:r>
      <w:r>
        <w:t>1.5</w:t>
      </w:r>
      <w:r w:rsidRPr="00CA7DBA">
        <w:t> </w:t>
      </w:r>
      <w:r>
        <w:t>b</w:t>
      </w:r>
      <w:r w:rsidRPr="00CA7DBA">
        <w:t>illion per annum.</w:t>
      </w:r>
    </w:p>
  </w:footnote>
  <w:footnote w:id="14">
    <w:p w14:paraId="0ED0AA9D" w14:textId="7E954AC4" w:rsidR="008E50BF" w:rsidRDefault="008E50BF" w:rsidP="00E443EC">
      <w:pPr>
        <w:pStyle w:val="FootnoteText"/>
      </w:pPr>
      <w:r>
        <w:rPr>
          <w:rStyle w:val="FootnoteReference"/>
        </w:rPr>
        <w:footnoteRef/>
      </w:r>
      <w:r>
        <w:t xml:space="preserve"> </w:t>
      </w:r>
      <w:r w:rsidRPr="00966DF8">
        <w:t xml:space="preserve">Productivity Commission 2017, </w:t>
      </w:r>
      <w:r w:rsidRPr="00966DF8">
        <w:rPr>
          <w:i/>
        </w:rPr>
        <w:t>National Disability Insurance Scheme (NDIS) Costs</w:t>
      </w:r>
      <w:r>
        <w:t xml:space="preserve">, Study Report, Canberra (Table 2.3), </w:t>
      </w:r>
      <w:r w:rsidRPr="00B5064E">
        <w:t>excluding operating costs and interim years are calculated on a consistent basis</w:t>
      </w:r>
      <w:r>
        <w:t>.</w:t>
      </w:r>
    </w:p>
  </w:footnote>
  <w:footnote w:id="15">
    <w:p w14:paraId="1FFDA6E5" w14:textId="0C2FF141" w:rsidR="008E50BF" w:rsidRDefault="008E50BF">
      <w:pPr>
        <w:pStyle w:val="FootnoteText"/>
      </w:pPr>
      <w:r>
        <w:rPr>
          <w:rStyle w:val="FootnoteReference"/>
        </w:rPr>
        <w:footnoteRef/>
      </w:r>
      <w:r>
        <w:t xml:space="preserve"> See section 4.4 and 5.6 for more detail.</w:t>
      </w:r>
    </w:p>
  </w:footnote>
  <w:footnote w:id="16">
    <w:p w14:paraId="3B49D8CE" w14:textId="1F0D1538" w:rsidR="008E50BF" w:rsidRPr="00645F49" w:rsidRDefault="008E50BF">
      <w:pPr>
        <w:pStyle w:val="FootnoteText"/>
      </w:pPr>
      <w:r>
        <w:rPr>
          <w:rStyle w:val="FootnoteReference"/>
        </w:rPr>
        <w:footnoteRef/>
      </w:r>
      <w:r>
        <w:t xml:space="preserve"> </w:t>
      </w:r>
      <w:r w:rsidRPr="001D734E">
        <w:t>https://www.ndis.gov.au/media/833/download</w:t>
      </w:r>
    </w:p>
  </w:footnote>
  <w:footnote w:id="17">
    <w:p w14:paraId="6294D6EE" w14:textId="4FFB0068" w:rsidR="008E50BF" w:rsidRPr="00802104" w:rsidRDefault="008E50BF">
      <w:pPr>
        <w:pStyle w:val="FootnoteText"/>
      </w:pPr>
      <w:r>
        <w:rPr>
          <w:rStyle w:val="FootnoteReference"/>
        </w:rPr>
        <w:footnoteRef/>
      </w:r>
      <w:r>
        <w:t xml:space="preserve"> </w:t>
      </w:r>
      <w:hyperlink r:id="rId3" w:history="1">
        <w:r w:rsidRPr="00725851">
          <w:rPr>
            <w:rStyle w:val="Hyperlink"/>
          </w:rPr>
          <w:t>https://data.ndis.gov.au/reports-and-analyses/outcomes-and-goals</w:t>
        </w:r>
      </w:hyperlink>
      <w:r>
        <w:t xml:space="preserve"> </w:t>
      </w:r>
    </w:p>
  </w:footnote>
  <w:footnote w:id="18">
    <w:p w14:paraId="282FAB85" w14:textId="77777777" w:rsidR="008E50BF" w:rsidRPr="007C643B" w:rsidRDefault="008E50BF" w:rsidP="00C33D1E">
      <w:pPr>
        <w:pStyle w:val="FootnoteText"/>
      </w:pPr>
      <w:r>
        <w:rPr>
          <w:rStyle w:val="FootnoteReference"/>
        </w:rPr>
        <w:footnoteRef/>
      </w:r>
      <w:r>
        <w:t xml:space="preserve"> In particular, over the past year, the Agency has made a concerted focus on clearing internal backlogs in several areas such as access decisions, first plans, assistive technology, internal reviews, and manual payments.</w:t>
      </w:r>
    </w:p>
  </w:footnote>
  <w:footnote w:id="19">
    <w:p w14:paraId="63752234" w14:textId="23618140" w:rsidR="008E50BF" w:rsidRPr="00C04E1B" w:rsidRDefault="008E50BF">
      <w:pPr>
        <w:pStyle w:val="FootnoteText"/>
        <w:rPr>
          <w:szCs w:val="16"/>
        </w:rPr>
      </w:pPr>
      <w:r w:rsidRPr="00C04E1B">
        <w:rPr>
          <w:rStyle w:val="FootnoteReference"/>
          <w:szCs w:val="16"/>
        </w:rPr>
        <w:footnoteRef/>
      </w:r>
      <w:r w:rsidRPr="00C04E1B">
        <w:rPr>
          <w:szCs w:val="16"/>
        </w:rPr>
        <w:t xml:space="preserve"> The 2017 Productivity Commission estimates were sourced from the 2017 Productivity Commission Study Report into NDIS costs (Table 2.3. pp 100) excluding operating costs, with interim years calculated on a consistent basis.</w:t>
      </w:r>
    </w:p>
  </w:footnote>
  <w:footnote w:id="20">
    <w:p w14:paraId="1728B94A" w14:textId="77777777" w:rsidR="008E50BF" w:rsidRPr="00AF2A24" w:rsidRDefault="008E50BF" w:rsidP="001D6893">
      <w:pPr>
        <w:pStyle w:val="FootnoteText"/>
        <w:rPr>
          <w:sz w:val="16"/>
          <w:szCs w:val="16"/>
        </w:rPr>
      </w:pPr>
      <w:r w:rsidRPr="00C04E1B">
        <w:rPr>
          <w:rStyle w:val="FootnoteReference"/>
          <w:szCs w:val="16"/>
        </w:rPr>
        <w:footnoteRef/>
      </w:r>
      <w:r w:rsidRPr="00C04E1B">
        <w:rPr>
          <w:szCs w:val="16"/>
        </w:rPr>
        <w:t xml:space="preserve"> By the end of June 2020, about $70 million was paid in respect of the COVID loading.</w:t>
      </w:r>
    </w:p>
  </w:footnote>
  <w:footnote w:id="21">
    <w:p w14:paraId="2A874EB6" w14:textId="5DB6A355" w:rsidR="008E50BF" w:rsidRPr="009B5936" w:rsidRDefault="008E50BF" w:rsidP="000D3A9B">
      <w:pPr>
        <w:pStyle w:val="FootnoteText"/>
      </w:pPr>
      <w:r>
        <w:rPr>
          <w:rStyle w:val="FootnoteReference"/>
        </w:rPr>
        <w:footnoteRef/>
      </w:r>
      <w:r>
        <w:t xml:space="preserve"> </w:t>
      </w:r>
      <w:hyperlink r:id="rId4" w:history="1">
        <w:r w:rsidRPr="004067D5">
          <w:rPr>
            <w:rStyle w:val="Hyperlink"/>
          </w:rPr>
          <w:t>https://data.ndis.gov.au/</w:t>
        </w:r>
        <w:r w:rsidRPr="004067D5" w:rsidDel="004067D5">
          <w:rPr>
            <w:rStyle w:val="Hyperlink"/>
          </w:rPr>
          <w:t xml:space="preserve"> </w:t>
        </w:r>
      </w:hyperlink>
    </w:p>
  </w:footnote>
  <w:footnote w:id="22">
    <w:p w14:paraId="6723DD40" w14:textId="1F816BD8" w:rsidR="008E50BF" w:rsidRPr="00351D79" w:rsidRDefault="008E50BF">
      <w:pPr>
        <w:pStyle w:val="FootnoteText"/>
      </w:pPr>
      <w:r>
        <w:rPr>
          <w:rStyle w:val="FootnoteReference"/>
        </w:rPr>
        <w:footnoteRef/>
      </w:r>
      <w:r>
        <w:t xml:space="preserve"> </w:t>
      </w:r>
      <w:r w:rsidRPr="002236EA">
        <w:rPr>
          <w:rFonts w:cs="Arial"/>
          <w:szCs w:val="22"/>
        </w:rPr>
        <w:t xml:space="preserve">As at 30 June 2020, it is estimated that 1.5% of participants </w:t>
      </w:r>
      <w:r>
        <w:rPr>
          <w:rFonts w:cs="Arial"/>
          <w:szCs w:val="22"/>
        </w:rPr>
        <w:t xml:space="preserve">who </w:t>
      </w:r>
      <w:r w:rsidRPr="002236EA">
        <w:rPr>
          <w:rFonts w:cs="Arial"/>
          <w:szCs w:val="22"/>
        </w:rPr>
        <w:t>have ever had an approved plan have a missing or default level of function.</w:t>
      </w:r>
    </w:p>
  </w:footnote>
  <w:footnote w:id="23">
    <w:p w14:paraId="2BA44F7C" w14:textId="4D02D699" w:rsidR="008E50BF" w:rsidRPr="00A233A2" w:rsidRDefault="008E50BF">
      <w:pPr>
        <w:pStyle w:val="FootnoteText"/>
      </w:pPr>
      <w:r>
        <w:rPr>
          <w:rStyle w:val="FootnoteReference"/>
        </w:rPr>
        <w:footnoteRef/>
      </w:r>
      <w:r>
        <w:t xml:space="preserve"> SAP is a software company that makes enterprise software. Also known as </w:t>
      </w:r>
      <w:r w:rsidRPr="002708E6">
        <w:t>Systems, Applications and Products</w:t>
      </w:r>
      <w:r>
        <w:t xml:space="preserve"> in Data Processing.</w:t>
      </w:r>
    </w:p>
  </w:footnote>
  <w:footnote w:id="24">
    <w:p w14:paraId="48BFDC54" w14:textId="4E552C40" w:rsidR="008E50BF" w:rsidRDefault="008E50BF" w:rsidP="00237D73">
      <w:pPr>
        <w:pStyle w:val="FootnoteText"/>
      </w:pPr>
      <w:r>
        <w:rPr>
          <w:rStyle w:val="FootnoteReference"/>
        </w:rPr>
        <w:footnoteRef/>
      </w:r>
      <w:r>
        <w:t xml:space="preserve"> A chain ladder analysis, prevalence methodology and decay methodology have been used.</w:t>
      </w:r>
    </w:p>
  </w:footnote>
  <w:footnote w:id="25">
    <w:p w14:paraId="204E0ED2" w14:textId="7C1F5B2D" w:rsidR="008E50BF" w:rsidRPr="0072428B" w:rsidRDefault="008E50BF">
      <w:pPr>
        <w:pStyle w:val="FootnoteText"/>
      </w:pPr>
      <w:r>
        <w:rPr>
          <w:rStyle w:val="FootnoteReference"/>
        </w:rPr>
        <w:footnoteRef/>
      </w:r>
      <w:r>
        <w:t xml:space="preserve"> </w:t>
      </w:r>
      <w:r w:rsidRPr="00F43C49">
        <w:t>The point in time where participant intake primarily represents participants wi</w:t>
      </w:r>
      <w:r>
        <w:t>th new incidence of disability.</w:t>
      </w:r>
    </w:p>
  </w:footnote>
  <w:footnote w:id="26">
    <w:p w14:paraId="5ED9BC12" w14:textId="2BF2E5FF" w:rsidR="008E50BF" w:rsidRDefault="008E50BF" w:rsidP="008D2F1D">
      <w:pPr>
        <w:pStyle w:val="FootnoteText"/>
      </w:pPr>
      <w:r>
        <w:rPr>
          <w:rStyle w:val="FootnoteReference"/>
        </w:rPr>
        <w:footnoteRef/>
      </w:r>
      <w:r>
        <w:t xml:space="preserve"> These are participants who have an existing disability and are new to disability supports.</w:t>
      </w:r>
    </w:p>
  </w:footnote>
  <w:footnote w:id="27">
    <w:p w14:paraId="72FAA1F2" w14:textId="41EF21FB" w:rsidR="008E50BF" w:rsidRDefault="008E50BF" w:rsidP="00F704FA">
      <w:pPr>
        <w:pStyle w:val="FootnoteText"/>
      </w:pPr>
      <w:r>
        <w:rPr>
          <w:rStyle w:val="FootnoteReference"/>
        </w:rPr>
        <w:footnoteRef/>
      </w:r>
      <w:r>
        <w:t xml:space="preserve"> Note that payments from Victorian participants have been excluded from the base assumptions. This excludes any pandemic impact from the ‘second wave’ in the second half of 2020. </w:t>
      </w:r>
    </w:p>
  </w:footnote>
  <w:footnote w:id="28">
    <w:p w14:paraId="0F255E3C" w14:textId="090F1A87" w:rsidR="008E50BF" w:rsidRDefault="008E50BF">
      <w:pPr>
        <w:pStyle w:val="FootnoteText"/>
      </w:pPr>
      <w:r>
        <w:rPr>
          <w:rStyle w:val="FootnoteReference"/>
        </w:rPr>
        <w:footnoteRef/>
      </w:r>
      <w:r>
        <w:t xml:space="preserve"> </w:t>
      </w:r>
      <w:r w:rsidRPr="000C309D">
        <w:t>Plan budgets represent the dollar amount of support that has been made available to participants in their plan. The proportion of plan budgets which are used is referred to as the ‘utilisation rate’</w:t>
      </w:r>
      <w:r>
        <w:t>, and the dollar amount of the plan budget used is referred to as ‘payments’. Payments are modelled as this is the actual cost to the Scheme. Increases in utilisation put upward pressure on payments, and assumptions on increasing utilisation are included in the assumptions on super-imposed inflation (which is discussed in section 5.3).</w:t>
      </w:r>
    </w:p>
  </w:footnote>
  <w:footnote w:id="29">
    <w:p w14:paraId="7C21CD02" w14:textId="00D95B8E" w:rsidR="008E50BF" w:rsidRDefault="008E50BF" w:rsidP="00237D73">
      <w:pPr>
        <w:pStyle w:val="FootnoteText"/>
      </w:pPr>
      <w:r>
        <w:rPr>
          <w:rStyle w:val="FootnoteReference"/>
        </w:rPr>
        <w:footnoteRef/>
      </w:r>
      <w:r>
        <w:t xml:space="preserve"> The 15 support categories include four core support categories (Transport, Consumables, Daily Activities and Social Community Civic), two capital support categories (Assistive Technology and Home Modifications) and nine capital building (CB) support categories (Support Coordination, CB Relationships, CB Lifelong Learning, CB Home Living, CB Health and Wellbeing, CB Employment, CB Daily Activities, CB Choice and Control and CB Social Community Civic).</w:t>
      </w:r>
    </w:p>
  </w:footnote>
  <w:footnote w:id="30">
    <w:p w14:paraId="2F6CD448" w14:textId="4B412387" w:rsidR="008E50BF" w:rsidRPr="00A775BB" w:rsidRDefault="008E50BF">
      <w:pPr>
        <w:pStyle w:val="FootnoteText"/>
      </w:pPr>
      <w:r>
        <w:rPr>
          <w:rStyle w:val="FootnoteReference"/>
        </w:rPr>
        <w:footnoteRef/>
      </w:r>
      <w:r>
        <w:t xml:space="preserve"> </w:t>
      </w:r>
      <w:r w:rsidRPr="00D500BF">
        <w:t>Overall participant projections to 2030 increased by around 5%-10% between the 30 June 2018 and the 31 December 2019 projection, largely driven by higher than expected numbers of children with developmental delay and adults with autism that entered the Scheme during this period.</w:t>
      </w:r>
    </w:p>
  </w:footnote>
  <w:footnote w:id="31">
    <w:p w14:paraId="0E5F7078" w14:textId="194D0EE9" w:rsidR="008E50BF" w:rsidRPr="003A46EC" w:rsidRDefault="008E50BF" w:rsidP="002A4D37">
      <w:pPr>
        <w:pStyle w:val="FootnoteText"/>
      </w:pPr>
      <w:r w:rsidRPr="004055EF">
        <w:rPr>
          <w:rStyle w:val="FootnoteReference"/>
        </w:rPr>
        <w:footnoteRef/>
      </w:r>
      <w:r w:rsidRPr="004055EF">
        <w:t xml:space="preserve"> At 31 May 2021, the scheme costs </w:t>
      </w:r>
      <w:r>
        <w:t xml:space="preserve">on an accrual basis </w:t>
      </w:r>
      <w:r w:rsidRPr="004055EF">
        <w:t>are 6.4% higher than expected ($20,942m compared with $19,689m).</w:t>
      </w:r>
      <w:r>
        <w:t xml:space="preserve"> This is discussed in more detail in section </w:t>
      </w:r>
      <w:r>
        <w:fldChar w:fldCharType="begin"/>
      </w:r>
      <w:r>
        <w:instrText xml:space="preserve"> REF _Ref74834314 \n \h </w:instrText>
      </w:r>
      <w:r>
        <w:fldChar w:fldCharType="separate"/>
      </w:r>
      <w:r w:rsidR="00715347">
        <w:t>4.4</w:t>
      </w:r>
      <w:r>
        <w:fldChar w:fldCharType="end"/>
      </w:r>
      <w:r>
        <w:t>.</w:t>
      </w:r>
    </w:p>
  </w:footnote>
  <w:footnote w:id="32">
    <w:p w14:paraId="195F296C" w14:textId="261AD277" w:rsidR="008E50BF" w:rsidRPr="00D80E22" w:rsidRDefault="008E50BF" w:rsidP="00704716">
      <w:pPr>
        <w:pStyle w:val="FootnoteText"/>
      </w:pPr>
      <w:r>
        <w:rPr>
          <w:rStyle w:val="FootnoteReference"/>
        </w:rPr>
        <w:footnoteRef/>
      </w:r>
      <w:r>
        <w:t xml:space="preserve"> As mentioned above, the expected number of participants in this comparison is based on the estimates in the 2020-21 PBS.</w:t>
      </w:r>
    </w:p>
  </w:footnote>
  <w:footnote w:id="33">
    <w:p w14:paraId="4779F87F" w14:textId="77777777" w:rsidR="008E50BF" w:rsidRPr="00076656" w:rsidRDefault="008E50BF" w:rsidP="006C26E9">
      <w:pPr>
        <w:pStyle w:val="FootnoteText"/>
      </w:pPr>
      <w:r>
        <w:rPr>
          <w:rStyle w:val="FootnoteReference"/>
        </w:rPr>
        <w:footnoteRef/>
      </w:r>
      <w:r>
        <w:t xml:space="preserve"> As at 31 May 2021, the number of active participants is 4.8% higher than the expected number of participants in the 2020-21 PBS estimates.</w:t>
      </w:r>
    </w:p>
  </w:footnote>
  <w:footnote w:id="34">
    <w:p w14:paraId="2F9199A7" w14:textId="653F32AB" w:rsidR="008E50BF" w:rsidRDefault="008E50BF" w:rsidP="008556F8">
      <w:pPr>
        <w:pStyle w:val="FootnoteText"/>
      </w:pPr>
      <w:r>
        <w:rPr>
          <w:rStyle w:val="FootnoteReference"/>
        </w:rPr>
        <w:footnoteRef/>
      </w:r>
      <w:r>
        <w:t xml:space="preserve"> Note: </w:t>
      </w:r>
      <w:r w:rsidRPr="003E6CFE">
        <w:t>an issue with reporting SIL participants in the Agency’s data warehouse emerged in July 2020, and the number of SIL participants in the data (24,807) is likely understated</w:t>
      </w:r>
      <w:r>
        <w:t>.</w:t>
      </w:r>
      <w:r w:rsidRPr="003E6CFE">
        <w:t xml:space="preserve"> </w:t>
      </w:r>
      <w:r>
        <w:t xml:space="preserve">Operational changes in the way SIL is entered into the plan in the CRM (support category level, rather than at the support line item level) from 1 July 2020 has limited the ability to accurately identify SIL participants as the support category is not detailed enough to distinguish between SIL supports and other activities of daily living. This has resulted in a material reduction in the number of SIL participants since 30 June 2020. As at 31 December 2020, </w:t>
      </w:r>
      <w:r w:rsidRPr="00C27B6A">
        <w:t>1,143</w:t>
      </w:r>
      <w:r>
        <w:t xml:space="preserve"> participants have been identified as likely SIL participants. The Agency has and is continuing to implement processes to reduce the impact arising from this operational change, with less participants now identified as likely SIL participants.</w:t>
      </w:r>
    </w:p>
  </w:footnote>
  <w:footnote w:id="35">
    <w:p w14:paraId="7FC05AFB" w14:textId="77777777" w:rsidR="008E50BF" w:rsidRPr="00CF24F4" w:rsidRDefault="008E50BF" w:rsidP="008556F8">
      <w:pPr>
        <w:pStyle w:val="FootnoteText"/>
      </w:pPr>
      <w:r>
        <w:rPr>
          <w:rStyle w:val="FootnoteReference"/>
        </w:rPr>
        <w:footnoteRef/>
      </w:r>
      <w:r>
        <w:t xml:space="preserve"> The Agency uses functional assessment scores to understand how a person’s disability impacts their functioning in daily life. </w:t>
      </w:r>
      <w:r w:rsidRPr="00E234B8">
        <w:t xml:space="preserve">High, medium and low function is relative within the </w:t>
      </w:r>
      <w:r>
        <w:t>Scheme</w:t>
      </w:r>
      <w:r w:rsidRPr="00E234B8">
        <w:t xml:space="preserve"> population and not comparable to the general population.</w:t>
      </w:r>
    </w:p>
  </w:footnote>
  <w:footnote w:id="36">
    <w:p w14:paraId="735A9CEE" w14:textId="7DF728EA" w:rsidR="008E50BF" w:rsidRPr="0072428B" w:rsidRDefault="008E50BF">
      <w:pPr>
        <w:pStyle w:val="FootnoteText"/>
      </w:pPr>
      <w:r>
        <w:rPr>
          <w:rStyle w:val="FootnoteReference"/>
        </w:rPr>
        <w:footnoteRef/>
      </w:r>
      <w:r>
        <w:t xml:space="preserve"> This chart only considers participants that were active at 31 March 2017 only. For further information, please refer to NDIA’s Quarterly Report to Disability Ministers at 31 March 2021.</w:t>
      </w:r>
    </w:p>
  </w:footnote>
  <w:footnote w:id="37">
    <w:p w14:paraId="266A5E37" w14:textId="77777777" w:rsidR="008E50BF" w:rsidRDefault="008E50BF" w:rsidP="008556F8">
      <w:pPr>
        <w:pStyle w:val="FootnoteText"/>
      </w:pPr>
      <w:r w:rsidRPr="003457C7">
        <w:rPr>
          <w:rStyle w:val="FootnoteReference"/>
        </w:rPr>
        <w:footnoteRef/>
      </w:r>
      <w:r>
        <w:t xml:space="preserve"> About 55</w:t>
      </w:r>
      <w:r w:rsidRPr="003457C7">
        <w:t>% of all SIL Scheme participants have an intellectual disability and 1</w:t>
      </w:r>
      <w:r>
        <w:t>5</w:t>
      </w:r>
      <w:r w:rsidRPr="003457C7">
        <w:t>% of participants with an intellectual disability are in SIL arrangements as at 31 December 2020.</w:t>
      </w:r>
    </w:p>
  </w:footnote>
  <w:footnote w:id="38">
    <w:p w14:paraId="45EEC9F2" w14:textId="10D1E2B3" w:rsidR="008E50BF" w:rsidRPr="00D16790" w:rsidRDefault="008E50BF">
      <w:pPr>
        <w:pStyle w:val="FootnoteText"/>
      </w:pPr>
      <w:r>
        <w:rPr>
          <w:rStyle w:val="FootnoteReference"/>
        </w:rPr>
        <w:footnoteRef/>
      </w:r>
      <w:r>
        <w:t xml:space="preserve"> Prevalence is defined as the proportion of the general population that have a disability and are accessing Scheme supports</w:t>
      </w:r>
    </w:p>
  </w:footnote>
  <w:footnote w:id="39">
    <w:p w14:paraId="483287FC" w14:textId="3D516075" w:rsidR="008E50BF" w:rsidRPr="00A233A2" w:rsidRDefault="008E50BF" w:rsidP="00F33333">
      <w:pPr>
        <w:pStyle w:val="FootnoteText"/>
      </w:pPr>
      <w:r>
        <w:rPr>
          <w:rStyle w:val="FootnoteReference"/>
        </w:rPr>
        <w:footnoteRef/>
      </w:r>
      <w:r>
        <w:t xml:space="preserve"> The regions that commenced phasing during the Scheme’s trial and early transition period.</w:t>
      </w:r>
    </w:p>
  </w:footnote>
  <w:footnote w:id="40">
    <w:p w14:paraId="454431E3" w14:textId="77777777" w:rsidR="008E50BF" w:rsidRDefault="008E50BF" w:rsidP="00D16790">
      <w:pPr>
        <w:pStyle w:val="FootnoteText"/>
      </w:pPr>
      <w:r>
        <w:rPr>
          <w:rStyle w:val="FootnoteReference"/>
        </w:rPr>
        <w:footnoteRef/>
      </w:r>
      <w:r>
        <w:t xml:space="preserve"> Excludes jurisdictions which have phased participants in by age or other non</w:t>
      </w:r>
      <w:r>
        <w:noBreakHyphen/>
        <w:t>standard phasing patterns (for example, South Australia, Tasmania and Northern Territory), as these sites would bias these development charts and any chain ladder analysis.</w:t>
      </w:r>
    </w:p>
  </w:footnote>
  <w:footnote w:id="41">
    <w:p w14:paraId="38A12B09" w14:textId="77777777" w:rsidR="008E50BF" w:rsidRPr="004B5507" w:rsidRDefault="008E50BF" w:rsidP="002449D1">
      <w:pPr>
        <w:pStyle w:val="FootnoteText"/>
      </w:pPr>
      <w:r>
        <w:rPr>
          <w:rStyle w:val="FootnoteReference"/>
        </w:rPr>
        <w:footnoteRef/>
      </w:r>
      <w:r>
        <w:t xml:space="preserve"> Dates of payments relate to when the payment was made, rather than when the support was provided.</w:t>
      </w:r>
    </w:p>
  </w:footnote>
  <w:footnote w:id="42">
    <w:p w14:paraId="5221385E" w14:textId="53F3C09C" w:rsidR="008E50BF" w:rsidRPr="00594EEA" w:rsidRDefault="008E50BF" w:rsidP="008556F8">
      <w:pPr>
        <w:pStyle w:val="FootnoteText"/>
      </w:pPr>
      <w:r w:rsidRPr="00C4508F">
        <w:rPr>
          <w:rStyle w:val="FootnoteReference"/>
        </w:rPr>
        <w:footnoteRef/>
      </w:r>
      <w:r>
        <w:t xml:space="preserve"> </w:t>
      </w:r>
      <w:r w:rsidRPr="00C4508F">
        <w:t>Note this includes all on and off system payments (i.e. in-kind and</w:t>
      </w:r>
      <w:r w:rsidRPr="00187049">
        <w:t xml:space="preserve"> </w:t>
      </w:r>
      <w:r>
        <w:t>Residential Aged Care</w:t>
      </w:r>
      <w:r w:rsidRPr="00187049">
        <w:t>), with the exception of $11.4 million of off system in-kind and Finance payments for supports which cannot be allocated at a participant level.</w:t>
      </w:r>
    </w:p>
  </w:footnote>
  <w:footnote w:id="43">
    <w:p w14:paraId="03D10828" w14:textId="77777777" w:rsidR="008E50BF" w:rsidRDefault="008E50BF" w:rsidP="00775C63">
      <w:pPr>
        <w:pStyle w:val="FootnoteText"/>
      </w:pPr>
      <w:r>
        <w:rPr>
          <w:rStyle w:val="FootnoteReference"/>
        </w:rPr>
        <w:footnoteRef/>
      </w:r>
      <w:r>
        <w:t xml:space="preserve"> Average annualised payments have been calculated on a cash basis using the 12 months over each year ending 31 March.</w:t>
      </w:r>
    </w:p>
  </w:footnote>
  <w:footnote w:id="44">
    <w:p w14:paraId="0D995D4D" w14:textId="77777777" w:rsidR="008E50BF" w:rsidRDefault="008E50BF" w:rsidP="00E73F21">
      <w:pPr>
        <w:pStyle w:val="FootnoteText"/>
      </w:pPr>
      <w:r>
        <w:rPr>
          <w:rStyle w:val="FootnoteReference"/>
        </w:rPr>
        <w:footnoteRef/>
      </w:r>
      <w:r>
        <w:t xml:space="preserve"> Average annualised payments have been calculated on a cash basis using the 12 months over each year ending 31 March.</w:t>
      </w:r>
    </w:p>
  </w:footnote>
  <w:footnote w:id="45">
    <w:p w14:paraId="4F7D3547" w14:textId="6EBE7120" w:rsidR="008E50BF" w:rsidRDefault="008E50BF">
      <w:pPr>
        <w:pStyle w:val="FootnoteText"/>
      </w:pPr>
      <w:r>
        <w:rPr>
          <w:rStyle w:val="FootnoteReference"/>
        </w:rPr>
        <w:footnoteRef/>
      </w:r>
      <w:r>
        <w:t xml:space="preserve"> Average annualised payments have been calculated on a cash basis using the 12 months over each year ending 31 March.</w:t>
      </w:r>
    </w:p>
  </w:footnote>
  <w:footnote w:id="46">
    <w:p w14:paraId="72073A73" w14:textId="4104F0BF" w:rsidR="008E50BF" w:rsidRPr="00342DFC" w:rsidRDefault="008E50BF" w:rsidP="00762F1E">
      <w:pPr>
        <w:pStyle w:val="FootnoteText"/>
      </w:pPr>
      <w:r>
        <w:rPr>
          <w:rStyle w:val="FootnoteReference"/>
        </w:rPr>
        <w:footnoteRef/>
      </w:r>
      <w:r>
        <w:t xml:space="preserve"> The expected experience between July 2020 and December 2020 reflect the 2020-21 PBS estimates. The expected experience between July 2019 and June 2020 reflect the expected experience from the 2018-19 AFSR projections.</w:t>
      </w:r>
    </w:p>
  </w:footnote>
  <w:footnote w:id="47">
    <w:p w14:paraId="11A8A36D" w14:textId="7594A208" w:rsidR="008E50BF" w:rsidRPr="006661A1" w:rsidRDefault="008E50BF" w:rsidP="00B7061A">
      <w:pPr>
        <w:pStyle w:val="FootnoteText"/>
      </w:pPr>
      <w:r>
        <w:rPr>
          <w:rStyle w:val="FootnoteReference"/>
        </w:rPr>
        <w:footnoteRef/>
      </w:r>
      <w:r>
        <w:t xml:space="preserve"> More detail on the definitions of the support categories and what is included in each support category is located at: </w:t>
      </w:r>
      <w:hyperlink r:id="rId5" w:tgtFrame="_blank" w:history="1">
        <w:r w:rsidRPr="006661A1">
          <w:rPr>
            <w:rStyle w:val="Hyperlink"/>
            <w:rFonts w:cs="Arial"/>
            <w:bCs/>
            <w:color w:val="auto"/>
          </w:rPr>
          <w:t>https://www.ndis.gov.au/participants/using-your-plan/managing-your-plan/support-budgets-your-plan</w:t>
        </w:r>
      </w:hyperlink>
    </w:p>
  </w:footnote>
  <w:footnote w:id="48">
    <w:p w14:paraId="290BEA3C" w14:textId="77777777" w:rsidR="008E50BF" w:rsidRDefault="008E50BF" w:rsidP="00123D0B">
      <w:pPr>
        <w:pStyle w:val="FootnoteText"/>
      </w:pPr>
      <w:r>
        <w:rPr>
          <w:rStyle w:val="FootnoteReference"/>
        </w:rPr>
        <w:footnoteRef/>
      </w:r>
      <w:r>
        <w:t xml:space="preserve"> Supports in this category primarily relate to the cost of the delivery of therapy to Scheme participants, including specialised therapy supports in early childhood.</w:t>
      </w:r>
    </w:p>
  </w:footnote>
  <w:footnote w:id="49">
    <w:p w14:paraId="4925BE10" w14:textId="77777777" w:rsidR="008E50BF" w:rsidRDefault="008E50BF" w:rsidP="00123D0B">
      <w:pPr>
        <w:pStyle w:val="FootnoteText"/>
      </w:pPr>
      <w:r>
        <w:rPr>
          <w:rStyle w:val="FootnoteReference"/>
        </w:rPr>
        <w:footnoteRef/>
      </w:r>
      <w:r>
        <w:t xml:space="preserve"> Note that ‘Other Therapy’ makes up a large proportion of therapy supports within Capacity Building Daily Activities. No further detail is available in the data to understand the specific therapy services within this category.</w:t>
      </w:r>
    </w:p>
  </w:footnote>
  <w:footnote w:id="50">
    <w:p w14:paraId="41EC3545" w14:textId="5A1F7E33" w:rsidR="008E50BF" w:rsidRPr="007B2293" w:rsidRDefault="008E50BF">
      <w:pPr>
        <w:pStyle w:val="FootnoteText"/>
      </w:pPr>
      <w:r>
        <w:rPr>
          <w:rStyle w:val="FootnoteReference"/>
        </w:rPr>
        <w:footnoteRef/>
      </w:r>
      <w:r>
        <w:t xml:space="preserve"> This includes payment to plan managers for plan management services.</w:t>
      </w:r>
    </w:p>
  </w:footnote>
  <w:footnote w:id="51">
    <w:p w14:paraId="47F9437A" w14:textId="77777777" w:rsidR="008E50BF" w:rsidRDefault="008E50BF" w:rsidP="00123D0B">
      <w:pPr>
        <w:pStyle w:val="FootnoteText"/>
      </w:pPr>
      <w:r>
        <w:rPr>
          <w:rStyle w:val="FootnoteReference"/>
        </w:rPr>
        <w:footnoteRef/>
      </w:r>
      <w:r>
        <w:t xml:space="preserve"> Note that low cost assistive technology has been categorised within Consumables since July 2019 as a mechanism to reduce waiting times.</w:t>
      </w:r>
    </w:p>
  </w:footnote>
  <w:footnote w:id="52">
    <w:p w14:paraId="409E8D17" w14:textId="77777777" w:rsidR="008E50BF" w:rsidRPr="009A6D8B" w:rsidRDefault="008E50BF" w:rsidP="00123D0B">
      <w:pPr>
        <w:pStyle w:val="FootnoteText"/>
      </w:pPr>
      <w:r>
        <w:rPr>
          <w:rStyle w:val="FootnoteReference"/>
        </w:rPr>
        <w:footnoteRef/>
      </w:r>
      <w:r>
        <w:t xml:space="preserve"> A number of smaller Capacity Building support categories have been grouped together (CB Relationships, </w:t>
      </w:r>
      <w:r w:rsidRPr="00612B89">
        <w:t>CB Social Community Civic</w:t>
      </w:r>
      <w:r>
        <w:t>, CB Health a</w:t>
      </w:r>
      <w:r w:rsidRPr="00612B89">
        <w:t>nd Wellbeing</w:t>
      </w:r>
      <w:r>
        <w:t xml:space="preserve">, </w:t>
      </w:r>
      <w:r w:rsidRPr="00612B89">
        <w:t>CB Home Living</w:t>
      </w:r>
      <w:r>
        <w:t xml:space="preserve"> and </w:t>
      </w:r>
      <w:r w:rsidRPr="00612B89">
        <w:t>CB Lifelong Learning</w:t>
      </w:r>
      <w:r>
        <w:t>). These categories represent around 2% of payments combined.</w:t>
      </w:r>
    </w:p>
  </w:footnote>
  <w:footnote w:id="53">
    <w:p w14:paraId="76C9E021" w14:textId="77777777" w:rsidR="008E50BF" w:rsidRPr="00594EEA" w:rsidRDefault="008E50BF" w:rsidP="00650C77">
      <w:pPr>
        <w:pStyle w:val="FootnoteText"/>
      </w:pPr>
      <w:r>
        <w:rPr>
          <w:rStyle w:val="FootnoteReference"/>
        </w:rPr>
        <w:footnoteRef/>
      </w:r>
      <w:r>
        <w:t xml:space="preserve"> In particular, participants with spinal cord injury, cerebral palsy and acquired brain injury.</w:t>
      </w:r>
    </w:p>
  </w:footnote>
  <w:footnote w:id="54">
    <w:p w14:paraId="39A83784" w14:textId="77777777" w:rsidR="008E50BF" w:rsidRPr="00077850" w:rsidRDefault="008E50BF" w:rsidP="00650C77">
      <w:pPr>
        <w:pStyle w:val="FootnoteText"/>
      </w:pPr>
      <w:r>
        <w:rPr>
          <w:rStyle w:val="FootnoteReference"/>
        </w:rPr>
        <w:footnoteRef/>
      </w:r>
      <w:r>
        <w:t xml:space="preserve"> This includes hearing impairment, visual impairment and other sensory/speech disabilities.</w:t>
      </w:r>
    </w:p>
  </w:footnote>
  <w:footnote w:id="55">
    <w:p w14:paraId="7DF8F877" w14:textId="77777777" w:rsidR="008E50BF" w:rsidRPr="00693B2D" w:rsidRDefault="008E50BF" w:rsidP="00650C77">
      <w:pPr>
        <w:pStyle w:val="FootnoteText"/>
      </w:pPr>
      <w:r>
        <w:rPr>
          <w:rStyle w:val="FootnoteReference"/>
        </w:rPr>
        <w:footnoteRef/>
      </w:r>
      <w:r>
        <w:t xml:space="preserve"> </w:t>
      </w:r>
      <w:r w:rsidRPr="00942AD0">
        <w:t>Some examples of historic</w:t>
      </w:r>
      <w:r>
        <w:t>al</w:t>
      </w:r>
      <w:r w:rsidRPr="00942AD0">
        <w:t xml:space="preserve"> cost deterioration from unanticipated sources include the incomplete rollout of the National Injury Insurance Scheme (NIIS), the inclusion of children with developmental delay in the Scheme, </w:t>
      </w:r>
      <w:r>
        <w:t xml:space="preserve">and </w:t>
      </w:r>
      <w:r w:rsidRPr="00942AD0">
        <w:t>coverage of student transport and personal care in schools in the Scheme.</w:t>
      </w:r>
    </w:p>
  </w:footnote>
  <w:footnote w:id="56">
    <w:p w14:paraId="04DC58E5" w14:textId="725B880E" w:rsidR="008E50BF" w:rsidRPr="009630FF" w:rsidRDefault="008E50BF">
      <w:pPr>
        <w:pStyle w:val="FootnoteText"/>
      </w:pPr>
      <w:r>
        <w:rPr>
          <w:rStyle w:val="FootnoteReference"/>
        </w:rPr>
        <w:footnoteRef/>
      </w:r>
      <w:r>
        <w:t xml:space="preserve"> For further detail, please see</w:t>
      </w:r>
      <w:r w:rsidRPr="0072428B">
        <w:rPr>
          <w:rStyle w:val="FSRnormalChar"/>
        </w:rPr>
        <w:t xml:space="preserve"> </w:t>
      </w:r>
      <w:hyperlink w:anchor="_Appendix_D:_Utilisation" w:history="1">
        <w:r w:rsidRPr="0072428B">
          <w:rPr>
            <w:rStyle w:val="FSRnormalChar"/>
          </w:rPr>
          <w:t>Appendix D</w:t>
        </w:r>
      </w:hyperlink>
      <w:r>
        <w:t>.</w:t>
      </w:r>
    </w:p>
  </w:footnote>
  <w:footnote w:id="57">
    <w:p w14:paraId="30271E83" w14:textId="5A5170B1" w:rsidR="008E50BF" w:rsidRDefault="008E50BF">
      <w:pPr>
        <w:pStyle w:val="FootnoteText"/>
      </w:pPr>
      <w:r>
        <w:rPr>
          <w:rStyle w:val="FootnoteReference"/>
        </w:rPr>
        <w:footnoteRef/>
      </w:r>
      <w:r>
        <w:t xml:space="preserve"> The inflation assumptions are higher in 2022-23 than in 2021-22. These inflation assumptions are further stress-tested by analysing the change in the average payment per participant over time. The increase in the average payment per participant is similar from 2020-21 to 2021-22, and from 2021-22 to 2022-23.</w:t>
      </w:r>
    </w:p>
  </w:footnote>
  <w:footnote w:id="58">
    <w:p w14:paraId="7ED2A3DD" w14:textId="77777777" w:rsidR="008E50BF" w:rsidRPr="00594EEA" w:rsidRDefault="008E50BF" w:rsidP="00B648E8">
      <w:pPr>
        <w:pStyle w:val="FootnoteText"/>
      </w:pPr>
      <w:r>
        <w:rPr>
          <w:rStyle w:val="FootnoteReference"/>
        </w:rPr>
        <w:footnoteRef/>
      </w:r>
      <w:r>
        <w:t xml:space="preserve"> In particular, participants with spinal cord injury, cerebral palsy and acquired brain injury.</w:t>
      </w:r>
    </w:p>
  </w:footnote>
  <w:footnote w:id="59">
    <w:p w14:paraId="71E545D3" w14:textId="77777777" w:rsidR="008E50BF" w:rsidRPr="00077850" w:rsidRDefault="008E50BF" w:rsidP="00B648E8">
      <w:pPr>
        <w:pStyle w:val="FootnoteText"/>
      </w:pPr>
      <w:r>
        <w:rPr>
          <w:rStyle w:val="FootnoteReference"/>
        </w:rPr>
        <w:footnoteRef/>
      </w:r>
      <w:r>
        <w:t xml:space="preserve"> This includes hearing impairment, visual impairment and other sensory/speech disabilities.</w:t>
      </w:r>
    </w:p>
  </w:footnote>
  <w:footnote w:id="60">
    <w:p w14:paraId="082CE6C5" w14:textId="0344DD90" w:rsidR="008E50BF" w:rsidRPr="009630FF" w:rsidRDefault="008E50BF">
      <w:pPr>
        <w:pStyle w:val="FootnoteText"/>
      </w:pPr>
      <w:r>
        <w:rPr>
          <w:rStyle w:val="FootnoteReference"/>
        </w:rPr>
        <w:footnoteRef/>
      </w:r>
      <w:r>
        <w:t xml:space="preserve"> For a breakdown of total participant cost projections by State/Territory, please refer to</w:t>
      </w:r>
      <w:r w:rsidRPr="0072428B">
        <w:rPr>
          <w:rStyle w:val="FSRnormalChar"/>
        </w:rPr>
        <w:t xml:space="preserve"> </w:t>
      </w:r>
      <w:hyperlink w:anchor="_Appendix_E:_State/Territory" w:history="1">
        <w:r w:rsidRPr="0072428B">
          <w:rPr>
            <w:rStyle w:val="FSRnormalChar"/>
          </w:rPr>
          <w:t>Appendix E</w:t>
        </w:r>
      </w:hyperlink>
      <w:r>
        <w:t>.</w:t>
      </w:r>
    </w:p>
  </w:footnote>
  <w:footnote w:id="61">
    <w:p w14:paraId="3C154C8F" w14:textId="06D5C66C" w:rsidR="008E50BF" w:rsidRDefault="008E50BF" w:rsidP="00C6134D">
      <w:pPr>
        <w:pStyle w:val="FootnoteText"/>
      </w:pPr>
      <w:r>
        <w:rPr>
          <w:rStyle w:val="FootnoteReference"/>
        </w:rPr>
        <w:footnoteRef/>
      </w:r>
      <w:r>
        <w:t xml:space="preserve"> </w:t>
      </w:r>
      <w:r w:rsidRPr="00966DF8">
        <w:t xml:space="preserve">Productivity Commission 2017, </w:t>
      </w:r>
      <w:r w:rsidRPr="00966DF8">
        <w:rPr>
          <w:i/>
        </w:rPr>
        <w:t>National Disability Insurance Scheme (NDIS) Costs</w:t>
      </w:r>
      <w:r>
        <w:t xml:space="preserve">, Study Report, Canberra (Table 2.3), </w:t>
      </w:r>
      <w:r w:rsidRPr="00C04E1B">
        <w:rPr>
          <w:szCs w:val="16"/>
        </w:rPr>
        <w:t>excluding operating costs, with interim years calculated on a consistent basis</w:t>
      </w:r>
    </w:p>
  </w:footnote>
  <w:footnote w:id="62">
    <w:p w14:paraId="523A0826" w14:textId="55FF229A" w:rsidR="008E50BF" w:rsidRPr="00CA7DBA" w:rsidRDefault="008E50BF" w:rsidP="00090F13">
      <w:pPr>
        <w:pStyle w:val="FootnoteText"/>
      </w:pPr>
      <w:r>
        <w:rPr>
          <w:rStyle w:val="FootnoteReference"/>
        </w:rPr>
        <w:footnoteRef/>
      </w:r>
      <w:r>
        <w:t xml:space="preserve"> The Productivity Commission costings did not include an explicit allowance for children with </w:t>
      </w:r>
      <w:r w:rsidRPr="00CA7DBA">
        <w:t>developmental delay</w:t>
      </w:r>
      <w:r>
        <w:t>,</w:t>
      </w:r>
      <w:r w:rsidRPr="00CA7DBA">
        <w:t xml:space="preserve"> </w:t>
      </w:r>
      <w:r>
        <w:t>for the student transport and personal care in schools in</w:t>
      </w:r>
      <w:r>
        <w:noBreakHyphen/>
        <w:t>kind support programs and for disability related health supports</w:t>
      </w:r>
      <w:r w:rsidRPr="00CA7DBA">
        <w:t xml:space="preserve">, noting that these </w:t>
      </w:r>
      <w:r>
        <w:t>four</w:t>
      </w:r>
      <w:r w:rsidRPr="00CA7DBA">
        <w:t xml:space="preserve"> items could account for an additional $</w:t>
      </w:r>
      <w:r>
        <w:t>1.5</w:t>
      </w:r>
      <w:r w:rsidRPr="00CA7DBA">
        <w:t> </w:t>
      </w:r>
      <w:r>
        <w:t>b</w:t>
      </w:r>
      <w:r w:rsidRPr="00CA7DBA">
        <w:t>illion per annum.</w:t>
      </w:r>
    </w:p>
  </w:footnote>
  <w:footnote w:id="63">
    <w:p w14:paraId="4D006E40" w14:textId="77777777" w:rsidR="008E50BF" w:rsidRPr="0055135F" w:rsidRDefault="008E50BF" w:rsidP="0055135F">
      <w:pPr>
        <w:pStyle w:val="FootnoteText"/>
      </w:pPr>
      <w:r>
        <w:rPr>
          <w:rStyle w:val="FootnoteReference"/>
        </w:rPr>
        <w:footnoteRef/>
      </w:r>
      <w:r>
        <w:t xml:space="preserve"> </w:t>
      </w:r>
      <w:r w:rsidRPr="00095A36">
        <w:t xml:space="preserve">The methodology does not work for regions that phased by age. Hence, South Australia and Tasmania were excluded from the analysis, and the assumption that participants aged 0 to 18 entered with the rest of the population was made for </w:t>
      </w:r>
      <w:r w:rsidRPr="0055135F">
        <w:t>Nepean Blue Mountains and Townsville.</w:t>
      </w:r>
    </w:p>
  </w:footnote>
  <w:footnote w:id="64">
    <w:p w14:paraId="5A325AB5" w14:textId="77777777" w:rsidR="008E50BF" w:rsidRPr="00425FED" w:rsidRDefault="008E50BF" w:rsidP="0055135F">
      <w:pPr>
        <w:pStyle w:val="FootnoteText"/>
      </w:pPr>
      <w:r w:rsidRPr="00425FED">
        <w:rPr>
          <w:rStyle w:val="FootnoteReference"/>
        </w:rPr>
        <w:footnoteRef/>
      </w:r>
      <w:r w:rsidRPr="00425FED">
        <w:t xml:space="preserve"> </w:t>
      </w:r>
      <w:r w:rsidRPr="00425FED">
        <w:rPr>
          <w:rFonts w:cs="Arial"/>
        </w:rPr>
        <w:t>An underlying assumption of this relationship is that the rate of onset for each disability and in total has stayed constant over time, while noting that this may not be true for some disabilities</w:t>
      </w:r>
    </w:p>
  </w:footnote>
  <w:footnote w:id="65">
    <w:p w14:paraId="43CC95AA" w14:textId="5AD70977" w:rsidR="008E50BF" w:rsidRPr="007B2293" w:rsidRDefault="008E50BF">
      <w:pPr>
        <w:pStyle w:val="FootnoteText"/>
      </w:pPr>
      <w:r>
        <w:rPr>
          <w:rStyle w:val="FootnoteReference"/>
        </w:rPr>
        <w:footnoteRef/>
      </w:r>
      <w:r>
        <w:t xml:space="preserve"> </w:t>
      </w:r>
      <w:r w:rsidRPr="00EF08AC">
        <w:t>Participant groups that have had more mortality exits and exposure years will have a higher credibility factor applied to their actual experience over the most recent calendar year. It is worth bearing in mind that some disability types have relatively low exposure and little exits experience, and some participant groups also have exposure levels which were too sparse to be utilised in revising assumptions.</w:t>
      </w:r>
    </w:p>
  </w:footnote>
  <w:footnote w:id="66">
    <w:p w14:paraId="4B4FAAC9" w14:textId="77777777" w:rsidR="008E50BF" w:rsidRDefault="008E50BF" w:rsidP="00C50D60">
      <w:pPr>
        <w:pStyle w:val="FootnoteText"/>
      </w:pPr>
      <w:r>
        <w:rPr>
          <w:rStyle w:val="FootnoteReference"/>
        </w:rPr>
        <w:footnoteRef/>
      </w:r>
      <w:r>
        <w:t xml:space="preserve"> The non-mortality exit rate assumptions are based primarily on experience in the 2018 calendar year, with the exception of developmental delay. Non-mortality assumptions for participants with developmental delay under the age of 14 have been revised upwards to better reflect the experience of single ages from 0 to 14.</w:t>
      </w:r>
    </w:p>
  </w:footnote>
  <w:footnote w:id="67">
    <w:p w14:paraId="62E6BECC" w14:textId="77777777" w:rsidR="008E50BF" w:rsidRPr="006D2E94" w:rsidRDefault="008E50BF" w:rsidP="007E5BA2">
      <w:pPr>
        <w:pStyle w:val="FootnoteText"/>
      </w:pPr>
      <w:r>
        <w:rPr>
          <w:rStyle w:val="FootnoteReference"/>
        </w:rPr>
        <w:footnoteRef/>
      </w:r>
      <w:r>
        <w:t xml:space="preserve"> </w:t>
      </w:r>
      <w:r w:rsidRPr="003C5AF4">
        <w:t xml:space="preserve">This approach was taken to remove any timing bias related to payments, given that there is a general lag between </w:t>
      </w:r>
      <w:r>
        <w:t>when supports are provided and when data is received from States/Territory and Commonwealth governments</w:t>
      </w:r>
      <w:r w:rsidRPr="003C5AF4">
        <w:t>.</w:t>
      </w:r>
    </w:p>
  </w:footnote>
  <w:footnote w:id="68">
    <w:p w14:paraId="002E7ED4" w14:textId="717D7B63" w:rsidR="008E50BF" w:rsidRPr="007B2293" w:rsidRDefault="008E50BF">
      <w:pPr>
        <w:pStyle w:val="FootnoteText"/>
      </w:pPr>
      <w:r>
        <w:rPr>
          <w:rStyle w:val="FootnoteReference"/>
        </w:rPr>
        <w:footnoteRef/>
      </w:r>
      <w:r>
        <w:t xml:space="preserve"> Mature participants are defined as participants who </w:t>
      </w:r>
      <w:r w:rsidRPr="0075176C">
        <w:t>were active at both 30 September 2020 and 31 December 2020, and had their first plan approved on or prior to 30 September 2019</w:t>
      </w:r>
      <w:r>
        <w:t>.</w:t>
      </w:r>
    </w:p>
  </w:footnote>
  <w:footnote w:id="69">
    <w:p w14:paraId="6C613D37" w14:textId="5F7CEFC5" w:rsidR="008E50BF" w:rsidRPr="007B2293" w:rsidRDefault="008E50BF">
      <w:pPr>
        <w:pStyle w:val="FootnoteText"/>
      </w:pPr>
      <w:r>
        <w:rPr>
          <w:rStyle w:val="FootnoteReference"/>
        </w:rPr>
        <w:footnoteRef/>
      </w:r>
      <w:r>
        <w:t xml:space="preserve"> As these assumptions are presented at an aggregate level, changes in the mix of participants will impact changes to average annual costs over time.</w:t>
      </w:r>
    </w:p>
  </w:footnote>
  <w:footnote w:id="70">
    <w:p w14:paraId="36E4FAB8" w14:textId="77777777" w:rsidR="008E50BF" w:rsidRPr="003F0154" w:rsidRDefault="008E50BF" w:rsidP="0020222C">
      <w:pPr>
        <w:pStyle w:val="FootnoteText"/>
      </w:pPr>
      <w:r>
        <w:rPr>
          <w:rStyle w:val="FootnoteReference"/>
        </w:rPr>
        <w:footnoteRef/>
      </w:r>
      <w:r>
        <w:t xml:space="preserve"> </w:t>
      </w:r>
      <w:r w:rsidRPr="008105DB">
        <w:t>This allows for a three month lag between when support was provided and when it had been paid. Utilisation will increase as more payments for this support period are made.</w:t>
      </w:r>
    </w:p>
  </w:footnote>
  <w:footnote w:id="71">
    <w:p w14:paraId="5282E0AD" w14:textId="65DFED44" w:rsidR="008E50BF" w:rsidRPr="009630FF" w:rsidRDefault="008E50BF">
      <w:pPr>
        <w:pStyle w:val="FootnoteText"/>
      </w:pPr>
      <w:r>
        <w:rPr>
          <w:rStyle w:val="FootnoteReference"/>
        </w:rPr>
        <w:footnoteRef/>
      </w:r>
      <w:r>
        <w:t xml:space="preserve"> </w:t>
      </w:r>
      <w:r w:rsidRPr="0020222C">
        <w:t>Participants receiving in-kind supports are excluded from the analysis as it is not possible to accurately separate in-kind payments and plan budgets between plans. Only utilisation of plan budgets between 1 April 2020 to 30 September 2020 is shown, as experience in the most recent quarter is still emerging</w:t>
      </w:r>
      <w:r>
        <w:t>.</w:t>
      </w:r>
    </w:p>
  </w:footnote>
  <w:footnote w:id="72">
    <w:p w14:paraId="7224AD61" w14:textId="16053E2B" w:rsidR="008E50BF" w:rsidRPr="003F0154" w:rsidRDefault="008E50BF" w:rsidP="0020222C">
      <w:pPr>
        <w:pStyle w:val="FootnoteText"/>
      </w:pPr>
      <w:r>
        <w:rPr>
          <w:rStyle w:val="FootnoteReference"/>
        </w:rPr>
        <w:footnoteRef/>
      </w:r>
      <w:r>
        <w:t xml:space="preserve"> Ultimate utilisation rate considers both payments already made and payments for supports already provided but not yet paid. </w:t>
      </w:r>
      <w:r w:rsidRPr="0020222C">
        <w:t>This is to allow for the impact of payment delays when calculating ultimate utilisation for a given support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35172" w14:textId="31A7FDA1" w:rsidR="008E50BF" w:rsidRDefault="008E50BF">
    <w:pPr>
      <w:pStyle w:val="Header"/>
    </w:pPr>
    <w:r>
      <w:rPr>
        <w:noProof/>
        <w:lang w:eastAsia="en-AU"/>
      </w:rPr>
      <mc:AlternateContent>
        <mc:Choice Requires="wps">
          <w:drawing>
            <wp:anchor distT="0" distB="0" distL="114300" distR="114300" simplePos="0" relativeHeight="251665408" behindDoc="1" locked="0" layoutInCell="0" allowOverlap="1" wp14:anchorId="5B35957A" wp14:editId="31B44555">
              <wp:simplePos x="0" y="0"/>
              <wp:positionH relativeFrom="margin">
                <wp:align>center</wp:align>
              </wp:positionH>
              <wp:positionV relativeFrom="margin">
                <wp:align>center</wp:align>
              </wp:positionV>
              <wp:extent cx="5772150" cy="2308860"/>
              <wp:effectExtent l="0" t="1562100" r="0" b="12630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784D84" w14:textId="77777777" w:rsidR="008E50BF" w:rsidRDefault="008E50BF" w:rsidP="0056255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35957A" id="_x0000_t202" coordsize="21600,21600" o:spt="202" path="m,l,21600r21600,l21600,xe">
              <v:stroke joinstyle="miter"/>
              <v:path gradientshapeok="t" o:connecttype="rect"/>
            </v:shapetype>
            <v:shape id="Text Box 3" o:spid="_x0000_s1026" type="#_x0000_t202" style="position:absolute;margin-left:0;margin-top:0;width:454.5pt;height:181.8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" o:allowincell="f" filled="f" stroked="f">
              <v:stroke joinstyle="round"/>
              <o:lock v:ext="edit" shapetype="t"/>
              <v:textbox style="mso-fit-shape-to-text:t">
                <w:txbxContent>
                  <w:p w14:paraId="64784D84" w14:textId="77777777" w:rsidR="008E50BF" w:rsidRDefault="008E50BF" w:rsidP="0056255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6432" behindDoc="1" locked="0" layoutInCell="0" allowOverlap="1" wp14:anchorId="6BD4A9D0" wp14:editId="58838BE5">
              <wp:simplePos x="0" y="0"/>
              <wp:positionH relativeFrom="margin">
                <wp:align>center</wp:align>
              </wp:positionH>
              <wp:positionV relativeFrom="margin">
                <wp:align>center</wp:align>
              </wp:positionV>
              <wp:extent cx="5772150" cy="2308860"/>
              <wp:effectExtent l="0" t="1562100" r="0" b="12630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1659F2" w14:textId="77777777" w:rsidR="008E50BF" w:rsidRDefault="008E50BF" w:rsidP="0056255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D4A9D0" id="Text Box 10" o:spid="_x0000_s1027" type="#_x0000_t202" style="position:absolute;margin-left:0;margin-top:0;width:454.5pt;height:181.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" o:allowincell="f" filled="f" stroked="f">
              <v:stroke joinstyle="round"/>
              <o:lock v:ext="edit" shapetype="t"/>
              <v:textbox style="mso-fit-shape-to-text:t">
                <w:txbxContent>
                  <w:p w14:paraId="761659F2" w14:textId="77777777" w:rsidR="008E50BF" w:rsidRDefault="008E50BF" w:rsidP="0056255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C4D5" w14:textId="2A69A33C" w:rsidR="008E50BF" w:rsidRDefault="008E50BF">
    <w:pPr>
      <w:pStyle w:val="Header"/>
    </w:pPr>
    <w:r>
      <w:rPr>
        <w:noProof/>
        <w:lang w:eastAsia="en-AU"/>
      </w:rPr>
      <mc:AlternateContent>
        <mc:Choice Requires="wps">
          <w:drawing>
            <wp:anchor distT="0" distB="0" distL="114300" distR="114300" simplePos="0" relativeHeight="251667456" behindDoc="1" locked="0" layoutInCell="0" allowOverlap="1" wp14:anchorId="499AA96E" wp14:editId="4D62C79D">
              <wp:simplePos x="0" y="0"/>
              <wp:positionH relativeFrom="margin">
                <wp:align>center</wp:align>
              </wp:positionH>
              <wp:positionV relativeFrom="margin">
                <wp:align>center</wp:align>
              </wp:positionV>
              <wp:extent cx="5772150" cy="2308860"/>
              <wp:effectExtent l="0" t="1562100" r="0" b="12630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35DB4C" w14:textId="77777777" w:rsidR="008E50BF" w:rsidRDefault="008E50BF" w:rsidP="0056255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9AA96E" id="_x0000_t202" coordsize="21600,21600" o:spt="202" path="m,l,21600r21600,l21600,xe">
              <v:stroke joinstyle="miter"/>
              <v:path gradientshapeok="t" o:connecttype="rect"/>
            </v:shapetype>
            <v:shape id="Text Box 8" o:spid="_x0000_s1028" type="#_x0000_t202" style="position:absolute;margin-left:0;margin-top:0;width:454.5pt;height:181.8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" o:allowincell="f" filled="f" stroked="f">
              <v:stroke joinstyle="round"/>
              <o:lock v:ext="edit" shapetype="t"/>
              <v:textbox style="mso-fit-shape-to-text:t">
                <w:txbxContent>
                  <w:p w14:paraId="6B35DB4C" w14:textId="77777777" w:rsidR="008E50BF" w:rsidRDefault="008E50BF" w:rsidP="0056255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8480" behindDoc="1" locked="0" layoutInCell="0" allowOverlap="1" wp14:anchorId="6190A607" wp14:editId="053E4C23">
              <wp:simplePos x="0" y="0"/>
              <wp:positionH relativeFrom="margin">
                <wp:align>center</wp:align>
              </wp:positionH>
              <wp:positionV relativeFrom="margin">
                <wp:align>center</wp:align>
              </wp:positionV>
              <wp:extent cx="5772150" cy="2308860"/>
              <wp:effectExtent l="0" t="1562100" r="0" b="12630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22372" w14:textId="77777777" w:rsidR="008E50BF" w:rsidRDefault="008E50BF" w:rsidP="0056255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90A607" id="Text Box 21" o:spid="_x0000_s1029" type="#_x0000_t202" style="position:absolute;margin-left:0;margin-top:0;width:454.5pt;height:181.8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" o:allowincell="f" filled="f" stroked="f">
              <v:stroke joinstyle="round"/>
              <o:lock v:ext="edit" shapetype="t"/>
              <v:textbox style="mso-fit-shape-to-text:t">
                <w:txbxContent>
                  <w:p w14:paraId="64422372" w14:textId="77777777" w:rsidR="008E50BF" w:rsidRDefault="008E50BF" w:rsidP="0056255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1E09D" w14:textId="6192BEC1" w:rsidR="008E50BF" w:rsidRDefault="008E50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0E3F" w14:textId="55ACDE02" w:rsidR="008E50BF" w:rsidRDefault="008E50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7795F" w14:textId="37C37CAD" w:rsidR="008E50BF" w:rsidRDefault="008E5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A28"/>
    <w:multiLevelType w:val="hybridMultilevel"/>
    <w:tmpl w:val="EF648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04353"/>
    <w:multiLevelType w:val="hybridMultilevel"/>
    <w:tmpl w:val="B6709B3E"/>
    <w:lvl w:ilvl="0" w:tplc="C28E4274">
      <w:start w:val="1"/>
      <w:numFmt w:val="bullet"/>
      <w:lvlText w:val="-"/>
      <w:lvlJc w:val="left"/>
      <w:pPr>
        <w:ind w:left="720" w:hanging="360"/>
      </w:pPr>
      <w:rPr>
        <w:rFonts w:ascii="Arial" w:hAnsi="Arial" w:hint="default"/>
      </w:rPr>
    </w:lvl>
    <w:lvl w:ilvl="1" w:tplc="56DE1598">
      <w:start w:val="1"/>
      <w:numFmt w:val="bullet"/>
      <w:pStyle w:val="FSRsublist"/>
      <w:lvlText w:val="-"/>
      <w:lvlJc w:val="left"/>
      <w:pPr>
        <w:ind w:left="1440" w:hanging="360"/>
      </w:pPr>
      <w:rPr>
        <w:rFonts w:ascii="Courier New" w:hAnsi="Courier New" w:hint="default"/>
      </w:rPr>
    </w:lvl>
    <w:lvl w:ilvl="2" w:tplc="0C09001B">
      <w:start w:val="1"/>
      <w:numFmt w:val="lowerRoman"/>
      <w:lvlText w:val="%3."/>
      <w:lvlJc w:val="right"/>
      <w:pPr>
        <w:ind w:left="2160" w:hanging="180"/>
      </w:pPr>
    </w:lvl>
    <w:lvl w:ilvl="3" w:tplc="7E9A7F8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B8213C"/>
    <w:multiLevelType w:val="hybridMultilevel"/>
    <w:tmpl w:val="F92EEF3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856A0"/>
    <w:multiLevelType w:val="hybridMultilevel"/>
    <w:tmpl w:val="F1362DDA"/>
    <w:lvl w:ilvl="0" w:tplc="0C090011">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DB1007F"/>
    <w:multiLevelType w:val="hybridMultilevel"/>
    <w:tmpl w:val="7B0E6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B14042"/>
    <w:multiLevelType w:val="hybridMultilevel"/>
    <w:tmpl w:val="880243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21010D"/>
    <w:multiLevelType w:val="hybridMultilevel"/>
    <w:tmpl w:val="FAEE0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1748F"/>
    <w:multiLevelType w:val="hybridMultilevel"/>
    <w:tmpl w:val="3754E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BF0379"/>
    <w:multiLevelType w:val="hybridMultilevel"/>
    <w:tmpl w:val="C0AE6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015F49"/>
    <w:multiLevelType w:val="hybridMultilevel"/>
    <w:tmpl w:val="90CA40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4167AE"/>
    <w:multiLevelType w:val="hybridMultilevel"/>
    <w:tmpl w:val="A1EED6A8"/>
    <w:lvl w:ilvl="0" w:tplc="73F03982">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8B5D0F"/>
    <w:multiLevelType w:val="hybridMultilevel"/>
    <w:tmpl w:val="A516D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46F2D"/>
    <w:multiLevelType w:val="hybridMultilevel"/>
    <w:tmpl w:val="425AF7C2"/>
    <w:lvl w:ilvl="0" w:tplc="9F32DC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A90FEA"/>
    <w:multiLevelType w:val="hybridMultilevel"/>
    <w:tmpl w:val="757C734E"/>
    <w:lvl w:ilvl="0" w:tplc="0C09000F">
      <w:start w:val="1"/>
      <w:numFmt w:val="decimal"/>
      <w:lvlText w:val="%1."/>
      <w:lvlJc w:val="left"/>
      <w:pPr>
        <w:ind w:left="720" w:hanging="360"/>
      </w:pPr>
      <w:rPr>
        <w:rFonts w:hint="default"/>
      </w:rPr>
    </w:lvl>
    <w:lvl w:ilvl="1" w:tplc="56DE1598">
      <w:start w:val="1"/>
      <w:numFmt w:val="bullet"/>
      <w:lvlText w:val="-"/>
      <w:lvlJc w:val="left"/>
      <w:pPr>
        <w:ind w:left="1440" w:hanging="360"/>
      </w:pPr>
      <w:rPr>
        <w:rFonts w:ascii="Courier New" w:hAnsi="Courier New" w:hint="default"/>
      </w:rPr>
    </w:lvl>
    <w:lvl w:ilvl="2" w:tplc="0C09001B">
      <w:start w:val="1"/>
      <w:numFmt w:val="lowerRoman"/>
      <w:lvlText w:val="%3."/>
      <w:lvlJc w:val="right"/>
      <w:pPr>
        <w:ind w:left="2160" w:hanging="180"/>
      </w:pPr>
    </w:lvl>
    <w:lvl w:ilvl="3" w:tplc="7E9A7F8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F46F46"/>
    <w:multiLevelType w:val="multilevel"/>
    <w:tmpl w:val="96ACB8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8D089C"/>
    <w:multiLevelType w:val="hybridMultilevel"/>
    <w:tmpl w:val="17E4D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4913C1"/>
    <w:multiLevelType w:val="hybridMultilevel"/>
    <w:tmpl w:val="03BEFAC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595CE4"/>
    <w:multiLevelType w:val="hybridMultilevel"/>
    <w:tmpl w:val="AE1E32E2"/>
    <w:lvl w:ilvl="0" w:tplc="7764A740">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6524F3"/>
    <w:multiLevelType w:val="hybridMultilevel"/>
    <w:tmpl w:val="4B9AA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F0736E"/>
    <w:multiLevelType w:val="hybridMultilevel"/>
    <w:tmpl w:val="25382E1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142179"/>
    <w:multiLevelType w:val="hybridMultilevel"/>
    <w:tmpl w:val="AF6A076C"/>
    <w:lvl w:ilvl="0" w:tplc="920C78AE">
      <w:start w:val="1"/>
      <w:numFmt w:val="bullet"/>
      <w:pStyle w:val="FSRlis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pStyle w:val="FSRHeading2"/>
      <w:lvlText w:val="o"/>
      <w:lvlJc w:val="left"/>
      <w:pPr>
        <w:ind w:left="1440" w:hanging="360"/>
      </w:pPr>
      <w:rPr>
        <w:rFonts w:ascii="Courier New" w:hAnsi="Courier New" w:cs="Courier New" w:hint="default"/>
      </w:rPr>
    </w:lvl>
    <w:lvl w:ilvl="2" w:tplc="0C090005">
      <w:start w:val="1"/>
      <w:numFmt w:val="bullet"/>
      <w:pStyle w:val="FSR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CC64E2"/>
    <w:multiLevelType w:val="hybridMultilevel"/>
    <w:tmpl w:val="0636C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210B2F"/>
    <w:multiLevelType w:val="multilevel"/>
    <w:tmpl w:val="0D888216"/>
    <w:lvl w:ilvl="0">
      <w:start w:val="1"/>
      <w:numFmt w:val="decimal"/>
      <w:pStyle w:val="Heading2"/>
      <w:lvlText w:val="%1."/>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720" w:hanging="720"/>
      </w:pPr>
      <w:rPr>
        <w:rFonts w:hint="default"/>
      </w:rPr>
    </w:lvl>
    <w:lvl w:ilvl="2">
      <w:start w:val="1"/>
      <w:numFmt w:val="decimal"/>
      <w:pStyle w:val="Heading4"/>
      <w:isLgl/>
      <w:lvlText w:val="%1.%2.%3"/>
      <w:lvlJc w:val="left"/>
      <w:pPr>
        <w:ind w:left="36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386B1F51"/>
    <w:multiLevelType w:val="hybridMultilevel"/>
    <w:tmpl w:val="6024C0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C066044"/>
    <w:multiLevelType w:val="hybridMultilevel"/>
    <w:tmpl w:val="DCBCDB98"/>
    <w:lvl w:ilvl="0" w:tplc="D110FA6E">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202446"/>
    <w:multiLevelType w:val="hybridMultilevel"/>
    <w:tmpl w:val="2B5E308A"/>
    <w:lvl w:ilvl="0" w:tplc="68609B76">
      <w:start w:val="1"/>
      <w:numFmt w:val="decimal"/>
      <w:lvlText w:val="%1)"/>
      <w:lvlJc w:val="left"/>
      <w:pPr>
        <w:ind w:left="1080" w:hanging="360"/>
      </w:pPr>
      <w:rPr>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F2A734A"/>
    <w:multiLevelType w:val="hybridMultilevel"/>
    <w:tmpl w:val="6F5EDC3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623D4F"/>
    <w:multiLevelType w:val="hybridMultilevel"/>
    <w:tmpl w:val="E76CD4C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4664AF"/>
    <w:multiLevelType w:val="hybridMultilevel"/>
    <w:tmpl w:val="BE183E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33C26EF"/>
    <w:multiLevelType w:val="hybridMultilevel"/>
    <w:tmpl w:val="73B2099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EB407C"/>
    <w:multiLevelType w:val="hybridMultilevel"/>
    <w:tmpl w:val="22825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0B13E8"/>
    <w:multiLevelType w:val="hybridMultilevel"/>
    <w:tmpl w:val="D47E7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276A1F"/>
    <w:multiLevelType w:val="hybridMultilevel"/>
    <w:tmpl w:val="DB82A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93F3D19"/>
    <w:multiLevelType w:val="hybridMultilevel"/>
    <w:tmpl w:val="9F04C506"/>
    <w:lvl w:ilvl="0" w:tplc="B8A89756">
      <w:start w:val="1"/>
      <w:numFmt w:val="lowerLetter"/>
      <w:pStyle w:val="FSRzlegislation"/>
      <w:lvlText w:val="%1)"/>
      <w:lvlJc w:val="left"/>
      <w:pPr>
        <w:ind w:left="720" w:hanging="360"/>
      </w:pPr>
    </w:lvl>
    <w:lvl w:ilvl="1" w:tplc="FA9A6E08">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A7D5522"/>
    <w:multiLevelType w:val="hybridMultilevel"/>
    <w:tmpl w:val="83027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AA0815"/>
    <w:multiLevelType w:val="hybridMultilevel"/>
    <w:tmpl w:val="8EB4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D7E1B18"/>
    <w:multiLevelType w:val="hybridMultilevel"/>
    <w:tmpl w:val="6DA4855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1917A36"/>
    <w:multiLevelType w:val="hybridMultilevel"/>
    <w:tmpl w:val="7D70B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4465698"/>
    <w:multiLevelType w:val="hybridMultilevel"/>
    <w:tmpl w:val="74C07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611130C"/>
    <w:multiLevelType w:val="hybridMultilevel"/>
    <w:tmpl w:val="BDA86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BE198E"/>
    <w:multiLevelType w:val="hybridMultilevel"/>
    <w:tmpl w:val="26CCE89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CB30218"/>
    <w:multiLevelType w:val="hybridMultilevel"/>
    <w:tmpl w:val="1B5AA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7E9A7F8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07F39E3"/>
    <w:multiLevelType w:val="hybridMultilevel"/>
    <w:tmpl w:val="E9F27866"/>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72A7A22"/>
    <w:multiLevelType w:val="hybridMultilevel"/>
    <w:tmpl w:val="749A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2C4D22"/>
    <w:multiLevelType w:val="hybridMultilevel"/>
    <w:tmpl w:val="BA0AA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AE2872"/>
    <w:multiLevelType w:val="hybridMultilevel"/>
    <w:tmpl w:val="97A8B1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AE517DB"/>
    <w:multiLevelType w:val="hybridMultilevel"/>
    <w:tmpl w:val="E9E482B2"/>
    <w:lvl w:ilvl="0" w:tplc="920C78AE">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7AF216C8">
      <w:start w:val="1"/>
      <w:numFmt w:val="lowerRoman"/>
      <w:lvlText w:val="%4)"/>
      <w:lvlJc w:val="left"/>
      <w:pPr>
        <w:ind w:left="3240" w:hanging="72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4A3539"/>
    <w:multiLevelType w:val="hybridMultilevel"/>
    <w:tmpl w:val="097C1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5526FB"/>
    <w:multiLevelType w:val="hybridMultilevel"/>
    <w:tmpl w:val="727C7814"/>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D8C5DCD"/>
    <w:multiLevelType w:val="hybridMultilevel"/>
    <w:tmpl w:val="4B3456D6"/>
    <w:lvl w:ilvl="0" w:tplc="2354A41C">
      <w:start w:val="36"/>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DB7454D"/>
    <w:multiLevelType w:val="hybridMultilevel"/>
    <w:tmpl w:val="C324BDC2"/>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F1B3B4F"/>
    <w:multiLevelType w:val="hybridMultilevel"/>
    <w:tmpl w:val="8F146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317C4E"/>
    <w:multiLevelType w:val="hybridMultilevel"/>
    <w:tmpl w:val="18BE78B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F416AF7"/>
    <w:multiLevelType w:val="hybridMultilevel"/>
    <w:tmpl w:val="873EB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F914A6D"/>
    <w:multiLevelType w:val="hybridMultilevel"/>
    <w:tmpl w:val="EE42E8C6"/>
    <w:lvl w:ilvl="0" w:tplc="B75E2D9A">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0C17272"/>
    <w:multiLevelType w:val="multilevel"/>
    <w:tmpl w:val="79E254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11C1A97"/>
    <w:multiLevelType w:val="hybridMultilevel"/>
    <w:tmpl w:val="FB9E6EB6"/>
    <w:lvl w:ilvl="0" w:tplc="D91A507E">
      <w:start w:val="1"/>
      <w:numFmt w:val="decimal"/>
      <w:pStyle w:val="FSRNumberedList"/>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1C970BA"/>
    <w:multiLevelType w:val="hybridMultilevel"/>
    <w:tmpl w:val="BB621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2D366E2"/>
    <w:multiLevelType w:val="hybridMultilevel"/>
    <w:tmpl w:val="2734392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5563230"/>
    <w:multiLevelType w:val="hybridMultilevel"/>
    <w:tmpl w:val="22266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59C394D"/>
    <w:multiLevelType w:val="hybridMultilevel"/>
    <w:tmpl w:val="1A30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7CF0502"/>
    <w:multiLevelType w:val="hybridMultilevel"/>
    <w:tmpl w:val="8ECE0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7D04288"/>
    <w:multiLevelType w:val="hybridMultilevel"/>
    <w:tmpl w:val="496C0E1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77DD2081"/>
    <w:multiLevelType w:val="hybridMultilevel"/>
    <w:tmpl w:val="33826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DD52C17"/>
    <w:multiLevelType w:val="hybridMultilevel"/>
    <w:tmpl w:val="8C869692"/>
    <w:lvl w:ilvl="0" w:tplc="69C8AC0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F123A5E"/>
    <w:multiLevelType w:val="hybridMultilevel"/>
    <w:tmpl w:val="A96282AC"/>
    <w:lvl w:ilvl="0" w:tplc="24AADF2E">
      <w:start w:val="1"/>
      <w:numFmt w:val="decimal"/>
      <w:pStyle w:val="ParagraphSectio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21"/>
  </w:num>
  <w:num w:numId="3">
    <w:abstractNumId w:val="1"/>
  </w:num>
  <w:num w:numId="4">
    <w:abstractNumId w:val="20"/>
  </w:num>
  <w:num w:numId="5">
    <w:abstractNumId w:val="34"/>
  </w:num>
  <w:num w:numId="6">
    <w:abstractNumId w:val="57"/>
  </w:num>
  <w:num w:numId="7">
    <w:abstractNumId w:val="25"/>
  </w:num>
  <w:num w:numId="8">
    <w:abstractNumId w:val="45"/>
  </w:num>
  <w:num w:numId="9">
    <w:abstractNumId w:val="60"/>
  </w:num>
  <w:num w:numId="10">
    <w:abstractNumId w:val="11"/>
  </w:num>
  <w:num w:numId="11">
    <w:abstractNumId w:val="54"/>
  </w:num>
  <w:num w:numId="12">
    <w:abstractNumId w:val="64"/>
  </w:num>
  <w:num w:numId="13">
    <w:abstractNumId w:val="6"/>
  </w:num>
  <w:num w:numId="14">
    <w:abstractNumId w:val="52"/>
  </w:num>
  <w:num w:numId="15">
    <w:abstractNumId w:val="7"/>
  </w:num>
  <w:num w:numId="16">
    <w:abstractNumId w:val="4"/>
  </w:num>
  <w:num w:numId="17">
    <w:abstractNumId w:val="23"/>
  </w:num>
  <w:num w:numId="18">
    <w:abstractNumId w:val="49"/>
  </w:num>
  <w:num w:numId="19">
    <w:abstractNumId w:val="48"/>
  </w:num>
  <w:num w:numId="20">
    <w:abstractNumId w:val="37"/>
  </w:num>
  <w:num w:numId="21">
    <w:abstractNumId w:val="33"/>
  </w:num>
  <w:num w:numId="22">
    <w:abstractNumId w:val="17"/>
  </w:num>
  <w:num w:numId="23">
    <w:abstractNumId w:val="55"/>
  </w:num>
  <w:num w:numId="24">
    <w:abstractNumId w:val="30"/>
  </w:num>
  <w:num w:numId="25">
    <w:abstractNumId w:val="57"/>
    <w:lvlOverride w:ilvl="0">
      <w:startOverride w:val="1"/>
    </w:lvlOverride>
  </w:num>
  <w:num w:numId="26">
    <w:abstractNumId w:val="9"/>
  </w:num>
  <w:num w:numId="27">
    <w:abstractNumId w:val="46"/>
  </w:num>
  <w:num w:numId="28">
    <w:abstractNumId w:val="24"/>
  </w:num>
  <w:num w:numId="29">
    <w:abstractNumId w:val="59"/>
  </w:num>
  <w:num w:numId="30">
    <w:abstractNumId w:val="62"/>
  </w:num>
  <w:num w:numId="31">
    <w:abstractNumId w:val="21"/>
  </w:num>
  <w:num w:numId="32">
    <w:abstractNumId w:val="23"/>
  </w:num>
  <w:num w:numId="33">
    <w:abstractNumId w:val="56"/>
  </w:num>
  <w:num w:numId="34">
    <w:abstractNumId w:val="58"/>
  </w:num>
  <w:num w:numId="35">
    <w:abstractNumId w:val="41"/>
  </w:num>
  <w:num w:numId="36">
    <w:abstractNumId w:val="20"/>
  </w:num>
  <w:num w:numId="37">
    <w:abstractNumId w:val="0"/>
  </w:num>
  <w:num w:numId="38">
    <w:abstractNumId w:val="31"/>
  </w:num>
  <w:num w:numId="39">
    <w:abstractNumId w:val="38"/>
  </w:num>
  <w:num w:numId="40">
    <w:abstractNumId w:val="47"/>
  </w:num>
  <w:num w:numId="41">
    <w:abstractNumId w:val="66"/>
  </w:num>
  <w:num w:numId="42">
    <w:abstractNumId w:val="61"/>
  </w:num>
  <w:num w:numId="43">
    <w:abstractNumId w:val="3"/>
  </w:num>
  <w:num w:numId="44">
    <w:abstractNumId w:val="63"/>
  </w:num>
  <w:num w:numId="45">
    <w:abstractNumId w:val="26"/>
  </w:num>
  <w:num w:numId="46">
    <w:abstractNumId w:val="35"/>
  </w:num>
  <w:num w:numId="47">
    <w:abstractNumId w:val="27"/>
  </w:num>
  <w:num w:numId="48">
    <w:abstractNumId w:val="2"/>
  </w:num>
  <w:num w:numId="49">
    <w:abstractNumId w:val="19"/>
  </w:num>
  <w:num w:numId="50">
    <w:abstractNumId w:val="16"/>
  </w:num>
  <w:num w:numId="51">
    <w:abstractNumId w:val="53"/>
  </w:num>
  <w:num w:numId="52">
    <w:abstractNumId w:val="29"/>
  </w:num>
  <w:num w:numId="53">
    <w:abstractNumId w:val="43"/>
  </w:num>
  <w:num w:numId="54">
    <w:abstractNumId w:val="51"/>
  </w:num>
  <w:num w:numId="55">
    <w:abstractNumId w:val="32"/>
  </w:num>
  <w:num w:numId="56">
    <w:abstractNumId w:val="8"/>
  </w:num>
  <w:num w:numId="57">
    <w:abstractNumId w:val="21"/>
  </w:num>
  <w:num w:numId="58">
    <w:abstractNumId w:val="23"/>
  </w:num>
  <w:num w:numId="59">
    <w:abstractNumId w:val="28"/>
  </w:num>
  <w:num w:numId="60">
    <w:abstractNumId w:val="40"/>
  </w:num>
  <w:num w:numId="61">
    <w:abstractNumId w:val="23"/>
  </w:num>
  <w:num w:numId="62">
    <w:abstractNumId w:val="12"/>
  </w:num>
  <w:num w:numId="63">
    <w:abstractNumId w:val="18"/>
  </w:num>
  <w:num w:numId="64">
    <w:abstractNumId w:val="22"/>
  </w:num>
  <w:num w:numId="65">
    <w:abstractNumId w:val="13"/>
  </w:num>
  <w:num w:numId="66">
    <w:abstractNumId w:val="20"/>
  </w:num>
  <w:num w:numId="67">
    <w:abstractNumId w:val="42"/>
  </w:num>
  <w:num w:numId="68">
    <w:abstractNumId w:val="50"/>
  </w:num>
  <w:num w:numId="69">
    <w:abstractNumId w:val="5"/>
  </w:num>
  <w:num w:numId="70">
    <w:abstractNumId w:val="65"/>
  </w:num>
  <w:num w:numId="71">
    <w:abstractNumId w:val="21"/>
  </w:num>
  <w:num w:numId="72">
    <w:abstractNumId w:val="10"/>
  </w:num>
  <w:num w:numId="73">
    <w:abstractNumId w:val="15"/>
  </w:num>
  <w:num w:numId="74">
    <w:abstractNumId w:val="14"/>
  </w:num>
  <w:num w:numId="75">
    <w:abstractNumId w:val="44"/>
  </w:num>
  <w:num w:numId="76">
    <w:abstractNumId w:val="39"/>
  </w:num>
  <w:num w:numId="77">
    <w:abstractNumId w:val="3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22"/>
    <w:rsid w:val="00000A1C"/>
    <w:rsid w:val="00001625"/>
    <w:rsid w:val="000022D5"/>
    <w:rsid w:val="000028F0"/>
    <w:rsid w:val="0000568D"/>
    <w:rsid w:val="00006792"/>
    <w:rsid w:val="00007D12"/>
    <w:rsid w:val="00010605"/>
    <w:rsid w:val="00010F37"/>
    <w:rsid w:val="000116A9"/>
    <w:rsid w:val="00013A4B"/>
    <w:rsid w:val="00013D66"/>
    <w:rsid w:val="000149AE"/>
    <w:rsid w:val="00014A8B"/>
    <w:rsid w:val="00015400"/>
    <w:rsid w:val="00015973"/>
    <w:rsid w:val="00015B85"/>
    <w:rsid w:val="0001625B"/>
    <w:rsid w:val="0001737A"/>
    <w:rsid w:val="000203A1"/>
    <w:rsid w:val="00020594"/>
    <w:rsid w:val="00021598"/>
    <w:rsid w:val="00021706"/>
    <w:rsid w:val="00022CEB"/>
    <w:rsid w:val="00025961"/>
    <w:rsid w:val="00026179"/>
    <w:rsid w:val="000261F4"/>
    <w:rsid w:val="00026A54"/>
    <w:rsid w:val="00030448"/>
    <w:rsid w:val="00030E4E"/>
    <w:rsid w:val="000333E6"/>
    <w:rsid w:val="00034278"/>
    <w:rsid w:val="00034529"/>
    <w:rsid w:val="00036C67"/>
    <w:rsid w:val="00036EC1"/>
    <w:rsid w:val="000371CD"/>
    <w:rsid w:val="00037B97"/>
    <w:rsid w:val="00037E5D"/>
    <w:rsid w:val="00037F7A"/>
    <w:rsid w:val="00040012"/>
    <w:rsid w:val="000400E1"/>
    <w:rsid w:val="00040628"/>
    <w:rsid w:val="000406D9"/>
    <w:rsid w:val="000412BB"/>
    <w:rsid w:val="00041C9E"/>
    <w:rsid w:val="00042BF3"/>
    <w:rsid w:val="000432BF"/>
    <w:rsid w:val="00043810"/>
    <w:rsid w:val="00045042"/>
    <w:rsid w:val="000454EF"/>
    <w:rsid w:val="00051CC5"/>
    <w:rsid w:val="0005304B"/>
    <w:rsid w:val="00053B3D"/>
    <w:rsid w:val="00055FB0"/>
    <w:rsid w:val="00057B88"/>
    <w:rsid w:val="00060651"/>
    <w:rsid w:val="00060D40"/>
    <w:rsid w:val="0006118E"/>
    <w:rsid w:val="00062E10"/>
    <w:rsid w:val="0006316E"/>
    <w:rsid w:val="00063DAF"/>
    <w:rsid w:val="00065B53"/>
    <w:rsid w:val="00066DDD"/>
    <w:rsid w:val="00067358"/>
    <w:rsid w:val="00067F34"/>
    <w:rsid w:val="00072022"/>
    <w:rsid w:val="00072BEB"/>
    <w:rsid w:val="000735DB"/>
    <w:rsid w:val="000740D4"/>
    <w:rsid w:val="000745DB"/>
    <w:rsid w:val="00074BDD"/>
    <w:rsid w:val="00076ABF"/>
    <w:rsid w:val="00076CD8"/>
    <w:rsid w:val="00077850"/>
    <w:rsid w:val="00077A19"/>
    <w:rsid w:val="00077D22"/>
    <w:rsid w:val="000803B9"/>
    <w:rsid w:val="00080735"/>
    <w:rsid w:val="00082A88"/>
    <w:rsid w:val="00083D55"/>
    <w:rsid w:val="00086004"/>
    <w:rsid w:val="00090F13"/>
    <w:rsid w:val="000913DA"/>
    <w:rsid w:val="00091A3A"/>
    <w:rsid w:val="00093B05"/>
    <w:rsid w:val="00095279"/>
    <w:rsid w:val="000957B1"/>
    <w:rsid w:val="00095A36"/>
    <w:rsid w:val="0009697F"/>
    <w:rsid w:val="000A04F8"/>
    <w:rsid w:val="000A1E37"/>
    <w:rsid w:val="000A24E2"/>
    <w:rsid w:val="000A32B6"/>
    <w:rsid w:val="000A3EB4"/>
    <w:rsid w:val="000A3F50"/>
    <w:rsid w:val="000A3FE1"/>
    <w:rsid w:val="000A547C"/>
    <w:rsid w:val="000A56C0"/>
    <w:rsid w:val="000A6092"/>
    <w:rsid w:val="000A61C2"/>
    <w:rsid w:val="000A6AB7"/>
    <w:rsid w:val="000A78D3"/>
    <w:rsid w:val="000A7BB1"/>
    <w:rsid w:val="000A7D19"/>
    <w:rsid w:val="000A7DA1"/>
    <w:rsid w:val="000B03D0"/>
    <w:rsid w:val="000B0D00"/>
    <w:rsid w:val="000B24CB"/>
    <w:rsid w:val="000B2550"/>
    <w:rsid w:val="000B2647"/>
    <w:rsid w:val="000B2768"/>
    <w:rsid w:val="000B2B5D"/>
    <w:rsid w:val="000B3630"/>
    <w:rsid w:val="000B3781"/>
    <w:rsid w:val="000B42B3"/>
    <w:rsid w:val="000B42E7"/>
    <w:rsid w:val="000B5234"/>
    <w:rsid w:val="000B58C7"/>
    <w:rsid w:val="000B6E74"/>
    <w:rsid w:val="000B7778"/>
    <w:rsid w:val="000C0376"/>
    <w:rsid w:val="000C0AEF"/>
    <w:rsid w:val="000C0BC1"/>
    <w:rsid w:val="000C1AB3"/>
    <w:rsid w:val="000C1B43"/>
    <w:rsid w:val="000C1EA5"/>
    <w:rsid w:val="000C1EB1"/>
    <w:rsid w:val="000C2CE3"/>
    <w:rsid w:val="000C2DAF"/>
    <w:rsid w:val="000C309D"/>
    <w:rsid w:val="000C3E3C"/>
    <w:rsid w:val="000C3EBA"/>
    <w:rsid w:val="000C55BC"/>
    <w:rsid w:val="000C5D7E"/>
    <w:rsid w:val="000C7743"/>
    <w:rsid w:val="000D058E"/>
    <w:rsid w:val="000D3A9B"/>
    <w:rsid w:val="000D4080"/>
    <w:rsid w:val="000D49ED"/>
    <w:rsid w:val="000D4C89"/>
    <w:rsid w:val="000D7C14"/>
    <w:rsid w:val="000E0964"/>
    <w:rsid w:val="000E154E"/>
    <w:rsid w:val="000E1B66"/>
    <w:rsid w:val="000E1F25"/>
    <w:rsid w:val="000E2252"/>
    <w:rsid w:val="000E2482"/>
    <w:rsid w:val="000E3660"/>
    <w:rsid w:val="000E6143"/>
    <w:rsid w:val="000E6645"/>
    <w:rsid w:val="000E736E"/>
    <w:rsid w:val="000F1636"/>
    <w:rsid w:val="000F1B4A"/>
    <w:rsid w:val="000F2269"/>
    <w:rsid w:val="000F2A4E"/>
    <w:rsid w:val="000F6556"/>
    <w:rsid w:val="000F74B9"/>
    <w:rsid w:val="000F7643"/>
    <w:rsid w:val="0010376F"/>
    <w:rsid w:val="00103D0E"/>
    <w:rsid w:val="00103E7A"/>
    <w:rsid w:val="00104AF3"/>
    <w:rsid w:val="00106A8F"/>
    <w:rsid w:val="0011059D"/>
    <w:rsid w:val="00111E4D"/>
    <w:rsid w:val="001131B7"/>
    <w:rsid w:val="00113845"/>
    <w:rsid w:val="00113EB9"/>
    <w:rsid w:val="001163DA"/>
    <w:rsid w:val="0011655C"/>
    <w:rsid w:val="001165EE"/>
    <w:rsid w:val="001170BB"/>
    <w:rsid w:val="00117A27"/>
    <w:rsid w:val="00122909"/>
    <w:rsid w:val="00123D0B"/>
    <w:rsid w:val="001241DB"/>
    <w:rsid w:val="00124F80"/>
    <w:rsid w:val="00126962"/>
    <w:rsid w:val="00130D4D"/>
    <w:rsid w:val="00131BB6"/>
    <w:rsid w:val="00131DF8"/>
    <w:rsid w:val="00131F3A"/>
    <w:rsid w:val="00134CEA"/>
    <w:rsid w:val="00135F0A"/>
    <w:rsid w:val="001367D6"/>
    <w:rsid w:val="00137573"/>
    <w:rsid w:val="0013773A"/>
    <w:rsid w:val="00141D6B"/>
    <w:rsid w:val="0014246F"/>
    <w:rsid w:val="00143A40"/>
    <w:rsid w:val="00144D9C"/>
    <w:rsid w:val="00145410"/>
    <w:rsid w:val="00147FAC"/>
    <w:rsid w:val="0015015D"/>
    <w:rsid w:val="001524C4"/>
    <w:rsid w:val="00152DA3"/>
    <w:rsid w:val="00153C52"/>
    <w:rsid w:val="00153DAF"/>
    <w:rsid w:val="00154447"/>
    <w:rsid w:val="001548FE"/>
    <w:rsid w:val="0015558B"/>
    <w:rsid w:val="00156178"/>
    <w:rsid w:val="00166AA4"/>
    <w:rsid w:val="00167575"/>
    <w:rsid w:val="0017020C"/>
    <w:rsid w:val="00170890"/>
    <w:rsid w:val="00170ACA"/>
    <w:rsid w:val="0017301F"/>
    <w:rsid w:val="0017411B"/>
    <w:rsid w:val="00174854"/>
    <w:rsid w:val="001748EC"/>
    <w:rsid w:val="00174D77"/>
    <w:rsid w:val="00176D1B"/>
    <w:rsid w:val="001807E3"/>
    <w:rsid w:val="00181AA4"/>
    <w:rsid w:val="00181ABA"/>
    <w:rsid w:val="00181C0B"/>
    <w:rsid w:val="00182778"/>
    <w:rsid w:val="00182B4C"/>
    <w:rsid w:val="00183473"/>
    <w:rsid w:val="001848EA"/>
    <w:rsid w:val="00185AAE"/>
    <w:rsid w:val="00186009"/>
    <w:rsid w:val="00186E22"/>
    <w:rsid w:val="00187295"/>
    <w:rsid w:val="00190EA6"/>
    <w:rsid w:val="0019526B"/>
    <w:rsid w:val="00195278"/>
    <w:rsid w:val="00195747"/>
    <w:rsid w:val="00195FE1"/>
    <w:rsid w:val="0019643C"/>
    <w:rsid w:val="001972F2"/>
    <w:rsid w:val="00197D90"/>
    <w:rsid w:val="001A0136"/>
    <w:rsid w:val="001A19AB"/>
    <w:rsid w:val="001A25E4"/>
    <w:rsid w:val="001A2EF4"/>
    <w:rsid w:val="001A33B6"/>
    <w:rsid w:val="001A4A3C"/>
    <w:rsid w:val="001A5B0C"/>
    <w:rsid w:val="001A6F9A"/>
    <w:rsid w:val="001A7165"/>
    <w:rsid w:val="001B0E25"/>
    <w:rsid w:val="001B202D"/>
    <w:rsid w:val="001B2F3C"/>
    <w:rsid w:val="001B365F"/>
    <w:rsid w:val="001B36C9"/>
    <w:rsid w:val="001B3D82"/>
    <w:rsid w:val="001B4564"/>
    <w:rsid w:val="001B6081"/>
    <w:rsid w:val="001C08D8"/>
    <w:rsid w:val="001C1875"/>
    <w:rsid w:val="001C2BE8"/>
    <w:rsid w:val="001C3350"/>
    <w:rsid w:val="001C34AA"/>
    <w:rsid w:val="001C46C2"/>
    <w:rsid w:val="001C49BC"/>
    <w:rsid w:val="001C4D1B"/>
    <w:rsid w:val="001C74AF"/>
    <w:rsid w:val="001D127F"/>
    <w:rsid w:val="001D18F4"/>
    <w:rsid w:val="001D1D81"/>
    <w:rsid w:val="001D2C43"/>
    <w:rsid w:val="001D4E2A"/>
    <w:rsid w:val="001D5403"/>
    <w:rsid w:val="001D5A60"/>
    <w:rsid w:val="001D6017"/>
    <w:rsid w:val="001D6893"/>
    <w:rsid w:val="001D734E"/>
    <w:rsid w:val="001D7969"/>
    <w:rsid w:val="001D7981"/>
    <w:rsid w:val="001E1890"/>
    <w:rsid w:val="001E1A7E"/>
    <w:rsid w:val="001E1FE2"/>
    <w:rsid w:val="001E3313"/>
    <w:rsid w:val="001E3389"/>
    <w:rsid w:val="001E33CA"/>
    <w:rsid w:val="001E4B3E"/>
    <w:rsid w:val="001E50AA"/>
    <w:rsid w:val="001E54DA"/>
    <w:rsid w:val="001E58C3"/>
    <w:rsid w:val="001E5DF7"/>
    <w:rsid w:val="001E5E61"/>
    <w:rsid w:val="001E7407"/>
    <w:rsid w:val="001E7E7E"/>
    <w:rsid w:val="001F1C6E"/>
    <w:rsid w:val="001F34AA"/>
    <w:rsid w:val="001F45D1"/>
    <w:rsid w:val="001F4FAE"/>
    <w:rsid w:val="001F5B2A"/>
    <w:rsid w:val="001F63D4"/>
    <w:rsid w:val="001F6C0C"/>
    <w:rsid w:val="0020000B"/>
    <w:rsid w:val="00200584"/>
    <w:rsid w:val="002009FD"/>
    <w:rsid w:val="00201D54"/>
    <w:rsid w:val="0020222C"/>
    <w:rsid w:val="002030DC"/>
    <w:rsid w:val="0020327A"/>
    <w:rsid w:val="00204484"/>
    <w:rsid w:val="002051A0"/>
    <w:rsid w:val="00205FD9"/>
    <w:rsid w:val="00206348"/>
    <w:rsid w:val="0020705E"/>
    <w:rsid w:val="00207F06"/>
    <w:rsid w:val="002108FB"/>
    <w:rsid w:val="00210A61"/>
    <w:rsid w:val="00210F91"/>
    <w:rsid w:val="002122C1"/>
    <w:rsid w:val="002125DD"/>
    <w:rsid w:val="002127C1"/>
    <w:rsid w:val="00213C32"/>
    <w:rsid w:val="00213D85"/>
    <w:rsid w:val="00215823"/>
    <w:rsid w:val="00215829"/>
    <w:rsid w:val="00215ED3"/>
    <w:rsid w:val="00216EF2"/>
    <w:rsid w:val="0021743E"/>
    <w:rsid w:val="00220F77"/>
    <w:rsid w:val="002212A7"/>
    <w:rsid w:val="002229EC"/>
    <w:rsid w:val="00222DAE"/>
    <w:rsid w:val="00222E1B"/>
    <w:rsid w:val="002236EA"/>
    <w:rsid w:val="00224EAF"/>
    <w:rsid w:val="0022593A"/>
    <w:rsid w:val="00226449"/>
    <w:rsid w:val="002269A4"/>
    <w:rsid w:val="00226D8F"/>
    <w:rsid w:val="00227C0A"/>
    <w:rsid w:val="00227F8B"/>
    <w:rsid w:val="00230B99"/>
    <w:rsid w:val="00232683"/>
    <w:rsid w:val="00232B43"/>
    <w:rsid w:val="00232DA7"/>
    <w:rsid w:val="00234508"/>
    <w:rsid w:val="00235095"/>
    <w:rsid w:val="0023519B"/>
    <w:rsid w:val="00235A8D"/>
    <w:rsid w:val="002372BD"/>
    <w:rsid w:val="00237D73"/>
    <w:rsid w:val="0024088E"/>
    <w:rsid w:val="002423FB"/>
    <w:rsid w:val="002430C2"/>
    <w:rsid w:val="002433F6"/>
    <w:rsid w:val="00243F4D"/>
    <w:rsid w:val="00244198"/>
    <w:rsid w:val="002449D1"/>
    <w:rsid w:val="00245E8E"/>
    <w:rsid w:val="00250433"/>
    <w:rsid w:val="00250B29"/>
    <w:rsid w:val="00253DE4"/>
    <w:rsid w:val="0025446C"/>
    <w:rsid w:val="00254F05"/>
    <w:rsid w:val="0025518C"/>
    <w:rsid w:val="00255A82"/>
    <w:rsid w:val="00256426"/>
    <w:rsid w:val="0025681E"/>
    <w:rsid w:val="0026004F"/>
    <w:rsid w:val="002607BE"/>
    <w:rsid w:val="00261568"/>
    <w:rsid w:val="002654A1"/>
    <w:rsid w:val="00267555"/>
    <w:rsid w:val="00267C95"/>
    <w:rsid w:val="00270715"/>
    <w:rsid w:val="00271C33"/>
    <w:rsid w:val="00273A23"/>
    <w:rsid w:val="00274137"/>
    <w:rsid w:val="00274366"/>
    <w:rsid w:val="002753CA"/>
    <w:rsid w:val="002760D9"/>
    <w:rsid w:val="00276507"/>
    <w:rsid w:val="00276F89"/>
    <w:rsid w:val="0027702C"/>
    <w:rsid w:val="00277B1B"/>
    <w:rsid w:val="002814C0"/>
    <w:rsid w:val="00281986"/>
    <w:rsid w:val="00281A3A"/>
    <w:rsid w:val="00282101"/>
    <w:rsid w:val="00283247"/>
    <w:rsid w:val="002837EC"/>
    <w:rsid w:val="00284391"/>
    <w:rsid w:val="00284B29"/>
    <w:rsid w:val="00286D15"/>
    <w:rsid w:val="00287446"/>
    <w:rsid w:val="00287DDC"/>
    <w:rsid w:val="002909C0"/>
    <w:rsid w:val="00292CE6"/>
    <w:rsid w:val="002943E2"/>
    <w:rsid w:val="0029551F"/>
    <w:rsid w:val="00295826"/>
    <w:rsid w:val="00296DDF"/>
    <w:rsid w:val="00296E67"/>
    <w:rsid w:val="0029700D"/>
    <w:rsid w:val="002A1072"/>
    <w:rsid w:val="002A3231"/>
    <w:rsid w:val="002A32BB"/>
    <w:rsid w:val="002A392D"/>
    <w:rsid w:val="002A3982"/>
    <w:rsid w:val="002A4D37"/>
    <w:rsid w:val="002A570A"/>
    <w:rsid w:val="002A5B15"/>
    <w:rsid w:val="002A5BC6"/>
    <w:rsid w:val="002A60E9"/>
    <w:rsid w:val="002A74DE"/>
    <w:rsid w:val="002A7F3C"/>
    <w:rsid w:val="002B03A9"/>
    <w:rsid w:val="002B059E"/>
    <w:rsid w:val="002B0EA5"/>
    <w:rsid w:val="002B2081"/>
    <w:rsid w:val="002B3D17"/>
    <w:rsid w:val="002B4F29"/>
    <w:rsid w:val="002B5935"/>
    <w:rsid w:val="002B5F05"/>
    <w:rsid w:val="002B756B"/>
    <w:rsid w:val="002C0082"/>
    <w:rsid w:val="002C2168"/>
    <w:rsid w:val="002C276D"/>
    <w:rsid w:val="002C6D86"/>
    <w:rsid w:val="002D00F3"/>
    <w:rsid w:val="002D357F"/>
    <w:rsid w:val="002D384C"/>
    <w:rsid w:val="002D4009"/>
    <w:rsid w:val="002D4829"/>
    <w:rsid w:val="002D57A7"/>
    <w:rsid w:val="002D6212"/>
    <w:rsid w:val="002D6CF5"/>
    <w:rsid w:val="002D77AC"/>
    <w:rsid w:val="002D7F56"/>
    <w:rsid w:val="002E0AAF"/>
    <w:rsid w:val="002E1DE4"/>
    <w:rsid w:val="002E29B3"/>
    <w:rsid w:val="002E33E5"/>
    <w:rsid w:val="002E4C31"/>
    <w:rsid w:val="002E5092"/>
    <w:rsid w:val="002E5FA2"/>
    <w:rsid w:val="002E642C"/>
    <w:rsid w:val="002E6EA5"/>
    <w:rsid w:val="002E77D5"/>
    <w:rsid w:val="002F0AB2"/>
    <w:rsid w:val="002F2C51"/>
    <w:rsid w:val="002F3038"/>
    <w:rsid w:val="002F3C46"/>
    <w:rsid w:val="002F4552"/>
    <w:rsid w:val="002F4C85"/>
    <w:rsid w:val="002F512A"/>
    <w:rsid w:val="002F58B7"/>
    <w:rsid w:val="002F6850"/>
    <w:rsid w:val="002F69C6"/>
    <w:rsid w:val="002F706C"/>
    <w:rsid w:val="00300AB2"/>
    <w:rsid w:val="00301831"/>
    <w:rsid w:val="00301CBA"/>
    <w:rsid w:val="00302B48"/>
    <w:rsid w:val="00305060"/>
    <w:rsid w:val="0031019F"/>
    <w:rsid w:val="003107BE"/>
    <w:rsid w:val="003135C7"/>
    <w:rsid w:val="00313D3D"/>
    <w:rsid w:val="00313FBC"/>
    <w:rsid w:val="003147BC"/>
    <w:rsid w:val="003150ED"/>
    <w:rsid w:val="00316212"/>
    <w:rsid w:val="003164B2"/>
    <w:rsid w:val="00316A04"/>
    <w:rsid w:val="00316D7C"/>
    <w:rsid w:val="003176DB"/>
    <w:rsid w:val="003177DB"/>
    <w:rsid w:val="003179B3"/>
    <w:rsid w:val="00317E9B"/>
    <w:rsid w:val="00321034"/>
    <w:rsid w:val="003212A5"/>
    <w:rsid w:val="00321681"/>
    <w:rsid w:val="00321AFB"/>
    <w:rsid w:val="00321FAA"/>
    <w:rsid w:val="003232F1"/>
    <w:rsid w:val="00323D17"/>
    <w:rsid w:val="00323EAB"/>
    <w:rsid w:val="00324195"/>
    <w:rsid w:val="00325011"/>
    <w:rsid w:val="00325424"/>
    <w:rsid w:val="003257F0"/>
    <w:rsid w:val="00325CCD"/>
    <w:rsid w:val="0032650E"/>
    <w:rsid w:val="00326582"/>
    <w:rsid w:val="00327FBE"/>
    <w:rsid w:val="00330075"/>
    <w:rsid w:val="0033225C"/>
    <w:rsid w:val="003330A7"/>
    <w:rsid w:val="00333268"/>
    <w:rsid w:val="00333B87"/>
    <w:rsid w:val="0033457F"/>
    <w:rsid w:val="003349A1"/>
    <w:rsid w:val="003352FB"/>
    <w:rsid w:val="00340A20"/>
    <w:rsid w:val="0034112F"/>
    <w:rsid w:val="00341361"/>
    <w:rsid w:val="0034261E"/>
    <w:rsid w:val="00342C9C"/>
    <w:rsid w:val="00343E47"/>
    <w:rsid w:val="0034433D"/>
    <w:rsid w:val="003454BA"/>
    <w:rsid w:val="00345AFA"/>
    <w:rsid w:val="003460C5"/>
    <w:rsid w:val="003477A5"/>
    <w:rsid w:val="003479BD"/>
    <w:rsid w:val="00347A6E"/>
    <w:rsid w:val="00347D26"/>
    <w:rsid w:val="00351D79"/>
    <w:rsid w:val="00352F3A"/>
    <w:rsid w:val="00354523"/>
    <w:rsid w:val="003549B9"/>
    <w:rsid w:val="00354AFA"/>
    <w:rsid w:val="0035689E"/>
    <w:rsid w:val="00356F12"/>
    <w:rsid w:val="00357223"/>
    <w:rsid w:val="003578D1"/>
    <w:rsid w:val="00357A91"/>
    <w:rsid w:val="00357C08"/>
    <w:rsid w:val="003605F9"/>
    <w:rsid w:val="003607B9"/>
    <w:rsid w:val="003617FD"/>
    <w:rsid w:val="0036211A"/>
    <w:rsid w:val="00362337"/>
    <w:rsid w:val="00365E36"/>
    <w:rsid w:val="00366451"/>
    <w:rsid w:val="003664EF"/>
    <w:rsid w:val="0036760F"/>
    <w:rsid w:val="0036766A"/>
    <w:rsid w:val="00367B33"/>
    <w:rsid w:val="00367D0D"/>
    <w:rsid w:val="00367F5D"/>
    <w:rsid w:val="00370415"/>
    <w:rsid w:val="00370754"/>
    <w:rsid w:val="003726AA"/>
    <w:rsid w:val="00372C15"/>
    <w:rsid w:val="00374B78"/>
    <w:rsid w:val="00375364"/>
    <w:rsid w:val="003755CA"/>
    <w:rsid w:val="0037563A"/>
    <w:rsid w:val="003777C9"/>
    <w:rsid w:val="00377A92"/>
    <w:rsid w:val="00377BC4"/>
    <w:rsid w:val="00383587"/>
    <w:rsid w:val="003853DF"/>
    <w:rsid w:val="00385821"/>
    <w:rsid w:val="003870D7"/>
    <w:rsid w:val="0039004F"/>
    <w:rsid w:val="00394838"/>
    <w:rsid w:val="00394864"/>
    <w:rsid w:val="00395837"/>
    <w:rsid w:val="00395DFA"/>
    <w:rsid w:val="00396F55"/>
    <w:rsid w:val="003A0009"/>
    <w:rsid w:val="003A1517"/>
    <w:rsid w:val="003A32F2"/>
    <w:rsid w:val="003A40C5"/>
    <w:rsid w:val="003A46EC"/>
    <w:rsid w:val="003A51B6"/>
    <w:rsid w:val="003A5415"/>
    <w:rsid w:val="003A5918"/>
    <w:rsid w:val="003A6A84"/>
    <w:rsid w:val="003A7B0B"/>
    <w:rsid w:val="003A7B55"/>
    <w:rsid w:val="003B0439"/>
    <w:rsid w:val="003B0469"/>
    <w:rsid w:val="003B089D"/>
    <w:rsid w:val="003B155E"/>
    <w:rsid w:val="003B1727"/>
    <w:rsid w:val="003B2009"/>
    <w:rsid w:val="003B24CD"/>
    <w:rsid w:val="003B2A44"/>
    <w:rsid w:val="003B3E51"/>
    <w:rsid w:val="003B451A"/>
    <w:rsid w:val="003B4E92"/>
    <w:rsid w:val="003B52D7"/>
    <w:rsid w:val="003B6084"/>
    <w:rsid w:val="003B6332"/>
    <w:rsid w:val="003B7E7D"/>
    <w:rsid w:val="003C12C4"/>
    <w:rsid w:val="003C1776"/>
    <w:rsid w:val="003C21D1"/>
    <w:rsid w:val="003C2B2C"/>
    <w:rsid w:val="003C2F66"/>
    <w:rsid w:val="003C3578"/>
    <w:rsid w:val="003C3C23"/>
    <w:rsid w:val="003C4470"/>
    <w:rsid w:val="003C44D2"/>
    <w:rsid w:val="003C48C0"/>
    <w:rsid w:val="003C4F93"/>
    <w:rsid w:val="003C52B6"/>
    <w:rsid w:val="003C5AF4"/>
    <w:rsid w:val="003C7FB1"/>
    <w:rsid w:val="003D1F6C"/>
    <w:rsid w:val="003D35C7"/>
    <w:rsid w:val="003D4797"/>
    <w:rsid w:val="003D47F8"/>
    <w:rsid w:val="003D495A"/>
    <w:rsid w:val="003D76C2"/>
    <w:rsid w:val="003D7AF0"/>
    <w:rsid w:val="003E0DD4"/>
    <w:rsid w:val="003E1593"/>
    <w:rsid w:val="003E23FE"/>
    <w:rsid w:val="003E34E8"/>
    <w:rsid w:val="003E4A87"/>
    <w:rsid w:val="003E5306"/>
    <w:rsid w:val="003E6CFE"/>
    <w:rsid w:val="003F0121"/>
    <w:rsid w:val="003F020F"/>
    <w:rsid w:val="003F1CE4"/>
    <w:rsid w:val="003F1D58"/>
    <w:rsid w:val="003F1DEC"/>
    <w:rsid w:val="003F222D"/>
    <w:rsid w:val="003F2641"/>
    <w:rsid w:val="003F3003"/>
    <w:rsid w:val="003F4F99"/>
    <w:rsid w:val="003F52E8"/>
    <w:rsid w:val="003F5805"/>
    <w:rsid w:val="003F698C"/>
    <w:rsid w:val="003F7B66"/>
    <w:rsid w:val="00400A10"/>
    <w:rsid w:val="00400B44"/>
    <w:rsid w:val="00400FB9"/>
    <w:rsid w:val="00402BC2"/>
    <w:rsid w:val="00403377"/>
    <w:rsid w:val="0040360F"/>
    <w:rsid w:val="00405177"/>
    <w:rsid w:val="00405376"/>
    <w:rsid w:val="004055EF"/>
    <w:rsid w:val="004057D3"/>
    <w:rsid w:val="004060E5"/>
    <w:rsid w:val="00406747"/>
    <w:rsid w:val="004067D5"/>
    <w:rsid w:val="004075AF"/>
    <w:rsid w:val="0040768F"/>
    <w:rsid w:val="00407BB0"/>
    <w:rsid w:val="00407E1D"/>
    <w:rsid w:val="00410309"/>
    <w:rsid w:val="004107B6"/>
    <w:rsid w:val="004117B3"/>
    <w:rsid w:val="004138F6"/>
    <w:rsid w:val="00414757"/>
    <w:rsid w:val="00414B06"/>
    <w:rsid w:val="00415C64"/>
    <w:rsid w:val="00415E07"/>
    <w:rsid w:val="00415F03"/>
    <w:rsid w:val="00421274"/>
    <w:rsid w:val="0042264F"/>
    <w:rsid w:val="0042284A"/>
    <w:rsid w:val="004238FD"/>
    <w:rsid w:val="00423C62"/>
    <w:rsid w:val="004243E8"/>
    <w:rsid w:val="004248FF"/>
    <w:rsid w:val="00424BB0"/>
    <w:rsid w:val="004253A0"/>
    <w:rsid w:val="0042566B"/>
    <w:rsid w:val="00432164"/>
    <w:rsid w:val="00433A77"/>
    <w:rsid w:val="00433AD7"/>
    <w:rsid w:val="00434AD0"/>
    <w:rsid w:val="00435FEB"/>
    <w:rsid w:val="00436007"/>
    <w:rsid w:val="00436921"/>
    <w:rsid w:val="00437CB7"/>
    <w:rsid w:val="0044051D"/>
    <w:rsid w:val="0044088D"/>
    <w:rsid w:val="00440B16"/>
    <w:rsid w:val="00440B51"/>
    <w:rsid w:val="00441148"/>
    <w:rsid w:val="00441F61"/>
    <w:rsid w:val="004422B4"/>
    <w:rsid w:val="0044526D"/>
    <w:rsid w:val="004455F7"/>
    <w:rsid w:val="0044570F"/>
    <w:rsid w:val="00446459"/>
    <w:rsid w:val="004466C6"/>
    <w:rsid w:val="00446804"/>
    <w:rsid w:val="004471A7"/>
    <w:rsid w:val="00447292"/>
    <w:rsid w:val="00447E0A"/>
    <w:rsid w:val="00451082"/>
    <w:rsid w:val="004512A8"/>
    <w:rsid w:val="00452C0E"/>
    <w:rsid w:val="0045357E"/>
    <w:rsid w:val="00455571"/>
    <w:rsid w:val="004555AD"/>
    <w:rsid w:val="00455996"/>
    <w:rsid w:val="00456EC9"/>
    <w:rsid w:val="004579D6"/>
    <w:rsid w:val="004627FF"/>
    <w:rsid w:val="00464CEB"/>
    <w:rsid w:val="00465036"/>
    <w:rsid w:val="00465B9D"/>
    <w:rsid w:val="00467BA1"/>
    <w:rsid w:val="004707CF"/>
    <w:rsid w:val="00471429"/>
    <w:rsid w:val="004715D6"/>
    <w:rsid w:val="00471740"/>
    <w:rsid w:val="00475140"/>
    <w:rsid w:val="00476133"/>
    <w:rsid w:val="004774C3"/>
    <w:rsid w:val="00477C4D"/>
    <w:rsid w:val="00481243"/>
    <w:rsid w:val="00481CFA"/>
    <w:rsid w:val="004840EB"/>
    <w:rsid w:val="0048466F"/>
    <w:rsid w:val="00485C45"/>
    <w:rsid w:val="00486D72"/>
    <w:rsid w:val="00487473"/>
    <w:rsid w:val="00491674"/>
    <w:rsid w:val="00491887"/>
    <w:rsid w:val="00492172"/>
    <w:rsid w:val="004938F6"/>
    <w:rsid w:val="00493E4D"/>
    <w:rsid w:val="0049439A"/>
    <w:rsid w:val="00495484"/>
    <w:rsid w:val="00497663"/>
    <w:rsid w:val="004A18C0"/>
    <w:rsid w:val="004A286C"/>
    <w:rsid w:val="004A4091"/>
    <w:rsid w:val="004A5341"/>
    <w:rsid w:val="004A778B"/>
    <w:rsid w:val="004B0A21"/>
    <w:rsid w:val="004B0E45"/>
    <w:rsid w:val="004B0EC6"/>
    <w:rsid w:val="004B2F5E"/>
    <w:rsid w:val="004B4830"/>
    <w:rsid w:val="004B4D51"/>
    <w:rsid w:val="004B551E"/>
    <w:rsid w:val="004B6491"/>
    <w:rsid w:val="004B6A0C"/>
    <w:rsid w:val="004B7BFF"/>
    <w:rsid w:val="004C02EA"/>
    <w:rsid w:val="004C0597"/>
    <w:rsid w:val="004C0812"/>
    <w:rsid w:val="004C1321"/>
    <w:rsid w:val="004C1E0F"/>
    <w:rsid w:val="004C319C"/>
    <w:rsid w:val="004C3E20"/>
    <w:rsid w:val="004C3E65"/>
    <w:rsid w:val="004C43E9"/>
    <w:rsid w:val="004C4A03"/>
    <w:rsid w:val="004C6327"/>
    <w:rsid w:val="004C736B"/>
    <w:rsid w:val="004C7A18"/>
    <w:rsid w:val="004D061D"/>
    <w:rsid w:val="004D09C4"/>
    <w:rsid w:val="004D14A7"/>
    <w:rsid w:val="004D14D5"/>
    <w:rsid w:val="004D1DA3"/>
    <w:rsid w:val="004D3B49"/>
    <w:rsid w:val="004D5319"/>
    <w:rsid w:val="004E129E"/>
    <w:rsid w:val="004E2076"/>
    <w:rsid w:val="004E22FE"/>
    <w:rsid w:val="004E231F"/>
    <w:rsid w:val="004E3017"/>
    <w:rsid w:val="004E3E3D"/>
    <w:rsid w:val="004E5837"/>
    <w:rsid w:val="004E66D7"/>
    <w:rsid w:val="004E67C9"/>
    <w:rsid w:val="004E76F3"/>
    <w:rsid w:val="004E76F7"/>
    <w:rsid w:val="004E7810"/>
    <w:rsid w:val="004F28CB"/>
    <w:rsid w:val="004F31FA"/>
    <w:rsid w:val="004F3250"/>
    <w:rsid w:val="004F32C0"/>
    <w:rsid w:val="004F4111"/>
    <w:rsid w:val="004F452A"/>
    <w:rsid w:val="004F4581"/>
    <w:rsid w:val="004F46A4"/>
    <w:rsid w:val="004F46E9"/>
    <w:rsid w:val="004F548E"/>
    <w:rsid w:val="004F601A"/>
    <w:rsid w:val="004F772F"/>
    <w:rsid w:val="00502091"/>
    <w:rsid w:val="00504870"/>
    <w:rsid w:val="00504EE0"/>
    <w:rsid w:val="00505765"/>
    <w:rsid w:val="005106BD"/>
    <w:rsid w:val="0051200F"/>
    <w:rsid w:val="00512C03"/>
    <w:rsid w:val="00512FF0"/>
    <w:rsid w:val="005143F1"/>
    <w:rsid w:val="005147B0"/>
    <w:rsid w:val="00514827"/>
    <w:rsid w:val="00514F7E"/>
    <w:rsid w:val="005165BA"/>
    <w:rsid w:val="0051713D"/>
    <w:rsid w:val="0051740C"/>
    <w:rsid w:val="00517AF7"/>
    <w:rsid w:val="0052081D"/>
    <w:rsid w:val="00521A3E"/>
    <w:rsid w:val="00521F6C"/>
    <w:rsid w:val="00521F96"/>
    <w:rsid w:val="00523362"/>
    <w:rsid w:val="00523F4A"/>
    <w:rsid w:val="00524624"/>
    <w:rsid w:val="00525333"/>
    <w:rsid w:val="00526F44"/>
    <w:rsid w:val="00527D1F"/>
    <w:rsid w:val="00527EA0"/>
    <w:rsid w:val="005324AE"/>
    <w:rsid w:val="00532923"/>
    <w:rsid w:val="00533568"/>
    <w:rsid w:val="0053370B"/>
    <w:rsid w:val="00533863"/>
    <w:rsid w:val="00535A69"/>
    <w:rsid w:val="005362C8"/>
    <w:rsid w:val="005363CF"/>
    <w:rsid w:val="00536C4D"/>
    <w:rsid w:val="00540266"/>
    <w:rsid w:val="00542176"/>
    <w:rsid w:val="00544A95"/>
    <w:rsid w:val="00544AFF"/>
    <w:rsid w:val="00545D09"/>
    <w:rsid w:val="00546104"/>
    <w:rsid w:val="005469AC"/>
    <w:rsid w:val="00546C8D"/>
    <w:rsid w:val="005504F5"/>
    <w:rsid w:val="0055135F"/>
    <w:rsid w:val="005525A0"/>
    <w:rsid w:val="0055291D"/>
    <w:rsid w:val="00553052"/>
    <w:rsid w:val="0055385F"/>
    <w:rsid w:val="00554859"/>
    <w:rsid w:val="00554C96"/>
    <w:rsid w:val="00555596"/>
    <w:rsid w:val="00556A14"/>
    <w:rsid w:val="00560FC7"/>
    <w:rsid w:val="00562550"/>
    <w:rsid w:val="0056256C"/>
    <w:rsid w:val="0056309E"/>
    <w:rsid w:val="00563B38"/>
    <w:rsid w:val="00564056"/>
    <w:rsid w:val="005647E6"/>
    <w:rsid w:val="00564E72"/>
    <w:rsid w:val="005651FF"/>
    <w:rsid w:val="00570128"/>
    <w:rsid w:val="005713DE"/>
    <w:rsid w:val="00572D1D"/>
    <w:rsid w:val="00573147"/>
    <w:rsid w:val="00574028"/>
    <w:rsid w:val="00574791"/>
    <w:rsid w:val="00574A50"/>
    <w:rsid w:val="00574EAB"/>
    <w:rsid w:val="00575B5E"/>
    <w:rsid w:val="0057799F"/>
    <w:rsid w:val="005815D0"/>
    <w:rsid w:val="0058214E"/>
    <w:rsid w:val="00582B48"/>
    <w:rsid w:val="00584559"/>
    <w:rsid w:val="00584C46"/>
    <w:rsid w:val="00585859"/>
    <w:rsid w:val="005867BA"/>
    <w:rsid w:val="0059030D"/>
    <w:rsid w:val="00590547"/>
    <w:rsid w:val="005915A7"/>
    <w:rsid w:val="005919B8"/>
    <w:rsid w:val="005921B9"/>
    <w:rsid w:val="00593CEF"/>
    <w:rsid w:val="00593E05"/>
    <w:rsid w:val="00593EF1"/>
    <w:rsid w:val="0059487F"/>
    <w:rsid w:val="00594EEA"/>
    <w:rsid w:val="0059579F"/>
    <w:rsid w:val="0059661F"/>
    <w:rsid w:val="00597704"/>
    <w:rsid w:val="00597787"/>
    <w:rsid w:val="005A0E0F"/>
    <w:rsid w:val="005A1318"/>
    <w:rsid w:val="005A2F67"/>
    <w:rsid w:val="005A37E1"/>
    <w:rsid w:val="005A3AF3"/>
    <w:rsid w:val="005A4467"/>
    <w:rsid w:val="005A454A"/>
    <w:rsid w:val="005A4706"/>
    <w:rsid w:val="005A4E5A"/>
    <w:rsid w:val="005B0E4A"/>
    <w:rsid w:val="005B123D"/>
    <w:rsid w:val="005B1D1B"/>
    <w:rsid w:val="005B22DD"/>
    <w:rsid w:val="005B46CE"/>
    <w:rsid w:val="005B4ACF"/>
    <w:rsid w:val="005B62D9"/>
    <w:rsid w:val="005B6D7E"/>
    <w:rsid w:val="005B74ED"/>
    <w:rsid w:val="005B7643"/>
    <w:rsid w:val="005B773D"/>
    <w:rsid w:val="005C0AB2"/>
    <w:rsid w:val="005C1EF8"/>
    <w:rsid w:val="005C2A7D"/>
    <w:rsid w:val="005C3ADB"/>
    <w:rsid w:val="005C3D41"/>
    <w:rsid w:val="005C4A0A"/>
    <w:rsid w:val="005C4A8E"/>
    <w:rsid w:val="005C5D5D"/>
    <w:rsid w:val="005C6ECD"/>
    <w:rsid w:val="005D0190"/>
    <w:rsid w:val="005D09B7"/>
    <w:rsid w:val="005D19CA"/>
    <w:rsid w:val="005D1AFD"/>
    <w:rsid w:val="005D2105"/>
    <w:rsid w:val="005D367F"/>
    <w:rsid w:val="005D3C8B"/>
    <w:rsid w:val="005D4FA3"/>
    <w:rsid w:val="005D5B55"/>
    <w:rsid w:val="005D5DBF"/>
    <w:rsid w:val="005E0378"/>
    <w:rsid w:val="005E0FD3"/>
    <w:rsid w:val="005E173A"/>
    <w:rsid w:val="005E1912"/>
    <w:rsid w:val="005E1FA7"/>
    <w:rsid w:val="005E2B5A"/>
    <w:rsid w:val="005E33EA"/>
    <w:rsid w:val="005E3543"/>
    <w:rsid w:val="005E3B1F"/>
    <w:rsid w:val="005E3B80"/>
    <w:rsid w:val="005E4B1E"/>
    <w:rsid w:val="005E5FD2"/>
    <w:rsid w:val="005E6F34"/>
    <w:rsid w:val="005E7EE3"/>
    <w:rsid w:val="005F0961"/>
    <w:rsid w:val="005F12FE"/>
    <w:rsid w:val="005F1FC7"/>
    <w:rsid w:val="005F38F7"/>
    <w:rsid w:val="005F5ECC"/>
    <w:rsid w:val="005F7A16"/>
    <w:rsid w:val="00600666"/>
    <w:rsid w:val="00600F50"/>
    <w:rsid w:val="00602C98"/>
    <w:rsid w:val="0060331E"/>
    <w:rsid w:val="006035CE"/>
    <w:rsid w:val="006038A3"/>
    <w:rsid w:val="00603C7F"/>
    <w:rsid w:val="00603E3E"/>
    <w:rsid w:val="00604657"/>
    <w:rsid w:val="006053D0"/>
    <w:rsid w:val="006054B9"/>
    <w:rsid w:val="006056B1"/>
    <w:rsid w:val="006076AC"/>
    <w:rsid w:val="00607B6B"/>
    <w:rsid w:val="00610E57"/>
    <w:rsid w:val="0061167E"/>
    <w:rsid w:val="006121F3"/>
    <w:rsid w:val="00613378"/>
    <w:rsid w:val="00613547"/>
    <w:rsid w:val="0061422D"/>
    <w:rsid w:val="0061449C"/>
    <w:rsid w:val="0061461D"/>
    <w:rsid w:val="00614987"/>
    <w:rsid w:val="006164C0"/>
    <w:rsid w:val="006176BC"/>
    <w:rsid w:val="00617851"/>
    <w:rsid w:val="00622D1C"/>
    <w:rsid w:val="00623A06"/>
    <w:rsid w:val="006247DB"/>
    <w:rsid w:val="00625B1E"/>
    <w:rsid w:val="00627A7F"/>
    <w:rsid w:val="006314EA"/>
    <w:rsid w:val="006317C0"/>
    <w:rsid w:val="006318E0"/>
    <w:rsid w:val="006327CE"/>
    <w:rsid w:val="006332EA"/>
    <w:rsid w:val="00633F99"/>
    <w:rsid w:val="00634DEA"/>
    <w:rsid w:val="0063666A"/>
    <w:rsid w:val="0063695C"/>
    <w:rsid w:val="00637410"/>
    <w:rsid w:val="0064073F"/>
    <w:rsid w:val="00641190"/>
    <w:rsid w:val="006412F2"/>
    <w:rsid w:val="00642105"/>
    <w:rsid w:val="00642FEE"/>
    <w:rsid w:val="00644226"/>
    <w:rsid w:val="00644349"/>
    <w:rsid w:val="00645F49"/>
    <w:rsid w:val="006461D1"/>
    <w:rsid w:val="00646764"/>
    <w:rsid w:val="006471E5"/>
    <w:rsid w:val="006503C6"/>
    <w:rsid w:val="00650541"/>
    <w:rsid w:val="00650643"/>
    <w:rsid w:val="00650C77"/>
    <w:rsid w:val="006511DB"/>
    <w:rsid w:val="00651284"/>
    <w:rsid w:val="00651685"/>
    <w:rsid w:val="00651D9F"/>
    <w:rsid w:val="006520F0"/>
    <w:rsid w:val="00652BB3"/>
    <w:rsid w:val="00654989"/>
    <w:rsid w:val="00654DF9"/>
    <w:rsid w:val="00655917"/>
    <w:rsid w:val="006632E7"/>
    <w:rsid w:val="0066395F"/>
    <w:rsid w:val="00664C9E"/>
    <w:rsid w:val="00665AF1"/>
    <w:rsid w:val="00665DBC"/>
    <w:rsid w:val="006661A1"/>
    <w:rsid w:val="00666455"/>
    <w:rsid w:val="006666FE"/>
    <w:rsid w:val="00667899"/>
    <w:rsid w:val="006703EB"/>
    <w:rsid w:val="00670F0E"/>
    <w:rsid w:val="0067186B"/>
    <w:rsid w:val="006728C3"/>
    <w:rsid w:val="00672AD5"/>
    <w:rsid w:val="00673B31"/>
    <w:rsid w:val="00674586"/>
    <w:rsid w:val="00674BA4"/>
    <w:rsid w:val="0067759C"/>
    <w:rsid w:val="006805F1"/>
    <w:rsid w:val="00680EE3"/>
    <w:rsid w:val="006815E4"/>
    <w:rsid w:val="006819B3"/>
    <w:rsid w:val="00682A27"/>
    <w:rsid w:val="00682AD4"/>
    <w:rsid w:val="00685DBD"/>
    <w:rsid w:val="0068689E"/>
    <w:rsid w:val="00687324"/>
    <w:rsid w:val="00690757"/>
    <w:rsid w:val="00691703"/>
    <w:rsid w:val="00693B2D"/>
    <w:rsid w:val="00693F0B"/>
    <w:rsid w:val="00694CF4"/>
    <w:rsid w:val="00697862"/>
    <w:rsid w:val="006A01ED"/>
    <w:rsid w:val="006A13B4"/>
    <w:rsid w:val="006A3C9A"/>
    <w:rsid w:val="006A425D"/>
    <w:rsid w:val="006A5AB2"/>
    <w:rsid w:val="006A62BE"/>
    <w:rsid w:val="006A62ED"/>
    <w:rsid w:val="006B0618"/>
    <w:rsid w:val="006B0F83"/>
    <w:rsid w:val="006B124E"/>
    <w:rsid w:val="006B16DD"/>
    <w:rsid w:val="006B1CD4"/>
    <w:rsid w:val="006B2743"/>
    <w:rsid w:val="006B30AF"/>
    <w:rsid w:val="006B33ED"/>
    <w:rsid w:val="006B42A8"/>
    <w:rsid w:val="006B4AFF"/>
    <w:rsid w:val="006B7355"/>
    <w:rsid w:val="006B7963"/>
    <w:rsid w:val="006C0717"/>
    <w:rsid w:val="006C0E59"/>
    <w:rsid w:val="006C1053"/>
    <w:rsid w:val="006C12D8"/>
    <w:rsid w:val="006C212F"/>
    <w:rsid w:val="006C2548"/>
    <w:rsid w:val="006C26E9"/>
    <w:rsid w:val="006C2EB4"/>
    <w:rsid w:val="006C38D9"/>
    <w:rsid w:val="006C498C"/>
    <w:rsid w:val="006C4A57"/>
    <w:rsid w:val="006C4D1D"/>
    <w:rsid w:val="006C53B0"/>
    <w:rsid w:val="006C57F0"/>
    <w:rsid w:val="006C60CC"/>
    <w:rsid w:val="006C64D9"/>
    <w:rsid w:val="006C66CC"/>
    <w:rsid w:val="006C694D"/>
    <w:rsid w:val="006C72A3"/>
    <w:rsid w:val="006C7595"/>
    <w:rsid w:val="006C780D"/>
    <w:rsid w:val="006D0036"/>
    <w:rsid w:val="006D0DCE"/>
    <w:rsid w:val="006D11A4"/>
    <w:rsid w:val="006D2A58"/>
    <w:rsid w:val="006D2E94"/>
    <w:rsid w:val="006D4FAE"/>
    <w:rsid w:val="006D52C6"/>
    <w:rsid w:val="006D543B"/>
    <w:rsid w:val="006D5C09"/>
    <w:rsid w:val="006D5F8B"/>
    <w:rsid w:val="006D63C6"/>
    <w:rsid w:val="006D6B2C"/>
    <w:rsid w:val="006D6B9F"/>
    <w:rsid w:val="006E15AE"/>
    <w:rsid w:val="006E18A0"/>
    <w:rsid w:val="006E19FB"/>
    <w:rsid w:val="006E1BB6"/>
    <w:rsid w:val="006E1E03"/>
    <w:rsid w:val="006E2B7D"/>
    <w:rsid w:val="006E2C21"/>
    <w:rsid w:val="006E3194"/>
    <w:rsid w:val="006E3752"/>
    <w:rsid w:val="006E3C26"/>
    <w:rsid w:val="006E4DBA"/>
    <w:rsid w:val="006E5FA1"/>
    <w:rsid w:val="006E6C66"/>
    <w:rsid w:val="006F026C"/>
    <w:rsid w:val="006F104A"/>
    <w:rsid w:val="006F15BD"/>
    <w:rsid w:val="006F210C"/>
    <w:rsid w:val="006F2165"/>
    <w:rsid w:val="006F2591"/>
    <w:rsid w:val="006F4E92"/>
    <w:rsid w:val="006F4F59"/>
    <w:rsid w:val="006F6CB1"/>
    <w:rsid w:val="006F7994"/>
    <w:rsid w:val="00700608"/>
    <w:rsid w:val="00703224"/>
    <w:rsid w:val="00703AFA"/>
    <w:rsid w:val="00704532"/>
    <w:rsid w:val="00704636"/>
    <w:rsid w:val="00704716"/>
    <w:rsid w:val="00705E51"/>
    <w:rsid w:val="007069BE"/>
    <w:rsid w:val="00707166"/>
    <w:rsid w:val="00710395"/>
    <w:rsid w:val="007107F9"/>
    <w:rsid w:val="00713BF8"/>
    <w:rsid w:val="0071445E"/>
    <w:rsid w:val="00715347"/>
    <w:rsid w:val="00715C66"/>
    <w:rsid w:val="00715E17"/>
    <w:rsid w:val="00716BAB"/>
    <w:rsid w:val="00717B82"/>
    <w:rsid w:val="0072157D"/>
    <w:rsid w:val="00721812"/>
    <w:rsid w:val="00721CD4"/>
    <w:rsid w:val="0072428B"/>
    <w:rsid w:val="00724311"/>
    <w:rsid w:val="00724FBB"/>
    <w:rsid w:val="00726C21"/>
    <w:rsid w:val="007306B8"/>
    <w:rsid w:val="00731B2E"/>
    <w:rsid w:val="00731FC0"/>
    <w:rsid w:val="00732138"/>
    <w:rsid w:val="0073316F"/>
    <w:rsid w:val="00734E8B"/>
    <w:rsid w:val="0073543F"/>
    <w:rsid w:val="007357AA"/>
    <w:rsid w:val="00735C1D"/>
    <w:rsid w:val="007371B7"/>
    <w:rsid w:val="007374E8"/>
    <w:rsid w:val="007405B1"/>
    <w:rsid w:val="00741343"/>
    <w:rsid w:val="00741593"/>
    <w:rsid w:val="007425AF"/>
    <w:rsid w:val="00742A41"/>
    <w:rsid w:val="00742D2B"/>
    <w:rsid w:val="00742DA0"/>
    <w:rsid w:val="0074322C"/>
    <w:rsid w:val="00743489"/>
    <w:rsid w:val="00744857"/>
    <w:rsid w:val="00744B85"/>
    <w:rsid w:val="00745BED"/>
    <w:rsid w:val="007474AB"/>
    <w:rsid w:val="007479B5"/>
    <w:rsid w:val="00747EE3"/>
    <w:rsid w:val="00750821"/>
    <w:rsid w:val="00751236"/>
    <w:rsid w:val="00751408"/>
    <w:rsid w:val="0075176C"/>
    <w:rsid w:val="0075227D"/>
    <w:rsid w:val="007526EB"/>
    <w:rsid w:val="00754391"/>
    <w:rsid w:val="0075594A"/>
    <w:rsid w:val="0075703D"/>
    <w:rsid w:val="00757CFC"/>
    <w:rsid w:val="0076148F"/>
    <w:rsid w:val="00762450"/>
    <w:rsid w:val="00762913"/>
    <w:rsid w:val="00762E85"/>
    <w:rsid w:val="00762F1E"/>
    <w:rsid w:val="00763E37"/>
    <w:rsid w:val="00766441"/>
    <w:rsid w:val="00766AAF"/>
    <w:rsid w:val="00766E40"/>
    <w:rsid w:val="0076733B"/>
    <w:rsid w:val="0076734E"/>
    <w:rsid w:val="007721CD"/>
    <w:rsid w:val="00773395"/>
    <w:rsid w:val="00773546"/>
    <w:rsid w:val="0077469C"/>
    <w:rsid w:val="00775C63"/>
    <w:rsid w:val="00776E58"/>
    <w:rsid w:val="007773F6"/>
    <w:rsid w:val="00780037"/>
    <w:rsid w:val="007821AC"/>
    <w:rsid w:val="00782256"/>
    <w:rsid w:val="0078245B"/>
    <w:rsid w:val="00782D51"/>
    <w:rsid w:val="00782E8E"/>
    <w:rsid w:val="0078412D"/>
    <w:rsid w:val="00784A3F"/>
    <w:rsid w:val="00784B46"/>
    <w:rsid w:val="00784C04"/>
    <w:rsid w:val="0078552F"/>
    <w:rsid w:val="00786AE3"/>
    <w:rsid w:val="00790D34"/>
    <w:rsid w:val="00790E87"/>
    <w:rsid w:val="0079311A"/>
    <w:rsid w:val="007944C3"/>
    <w:rsid w:val="00795FBC"/>
    <w:rsid w:val="0079707D"/>
    <w:rsid w:val="007971C7"/>
    <w:rsid w:val="007975AB"/>
    <w:rsid w:val="007A1575"/>
    <w:rsid w:val="007A26FD"/>
    <w:rsid w:val="007A2DA6"/>
    <w:rsid w:val="007A3C73"/>
    <w:rsid w:val="007A4222"/>
    <w:rsid w:val="007A50EC"/>
    <w:rsid w:val="007A5C17"/>
    <w:rsid w:val="007A6202"/>
    <w:rsid w:val="007A79AC"/>
    <w:rsid w:val="007B0AF0"/>
    <w:rsid w:val="007B0FA7"/>
    <w:rsid w:val="007B1B18"/>
    <w:rsid w:val="007B2293"/>
    <w:rsid w:val="007B262D"/>
    <w:rsid w:val="007B3C95"/>
    <w:rsid w:val="007B5285"/>
    <w:rsid w:val="007B69E8"/>
    <w:rsid w:val="007B6D00"/>
    <w:rsid w:val="007B7CC7"/>
    <w:rsid w:val="007C0E87"/>
    <w:rsid w:val="007C1F81"/>
    <w:rsid w:val="007C36F5"/>
    <w:rsid w:val="007C3AAD"/>
    <w:rsid w:val="007C4DCE"/>
    <w:rsid w:val="007C5148"/>
    <w:rsid w:val="007C57B7"/>
    <w:rsid w:val="007C5A1E"/>
    <w:rsid w:val="007C6609"/>
    <w:rsid w:val="007C6939"/>
    <w:rsid w:val="007C69C6"/>
    <w:rsid w:val="007C6F3C"/>
    <w:rsid w:val="007C74BA"/>
    <w:rsid w:val="007C7D62"/>
    <w:rsid w:val="007D29AF"/>
    <w:rsid w:val="007D3416"/>
    <w:rsid w:val="007D38E7"/>
    <w:rsid w:val="007D3A5C"/>
    <w:rsid w:val="007D46CE"/>
    <w:rsid w:val="007D4B22"/>
    <w:rsid w:val="007D5CC8"/>
    <w:rsid w:val="007D693C"/>
    <w:rsid w:val="007D7117"/>
    <w:rsid w:val="007D76D3"/>
    <w:rsid w:val="007D7A3F"/>
    <w:rsid w:val="007E0557"/>
    <w:rsid w:val="007E0673"/>
    <w:rsid w:val="007E0BCC"/>
    <w:rsid w:val="007E0E86"/>
    <w:rsid w:val="007E250A"/>
    <w:rsid w:val="007E26A6"/>
    <w:rsid w:val="007E2CA5"/>
    <w:rsid w:val="007E2EB3"/>
    <w:rsid w:val="007E3443"/>
    <w:rsid w:val="007E4E90"/>
    <w:rsid w:val="007E5800"/>
    <w:rsid w:val="007E5BA2"/>
    <w:rsid w:val="007E6F55"/>
    <w:rsid w:val="007E745D"/>
    <w:rsid w:val="007E75F8"/>
    <w:rsid w:val="007E7753"/>
    <w:rsid w:val="007E77C1"/>
    <w:rsid w:val="007F1176"/>
    <w:rsid w:val="007F141E"/>
    <w:rsid w:val="007F1E0B"/>
    <w:rsid w:val="007F28D5"/>
    <w:rsid w:val="007F2A00"/>
    <w:rsid w:val="007F2FEE"/>
    <w:rsid w:val="007F6F0E"/>
    <w:rsid w:val="007F70F3"/>
    <w:rsid w:val="007F7C2E"/>
    <w:rsid w:val="00801665"/>
    <w:rsid w:val="00802104"/>
    <w:rsid w:val="00806661"/>
    <w:rsid w:val="008070C9"/>
    <w:rsid w:val="00807E02"/>
    <w:rsid w:val="008105DB"/>
    <w:rsid w:val="0081070B"/>
    <w:rsid w:val="0081205F"/>
    <w:rsid w:val="008125C8"/>
    <w:rsid w:val="008132E8"/>
    <w:rsid w:val="00813F93"/>
    <w:rsid w:val="00815DFA"/>
    <w:rsid w:val="00817820"/>
    <w:rsid w:val="00820C4A"/>
    <w:rsid w:val="00820FBF"/>
    <w:rsid w:val="00821094"/>
    <w:rsid w:val="00821722"/>
    <w:rsid w:val="00821A1A"/>
    <w:rsid w:val="00821B8B"/>
    <w:rsid w:val="00821DF0"/>
    <w:rsid w:val="00821FB2"/>
    <w:rsid w:val="00823935"/>
    <w:rsid w:val="008266A1"/>
    <w:rsid w:val="0082781A"/>
    <w:rsid w:val="008300FA"/>
    <w:rsid w:val="00830971"/>
    <w:rsid w:val="008310C9"/>
    <w:rsid w:val="00831670"/>
    <w:rsid w:val="00833315"/>
    <w:rsid w:val="00836613"/>
    <w:rsid w:val="008405C6"/>
    <w:rsid w:val="00840975"/>
    <w:rsid w:val="00840AC8"/>
    <w:rsid w:val="00843815"/>
    <w:rsid w:val="0084381F"/>
    <w:rsid w:val="00843C1C"/>
    <w:rsid w:val="00844E57"/>
    <w:rsid w:val="00845C78"/>
    <w:rsid w:val="008461E8"/>
    <w:rsid w:val="00847002"/>
    <w:rsid w:val="008474A3"/>
    <w:rsid w:val="00847518"/>
    <w:rsid w:val="00847849"/>
    <w:rsid w:val="00847E80"/>
    <w:rsid w:val="0085026F"/>
    <w:rsid w:val="00850B71"/>
    <w:rsid w:val="00850FE4"/>
    <w:rsid w:val="00851164"/>
    <w:rsid w:val="008518E6"/>
    <w:rsid w:val="00851BF3"/>
    <w:rsid w:val="00852A9C"/>
    <w:rsid w:val="00854913"/>
    <w:rsid w:val="008556F8"/>
    <w:rsid w:val="00860090"/>
    <w:rsid w:val="00860BEC"/>
    <w:rsid w:val="00860C1E"/>
    <w:rsid w:val="00861340"/>
    <w:rsid w:val="008613C7"/>
    <w:rsid w:val="00861573"/>
    <w:rsid w:val="00862B04"/>
    <w:rsid w:val="008643B1"/>
    <w:rsid w:val="00865446"/>
    <w:rsid w:val="008661D5"/>
    <w:rsid w:val="00866351"/>
    <w:rsid w:val="0087141D"/>
    <w:rsid w:val="008720AE"/>
    <w:rsid w:val="008727B2"/>
    <w:rsid w:val="00872D75"/>
    <w:rsid w:val="008742B9"/>
    <w:rsid w:val="00874D4B"/>
    <w:rsid w:val="008751BF"/>
    <w:rsid w:val="00875667"/>
    <w:rsid w:val="00876CAC"/>
    <w:rsid w:val="00877242"/>
    <w:rsid w:val="00877A95"/>
    <w:rsid w:val="00877E43"/>
    <w:rsid w:val="00880187"/>
    <w:rsid w:val="008805C7"/>
    <w:rsid w:val="00880CBA"/>
    <w:rsid w:val="00881107"/>
    <w:rsid w:val="00881712"/>
    <w:rsid w:val="00881861"/>
    <w:rsid w:val="00881893"/>
    <w:rsid w:val="008823B4"/>
    <w:rsid w:val="00883EBA"/>
    <w:rsid w:val="008848EE"/>
    <w:rsid w:val="008856D9"/>
    <w:rsid w:val="0088615C"/>
    <w:rsid w:val="0089046E"/>
    <w:rsid w:val="008906D1"/>
    <w:rsid w:val="008923FE"/>
    <w:rsid w:val="00892A59"/>
    <w:rsid w:val="008934FD"/>
    <w:rsid w:val="00893F62"/>
    <w:rsid w:val="00895133"/>
    <w:rsid w:val="00895E84"/>
    <w:rsid w:val="00896549"/>
    <w:rsid w:val="008973FE"/>
    <w:rsid w:val="00897E2E"/>
    <w:rsid w:val="008A06B6"/>
    <w:rsid w:val="008A0E73"/>
    <w:rsid w:val="008A14F8"/>
    <w:rsid w:val="008A458F"/>
    <w:rsid w:val="008A5FAB"/>
    <w:rsid w:val="008B221C"/>
    <w:rsid w:val="008B5E6F"/>
    <w:rsid w:val="008B60B4"/>
    <w:rsid w:val="008B626E"/>
    <w:rsid w:val="008B7B46"/>
    <w:rsid w:val="008C0373"/>
    <w:rsid w:val="008C084C"/>
    <w:rsid w:val="008C0D90"/>
    <w:rsid w:val="008C0E68"/>
    <w:rsid w:val="008C1D17"/>
    <w:rsid w:val="008C21C3"/>
    <w:rsid w:val="008C21F8"/>
    <w:rsid w:val="008C3CE7"/>
    <w:rsid w:val="008C3E23"/>
    <w:rsid w:val="008C4006"/>
    <w:rsid w:val="008C54FF"/>
    <w:rsid w:val="008C5AB4"/>
    <w:rsid w:val="008C5F56"/>
    <w:rsid w:val="008C6361"/>
    <w:rsid w:val="008C6687"/>
    <w:rsid w:val="008C6BBC"/>
    <w:rsid w:val="008C6EA3"/>
    <w:rsid w:val="008D2154"/>
    <w:rsid w:val="008D2F1D"/>
    <w:rsid w:val="008D3076"/>
    <w:rsid w:val="008D3567"/>
    <w:rsid w:val="008D3798"/>
    <w:rsid w:val="008D5513"/>
    <w:rsid w:val="008D5F0C"/>
    <w:rsid w:val="008D6049"/>
    <w:rsid w:val="008D741B"/>
    <w:rsid w:val="008E0789"/>
    <w:rsid w:val="008E17A4"/>
    <w:rsid w:val="008E26CC"/>
    <w:rsid w:val="008E2CB8"/>
    <w:rsid w:val="008E3324"/>
    <w:rsid w:val="008E494D"/>
    <w:rsid w:val="008E49CE"/>
    <w:rsid w:val="008E4E89"/>
    <w:rsid w:val="008E50BF"/>
    <w:rsid w:val="008E56F0"/>
    <w:rsid w:val="008E5A11"/>
    <w:rsid w:val="008E6462"/>
    <w:rsid w:val="008E6EE0"/>
    <w:rsid w:val="008E7437"/>
    <w:rsid w:val="008E748B"/>
    <w:rsid w:val="008E7A27"/>
    <w:rsid w:val="008F0F5B"/>
    <w:rsid w:val="008F2328"/>
    <w:rsid w:val="008F3F97"/>
    <w:rsid w:val="008F4721"/>
    <w:rsid w:val="008F61BF"/>
    <w:rsid w:val="008F66F4"/>
    <w:rsid w:val="008F7C52"/>
    <w:rsid w:val="00900FCD"/>
    <w:rsid w:val="00901B2E"/>
    <w:rsid w:val="00902056"/>
    <w:rsid w:val="0090227F"/>
    <w:rsid w:val="00903989"/>
    <w:rsid w:val="00904B8A"/>
    <w:rsid w:val="009059CC"/>
    <w:rsid w:val="00905DC4"/>
    <w:rsid w:val="00910E95"/>
    <w:rsid w:val="0091300C"/>
    <w:rsid w:val="009145E3"/>
    <w:rsid w:val="00915348"/>
    <w:rsid w:val="0091542A"/>
    <w:rsid w:val="00915D7E"/>
    <w:rsid w:val="009161CE"/>
    <w:rsid w:val="00917637"/>
    <w:rsid w:val="00917709"/>
    <w:rsid w:val="00917C41"/>
    <w:rsid w:val="00921CFB"/>
    <w:rsid w:val="00922213"/>
    <w:rsid w:val="009227C3"/>
    <w:rsid w:val="00922837"/>
    <w:rsid w:val="009232A2"/>
    <w:rsid w:val="00924201"/>
    <w:rsid w:val="00925B82"/>
    <w:rsid w:val="00927037"/>
    <w:rsid w:val="0093041F"/>
    <w:rsid w:val="009308D3"/>
    <w:rsid w:val="009310FE"/>
    <w:rsid w:val="0093131D"/>
    <w:rsid w:val="009315B1"/>
    <w:rsid w:val="00931694"/>
    <w:rsid w:val="00932460"/>
    <w:rsid w:val="00934D24"/>
    <w:rsid w:val="00935E2C"/>
    <w:rsid w:val="00936148"/>
    <w:rsid w:val="009364CD"/>
    <w:rsid w:val="00937394"/>
    <w:rsid w:val="00937909"/>
    <w:rsid w:val="00940A7A"/>
    <w:rsid w:val="00941AAA"/>
    <w:rsid w:val="00942311"/>
    <w:rsid w:val="00944E1E"/>
    <w:rsid w:val="00946884"/>
    <w:rsid w:val="009468D0"/>
    <w:rsid w:val="00952C31"/>
    <w:rsid w:val="00957DBE"/>
    <w:rsid w:val="009603EF"/>
    <w:rsid w:val="009605E3"/>
    <w:rsid w:val="00962832"/>
    <w:rsid w:val="009630FF"/>
    <w:rsid w:val="00963201"/>
    <w:rsid w:val="00963342"/>
    <w:rsid w:val="009653EC"/>
    <w:rsid w:val="009702BF"/>
    <w:rsid w:val="00970A1E"/>
    <w:rsid w:val="0097126D"/>
    <w:rsid w:val="009712FC"/>
    <w:rsid w:val="0097185C"/>
    <w:rsid w:val="00971DAE"/>
    <w:rsid w:val="0097205B"/>
    <w:rsid w:val="009729BF"/>
    <w:rsid w:val="00973180"/>
    <w:rsid w:val="00973AD7"/>
    <w:rsid w:val="00974989"/>
    <w:rsid w:val="00974B76"/>
    <w:rsid w:val="00975689"/>
    <w:rsid w:val="0097570F"/>
    <w:rsid w:val="00976F1B"/>
    <w:rsid w:val="00977293"/>
    <w:rsid w:val="009779C3"/>
    <w:rsid w:val="009779E5"/>
    <w:rsid w:val="00981333"/>
    <w:rsid w:val="009820C6"/>
    <w:rsid w:val="00982BBE"/>
    <w:rsid w:val="00983406"/>
    <w:rsid w:val="00983DE2"/>
    <w:rsid w:val="00984604"/>
    <w:rsid w:val="00984644"/>
    <w:rsid w:val="00986B61"/>
    <w:rsid w:val="00986C91"/>
    <w:rsid w:val="00987CDE"/>
    <w:rsid w:val="00990122"/>
    <w:rsid w:val="0099052A"/>
    <w:rsid w:val="009917F0"/>
    <w:rsid w:val="00992F57"/>
    <w:rsid w:val="00994B5D"/>
    <w:rsid w:val="00996C9B"/>
    <w:rsid w:val="00997620"/>
    <w:rsid w:val="0099762B"/>
    <w:rsid w:val="00997FF7"/>
    <w:rsid w:val="009A0BD7"/>
    <w:rsid w:val="009A1E12"/>
    <w:rsid w:val="009A2411"/>
    <w:rsid w:val="009A47AC"/>
    <w:rsid w:val="009A6200"/>
    <w:rsid w:val="009A6F2E"/>
    <w:rsid w:val="009A7613"/>
    <w:rsid w:val="009B1799"/>
    <w:rsid w:val="009B2AA6"/>
    <w:rsid w:val="009B40FE"/>
    <w:rsid w:val="009B4B5E"/>
    <w:rsid w:val="009B4BA8"/>
    <w:rsid w:val="009B4CB6"/>
    <w:rsid w:val="009B6B8E"/>
    <w:rsid w:val="009C08BC"/>
    <w:rsid w:val="009C0B33"/>
    <w:rsid w:val="009C168C"/>
    <w:rsid w:val="009C1917"/>
    <w:rsid w:val="009C497A"/>
    <w:rsid w:val="009C5261"/>
    <w:rsid w:val="009C5387"/>
    <w:rsid w:val="009C5B4E"/>
    <w:rsid w:val="009C6DB7"/>
    <w:rsid w:val="009D10A4"/>
    <w:rsid w:val="009D3A1D"/>
    <w:rsid w:val="009D4A8D"/>
    <w:rsid w:val="009D602B"/>
    <w:rsid w:val="009D659A"/>
    <w:rsid w:val="009D7063"/>
    <w:rsid w:val="009D7F66"/>
    <w:rsid w:val="009E08AB"/>
    <w:rsid w:val="009E11C5"/>
    <w:rsid w:val="009E1218"/>
    <w:rsid w:val="009E1552"/>
    <w:rsid w:val="009E2ADD"/>
    <w:rsid w:val="009E2C22"/>
    <w:rsid w:val="009E2EEE"/>
    <w:rsid w:val="009E30F7"/>
    <w:rsid w:val="009E6DE6"/>
    <w:rsid w:val="009E7188"/>
    <w:rsid w:val="009E7EFC"/>
    <w:rsid w:val="009F0C0B"/>
    <w:rsid w:val="009F25AC"/>
    <w:rsid w:val="009F269F"/>
    <w:rsid w:val="009F3568"/>
    <w:rsid w:val="009F5851"/>
    <w:rsid w:val="009F598D"/>
    <w:rsid w:val="009F6439"/>
    <w:rsid w:val="009F6EA8"/>
    <w:rsid w:val="009F6F79"/>
    <w:rsid w:val="009F7A2F"/>
    <w:rsid w:val="009F7C97"/>
    <w:rsid w:val="00A01966"/>
    <w:rsid w:val="00A02385"/>
    <w:rsid w:val="00A02524"/>
    <w:rsid w:val="00A047C9"/>
    <w:rsid w:val="00A05BE2"/>
    <w:rsid w:val="00A07C66"/>
    <w:rsid w:val="00A1145E"/>
    <w:rsid w:val="00A11776"/>
    <w:rsid w:val="00A15353"/>
    <w:rsid w:val="00A22B65"/>
    <w:rsid w:val="00A22BB0"/>
    <w:rsid w:val="00A2307F"/>
    <w:rsid w:val="00A233A2"/>
    <w:rsid w:val="00A23449"/>
    <w:rsid w:val="00A25612"/>
    <w:rsid w:val="00A26698"/>
    <w:rsid w:val="00A30125"/>
    <w:rsid w:val="00A304EE"/>
    <w:rsid w:val="00A3099B"/>
    <w:rsid w:val="00A31502"/>
    <w:rsid w:val="00A31B76"/>
    <w:rsid w:val="00A31C3C"/>
    <w:rsid w:val="00A32C10"/>
    <w:rsid w:val="00A32CEF"/>
    <w:rsid w:val="00A344C1"/>
    <w:rsid w:val="00A347F4"/>
    <w:rsid w:val="00A35983"/>
    <w:rsid w:val="00A36010"/>
    <w:rsid w:val="00A36664"/>
    <w:rsid w:val="00A3686B"/>
    <w:rsid w:val="00A405B6"/>
    <w:rsid w:val="00A4087F"/>
    <w:rsid w:val="00A40B85"/>
    <w:rsid w:val="00A414DE"/>
    <w:rsid w:val="00A417D3"/>
    <w:rsid w:val="00A42A5E"/>
    <w:rsid w:val="00A42E25"/>
    <w:rsid w:val="00A432F5"/>
    <w:rsid w:val="00A455B6"/>
    <w:rsid w:val="00A456DE"/>
    <w:rsid w:val="00A458FF"/>
    <w:rsid w:val="00A4666D"/>
    <w:rsid w:val="00A47C4E"/>
    <w:rsid w:val="00A47D2D"/>
    <w:rsid w:val="00A509E6"/>
    <w:rsid w:val="00A50F3B"/>
    <w:rsid w:val="00A52970"/>
    <w:rsid w:val="00A53A41"/>
    <w:rsid w:val="00A54866"/>
    <w:rsid w:val="00A54C1B"/>
    <w:rsid w:val="00A55E0D"/>
    <w:rsid w:val="00A56199"/>
    <w:rsid w:val="00A57A23"/>
    <w:rsid w:val="00A60FA5"/>
    <w:rsid w:val="00A62235"/>
    <w:rsid w:val="00A63550"/>
    <w:rsid w:val="00A641F0"/>
    <w:rsid w:val="00A64326"/>
    <w:rsid w:val="00A6576C"/>
    <w:rsid w:val="00A65B9D"/>
    <w:rsid w:val="00A65CCD"/>
    <w:rsid w:val="00A66F63"/>
    <w:rsid w:val="00A67493"/>
    <w:rsid w:val="00A70848"/>
    <w:rsid w:val="00A70C6E"/>
    <w:rsid w:val="00A71092"/>
    <w:rsid w:val="00A7143A"/>
    <w:rsid w:val="00A72AC8"/>
    <w:rsid w:val="00A7363B"/>
    <w:rsid w:val="00A74772"/>
    <w:rsid w:val="00A7641E"/>
    <w:rsid w:val="00A775BB"/>
    <w:rsid w:val="00A77C52"/>
    <w:rsid w:val="00A802DB"/>
    <w:rsid w:val="00A805E8"/>
    <w:rsid w:val="00A81503"/>
    <w:rsid w:val="00A821FA"/>
    <w:rsid w:val="00A82B3F"/>
    <w:rsid w:val="00A84391"/>
    <w:rsid w:val="00A84A16"/>
    <w:rsid w:val="00A84EFC"/>
    <w:rsid w:val="00A8606C"/>
    <w:rsid w:val="00A86374"/>
    <w:rsid w:val="00A9077E"/>
    <w:rsid w:val="00A91252"/>
    <w:rsid w:val="00A91C02"/>
    <w:rsid w:val="00A92484"/>
    <w:rsid w:val="00A96EEA"/>
    <w:rsid w:val="00A97B66"/>
    <w:rsid w:val="00AA0050"/>
    <w:rsid w:val="00AA0A0A"/>
    <w:rsid w:val="00AA0F20"/>
    <w:rsid w:val="00AA4095"/>
    <w:rsid w:val="00AA5E47"/>
    <w:rsid w:val="00AA6BCA"/>
    <w:rsid w:val="00AB052B"/>
    <w:rsid w:val="00AB0E17"/>
    <w:rsid w:val="00AB213C"/>
    <w:rsid w:val="00AB2663"/>
    <w:rsid w:val="00AB4C6F"/>
    <w:rsid w:val="00AB4E2F"/>
    <w:rsid w:val="00AB6287"/>
    <w:rsid w:val="00AB64BD"/>
    <w:rsid w:val="00AB6962"/>
    <w:rsid w:val="00AB7914"/>
    <w:rsid w:val="00AC0BA2"/>
    <w:rsid w:val="00AC139A"/>
    <w:rsid w:val="00AC1A51"/>
    <w:rsid w:val="00AC1CFD"/>
    <w:rsid w:val="00AC36CA"/>
    <w:rsid w:val="00AC3851"/>
    <w:rsid w:val="00AC4F79"/>
    <w:rsid w:val="00AC5981"/>
    <w:rsid w:val="00AC62A7"/>
    <w:rsid w:val="00AC6B7A"/>
    <w:rsid w:val="00AD0CE8"/>
    <w:rsid w:val="00AD0F8A"/>
    <w:rsid w:val="00AD28DB"/>
    <w:rsid w:val="00AD5E0E"/>
    <w:rsid w:val="00AD5E58"/>
    <w:rsid w:val="00AD696C"/>
    <w:rsid w:val="00AD7E39"/>
    <w:rsid w:val="00AD7E7B"/>
    <w:rsid w:val="00AE01BC"/>
    <w:rsid w:val="00AE211C"/>
    <w:rsid w:val="00AE28E3"/>
    <w:rsid w:val="00AE3379"/>
    <w:rsid w:val="00AE3E7A"/>
    <w:rsid w:val="00AE4786"/>
    <w:rsid w:val="00AE58F1"/>
    <w:rsid w:val="00AF1402"/>
    <w:rsid w:val="00AF1F1D"/>
    <w:rsid w:val="00AF20DE"/>
    <w:rsid w:val="00AF272A"/>
    <w:rsid w:val="00AF3488"/>
    <w:rsid w:val="00B00DF5"/>
    <w:rsid w:val="00B00EB2"/>
    <w:rsid w:val="00B012E6"/>
    <w:rsid w:val="00B01BB1"/>
    <w:rsid w:val="00B029DC"/>
    <w:rsid w:val="00B02EB1"/>
    <w:rsid w:val="00B031FB"/>
    <w:rsid w:val="00B0363E"/>
    <w:rsid w:val="00B03B26"/>
    <w:rsid w:val="00B04328"/>
    <w:rsid w:val="00B0509F"/>
    <w:rsid w:val="00B0570B"/>
    <w:rsid w:val="00B05C46"/>
    <w:rsid w:val="00B0650E"/>
    <w:rsid w:val="00B066FF"/>
    <w:rsid w:val="00B0775F"/>
    <w:rsid w:val="00B078D6"/>
    <w:rsid w:val="00B101C7"/>
    <w:rsid w:val="00B10792"/>
    <w:rsid w:val="00B11C30"/>
    <w:rsid w:val="00B12A0D"/>
    <w:rsid w:val="00B135C3"/>
    <w:rsid w:val="00B13CB5"/>
    <w:rsid w:val="00B1696D"/>
    <w:rsid w:val="00B1705F"/>
    <w:rsid w:val="00B209AE"/>
    <w:rsid w:val="00B212FA"/>
    <w:rsid w:val="00B23BB5"/>
    <w:rsid w:val="00B23E80"/>
    <w:rsid w:val="00B25FD9"/>
    <w:rsid w:val="00B260BB"/>
    <w:rsid w:val="00B27A24"/>
    <w:rsid w:val="00B30DD9"/>
    <w:rsid w:val="00B32EEF"/>
    <w:rsid w:val="00B34833"/>
    <w:rsid w:val="00B35F62"/>
    <w:rsid w:val="00B40B58"/>
    <w:rsid w:val="00B428FD"/>
    <w:rsid w:val="00B43C5C"/>
    <w:rsid w:val="00B44E2A"/>
    <w:rsid w:val="00B45599"/>
    <w:rsid w:val="00B463EF"/>
    <w:rsid w:val="00B46ABE"/>
    <w:rsid w:val="00B474B0"/>
    <w:rsid w:val="00B47EA3"/>
    <w:rsid w:val="00B50014"/>
    <w:rsid w:val="00B5064E"/>
    <w:rsid w:val="00B5200D"/>
    <w:rsid w:val="00B5240F"/>
    <w:rsid w:val="00B52DFD"/>
    <w:rsid w:val="00B5392E"/>
    <w:rsid w:val="00B568EB"/>
    <w:rsid w:val="00B56B5D"/>
    <w:rsid w:val="00B57BC9"/>
    <w:rsid w:val="00B6047B"/>
    <w:rsid w:val="00B605A4"/>
    <w:rsid w:val="00B61F4E"/>
    <w:rsid w:val="00B624C7"/>
    <w:rsid w:val="00B648E8"/>
    <w:rsid w:val="00B65500"/>
    <w:rsid w:val="00B656EA"/>
    <w:rsid w:val="00B65EF7"/>
    <w:rsid w:val="00B67FCA"/>
    <w:rsid w:val="00B70260"/>
    <w:rsid w:val="00B7061A"/>
    <w:rsid w:val="00B74435"/>
    <w:rsid w:val="00B758AF"/>
    <w:rsid w:val="00B7653C"/>
    <w:rsid w:val="00B7671C"/>
    <w:rsid w:val="00B76E45"/>
    <w:rsid w:val="00B773FA"/>
    <w:rsid w:val="00B7742B"/>
    <w:rsid w:val="00B779A3"/>
    <w:rsid w:val="00B77B25"/>
    <w:rsid w:val="00B80191"/>
    <w:rsid w:val="00B806B3"/>
    <w:rsid w:val="00B82736"/>
    <w:rsid w:val="00B82B8F"/>
    <w:rsid w:val="00B836CC"/>
    <w:rsid w:val="00B838FD"/>
    <w:rsid w:val="00B83A93"/>
    <w:rsid w:val="00B83B65"/>
    <w:rsid w:val="00B85C00"/>
    <w:rsid w:val="00B90F67"/>
    <w:rsid w:val="00B92EDD"/>
    <w:rsid w:val="00B95BB0"/>
    <w:rsid w:val="00B9612D"/>
    <w:rsid w:val="00B967F7"/>
    <w:rsid w:val="00BA0914"/>
    <w:rsid w:val="00BA1AB4"/>
    <w:rsid w:val="00BA2A81"/>
    <w:rsid w:val="00BA2E05"/>
    <w:rsid w:val="00BA4ADE"/>
    <w:rsid w:val="00BA5039"/>
    <w:rsid w:val="00BA5A51"/>
    <w:rsid w:val="00BA5CB3"/>
    <w:rsid w:val="00BA6748"/>
    <w:rsid w:val="00BA712E"/>
    <w:rsid w:val="00BB1C1C"/>
    <w:rsid w:val="00BB24D6"/>
    <w:rsid w:val="00BB2593"/>
    <w:rsid w:val="00BB2CE6"/>
    <w:rsid w:val="00BB5243"/>
    <w:rsid w:val="00BB5610"/>
    <w:rsid w:val="00BB5659"/>
    <w:rsid w:val="00BB6420"/>
    <w:rsid w:val="00BB7624"/>
    <w:rsid w:val="00BC1A10"/>
    <w:rsid w:val="00BC3542"/>
    <w:rsid w:val="00BC47DE"/>
    <w:rsid w:val="00BC5AF2"/>
    <w:rsid w:val="00BC6154"/>
    <w:rsid w:val="00BD045E"/>
    <w:rsid w:val="00BD052D"/>
    <w:rsid w:val="00BD0AD6"/>
    <w:rsid w:val="00BD1160"/>
    <w:rsid w:val="00BD154A"/>
    <w:rsid w:val="00BD1592"/>
    <w:rsid w:val="00BD1603"/>
    <w:rsid w:val="00BD1EFE"/>
    <w:rsid w:val="00BD2A51"/>
    <w:rsid w:val="00BD31E3"/>
    <w:rsid w:val="00BD3CDC"/>
    <w:rsid w:val="00BD4A22"/>
    <w:rsid w:val="00BD4C00"/>
    <w:rsid w:val="00BD5EE2"/>
    <w:rsid w:val="00BD6322"/>
    <w:rsid w:val="00BD6678"/>
    <w:rsid w:val="00BD6E63"/>
    <w:rsid w:val="00BE2909"/>
    <w:rsid w:val="00BE30C1"/>
    <w:rsid w:val="00BE3BB0"/>
    <w:rsid w:val="00BE4503"/>
    <w:rsid w:val="00BE4572"/>
    <w:rsid w:val="00BE45E2"/>
    <w:rsid w:val="00BE6823"/>
    <w:rsid w:val="00BE68EA"/>
    <w:rsid w:val="00BE7ABD"/>
    <w:rsid w:val="00BF0625"/>
    <w:rsid w:val="00BF2A63"/>
    <w:rsid w:val="00BF440C"/>
    <w:rsid w:val="00BF6D90"/>
    <w:rsid w:val="00C00175"/>
    <w:rsid w:val="00C00796"/>
    <w:rsid w:val="00C02617"/>
    <w:rsid w:val="00C045F1"/>
    <w:rsid w:val="00C04E1B"/>
    <w:rsid w:val="00C04EDF"/>
    <w:rsid w:val="00C06094"/>
    <w:rsid w:val="00C067E7"/>
    <w:rsid w:val="00C07D74"/>
    <w:rsid w:val="00C11646"/>
    <w:rsid w:val="00C1254C"/>
    <w:rsid w:val="00C129EB"/>
    <w:rsid w:val="00C15366"/>
    <w:rsid w:val="00C20979"/>
    <w:rsid w:val="00C218DF"/>
    <w:rsid w:val="00C2208D"/>
    <w:rsid w:val="00C2252C"/>
    <w:rsid w:val="00C23B1A"/>
    <w:rsid w:val="00C2426C"/>
    <w:rsid w:val="00C2608B"/>
    <w:rsid w:val="00C30443"/>
    <w:rsid w:val="00C308EA"/>
    <w:rsid w:val="00C309D7"/>
    <w:rsid w:val="00C30CCF"/>
    <w:rsid w:val="00C31940"/>
    <w:rsid w:val="00C31FF6"/>
    <w:rsid w:val="00C339A8"/>
    <w:rsid w:val="00C33A15"/>
    <w:rsid w:val="00C33D1E"/>
    <w:rsid w:val="00C3583D"/>
    <w:rsid w:val="00C35F61"/>
    <w:rsid w:val="00C36885"/>
    <w:rsid w:val="00C4008F"/>
    <w:rsid w:val="00C405DD"/>
    <w:rsid w:val="00C40839"/>
    <w:rsid w:val="00C4332F"/>
    <w:rsid w:val="00C4335D"/>
    <w:rsid w:val="00C434EA"/>
    <w:rsid w:val="00C44503"/>
    <w:rsid w:val="00C4508F"/>
    <w:rsid w:val="00C45622"/>
    <w:rsid w:val="00C459A0"/>
    <w:rsid w:val="00C46358"/>
    <w:rsid w:val="00C469B7"/>
    <w:rsid w:val="00C4730C"/>
    <w:rsid w:val="00C47B81"/>
    <w:rsid w:val="00C505BC"/>
    <w:rsid w:val="00C50D60"/>
    <w:rsid w:val="00C515B6"/>
    <w:rsid w:val="00C5353A"/>
    <w:rsid w:val="00C5358B"/>
    <w:rsid w:val="00C53988"/>
    <w:rsid w:val="00C53CB5"/>
    <w:rsid w:val="00C54002"/>
    <w:rsid w:val="00C547E8"/>
    <w:rsid w:val="00C54D2E"/>
    <w:rsid w:val="00C54F2F"/>
    <w:rsid w:val="00C55166"/>
    <w:rsid w:val="00C55AFE"/>
    <w:rsid w:val="00C55B58"/>
    <w:rsid w:val="00C55B5F"/>
    <w:rsid w:val="00C5663A"/>
    <w:rsid w:val="00C566C0"/>
    <w:rsid w:val="00C566C1"/>
    <w:rsid w:val="00C56F77"/>
    <w:rsid w:val="00C578EB"/>
    <w:rsid w:val="00C60344"/>
    <w:rsid w:val="00C60E05"/>
    <w:rsid w:val="00C61120"/>
    <w:rsid w:val="00C6134D"/>
    <w:rsid w:val="00C61CBD"/>
    <w:rsid w:val="00C62C4B"/>
    <w:rsid w:val="00C633F1"/>
    <w:rsid w:val="00C64938"/>
    <w:rsid w:val="00C64C21"/>
    <w:rsid w:val="00C64CF1"/>
    <w:rsid w:val="00C64F0E"/>
    <w:rsid w:val="00C651FB"/>
    <w:rsid w:val="00C6639F"/>
    <w:rsid w:val="00C66A98"/>
    <w:rsid w:val="00C66A9E"/>
    <w:rsid w:val="00C67B0A"/>
    <w:rsid w:val="00C7002F"/>
    <w:rsid w:val="00C72969"/>
    <w:rsid w:val="00C72A89"/>
    <w:rsid w:val="00C7373C"/>
    <w:rsid w:val="00C76484"/>
    <w:rsid w:val="00C768C9"/>
    <w:rsid w:val="00C7696E"/>
    <w:rsid w:val="00C80A89"/>
    <w:rsid w:val="00C82804"/>
    <w:rsid w:val="00C82DF9"/>
    <w:rsid w:val="00C82FAB"/>
    <w:rsid w:val="00C8471D"/>
    <w:rsid w:val="00C84A85"/>
    <w:rsid w:val="00C862FE"/>
    <w:rsid w:val="00C87A70"/>
    <w:rsid w:val="00C9049B"/>
    <w:rsid w:val="00C90C05"/>
    <w:rsid w:val="00C911D4"/>
    <w:rsid w:val="00C91D02"/>
    <w:rsid w:val="00C926D9"/>
    <w:rsid w:val="00C928F3"/>
    <w:rsid w:val="00C92AE0"/>
    <w:rsid w:val="00C9310A"/>
    <w:rsid w:val="00C933B0"/>
    <w:rsid w:val="00C933FE"/>
    <w:rsid w:val="00C934C0"/>
    <w:rsid w:val="00C93F04"/>
    <w:rsid w:val="00C95827"/>
    <w:rsid w:val="00C95C4F"/>
    <w:rsid w:val="00C95CD7"/>
    <w:rsid w:val="00C97667"/>
    <w:rsid w:val="00CA0247"/>
    <w:rsid w:val="00CA13AA"/>
    <w:rsid w:val="00CA36D5"/>
    <w:rsid w:val="00CA425F"/>
    <w:rsid w:val="00CA4C50"/>
    <w:rsid w:val="00CA5040"/>
    <w:rsid w:val="00CA63ED"/>
    <w:rsid w:val="00CA724A"/>
    <w:rsid w:val="00CB0688"/>
    <w:rsid w:val="00CB2324"/>
    <w:rsid w:val="00CB35B9"/>
    <w:rsid w:val="00CB373B"/>
    <w:rsid w:val="00CB3999"/>
    <w:rsid w:val="00CB66BA"/>
    <w:rsid w:val="00CB6A88"/>
    <w:rsid w:val="00CB7DF8"/>
    <w:rsid w:val="00CC0183"/>
    <w:rsid w:val="00CC0681"/>
    <w:rsid w:val="00CC162E"/>
    <w:rsid w:val="00CC17C2"/>
    <w:rsid w:val="00CC1B30"/>
    <w:rsid w:val="00CC31D5"/>
    <w:rsid w:val="00CC4389"/>
    <w:rsid w:val="00CC4438"/>
    <w:rsid w:val="00CC6886"/>
    <w:rsid w:val="00CD051E"/>
    <w:rsid w:val="00CD0AB6"/>
    <w:rsid w:val="00CD25E3"/>
    <w:rsid w:val="00CD2A2A"/>
    <w:rsid w:val="00CD3808"/>
    <w:rsid w:val="00CD5C86"/>
    <w:rsid w:val="00CD66A3"/>
    <w:rsid w:val="00CD69DC"/>
    <w:rsid w:val="00CD6F0C"/>
    <w:rsid w:val="00CD75CE"/>
    <w:rsid w:val="00CE05C3"/>
    <w:rsid w:val="00CE12DD"/>
    <w:rsid w:val="00CE16E7"/>
    <w:rsid w:val="00CE2222"/>
    <w:rsid w:val="00CE2611"/>
    <w:rsid w:val="00CE3B6F"/>
    <w:rsid w:val="00CE4152"/>
    <w:rsid w:val="00CE50D9"/>
    <w:rsid w:val="00CE5AE1"/>
    <w:rsid w:val="00CE60BE"/>
    <w:rsid w:val="00CE75AD"/>
    <w:rsid w:val="00CF0628"/>
    <w:rsid w:val="00CF24F4"/>
    <w:rsid w:val="00CF2893"/>
    <w:rsid w:val="00CF3407"/>
    <w:rsid w:val="00CF348E"/>
    <w:rsid w:val="00CF3A03"/>
    <w:rsid w:val="00CF45C9"/>
    <w:rsid w:val="00CF4BBC"/>
    <w:rsid w:val="00CF535A"/>
    <w:rsid w:val="00CF5E6E"/>
    <w:rsid w:val="00CF6D1C"/>
    <w:rsid w:val="00D007C7"/>
    <w:rsid w:val="00D01051"/>
    <w:rsid w:val="00D018AA"/>
    <w:rsid w:val="00D02671"/>
    <w:rsid w:val="00D034CA"/>
    <w:rsid w:val="00D035B4"/>
    <w:rsid w:val="00D03B6E"/>
    <w:rsid w:val="00D03C72"/>
    <w:rsid w:val="00D056B6"/>
    <w:rsid w:val="00D066F6"/>
    <w:rsid w:val="00D06AA7"/>
    <w:rsid w:val="00D06BF3"/>
    <w:rsid w:val="00D10514"/>
    <w:rsid w:val="00D10AF3"/>
    <w:rsid w:val="00D113E5"/>
    <w:rsid w:val="00D114E2"/>
    <w:rsid w:val="00D124C1"/>
    <w:rsid w:val="00D12890"/>
    <w:rsid w:val="00D13A32"/>
    <w:rsid w:val="00D13AFC"/>
    <w:rsid w:val="00D13B60"/>
    <w:rsid w:val="00D15007"/>
    <w:rsid w:val="00D15F79"/>
    <w:rsid w:val="00D16345"/>
    <w:rsid w:val="00D16790"/>
    <w:rsid w:val="00D16F39"/>
    <w:rsid w:val="00D1726D"/>
    <w:rsid w:val="00D21989"/>
    <w:rsid w:val="00D21AB9"/>
    <w:rsid w:val="00D21B1A"/>
    <w:rsid w:val="00D21C8B"/>
    <w:rsid w:val="00D220B8"/>
    <w:rsid w:val="00D2383A"/>
    <w:rsid w:val="00D247E3"/>
    <w:rsid w:val="00D249FF"/>
    <w:rsid w:val="00D25207"/>
    <w:rsid w:val="00D25820"/>
    <w:rsid w:val="00D26730"/>
    <w:rsid w:val="00D26A60"/>
    <w:rsid w:val="00D26C5B"/>
    <w:rsid w:val="00D30237"/>
    <w:rsid w:val="00D31463"/>
    <w:rsid w:val="00D314B5"/>
    <w:rsid w:val="00D32838"/>
    <w:rsid w:val="00D32A27"/>
    <w:rsid w:val="00D341DC"/>
    <w:rsid w:val="00D34A0C"/>
    <w:rsid w:val="00D34B8D"/>
    <w:rsid w:val="00D354CD"/>
    <w:rsid w:val="00D35985"/>
    <w:rsid w:val="00D35B78"/>
    <w:rsid w:val="00D35D9A"/>
    <w:rsid w:val="00D35E83"/>
    <w:rsid w:val="00D37048"/>
    <w:rsid w:val="00D372CF"/>
    <w:rsid w:val="00D3767B"/>
    <w:rsid w:val="00D40483"/>
    <w:rsid w:val="00D40AB0"/>
    <w:rsid w:val="00D40BC7"/>
    <w:rsid w:val="00D41953"/>
    <w:rsid w:val="00D4357D"/>
    <w:rsid w:val="00D43A1A"/>
    <w:rsid w:val="00D468D0"/>
    <w:rsid w:val="00D500BF"/>
    <w:rsid w:val="00D51AF5"/>
    <w:rsid w:val="00D53A52"/>
    <w:rsid w:val="00D5480B"/>
    <w:rsid w:val="00D55444"/>
    <w:rsid w:val="00D564E3"/>
    <w:rsid w:val="00D5739B"/>
    <w:rsid w:val="00D574F2"/>
    <w:rsid w:val="00D6023D"/>
    <w:rsid w:val="00D61214"/>
    <w:rsid w:val="00D61B98"/>
    <w:rsid w:val="00D61D16"/>
    <w:rsid w:val="00D61E7D"/>
    <w:rsid w:val="00D6202A"/>
    <w:rsid w:val="00D621F4"/>
    <w:rsid w:val="00D63DB8"/>
    <w:rsid w:val="00D64816"/>
    <w:rsid w:val="00D64ECA"/>
    <w:rsid w:val="00D665B2"/>
    <w:rsid w:val="00D66C2E"/>
    <w:rsid w:val="00D66D09"/>
    <w:rsid w:val="00D66F82"/>
    <w:rsid w:val="00D670E6"/>
    <w:rsid w:val="00D72216"/>
    <w:rsid w:val="00D72EDA"/>
    <w:rsid w:val="00D731F8"/>
    <w:rsid w:val="00D73986"/>
    <w:rsid w:val="00D74855"/>
    <w:rsid w:val="00D77220"/>
    <w:rsid w:val="00D7762D"/>
    <w:rsid w:val="00D800FE"/>
    <w:rsid w:val="00D81261"/>
    <w:rsid w:val="00D8132B"/>
    <w:rsid w:val="00D82597"/>
    <w:rsid w:val="00D842A0"/>
    <w:rsid w:val="00D847DE"/>
    <w:rsid w:val="00D84AF7"/>
    <w:rsid w:val="00D85C9E"/>
    <w:rsid w:val="00D85F28"/>
    <w:rsid w:val="00D86C32"/>
    <w:rsid w:val="00D9011C"/>
    <w:rsid w:val="00D9035F"/>
    <w:rsid w:val="00D92E3A"/>
    <w:rsid w:val="00D9418D"/>
    <w:rsid w:val="00D94C7A"/>
    <w:rsid w:val="00D94E38"/>
    <w:rsid w:val="00D97017"/>
    <w:rsid w:val="00D9741F"/>
    <w:rsid w:val="00DA07C7"/>
    <w:rsid w:val="00DA27EC"/>
    <w:rsid w:val="00DA3989"/>
    <w:rsid w:val="00DA4748"/>
    <w:rsid w:val="00DA4D0E"/>
    <w:rsid w:val="00DA64CB"/>
    <w:rsid w:val="00DA7B6A"/>
    <w:rsid w:val="00DB0092"/>
    <w:rsid w:val="00DB0954"/>
    <w:rsid w:val="00DB18AD"/>
    <w:rsid w:val="00DB2955"/>
    <w:rsid w:val="00DB2EFE"/>
    <w:rsid w:val="00DB4798"/>
    <w:rsid w:val="00DB4970"/>
    <w:rsid w:val="00DB5B76"/>
    <w:rsid w:val="00DC1374"/>
    <w:rsid w:val="00DC4171"/>
    <w:rsid w:val="00DC5625"/>
    <w:rsid w:val="00DC5B65"/>
    <w:rsid w:val="00DC6A28"/>
    <w:rsid w:val="00DD30F5"/>
    <w:rsid w:val="00DD39E9"/>
    <w:rsid w:val="00DD3D36"/>
    <w:rsid w:val="00DD601D"/>
    <w:rsid w:val="00DD6416"/>
    <w:rsid w:val="00DD7FB6"/>
    <w:rsid w:val="00DE072E"/>
    <w:rsid w:val="00DE1978"/>
    <w:rsid w:val="00DE5FC7"/>
    <w:rsid w:val="00DE7168"/>
    <w:rsid w:val="00DE745D"/>
    <w:rsid w:val="00DE7DE4"/>
    <w:rsid w:val="00DF04D7"/>
    <w:rsid w:val="00DF070F"/>
    <w:rsid w:val="00DF0A40"/>
    <w:rsid w:val="00DF0DF2"/>
    <w:rsid w:val="00DF2E38"/>
    <w:rsid w:val="00DF386C"/>
    <w:rsid w:val="00DF3A0F"/>
    <w:rsid w:val="00DF5173"/>
    <w:rsid w:val="00DF647A"/>
    <w:rsid w:val="00DF6824"/>
    <w:rsid w:val="00DF69F7"/>
    <w:rsid w:val="00DF6A86"/>
    <w:rsid w:val="00E002F8"/>
    <w:rsid w:val="00E00533"/>
    <w:rsid w:val="00E0078B"/>
    <w:rsid w:val="00E02754"/>
    <w:rsid w:val="00E03D55"/>
    <w:rsid w:val="00E0427B"/>
    <w:rsid w:val="00E04406"/>
    <w:rsid w:val="00E0525B"/>
    <w:rsid w:val="00E05645"/>
    <w:rsid w:val="00E073C2"/>
    <w:rsid w:val="00E078FD"/>
    <w:rsid w:val="00E1076D"/>
    <w:rsid w:val="00E10947"/>
    <w:rsid w:val="00E12362"/>
    <w:rsid w:val="00E12AE6"/>
    <w:rsid w:val="00E12D51"/>
    <w:rsid w:val="00E1485F"/>
    <w:rsid w:val="00E14988"/>
    <w:rsid w:val="00E155AB"/>
    <w:rsid w:val="00E15F44"/>
    <w:rsid w:val="00E16A27"/>
    <w:rsid w:val="00E1727F"/>
    <w:rsid w:val="00E17CA2"/>
    <w:rsid w:val="00E207E5"/>
    <w:rsid w:val="00E234B8"/>
    <w:rsid w:val="00E24030"/>
    <w:rsid w:val="00E251FB"/>
    <w:rsid w:val="00E25BF7"/>
    <w:rsid w:val="00E26531"/>
    <w:rsid w:val="00E27451"/>
    <w:rsid w:val="00E30176"/>
    <w:rsid w:val="00E30C83"/>
    <w:rsid w:val="00E31D9B"/>
    <w:rsid w:val="00E324C1"/>
    <w:rsid w:val="00E3297A"/>
    <w:rsid w:val="00E34EB5"/>
    <w:rsid w:val="00E401CD"/>
    <w:rsid w:val="00E40CDE"/>
    <w:rsid w:val="00E417B2"/>
    <w:rsid w:val="00E41CB5"/>
    <w:rsid w:val="00E43435"/>
    <w:rsid w:val="00E43F74"/>
    <w:rsid w:val="00E440A7"/>
    <w:rsid w:val="00E443EC"/>
    <w:rsid w:val="00E452D3"/>
    <w:rsid w:val="00E4581D"/>
    <w:rsid w:val="00E464F5"/>
    <w:rsid w:val="00E47F63"/>
    <w:rsid w:val="00E50A8B"/>
    <w:rsid w:val="00E50D06"/>
    <w:rsid w:val="00E52B9A"/>
    <w:rsid w:val="00E52DDF"/>
    <w:rsid w:val="00E53540"/>
    <w:rsid w:val="00E540D5"/>
    <w:rsid w:val="00E54926"/>
    <w:rsid w:val="00E54CAA"/>
    <w:rsid w:val="00E55A68"/>
    <w:rsid w:val="00E56052"/>
    <w:rsid w:val="00E574AD"/>
    <w:rsid w:val="00E5758C"/>
    <w:rsid w:val="00E57EBE"/>
    <w:rsid w:val="00E57F24"/>
    <w:rsid w:val="00E60606"/>
    <w:rsid w:val="00E60AF8"/>
    <w:rsid w:val="00E60C85"/>
    <w:rsid w:val="00E61FAE"/>
    <w:rsid w:val="00E62752"/>
    <w:rsid w:val="00E64DCC"/>
    <w:rsid w:val="00E64F45"/>
    <w:rsid w:val="00E66FE6"/>
    <w:rsid w:val="00E674AC"/>
    <w:rsid w:val="00E674EE"/>
    <w:rsid w:val="00E707FE"/>
    <w:rsid w:val="00E71DFB"/>
    <w:rsid w:val="00E720A2"/>
    <w:rsid w:val="00E73F21"/>
    <w:rsid w:val="00E73FB3"/>
    <w:rsid w:val="00E740A6"/>
    <w:rsid w:val="00E75D70"/>
    <w:rsid w:val="00E763B6"/>
    <w:rsid w:val="00E76FD3"/>
    <w:rsid w:val="00E779D3"/>
    <w:rsid w:val="00E80BEE"/>
    <w:rsid w:val="00E80E71"/>
    <w:rsid w:val="00E82736"/>
    <w:rsid w:val="00E84339"/>
    <w:rsid w:val="00E84683"/>
    <w:rsid w:val="00E857EF"/>
    <w:rsid w:val="00E86A9E"/>
    <w:rsid w:val="00E86D25"/>
    <w:rsid w:val="00E87973"/>
    <w:rsid w:val="00E915F8"/>
    <w:rsid w:val="00E934E8"/>
    <w:rsid w:val="00E93E58"/>
    <w:rsid w:val="00E94D35"/>
    <w:rsid w:val="00E95521"/>
    <w:rsid w:val="00E95541"/>
    <w:rsid w:val="00E9597E"/>
    <w:rsid w:val="00E96333"/>
    <w:rsid w:val="00E97937"/>
    <w:rsid w:val="00E97A1C"/>
    <w:rsid w:val="00EA022E"/>
    <w:rsid w:val="00EA0B5B"/>
    <w:rsid w:val="00EA0CE4"/>
    <w:rsid w:val="00EA1F88"/>
    <w:rsid w:val="00EA221C"/>
    <w:rsid w:val="00EA3877"/>
    <w:rsid w:val="00EA3DE3"/>
    <w:rsid w:val="00EA4887"/>
    <w:rsid w:val="00EA4AFA"/>
    <w:rsid w:val="00EA5385"/>
    <w:rsid w:val="00EA658F"/>
    <w:rsid w:val="00EB1EE6"/>
    <w:rsid w:val="00EB30B7"/>
    <w:rsid w:val="00EB3CE1"/>
    <w:rsid w:val="00EB51DF"/>
    <w:rsid w:val="00EB5A98"/>
    <w:rsid w:val="00EB5F20"/>
    <w:rsid w:val="00EB72B6"/>
    <w:rsid w:val="00EC1088"/>
    <w:rsid w:val="00EC15F7"/>
    <w:rsid w:val="00EC1AFB"/>
    <w:rsid w:val="00EC3015"/>
    <w:rsid w:val="00EC36E8"/>
    <w:rsid w:val="00EC3831"/>
    <w:rsid w:val="00EC4D02"/>
    <w:rsid w:val="00ED0586"/>
    <w:rsid w:val="00ED1EE1"/>
    <w:rsid w:val="00ED2EE9"/>
    <w:rsid w:val="00ED33D6"/>
    <w:rsid w:val="00ED3545"/>
    <w:rsid w:val="00ED3575"/>
    <w:rsid w:val="00ED3EDE"/>
    <w:rsid w:val="00ED7181"/>
    <w:rsid w:val="00ED774F"/>
    <w:rsid w:val="00ED7B8B"/>
    <w:rsid w:val="00EE3135"/>
    <w:rsid w:val="00EE3628"/>
    <w:rsid w:val="00EE462E"/>
    <w:rsid w:val="00EE4D6B"/>
    <w:rsid w:val="00EE6111"/>
    <w:rsid w:val="00EE66E5"/>
    <w:rsid w:val="00EE67A1"/>
    <w:rsid w:val="00EE6A79"/>
    <w:rsid w:val="00EE79F6"/>
    <w:rsid w:val="00EF0234"/>
    <w:rsid w:val="00EF08AC"/>
    <w:rsid w:val="00EF107E"/>
    <w:rsid w:val="00EF1AD3"/>
    <w:rsid w:val="00EF3398"/>
    <w:rsid w:val="00EF3648"/>
    <w:rsid w:val="00EF3E5C"/>
    <w:rsid w:val="00EF3F7C"/>
    <w:rsid w:val="00EF601F"/>
    <w:rsid w:val="00EF729B"/>
    <w:rsid w:val="00EF79E0"/>
    <w:rsid w:val="00F01722"/>
    <w:rsid w:val="00F024B9"/>
    <w:rsid w:val="00F024F8"/>
    <w:rsid w:val="00F0292F"/>
    <w:rsid w:val="00F02968"/>
    <w:rsid w:val="00F037C0"/>
    <w:rsid w:val="00F066B2"/>
    <w:rsid w:val="00F06BEC"/>
    <w:rsid w:val="00F11A62"/>
    <w:rsid w:val="00F1290A"/>
    <w:rsid w:val="00F13BCC"/>
    <w:rsid w:val="00F14879"/>
    <w:rsid w:val="00F15161"/>
    <w:rsid w:val="00F15447"/>
    <w:rsid w:val="00F1681F"/>
    <w:rsid w:val="00F17A8A"/>
    <w:rsid w:val="00F206ED"/>
    <w:rsid w:val="00F2072F"/>
    <w:rsid w:val="00F2313D"/>
    <w:rsid w:val="00F2387E"/>
    <w:rsid w:val="00F256AB"/>
    <w:rsid w:val="00F26039"/>
    <w:rsid w:val="00F268CF"/>
    <w:rsid w:val="00F2690E"/>
    <w:rsid w:val="00F269B5"/>
    <w:rsid w:val="00F26F04"/>
    <w:rsid w:val="00F27EF7"/>
    <w:rsid w:val="00F316F5"/>
    <w:rsid w:val="00F31C40"/>
    <w:rsid w:val="00F33333"/>
    <w:rsid w:val="00F3361A"/>
    <w:rsid w:val="00F34175"/>
    <w:rsid w:val="00F342F4"/>
    <w:rsid w:val="00F34E66"/>
    <w:rsid w:val="00F35320"/>
    <w:rsid w:val="00F3582A"/>
    <w:rsid w:val="00F3591D"/>
    <w:rsid w:val="00F35C58"/>
    <w:rsid w:val="00F35DE6"/>
    <w:rsid w:val="00F36028"/>
    <w:rsid w:val="00F371AA"/>
    <w:rsid w:val="00F4102C"/>
    <w:rsid w:val="00F431D4"/>
    <w:rsid w:val="00F4382D"/>
    <w:rsid w:val="00F43852"/>
    <w:rsid w:val="00F43C49"/>
    <w:rsid w:val="00F44FF1"/>
    <w:rsid w:val="00F46E03"/>
    <w:rsid w:val="00F47911"/>
    <w:rsid w:val="00F50723"/>
    <w:rsid w:val="00F52552"/>
    <w:rsid w:val="00F52FD0"/>
    <w:rsid w:val="00F549FE"/>
    <w:rsid w:val="00F55332"/>
    <w:rsid w:val="00F554B8"/>
    <w:rsid w:val="00F57889"/>
    <w:rsid w:val="00F57D2B"/>
    <w:rsid w:val="00F57DFD"/>
    <w:rsid w:val="00F60243"/>
    <w:rsid w:val="00F6196D"/>
    <w:rsid w:val="00F61C6A"/>
    <w:rsid w:val="00F658C5"/>
    <w:rsid w:val="00F667A9"/>
    <w:rsid w:val="00F66969"/>
    <w:rsid w:val="00F670BA"/>
    <w:rsid w:val="00F6781C"/>
    <w:rsid w:val="00F67AC0"/>
    <w:rsid w:val="00F704FA"/>
    <w:rsid w:val="00F7129B"/>
    <w:rsid w:val="00F71622"/>
    <w:rsid w:val="00F71D77"/>
    <w:rsid w:val="00F71F20"/>
    <w:rsid w:val="00F729B0"/>
    <w:rsid w:val="00F73C03"/>
    <w:rsid w:val="00F73FF7"/>
    <w:rsid w:val="00F74BD6"/>
    <w:rsid w:val="00F754CC"/>
    <w:rsid w:val="00F75B01"/>
    <w:rsid w:val="00F75BFE"/>
    <w:rsid w:val="00F77D17"/>
    <w:rsid w:val="00F81F22"/>
    <w:rsid w:val="00F82385"/>
    <w:rsid w:val="00F829C8"/>
    <w:rsid w:val="00F8412D"/>
    <w:rsid w:val="00F85C5B"/>
    <w:rsid w:val="00F86219"/>
    <w:rsid w:val="00F90B36"/>
    <w:rsid w:val="00F91D06"/>
    <w:rsid w:val="00F92112"/>
    <w:rsid w:val="00F9243D"/>
    <w:rsid w:val="00F9406B"/>
    <w:rsid w:val="00F948E4"/>
    <w:rsid w:val="00F94A22"/>
    <w:rsid w:val="00F95C5F"/>
    <w:rsid w:val="00F972BA"/>
    <w:rsid w:val="00FA1BC5"/>
    <w:rsid w:val="00FA36F6"/>
    <w:rsid w:val="00FA3715"/>
    <w:rsid w:val="00FA4353"/>
    <w:rsid w:val="00FA494F"/>
    <w:rsid w:val="00FA626F"/>
    <w:rsid w:val="00FA7218"/>
    <w:rsid w:val="00FA7B83"/>
    <w:rsid w:val="00FA7DF6"/>
    <w:rsid w:val="00FB2FE5"/>
    <w:rsid w:val="00FB57A3"/>
    <w:rsid w:val="00FB58E0"/>
    <w:rsid w:val="00FB6C90"/>
    <w:rsid w:val="00FB6E00"/>
    <w:rsid w:val="00FB6EE4"/>
    <w:rsid w:val="00FB78BD"/>
    <w:rsid w:val="00FB7B14"/>
    <w:rsid w:val="00FC03E3"/>
    <w:rsid w:val="00FC10AD"/>
    <w:rsid w:val="00FC1F73"/>
    <w:rsid w:val="00FC28CC"/>
    <w:rsid w:val="00FC33EA"/>
    <w:rsid w:val="00FC3E36"/>
    <w:rsid w:val="00FC3EDC"/>
    <w:rsid w:val="00FC5C6C"/>
    <w:rsid w:val="00FC64B1"/>
    <w:rsid w:val="00FD130B"/>
    <w:rsid w:val="00FD1B97"/>
    <w:rsid w:val="00FD24F4"/>
    <w:rsid w:val="00FD29E0"/>
    <w:rsid w:val="00FD5F73"/>
    <w:rsid w:val="00FD641B"/>
    <w:rsid w:val="00FD6A34"/>
    <w:rsid w:val="00FE1F12"/>
    <w:rsid w:val="00FE263C"/>
    <w:rsid w:val="00FE2931"/>
    <w:rsid w:val="00FE6BCA"/>
    <w:rsid w:val="00FE7E77"/>
    <w:rsid w:val="00FF0189"/>
    <w:rsid w:val="00FF0DF5"/>
    <w:rsid w:val="00FF1446"/>
    <w:rsid w:val="00FF6ABF"/>
    <w:rsid w:val="00FF7B8B"/>
    <w:rsid w:val="00FF7CFD"/>
    <w:rsid w:val="00FF7D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ABED4"/>
  <w15:chartTrackingRefBased/>
  <w15:docId w15:val="{7CA8F70B-31DC-400A-8DC4-30166982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4A22"/>
    <w:pPr>
      <w:spacing w:after="200" w:line="288" w:lineRule="auto"/>
    </w:pPr>
    <w:rPr>
      <w:rFonts w:ascii="Arial" w:eastAsiaTheme="minorEastAsia" w:hAnsi="Arial"/>
      <w:szCs w:val="24"/>
      <w:lang w:eastAsia="ja-JP"/>
    </w:rPr>
  </w:style>
  <w:style w:type="paragraph" w:styleId="Heading1">
    <w:name w:val="heading 1"/>
    <w:basedOn w:val="Normal"/>
    <w:next w:val="Normal"/>
    <w:link w:val="Heading1Char"/>
    <w:uiPriority w:val="9"/>
    <w:qFormat/>
    <w:rsid w:val="00CC17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4A22"/>
    <w:pPr>
      <w:pageBreakBefore/>
      <w:numPr>
        <w:numId w:val="1"/>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D4A22"/>
    <w:pPr>
      <w:numPr>
        <w:ilvl w:val="1"/>
        <w:numId w:val="1"/>
      </w:numPr>
      <w:outlineLvl w:val="2"/>
    </w:pPr>
    <w:rPr>
      <w:rFonts w:eastAsiaTheme="minorHAnsi"/>
      <w:b/>
      <w:color w:val="6A2875"/>
      <w:sz w:val="36"/>
      <w:szCs w:val="44"/>
    </w:rPr>
  </w:style>
  <w:style w:type="paragraph" w:styleId="Heading4">
    <w:name w:val="heading 4"/>
    <w:basedOn w:val="Heading3"/>
    <w:next w:val="Normal"/>
    <w:link w:val="Heading4Char"/>
    <w:uiPriority w:val="9"/>
    <w:unhideWhenUsed/>
    <w:qFormat/>
    <w:rsid w:val="00BD4A22"/>
    <w:pPr>
      <w:keepNext/>
      <w:numPr>
        <w:ilvl w:val="2"/>
      </w:numPr>
      <w:spacing w:before="240" w:after="240" w:line="269" w:lineRule="auto"/>
      <w:outlineLvl w:val="3"/>
    </w:pPr>
    <w:rPr>
      <w:sz w:val="30"/>
      <w:szCs w:val="30"/>
    </w:rPr>
  </w:style>
  <w:style w:type="paragraph" w:styleId="Heading5">
    <w:name w:val="heading 5"/>
    <w:basedOn w:val="Normal"/>
    <w:next w:val="Normal"/>
    <w:link w:val="Heading5Char"/>
    <w:uiPriority w:val="9"/>
    <w:semiHidden/>
    <w:unhideWhenUsed/>
    <w:qFormat/>
    <w:rsid w:val="007E34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A22"/>
    <w:rPr>
      <w:rFonts w:ascii="Arial" w:eastAsiaTheme="majorEastAsia" w:hAnsi="Arial" w:cstheme="majorBidi"/>
      <w:b/>
      <w:bCs/>
      <w:color w:val="6A2875"/>
      <w:sz w:val="44"/>
      <w:szCs w:val="26"/>
      <w:lang w:val="en-US" w:eastAsia="ja-JP"/>
    </w:rPr>
  </w:style>
  <w:style w:type="character" w:customStyle="1" w:styleId="Heading3Char">
    <w:name w:val="Heading 3 Char"/>
    <w:basedOn w:val="DefaultParagraphFont"/>
    <w:link w:val="Heading3"/>
    <w:uiPriority w:val="9"/>
    <w:rsid w:val="00BD4A22"/>
    <w:rPr>
      <w:rFonts w:ascii="Arial" w:hAnsi="Arial"/>
      <w:b/>
      <w:color w:val="6A2875"/>
      <w:sz w:val="36"/>
      <w:szCs w:val="44"/>
      <w:lang w:val="en-US" w:eastAsia="ja-JP"/>
    </w:rPr>
  </w:style>
  <w:style w:type="character" w:customStyle="1" w:styleId="Heading4Char">
    <w:name w:val="Heading 4 Char"/>
    <w:basedOn w:val="DefaultParagraphFont"/>
    <w:link w:val="Heading4"/>
    <w:uiPriority w:val="9"/>
    <w:rsid w:val="00BD4A22"/>
    <w:rPr>
      <w:rFonts w:ascii="Arial" w:hAnsi="Arial"/>
      <w:b/>
      <w:color w:val="6A2875"/>
      <w:sz w:val="30"/>
      <w:szCs w:val="30"/>
      <w:lang w:val="en-US" w:eastAsia="ja-JP"/>
    </w:rPr>
  </w:style>
  <w:style w:type="paragraph" w:customStyle="1" w:styleId="BodyText1">
    <w:name w:val="Body Text1"/>
    <w:basedOn w:val="Normal"/>
    <w:link w:val="BodyText1Char"/>
    <w:rsid w:val="00BD4A22"/>
    <w:pPr>
      <w:spacing w:after="120" w:line="240" w:lineRule="auto"/>
    </w:pPr>
    <w:rPr>
      <w:rFonts w:eastAsia="MS Mincho" w:cs="FSMe-Bold"/>
      <w:spacing w:val="-2"/>
      <w:sz w:val="20"/>
      <w:szCs w:val="20"/>
      <w:lang w:eastAsia="en-US"/>
    </w:rPr>
  </w:style>
  <w:style w:type="character" w:styleId="CommentReference">
    <w:name w:val="annotation reference"/>
    <w:basedOn w:val="DefaultParagraphFont"/>
    <w:uiPriority w:val="99"/>
    <w:unhideWhenUsed/>
    <w:rsid w:val="00BD4A22"/>
    <w:rPr>
      <w:sz w:val="16"/>
      <w:szCs w:val="16"/>
    </w:rPr>
  </w:style>
  <w:style w:type="paragraph" w:styleId="CommentText">
    <w:name w:val="annotation text"/>
    <w:basedOn w:val="Normal"/>
    <w:link w:val="CommentTextChar"/>
    <w:uiPriority w:val="99"/>
    <w:unhideWhenUsed/>
    <w:rsid w:val="00BD4A22"/>
    <w:pPr>
      <w:spacing w:line="240" w:lineRule="auto"/>
    </w:pPr>
    <w:rPr>
      <w:sz w:val="20"/>
      <w:szCs w:val="20"/>
    </w:rPr>
  </w:style>
  <w:style w:type="character" w:customStyle="1" w:styleId="CommentTextChar">
    <w:name w:val="Comment Text Char"/>
    <w:basedOn w:val="DefaultParagraphFont"/>
    <w:link w:val="CommentText"/>
    <w:uiPriority w:val="99"/>
    <w:rsid w:val="00BD4A22"/>
    <w:rPr>
      <w:rFonts w:ascii="Arial" w:eastAsiaTheme="minorEastAsia" w:hAnsi="Arial"/>
      <w:sz w:val="20"/>
      <w:szCs w:val="20"/>
      <w:lang w:val="en-US" w:eastAsia="ja-JP"/>
    </w:rPr>
  </w:style>
  <w:style w:type="paragraph" w:customStyle="1" w:styleId="FSRHeading5">
    <w:name w:val="FSR_Heading5"/>
    <w:basedOn w:val="Normal"/>
    <w:link w:val="FSRHeading5Char"/>
    <w:qFormat/>
    <w:rsid w:val="00C76484"/>
    <w:pPr>
      <w:spacing w:before="200"/>
    </w:pPr>
    <w:rPr>
      <w:b/>
      <w:i/>
      <w:color w:val="ED7D31" w:themeColor="accent2"/>
      <w:sz w:val="24"/>
    </w:rPr>
  </w:style>
  <w:style w:type="character" w:customStyle="1" w:styleId="FSRHeading5Char">
    <w:name w:val="FSR_Heading5 Char"/>
    <w:basedOn w:val="DefaultParagraphFont"/>
    <w:link w:val="FSRHeading5"/>
    <w:rsid w:val="00C76484"/>
    <w:rPr>
      <w:rFonts w:ascii="Arial" w:eastAsiaTheme="minorEastAsia" w:hAnsi="Arial"/>
      <w:b/>
      <w:i/>
      <w:color w:val="ED7D31" w:themeColor="accent2"/>
      <w:sz w:val="24"/>
      <w:szCs w:val="24"/>
      <w:lang w:val="en-US" w:eastAsia="ja-JP"/>
    </w:rPr>
  </w:style>
  <w:style w:type="character" w:customStyle="1" w:styleId="BodyText1Char">
    <w:name w:val="Body Text1 Char"/>
    <w:basedOn w:val="DefaultParagraphFont"/>
    <w:link w:val="BodyText1"/>
    <w:locked/>
    <w:rsid w:val="00BD4A22"/>
    <w:rPr>
      <w:rFonts w:ascii="Arial" w:eastAsia="MS Mincho" w:hAnsi="Arial" w:cs="FSMe-Bold"/>
      <w:spacing w:val="-2"/>
      <w:sz w:val="20"/>
      <w:szCs w:val="20"/>
      <w:lang w:val="en-US"/>
    </w:rPr>
  </w:style>
  <w:style w:type="paragraph" w:styleId="BalloonText">
    <w:name w:val="Balloon Text"/>
    <w:basedOn w:val="Normal"/>
    <w:link w:val="BalloonTextChar"/>
    <w:uiPriority w:val="99"/>
    <w:semiHidden/>
    <w:unhideWhenUsed/>
    <w:rsid w:val="00BD4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A22"/>
    <w:rPr>
      <w:rFonts w:ascii="Segoe UI" w:eastAsiaTheme="minorEastAsia" w:hAnsi="Segoe UI" w:cs="Segoe UI"/>
      <w:sz w:val="18"/>
      <w:szCs w:val="18"/>
      <w:lang w:val="en-US" w:eastAsia="ja-JP"/>
    </w:rPr>
  </w:style>
  <w:style w:type="paragraph" w:styleId="Header">
    <w:name w:val="header"/>
    <w:basedOn w:val="Normal"/>
    <w:link w:val="HeaderChar"/>
    <w:uiPriority w:val="99"/>
    <w:unhideWhenUsed/>
    <w:rsid w:val="00BD4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A22"/>
    <w:rPr>
      <w:rFonts w:ascii="Arial" w:eastAsiaTheme="minorEastAsia" w:hAnsi="Arial"/>
      <w:szCs w:val="24"/>
      <w:lang w:val="en-US" w:eastAsia="ja-JP"/>
    </w:rPr>
  </w:style>
  <w:style w:type="paragraph" w:styleId="Footer">
    <w:name w:val="footer"/>
    <w:basedOn w:val="Normal"/>
    <w:link w:val="FooterChar"/>
    <w:uiPriority w:val="99"/>
    <w:unhideWhenUsed/>
    <w:rsid w:val="00BD4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A22"/>
    <w:rPr>
      <w:rFonts w:ascii="Arial" w:eastAsiaTheme="minorEastAsia" w:hAnsi="Arial"/>
      <w:szCs w:val="24"/>
      <w:lang w:val="en-US" w:eastAsia="ja-JP"/>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Number"/>
    <w:basedOn w:val="Normal"/>
    <w:link w:val="ListParagraphChar"/>
    <w:uiPriority w:val="34"/>
    <w:qFormat/>
    <w:rsid w:val="00BD4A22"/>
    <w:pPr>
      <w:ind w:left="720"/>
      <w:contextualSpacing/>
    </w:pPr>
  </w:style>
  <w:style w:type="paragraph" w:customStyle="1" w:styleId="tablelistbullet">
    <w:name w:val="table list bullet"/>
    <w:basedOn w:val="ListParagraph"/>
    <w:rsid w:val="00BD4A22"/>
    <w:pPr>
      <w:numPr>
        <w:numId w:val="2"/>
      </w:numPr>
      <w:tabs>
        <w:tab w:val="num" w:pos="360"/>
      </w:tabs>
      <w:spacing w:after="120" w:line="240" w:lineRule="auto"/>
      <w:ind w:firstLine="0"/>
    </w:pPr>
    <w:rPr>
      <w:rFonts w:eastAsia="MS Mincho" w:cs="FSMe-Bold"/>
      <w:spacing w:val="-2"/>
      <w:sz w:val="20"/>
      <w:szCs w:val="20"/>
      <w:lang w:eastAsia="en-US"/>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BD4A22"/>
    <w:rPr>
      <w:rFonts w:ascii="Arial" w:eastAsiaTheme="minorEastAsia" w:hAnsi="Arial"/>
      <w:szCs w:val="24"/>
      <w:lang w:val="en-US" w:eastAsia="ja-JP"/>
    </w:rPr>
  </w:style>
  <w:style w:type="paragraph" w:customStyle="1" w:styleId="FSRlist">
    <w:name w:val="FSR_list"/>
    <w:basedOn w:val="ListParagraph"/>
    <w:link w:val="FSRlistChar"/>
    <w:qFormat/>
    <w:rsid w:val="00BD4A22"/>
    <w:pPr>
      <w:numPr>
        <w:numId w:val="4"/>
      </w:numPr>
      <w:spacing w:before="120" w:after="120"/>
      <w:contextualSpacing w:val="0"/>
    </w:pPr>
  </w:style>
  <w:style w:type="paragraph" w:customStyle="1" w:styleId="FSRsublist">
    <w:name w:val="FSR_sublist"/>
    <w:basedOn w:val="ListParagraph"/>
    <w:link w:val="FSRsublistChar"/>
    <w:qFormat/>
    <w:rsid w:val="00BD4A22"/>
    <w:pPr>
      <w:numPr>
        <w:ilvl w:val="1"/>
        <w:numId w:val="3"/>
      </w:numPr>
      <w:spacing w:after="0"/>
    </w:pPr>
  </w:style>
  <w:style w:type="character" w:customStyle="1" w:styleId="FSRlistChar">
    <w:name w:val="FSR_list Char"/>
    <w:basedOn w:val="ListParagraphChar"/>
    <w:link w:val="FSRlist"/>
    <w:rsid w:val="00BD4A22"/>
    <w:rPr>
      <w:rFonts w:ascii="Arial" w:eastAsiaTheme="minorEastAsia" w:hAnsi="Arial"/>
      <w:szCs w:val="24"/>
      <w:lang w:val="en-US" w:eastAsia="ja-JP"/>
    </w:rPr>
  </w:style>
  <w:style w:type="paragraph" w:customStyle="1" w:styleId="FSRnormal">
    <w:name w:val="FSR_normal"/>
    <w:basedOn w:val="Normal"/>
    <w:link w:val="FSRnormalChar"/>
    <w:qFormat/>
    <w:rsid w:val="00BD4A22"/>
    <w:pPr>
      <w:spacing w:before="240"/>
    </w:pPr>
  </w:style>
  <w:style w:type="character" w:customStyle="1" w:styleId="FSRnormalChar">
    <w:name w:val="FSR_normal Char"/>
    <w:basedOn w:val="DefaultParagraphFont"/>
    <w:link w:val="FSRnormal"/>
    <w:rsid w:val="00BD4A22"/>
    <w:rPr>
      <w:rFonts w:ascii="Arial" w:eastAsiaTheme="minorEastAsia" w:hAnsi="Arial"/>
      <w:szCs w:val="24"/>
      <w:lang w:val="en-US" w:eastAsia="ja-JP"/>
    </w:rPr>
  </w:style>
  <w:style w:type="paragraph" w:customStyle="1" w:styleId="FSRHeading2">
    <w:name w:val="FSR_Heading2"/>
    <w:basedOn w:val="Heading3"/>
    <w:link w:val="FSRHeading2Char"/>
    <w:qFormat/>
    <w:rsid w:val="00BD4A22"/>
    <w:pPr>
      <w:keepNext/>
      <w:numPr>
        <w:numId w:val="2"/>
      </w:numPr>
      <w:spacing w:before="480" w:after="120"/>
    </w:pPr>
  </w:style>
  <w:style w:type="character" w:customStyle="1" w:styleId="FSRHeading2Char">
    <w:name w:val="FSR_Heading2 Char"/>
    <w:basedOn w:val="Heading3Char"/>
    <w:link w:val="FSRHeading2"/>
    <w:rsid w:val="00BD4A22"/>
    <w:rPr>
      <w:rFonts w:ascii="Arial" w:hAnsi="Arial"/>
      <w:b/>
      <w:color w:val="6A2875"/>
      <w:sz w:val="36"/>
      <w:szCs w:val="44"/>
      <w:lang w:val="en-US" w:eastAsia="ja-JP"/>
    </w:rPr>
  </w:style>
  <w:style w:type="paragraph" w:customStyle="1" w:styleId="FSRzlegislation">
    <w:name w:val="FSR_zlegislation"/>
    <w:basedOn w:val="FSRsublist"/>
    <w:link w:val="FSRzlegislationChar"/>
    <w:qFormat/>
    <w:rsid w:val="00BD4A22"/>
    <w:pPr>
      <w:numPr>
        <w:ilvl w:val="0"/>
        <w:numId w:val="5"/>
      </w:numPr>
      <w:ind w:left="1208" w:hanging="357"/>
    </w:pPr>
    <w:rPr>
      <w:i/>
    </w:rPr>
  </w:style>
  <w:style w:type="character" w:customStyle="1" w:styleId="FSRzlegislationChar">
    <w:name w:val="FSR_zlegislation Char"/>
    <w:basedOn w:val="DefaultParagraphFont"/>
    <w:link w:val="FSRzlegislation"/>
    <w:rsid w:val="00BD4A22"/>
    <w:rPr>
      <w:rFonts w:ascii="Arial" w:eastAsiaTheme="minorEastAsia" w:hAnsi="Arial"/>
      <w:i/>
      <w:szCs w:val="24"/>
      <w:lang w:val="en-US" w:eastAsia="ja-JP"/>
    </w:rPr>
  </w:style>
  <w:style w:type="character" w:customStyle="1" w:styleId="Heading1Char">
    <w:name w:val="Heading 1 Char"/>
    <w:basedOn w:val="DefaultParagraphFont"/>
    <w:link w:val="Heading1"/>
    <w:uiPriority w:val="9"/>
    <w:rsid w:val="00CC17C2"/>
    <w:rPr>
      <w:rFonts w:asciiTheme="majorHAnsi" w:eastAsiaTheme="majorEastAsia" w:hAnsiTheme="majorHAnsi" w:cstheme="majorBidi"/>
      <w:color w:val="2E74B5" w:themeColor="accent1" w:themeShade="BF"/>
      <w:sz w:val="32"/>
      <w:szCs w:val="32"/>
      <w:lang w:val="en-US" w:eastAsia="ja-JP"/>
    </w:rPr>
  </w:style>
  <w:style w:type="paragraph" w:styleId="TOCHeading">
    <w:name w:val="TOC Heading"/>
    <w:basedOn w:val="Heading1"/>
    <w:next w:val="Normal"/>
    <w:uiPriority w:val="39"/>
    <w:unhideWhenUsed/>
    <w:qFormat/>
    <w:rsid w:val="00F667A9"/>
    <w:pPr>
      <w:spacing w:line="259" w:lineRule="auto"/>
      <w:outlineLvl w:val="9"/>
    </w:pPr>
    <w:rPr>
      <w:b/>
      <w:color w:val="6A2875"/>
      <w:lang w:eastAsia="en-US"/>
    </w:rPr>
  </w:style>
  <w:style w:type="paragraph" w:styleId="TOC2">
    <w:name w:val="toc 2"/>
    <w:basedOn w:val="Normal"/>
    <w:next w:val="Normal"/>
    <w:autoRedefine/>
    <w:uiPriority w:val="39"/>
    <w:unhideWhenUsed/>
    <w:rsid w:val="00CC17C2"/>
    <w:pPr>
      <w:spacing w:after="100"/>
      <w:ind w:left="220"/>
    </w:pPr>
  </w:style>
  <w:style w:type="paragraph" w:styleId="TOC3">
    <w:name w:val="toc 3"/>
    <w:basedOn w:val="Normal"/>
    <w:next w:val="Normal"/>
    <w:autoRedefine/>
    <w:uiPriority w:val="39"/>
    <w:unhideWhenUsed/>
    <w:rsid w:val="00CC17C2"/>
    <w:pPr>
      <w:spacing w:after="100"/>
      <w:ind w:left="440"/>
    </w:pPr>
  </w:style>
  <w:style w:type="character" w:styleId="Hyperlink">
    <w:name w:val="Hyperlink"/>
    <w:basedOn w:val="DefaultParagraphFont"/>
    <w:uiPriority w:val="99"/>
    <w:unhideWhenUsed/>
    <w:rsid w:val="00CC17C2"/>
    <w:rPr>
      <w:color w:val="0563C1" w:themeColor="hyperlink"/>
      <w:u w:val="single"/>
    </w:rPr>
  </w:style>
  <w:style w:type="paragraph" w:styleId="FootnoteText">
    <w:name w:val="footnote text"/>
    <w:basedOn w:val="Normal"/>
    <w:link w:val="FootnoteTextChar"/>
    <w:uiPriority w:val="99"/>
    <w:unhideWhenUsed/>
    <w:qFormat/>
    <w:rsid w:val="0078552F"/>
    <w:pPr>
      <w:spacing w:after="0" w:line="240" w:lineRule="auto"/>
    </w:pPr>
    <w:rPr>
      <w:sz w:val="20"/>
      <w:szCs w:val="20"/>
    </w:rPr>
  </w:style>
  <w:style w:type="character" w:customStyle="1" w:styleId="FootnoteTextChar">
    <w:name w:val="Footnote Text Char"/>
    <w:basedOn w:val="DefaultParagraphFont"/>
    <w:link w:val="FootnoteText"/>
    <w:uiPriority w:val="99"/>
    <w:rsid w:val="0078552F"/>
    <w:rPr>
      <w:rFonts w:ascii="Arial" w:eastAsiaTheme="minorEastAsia" w:hAnsi="Arial"/>
      <w:sz w:val="20"/>
      <w:szCs w:val="20"/>
      <w:lang w:val="en-US" w:eastAsia="ja-JP"/>
    </w:rPr>
  </w:style>
  <w:style w:type="character" w:styleId="FootnoteReference">
    <w:name w:val="footnote reference"/>
    <w:basedOn w:val="DefaultParagraphFont"/>
    <w:uiPriority w:val="99"/>
    <w:unhideWhenUsed/>
    <w:rsid w:val="0078552F"/>
    <w:rPr>
      <w:vertAlign w:val="superscript"/>
    </w:rPr>
  </w:style>
  <w:style w:type="paragraph" w:customStyle="1" w:styleId="sectiontext">
    <w:name w:val="sectiontext"/>
    <w:basedOn w:val="Normal"/>
    <w:rsid w:val="00E25BF7"/>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paragraphtext">
    <w:name w:val="paragraphtext"/>
    <w:basedOn w:val="Normal"/>
    <w:rsid w:val="00E25BF7"/>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subparagraphtext">
    <w:name w:val="subparagraphtext"/>
    <w:basedOn w:val="Normal"/>
    <w:rsid w:val="00E25BF7"/>
    <w:pPr>
      <w:spacing w:before="100" w:beforeAutospacing="1" w:after="100" w:afterAutospacing="1" w:line="240" w:lineRule="auto"/>
    </w:pPr>
    <w:rPr>
      <w:rFonts w:ascii="Times New Roman" w:eastAsia="Times New Roman" w:hAnsi="Times New Roman" w:cs="Times New Roman"/>
      <w:sz w:val="24"/>
      <w:lang w:eastAsia="en-AU"/>
    </w:rPr>
  </w:style>
  <w:style w:type="paragraph" w:styleId="Caption">
    <w:name w:val="caption"/>
    <w:basedOn w:val="Normal"/>
    <w:next w:val="Normal"/>
    <w:link w:val="CaptionChar"/>
    <w:uiPriority w:val="35"/>
    <w:unhideWhenUsed/>
    <w:qFormat/>
    <w:rsid w:val="006D2A58"/>
    <w:pPr>
      <w:spacing w:line="240" w:lineRule="auto"/>
    </w:pPr>
    <w:rPr>
      <w:b/>
      <w:iCs/>
      <w:color w:val="000000" w:themeColor="text1"/>
      <w:szCs w:val="18"/>
    </w:rPr>
  </w:style>
  <w:style w:type="paragraph" w:customStyle="1" w:styleId="FSRNumberedList">
    <w:name w:val="FSR_NumberedList"/>
    <w:basedOn w:val="FSRlist"/>
    <w:link w:val="FSRNumberedListChar"/>
    <w:qFormat/>
    <w:rsid w:val="006B42A8"/>
    <w:pPr>
      <w:numPr>
        <w:numId w:val="6"/>
      </w:numPr>
    </w:pPr>
    <w:rPr>
      <w:rFonts w:cs="Arial"/>
    </w:rPr>
  </w:style>
  <w:style w:type="character" w:customStyle="1" w:styleId="FSRNumberedListChar">
    <w:name w:val="FSR_NumberedList Char"/>
    <w:basedOn w:val="FSRlistChar"/>
    <w:link w:val="FSRNumberedList"/>
    <w:rsid w:val="006B42A8"/>
    <w:rPr>
      <w:rFonts w:ascii="Arial" w:eastAsiaTheme="minorEastAsia" w:hAnsi="Arial" w:cs="Arial"/>
      <w:szCs w:val="24"/>
      <w:lang w:val="en-US" w:eastAsia="ja-JP"/>
    </w:rPr>
  </w:style>
  <w:style w:type="paragraph" w:styleId="CommentSubject">
    <w:name w:val="annotation subject"/>
    <w:basedOn w:val="CommentText"/>
    <w:next w:val="CommentText"/>
    <w:link w:val="CommentSubjectChar"/>
    <w:uiPriority w:val="99"/>
    <w:semiHidden/>
    <w:unhideWhenUsed/>
    <w:rsid w:val="004555AD"/>
    <w:rPr>
      <w:b/>
      <w:bCs/>
    </w:rPr>
  </w:style>
  <w:style w:type="character" w:customStyle="1" w:styleId="CommentSubjectChar">
    <w:name w:val="Comment Subject Char"/>
    <w:basedOn w:val="CommentTextChar"/>
    <w:link w:val="CommentSubject"/>
    <w:uiPriority w:val="99"/>
    <w:semiHidden/>
    <w:rsid w:val="004555AD"/>
    <w:rPr>
      <w:rFonts w:ascii="Arial" w:eastAsiaTheme="minorEastAsia" w:hAnsi="Arial"/>
      <w:b/>
      <w:bCs/>
      <w:sz w:val="20"/>
      <w:szCs w:val="20"/>
      <w:lang w:val="en-US" w:eastAsia="ja-JP"/>
    </w:rPr>
  </w:style>
  <w:style w:type="paragraph" w:customStyle="1" w:styleId="Tables">
    <w:name w:val="Tables"/>
    <w:basedOn w:val="Caption"/>
    <w:link w:val="TablesChar"/>
    <w:qFormat/>
    <w:rsid w:val="00F60243"/>
    <w:pPr>
      <w:keepNext/>
      <w:spacing w:after="120"/>
    </w:pPr>
    <w:rPr>
      <w:rFonts w:eastAsiaTheme="minorHAnsi"/>
      <w:bCs/>
      <w:iCs w:val="0"/>
      <w:color w:val="auto"/>
      <w:lang w:eastAsia="en-US"/>
    </w:rPr>
  </w:style>
  <w:style w:type="character" w:customStyle="1" w:styleId="TablesChar">
    <w:name w:val="Tables Char"/>
    <w:basedOn w:val="DefaultParagraphFont"/>
    <w:link w:val="Tables"/>
    <w:rsid w:val="00F60243"/>
    <w:rPr>
      <w:rFonts w:ascii="Arial" w:hAnsi="Arial"/>
      <w:b/>
      <w:bCs/>
      <w:szCs w:val="18"/>
    </w:rPr>
  </w:style>
  <w:style w:type="table" w:styleId="TableGrid">
    <w:name w:val="Table Grid"/>
    <w:basedOn w:val="TableNormal"/>
    <w:uiPriority w:val="39"/>
    <w:rsid w:val="00F71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6D8F"/>
    <w:rPr>
      <w:color w:val="954F72" w:themeColor="followedHyperlink"/>
      <w:u w:val="single"/>
    </w:rPr>
  </w:style>
  <w:style w:type="paragraph" w:customStyle="1" w:styleId="FSRHeading4">
    <w:name w:val="FSR_Heading4"/>
    <w:basedOn w:val="Normal"/>
    <w:link w:val="FSRHeading4Char"/>
    <w:qFormat/>
    <w:rsid w:val="00BD1EFE"/>
    <w:pPr>
      <w:keepNext/>
      <w:spacing w:before="240"/>
    </w:pPr>
    <w:rPr>
      <w:b/>
      <w:i/>
      <w:color w:val="6B2976"/>
      <w:sz w:val="25"/>
    </w:rPr>
  </w:style>
  <w:style w:type="character" w:customStyle="1" w:styleId="FSRHeading4Char">
    <w:name w:val="FSR_Heading4 Char"/>
    <w:basedOn w:val="DefaultParagraphFont"/>
    <w:link w:val="FSRHeading4"/>
    <w:rsid w:val="00BD1EFE"/>
    <w:rPr>
      <w:rFonts w:ascii="Arial" w:eastAsiaTheme="minorEastAsia" w:hAnsi="Arial"/>
      <w:b/>
      <w:i/>
      <w:color w:val="6B2976"/>
      <w:sz w:val="25"/>
      <w:szCs w:val="24"/>
      <w:lang w:val="en-US" w:eastAsia="ja-JP"/>
    </w:rPr>
  </w:style>
  <w:style w:type="paragraph" w:customStyle="1" w:styleId="FSRHeading3">
    <w:name w:val="FSR_Heading3"/>
    <w:basedOn w:val="Heading4"/>
    <w:link w:val="FSRHeading3Char"/>
    <w:qFormat/>
    <w:rsid w:val="009E1218"/>
    <w:pPr>
      <w:numPr>
        <w:numId w:val="2"/>
      </w:numPr>
      <w:spacing w:before="480"/>
    </w:pPr>
  </w:style>
  <w:style w:type="character" w:customStyle="1" w:styleId="FSRHeading3Char">
    <w:name w:val="FSR_Heading3 Char"/>
    <w:basedOn w:val="Heading4Char"/>
    <w:link w:val="FSRHeading3"/>
    <w:rsid w:val="009E1218"/>
    <w:rPr>
      <w:rFonts w:ascii="Arial" w:hAnsi="Arial"/>
      <w:b/>
      <w:color w:val="6A2875"/>
      <w:sz w:val="30"/>
      <w:szCs w:val="30"/>
      <w:lang w:val="en-US" w:eastAsia="ja-JP"/>
    </w:rPr>
  </w:style>
  <w:style w:type="paragraph" w:styleId="Revision">
    <w:name w:val="Revision"/>
    <w:hidden/>
    <w:uiPriority w:val="99"/>
    <w:semiHidden/>
    <w:rsid w:val="00D056B6"/>
    <w:pPr>
      <w:spacing w:after="0" w:line="240" w:lineRule="auto"/>
    </w:pPr>
    <w:rPr>
      <w:rFonts w:ascii="Arial" w:eastAsiaTheme="minorEastAsia" w:hAnsi="Arial"/>
      <w:szCs w:val="24"/>
      <w:lang w:val="en-US" w:eastAsia="ja-JP"/>
    </w:rPr>
  </w:style>
  <w:style w:type="character" w:customStyle="1" w:styleId="FSRsublistChar">
    <w:name w:val="FSR_sublist Char"/>
    <w:basedOn w:val="ListParagraphChar"/>
    <w:link w:val="FSRsublist"/>
    <w:rsid w:val="00F02968"/>
    <w:rPr>
      <w:rFonts w:ascii="Arial" w:eastAsiaTheme="minorEastAsia" w:hAnsi="Arial"/>
      <w:szCs w:val="24"/>
      <w:lang w:val="en-US" w:eastAsia="ja-JP"/>
    </w:rPr>
  </w:style>
  <w:style w:type="table" w:styleId="GridTable5Dark-Accent1">
    <w:name w:val="Grid Table 5 Dark Accent 1"/>
    <w:basedOn w:val="TableNormal"/>
    <w:uiPriority w:val="50"/>
    <w:rsid w:val="001548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1">
    <w:name w:val="Table Grid1"/>
    <w:basedOn w:val="TableNormal"/>
    <w:next w:val="TableGrid"/>
    <w:uiPriority w:val="39"/>
    <w:rsid w:val="0021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s">
    <w:name w:val="Figures"/>
    <w:basedOn w:val="Tables"/>
    <w:link w:val="FiguresChar"/>
    <w:qFormat/>
    <w:rsid w:val="00650643"/>
  </w:style>
  <w:style w:type="character" w:customStyle="1" w:styleId="FiguresChar">
    <w:name w:val="Figures Char"/>
    <w:basedOn w:val="TablesChar"/>
    <w:link w:val="Figures"/>
    <w:rsid w:val="00650643"/>
    <w:rPr>
      <w:rFonts w:ascii="Arial" w:hAnsi="Arial"/>
      <w:b/>
      <w:bCs/>
      <w:szCs w:val="18"/>
    </w:rPr>
  </w:style>
  <w:style w:type="paragraph" w:styleId="NormalWeb">
    <w:name w:val="Normal (Web)"/>
    <w:basedOn w:val="Normal"/>
    <w:uiPriority w:val="99"/>
    <w:semiHidden/>
    <w:unhideWhenUsed/>
    <w:rsid w:val="00650643"/>
    <w:pPr>
      <w:spacing w:before="100" w:beforeAutospacing="1" w:after="100" w:afterAutospacing="1" w:line="240" w:lineRule="auto"/>
    </w:pPr>
    <w:rPr>
      <w:rFonts w:ascii="Times New Roman" w:hAnsi="Times New Roman" w:cs="Times New Roman"/>
      <w:sz w:val="24"/>
      <w:lang w:eastAsia="en-AU"/>
    </w:rPr>
  </w:style>
  <w:style w:type="paragraph" w:styleId="IntenseQuote">
    <w:name w:val="Intense Quote"/>
    <w:basedOn w:val="Normal"/>
    <w:next w:val="Normal"/>
    <w:link w:val="IntenseQuoteChar"/>
    <w:uiPriority w:val="30"/>
    <w:qFormat/>
    <w:rsid w:val="0040768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768F"/>
    <w:rPr>
      <w:rFonts w:ascii="Arial" w:eastAsiaTheme="minorEastAsia" w:hAnsi="Arial"/>
      <w:b/>
      <w:bCs/>
      <w:i/>
      <w:iCs/>
      <w:szCs w:val="24"/>
      <w:lang w:val="en-US" w:eastAsia="ja-JP"/>
    </w:rPr>
  </w:style>
  <w:style w:type="character" w:customStyle="1" w:styleId="CaptionChar">
    <w:name w:val="Caption Char"/>
    <w:basedOn w:val="DefaultParagraphFont"/>
    <w:link w:val="Caption"/>
    <w:uiPriority w:val="35"/>
    <w:rsid w:val="0040768F"/>
    <w:rPr>
      <w:rFonts w:ascii="Arial" w:eastAsiaTheme="minorEastAsia" w:hAnsi="Arial"/>
      <w:b/>
      <w:iCs/>
      <w:color w:val="000000" w:themeColor="text1"/>
      <w:szCs w:val="18"/>
      <w:lang w:val="en-US" w:eastAsia="ja-JP"/>
    </w:rPr>
  </w:style>
  <w:style w:type="paragraph" w:customStyle="1" w:styleId="Heading1-Nonumbers">
    <w:name w:val="Heading 1 - No numbers"/>
    <w:basedOn w:val="Normal"/>
    <w:link w:val="Heading1-NonumbersChar"/>
    <w:rsid w:val="00FF7CFD"/>
    <w:pPr>
      <w:spacing w:before="480" w:after="320" w:line="276" w:lineRule="auto"/>
      <w:contextualSpacing/>
      <w:outlineLvl w:val="0"/>
    </w:pPr>
    <w:rPr>
      <w:rFonts w:eastAsiaTheme="majorEastAsia" w:cstheme="majorBidi"/>
      <w:b/>
      <w:bCs/>
      <w:color w:val="ED7D31" w:themeColor="accent2"/>
      <w:sz w:val="36"/>
      <w:szCs w:val="36"/>
      <w:lang w:eastAsia="en-US"/>
    </w:rPr>
  </w:style>
  <w:style w:type="character" w:customStyle="1" w:styleId="Heading1-NonumbersChar">
    <w:name w:val="Heading 1 - No numbers Char"/>
    <w:basedOn w:val="DefaultParagraphFont"/>
    <w:link w:val="Heading1-Nonumbers"/>
    <w:rsid w:val="00FF7CFD"/>
    <w:rPr>
      <w:rFonts w:ascii="Arial" w:eastAsiaTheme="majorEastAsia" w:hAnsi="Arial" w:cstheme="majorBidi"/>
      <w:b/>
      <w:bCs/>
      <w:color w:val="ED7D31" w:themeColor="accent2"/>
      <w:sz w:val="36"/>
      <w:szCs w:val="36"/>
    </w:rPr>
  </w:style>
  <w:style w:type="table" w:styleId="GridTable4-Accent6">
    <w:name w:val="Grid Table 4 Accent 6"/>
    <w:basedOn w:val="TableNormal"/>
    <w:uiPriority w:val="49"/>
    <w:rsid w:val="00286D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5Char">
    <w:name w:val="Heading 5 Char"/>
    <w:basedOn w:val="DefaultParagraphFont"/>
    <w:link w:val="Heading5"/>
    <w:uiPriority w:val="9"/>
    <w:rsid w:val="007E3443"/>
    <w:rPr>
      <w:rFonts w:asciiTheme="majorHAnsi" w:eastAsiaTheme="majorEastAsia" w:hAnsiTheme="majorHAnsi" w:cstheme="majorBidi"/>
      <w:color w:val="2E74B5" w:themeColor="accent1" w:themeShade="BF"/>
      <w:szCs w:val="24"/>
      <w:lang w:val="en-US" w:eastAsia="ja-JP"/>
    </w:rPr>
  </w:style>
  <w:style w:type="paragraph" w:customStyle="1" w:styleId="ParagraphSection">
    <w:name w:val="ParagraphSection"/>
    <w:basedOn w:val="ListParagraph"/>
    <w:qFormat/>
    <w:rsid w:val="002236EA"/>
    <w:pPr>
      <w:numPr>
        <w:numId w:val="41"/>
      </w:numPr>
      <w:spacing w:before="240" w:after="240" w:line="276" w:lineRule="auto"/>
      <w:contextualSpacing w:val="0"/>
    </w:pPr>
  </w:style>
  <w:style w:type="paragraph" w:styleId="Quote">
    <w:name w:val="Quote"/>
    <w:basedOn w:val="Normal"/>
    <w:next w:val="Normal"/>
    <w:link w:val="QuoteChar"/>
    <w:uiPriority w:val="29"/>
    <w:qFormat/>
    <w:rsid w:val="00CB373B"/>
    <w:pPr>
      <w:spacing w:before="200" w:after="0"/>
      <w:ind w:left="360" w:right="360"/>
    </w:pPr>
    <w:rPr>
      <w:i/>
      <w:iCs/>
    </w:rPr>
  </w:style>
  <w:style w:type="character" w:customStyle="1" w:styleId="QuoteChar">
    <w:name w:val="Quote Char"/>
    <w:basedOn w:val="DefaultParagraphFont"/>
    <w:link w:val="Quote"/>
    <w:uiPriority w:val="29"/>
    <w:rsid w:val="00CB373B"/>
    <w:rPr>
      <w:rFonts w:ascii="Arial" w:eastAsiaTheme="minorEastAsia" w:hAnsi="Arial"/>
      <w:i/>
      <w:iCs/>
      <w:szCs w:val="24"/>
      <w:lang w:eastAsia="ja-JP"/>
    </w:rPr>
  </w:style>
  <w:style w:type="character" w:styleId="Strong">
    <w:name w:val="Strong"/>
    <w:basedOn w:val="DefaultParagraphFont"/>
    <w:uiPriority w:val="22"/>
    <w:qFormat/>
    <w:rsid w:val="000A3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913">
      <w:bodyDiv w:val="1"/>
      <w:marLeft w:val="0"/>
      <w:marRight w:val="0"/>
      <w:marTop w:val="0"/>
      <w:marBottom w:val="0"/>
      <w:divBdr>
        <w:top w:val="none" w:sz="0" w:space="0" w:color="auto"/>
        <w:left w:val="none" w:sz="0" w:space="0" w:color="auto"/>
        <w:bottom w:val="none" w:sz="0" w:space="0" w:color="auto"/>
        <w:right w:val="none" w:sz="0" w:space="0" w:color="auto"/>
      </w:divBdr>
      <w:divsChild>
        <w:div w:id="1086683885">
          <w:marLeft w:val="547"/>
          <w:marRight w:val="0"/>
          <w:marTop w:val="0"/>
          <w:marBottom w:val="0"/>
          <w:divBdr>
            <w:top w:val="none" w:sz="0" w:space="0" w:color="auto"/>
            <w:left w:val="none" w:sz="0" w:space="0" w:color="auto"/>
            <w:bottom w:val="none" w:sz="0" w:space="0" w:color="auto"/>
            <w:right w:val="none" w:sz="0" w:space="0" w:color="auto"/>
          </w:divBdr>
        </w:div>
      </w:divsChild>
    </w:div>
    <w:div w:id="135413999">
      <w:bodyDiv w:val="1"/>
      <w:marLeft w:val="0"/>
      <w:marRight w:val="0"/>
      <w:marTop w:val="0"/>
      <w:marBottom w:val="0"/>
      <w:divBdr>
        <w:top w:val="none" w:sz="0" w:space="0" w:color="auto"/>
        <w:left w:val="none" w:sz="0" w:space="0" w:color="auto"/>
        <w:bottom w:val="none" w:sz="0" w:space="0" w:color="auto"/>
        <w:right w:val="none" w:sz="0" w:space="0" w:color="auto"/>
      </w:divBdr>
    </w:div>
    <w:div w:id="270472749">
      <w:bodyDiv w:val="1"/>
      <w:marLeft w:val="0"/>
      <w:marRight w:val="0"/>
      <w:marTop w:val="0"/>
      <w:marBottom w:val="0"/>
      <w:divBdr>
        <w:top w:val="none" w:sz="0" w:space="0" w:color="auto"/>
        <w:left w:val="none" w:sz="0" w:space="0" w:color="auto"/>
        <w:bottom w:val="none" w:sz="0" w:space="0" w:color="auto"/>
        <w:right w:val="none" w:sz="0" w:space="0" w:color="auto"/>
      </w:divBdr>
      <w:divsChild>
        <w:div w:id="1284506324">
          <w:marLeft w:val="360"/>
          <w:marRight w:val="0"/>
          <w:marTop w:val="0"/>
          <w:marBottom w:val="0"/>
          <w:divBdr>
            <w:top w:val="none" w:sz="0" w:space="0" w:color="auto"/>
            <w:left w:val="none" w:sz="0" w:space="0" w:color="auto"/>
            <w:bottom w:val="none" w:sz="0" w:space="0" w:color="auto"/>
            <w:right w:val="none" w:sz="0" w:space="0" w:color="auto"/>
          </w:divBdr>
        </w:div>
      </w:divsChild>
    </w:div>
    <w:div w:id="455107255">
      <w:bodyDiv w:val="1"/>
      <w:marLeft w:val="0"/>
      <w:marRight w:val="0"/>
      <w:marTop w:val="0"/>
      <w:marBottom w:val="0"/>
      <w:divBdr>
        <w:top w:val="none" w:sz="0" w:space="0" w:color="auto"/>
        <w:left w:val="none" w:sz="0" w:space="0" w:color="auto"/>
        <w:bottom w:val="none" w:sz="0" w:space="0" w:color="auto"/>
        <w:right w:val="none" w:sz="0" w:space="0" w:color="auto"/>
      </w:divBdr>
    </w:div>
    <w:div w:id="527448726">
      <w:bodyDiv w:val="1"/>
      <w:marLeft w:val="0"/>
      <w:marRight w:val="0"/>
      <w:marTop w:val="0"/>
      <w:marBottom w:val="0"/>
      <w:divBdr>
        <w:top w:val="none" w:sz="0" w:space="0" w:color="auto"/>
        <w:left w:val="none" w:sz="0" w:space="0" w:color="auto"/>
        <w:bottom w:val="none" w:sz="0" w:space="0" w:color="auto"/>
        <w:right w:val="none" w:sz="0" w:space="0" w:color="auto"/>
      </w:divBdr>
    </w:div>
    <w:div w:id="540938788">
      <w:bodyDiv w:val="1"/>
      <w:marLeft w:val="0"/>
      <w:marRight w:val="0"/>
      <w:marTop w:val="0"/>
      <w:marBottom w:val="0"/>
      <w:divBdr>
        <w:top w:val="none" w:sz="0" w:space="0" w:color="auto"/>
        <w:left w:val="none" w:sz="0" w:space="0" w:color="auto"/>
        <w:bottom w:val="none" w:sz="0" w:space="0" w:color="auto"/>
        <w:right w:val="none" w:sz="0" w:space="0" w:color="auto"/>
      </w:divBdr>
      <w:divsChild>
        <w:div w:id="1660570623">
          <w:marLeft w:val="0"/>
          <w:marRight w:val="0"/>
          <w:marTop w:val="0"/>
          <w:marBottom w:val="0"/>
          <w:divBdr>
            <w:top w:val="none" w:sz="0" w:space="0" w:color="auto"/>
            <w:left w:val="none" w:sz="0" w:space="0" w:color="auto"/>
            <w:bottom w:val="none" w:sz="0" w:space="0" w:color="auto"/>
            <w:right w:val="none" w:sz="0" w:space="0" w:color="auto"/>
          </w:divBdr>
        </w:div>
      </w:divsChild>
    </w:div>
    <w:div w:id="657222605">
      <w:bodyDiv w:val="1"/>
      <w:marLeft w:val="0"/>
      <w:marRight w:val="0"/>
      <w:marTop w:val="0"/>
      <w:marBottom w:val="0"/>
      <w:divBdr>
        <w:top w:val="none" w:sz="0" w:space="0" w:color="auto"/>
        <w:left w:val="none" w:sz="0" w:space="0" w:color="auto"/>
        <w:bottom w:val="none" w:sz="0" w:space="0" w:color="auto"/>
        <w:right w:val="none" w:sz="0" w:space="0" w:color="auto"/>
      </w:divBdr>
      <w:divsChild>
        <w:div w:id="1141462416">
          <w:marLeft w:val="360"/>
          <w:marRight w:val="0"/>
          <w:marTop w:val="0"/>
          <w:marBottom w:val="0"/>
          <w:divBdr>
            <w:top w:val="none" w:sz="0" w:space="0" w:color="auto"/>
            <w:left w:val="none" w:sz="0" w:space="0" w:color="auto"/>
            <w:bottom w:val="none" w:sz="0" w:space="0" w:color="auto"/>
            <w:right w:val="none" w:sz="0" w:space="0" w:color="auto"/>
          </w:divBdr>
        </w:div>
      </w:divsChild>
    </w:div>
    <w:div w:id="759718470">
      <w:bodyDiv w:val="1"/>
      <w:marLeft w:val="0"/>
      <w:marRight w:val="0"/>
      <w:marTop w:val="0"/>
      <w:marBottom w:val="0"/>
      <w:divBdr>
        <w:top w:val="none" w:sz="0" w:space="0" w:color="auto"/>
        <w:left w:val="none" w:sz="0" w:space="0" w:color="auto"/>
        <w:bottom w:val="none" w:sz="0" w:space="0" w:color="auto"/>
        <w:right w:val="none" w:sz="0" w:space="0" w:color="auto"/>
      </w:divBdr>
    </w:div>
    <w:div w:id="897286103">
      <w:bodyDiv w:val="1"/>
      <w:marLeft w:val="0"/>
      <w:marRight w:val="0"/>
      <w:marTop w:val="0"/>
      <w:marBottom w:val="0"/>
      <w:divBdr>
        <w:top w:val="none" w:sz="0" w:space="0" w:color="auto"/>
        <w:left w:val="none" w:sz="0" w:space="0" w:color="auto"/>
        <w:bottom w:val="none" w:sz="0" w:space="0" w:color="auto"/>
        <w:right w:val="none" w:sz="0" w:space="0" w:color="auto"/>
      </w:divBdr>
    </w:div>
    <w:div w:id="1006714880">
      <w:bodyDiv w:val="1"/>
      <w:marLeft w:val="0"/>
      <w:marRight w:val="0"/>
      <w:marTop w:val="0"/>
      <w:marBottom w:val="0"/>
      <w:divBdr>
        <w:top w:val="none" w:sz="0" w:space="0" w:color="auto"/>
        <w:left w:val="none" w:sz="0" w:space="0" w:color="auto"/>
        <w:bottom w:val="none" w:sz="0" w:space="0" w:color="auto"/>
        <w:right w:val="none" w:sz="0" w:space="0" w:color="auto"/>
      </w:divBdr>
    </w:div>
    <w:div w:id="1098909866">
      <w:bodyDiv w:val="1"/>
      <w:marLeft w:val="0"/>
      <w:marRight w:val="0"/>
      <w:marTop w:val="0"/>
      <w:marBottom w:val="0"/>
      <w:divBdr>
        <w:top w:val="none" w:sz="0" w:space="0" w:color="auto"/>
        <w:left w:val="none" w:sz="0" w:space="0" w:color="auto"/>
        <w:bottom w:val="none" w:sz="0" w:space="0" w:color="auto"/>
        <w:right w:val="none" w:sz="0" w:space="0" w:color="auto"/>
      </w:divBdr>
    </w:div>
    <w:div w:id="1155532874">
      <w:bodyDiv w:val="1"/>
      <w:marLeft w:val="0"/>
      <w:marRight w:val="0"/>
      <w:marTop w:val="0"/>
      <w:marBottom w:val="0"/>
      <w:divBdr>
        <w:top w:val="none" w:sz="0" w:space="0" w:color="auto"/>
        <w:left w:val="none" w:sz="0" w:space="0" w:color="auto"/>
        <w:bottom w:val="none" w:sz="0" w:space="0" w:color="auto"/>
        <w:right w:val="none" w:sz="0" w:space="0" w:color="auto"/>
      </w:divBdr>
    </w:div>
    <w:div w:id="1161776949">
      <w:bodyDiv w:val="1"/>
      <w:marLeft w:val="0"/>
      <w:marRight w:val="0"/>
      <w:marTop w:val="0"/>
      <w:marBottom w:val="0"/>
      <w:divBdr>
        <w:top w:val="none" w:sz="0" w:space="0" w:color="auto"/>
        <w:left w:val="none" w:sz="0" w:space="0" w:color="auto"/>
        <w:bottom w:val="none" w:sz="0" w:space="0" w:color="auto"/>
        <w:right w:val="none" w:sz="0" w:space="0" w:color="auto"/>
      </w:divBdr>
    </w:div>
    <w:div w:id="1196692416">
      <w:bodyDiv w:val="1"/>
      <w:marLeft w:val="0"/>
      <w:marRight w:val="0"/>
      <w:marTop w:val="0"/>
      <w:marBottom w:val="0"/>
      <w:divBdr>
        <w:top w:val="none" w:sz="0" w:space="0" w:color="auto"/>
        <w:left w:val="none" w:sz="0" w:space="0" w:color="auto"/>
        <w:bottom w:val="none" w:sz="0" w:space="0" w:color="auto"/>
        <w:right w:val="none" w:sz="0" w:space="0" w:color="auto"/>
      </w:divBdr>
    </w:div>
    <w:div w:id="1209876703">
      <w:bodyDiv w:val="1"/>
      <w:marLeft w:val="0"/>
      <w:marRight w:val="0"/>
      <w:marTop w:val="0"/>
      <w:marBottom w:val="0"/>
      <w:divBdr>
        <w:top w:val="none" w:sz="0" w:space="0" w:color="auto"/>
        <w:left w:val="none" w:sz="0" w:space="0" w:color="auto"/>
        <w:bottom w:val="none" w:sz="0" w:space="0" w:color="auto"/>
        <w:right w:val="none" w:sz="0" w:space="0" w:color="auto"/>
      </w:divBdr>
    </w:div>
    <w:div w:id="1416586798">
      <w:bodyDiv w:val="1"/>
      <w:marLeft w:val="0"/>
      <w:marRight w:val="0"/>
      <w:marTop w:val="0"/>
      <w:marBottom w:val="0"/>
      <w:divBdr>
        <w:top w:val="none" w:sz="0" w:space="0" w:color="auto"/>
        <w:left w:val="none" w:sz="0" w:space="0" w:color="auto"/>
        <w:bottom w:val="none" w:sz="0" w:space="0" w:color="auto"/>
        <w:right w:val="none" w:sz="0" w:space="0" w:color="auto"/>
      </w:divBdr>
    </w:div>
    <w:div w:id="1487668065">
      <w:bodyDiv w:val="1"/>
      <w:marLeft w:val="0"/>
      <w:marRight w:val="0"/>
      <w:marTop w:val="0"/>
      <w:marBottom w:val="0"/>
      <w:divBdr>
        <w:top w:val="none" w:sz="0" w:space="0" w:color="auto"/>
        <w:left w:val="none" w:sz="0" w:space="0" w:color="auto"/>
        <w:bottom w:val="none" w:sz="0" w:space="0" w:color="auto"/>
        <w:right w:val="none" w:sz="0" w:space="0" w:color="auto"/>
      </w:divBdr>
    </w:div>
    <w:div w:id="183757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image" Target="media/image14.emf"/><Relationship Id="rId42" Type="http://schemas.openxmlformats.org/officeDocument/2006/relationships/image" Target="media/image26.emf"/><Relationship Id="rId47" Type="http://schemas.openxmlformats.org/officeDocument/2006/relationships/image" Target="media/image31.emf"/><Relationship Id="rId63" Type="http://schemas.openxmlformats.org/officeDocument/2006/relationships/image" Target="media/image47.emf"/><Relationship Id="rId68" Type="http://schemas.openxmlformats.org/officeDocument/2006/relationships/image" Target="media/image52.emf"/><Relationship Id="rId84" Type="http://schemas.openxmlformats.org/officeDocument/2006/relationships/image" Target="media/image68.emf"/><Relationship Id="rId89" Type="http://schemas.openxmlformats.org/officeDocument/2006/relationships/image" Target="media/image73.emf"/><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footer" Target="footer3.xml"/><Relationship Id="rId107" Type="http://schemas.openxmlformats.org/officeDocument/2006/relationships/footer" Target="footer5.xml"/><Relationship Id="rId11" Type="http://schemas.openxmlformats.org/officeDocument/2006/relationships/image" Target="media/image4.emf"/><Relationship Id="rId24" Type="http://schemas.openxmlformats.org/officeDocument/2006/relationships/header" Target="header2.xml"/><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3" Type="http://schemas.openxmlformats.org/officeDocument/2006/relationships/image" Target="media/image37.emf"/><Relationship Id="rId58" Type="http://schemas.openxmlformats.org/officeDocument/2006/relationships/image" Target="media/image42.emf"/><Relationship Id="rId66" Type="http://schemas.openxmlformats.org/officeDocument/2006/relationships/image" Target="media/image50.emf"/><Relationship Id="rId74" Type="http://schemas.openxmlformats.org/officeDocument/2006/relationships/image" Target="media/image58.emf"/><Relationship Id="rId79" Type="http://schemas.openxmlformats.org/officeDocument/2006/relationships/image" Target="media/image63.emf"/><Relationship Id="rId87" Type="http://schemas.openxmlformats.org/officeDocument/2006/relationships/image" Target="media/image71.emf"/><Relationship Id="rId102" Type="http://schemas.openxmlformats.org/officeDocument/2006/relationships/image" Target="media/image86.emf"/><Relationship Id="rId110" Type="http://schemas.openxmlformats.org/officeDocument/2006/relationships/image" Target="media/image93.emf"/><Relationship Id="rId5" Type="http://schemas.openxmlformats.org/officeDocument/2006/relationships/webSettings" Target="webSettings.xml"/><Relationship Id="rId61" Type="http://schemas.openxmlformats.org/officeDocument/2006/relationships/image" Target="media/image45.emf"/><Relationship Id="rId82" Type="http://schemas.openxmlformats.org/officeDocument/2006/relationships/image" Target="media/image66.emf"/><Relationship Id="rId90" Type="http://schemas.openxmlformats.org/officeDocument/2006/relationships/image" Target="media/image74.emf"/><Relationship Id="rId95" Type="http://schemas.openxmlformats.org/officeDocument/2006/relationships/image" Target="media/image79.png"/><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emf"/><Relationship Id="rId64" Type="http://schemas.openxmlformats.org/officeDocument/2006/relationships/image" Target="media/image48.emf"/><Relationship Id="rId69" Type="http://schemas.openxmlformats.org/officeDocument/2006/relationships/image" Target="media/image53.emf"/><Relationship Id="rId77" Type="http://schemas.openxmlformats.org/officeDocument/2006/relationships/image" Target="media/image61.emf"/><Relationship Id="rId100" Type="http://schemas.openxmlformats.org/officeDocument/2006/relationships/image" Target="media/image84.emf"/><Relationship Id="rId105" Type="http://schemas.openxmlformats.org/officeDocument/2006/relationships/image" Target="media/image89.emf"/><Relationship Id="rId113"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image" Target="media/image35.emf"/><Relationship Id="rId72" Type="http://schemas.openxmlformats.org/officeDocument/2006/relationships/image" Target="media/image56.emf"/><Relationship Id="rId80" Type="http://schemas.openxmlformats.org/officeDocument/2006/relationships/image" Target="media/image64.emf"/><Relationship Id="rId85" Type="http://schemas.openxmlformats.org/officeDocument/2006/relationships/image" Target="media/image69.emf"/><Relationship Id="rId93" Type="http://schemas.openxmlformats.org/officeDocument/2006/relationships/image" Target="media/image77.emf"/><Relationship Id="rId98" Type="http://schemas.openxmlformats.org/officeDocument/2006/relationships/image" Target="media/image82.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5.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59" Type="http://schemas.openxmlformats.org/officeDocument/2006/relationships/image" Target="media/image43.emf"/><Relationship Id="rId67" Type="http://schemas.openxmlformats.org/officeDocument/2006/relationships/image" Target="media/image51.emf"/><Relationship Id="rId103" Type="http://schemas.openxmlformats.org/officeDocument/2006/relationships/image" Target="media/image87.emf"/><Relationship Id="rId108" Type="http://schemas.openxmlformats.org/officeDocument/2006/relationships/image" Target="media/image91.emf"/><Relationship Id="rId20" Type="http://schemas.openxmlformats.org/officeDocument/2006/relationships/image" Target="media/image13.emf"/><Relationship Id="rId41" Type="http://schemas.openxmlformats.org/officeDocument/2006/relationships/image" Target="media/image25.emf"/><Relationship Id="rId54" Type="http://schemas.openxmlformats.org/officeDocument/2006/relationships/image" Target="media/image38.emf"/><Relationship Id="rId62" Type="http://schemas.openxmlformats.org/officeDocument/2006/relationships/image" Target="media/image46.emf"/><Relationship Id="rId70" Type="http://schemas.openxmlformats.org/officeDocument/2006/relationships/image" Target="media/image54.emf"/><Relationship Id="rId75" Type="http://schemas.openxmlformats.org/officeDocument/2006/relationships/image" Target="media/image59.emf"/><Relationship Id="rId83" Type="http://schemas.openxmlformats.org/officeDocument/2006/relationships/image" Target="media/image67.emf"/><Relationship Id="rId88" Type="http://schemas.openxmlformats.org/officeDocument/2006/relationships/image" Target="media/image72.emf"/><Relationship Id="rId91" Type="http://schemas.openxmlformats.org/officeDocument/2006/relationships/image" Target="media/image75.emf"/><Relationship Id="rId96" Type="http://schemas.openxmlformats.org/officeDocument/2006/relationships/image" Target="media/image80.emf"/><Relationship Id="rId111" Type="http://schemas.openxmlformats.org/officeDocument/2006/relationships/image" Target="media/image9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1.xml"/><Relationship Id="rId28" Type="http://schemas.openxmlformats.org/officeDocument/2006/relationships/footer" Target="footer2.xml"/><Relationship Id="rId36" Type="http://schemas.openxmlformats.org/officeDocument/2006/relationships/image" Target="media/image20.emf"/><Relationship Id="rId49" Type="http://schemas.openxmlformats.org/officeDocument/2006/relationships/image" Target="media/image33.emf"/><Relationship Id="rId57" Type="http://schemas.openxmlformats.org/officeDocument/2006/relationships/image" Target="media/image41.emf"/><Relationship Id="rId106" Type="http://schemas.openxmlformats.org/officeDocument/2006/relationships/image" Target="media/image90.emf"/><Relationship Id="rId10" Type="http://schemas.openxmlformats.org/officeDocument/2006/relationships/image" Target="media/image3.emf"/><Relationship Id="rId31" Type="http://schemas.openxmlformats.org/officeDocument/2006/relationships/footer" Target="footer4.xml"/><Relationship Id="rId44" Type="http://schemas.openxmlformats.org/officeDocument/2006/relationships/image" Target="media/image28.emf"/><Relationship Id="rId52" Type="http://schemas.openxmlformats.org/officeDocument/2006/relationships/image" Target="media/image36.emf"/><Relationship Id="rId60" Type="http://schemas.openxmlformats.org/officeDocument/2006/relationships/image" Target="media/image44.emf"/><Relationship Id="rId65" Type="http://schemas.openxmlformats.org/officeDocument/2006/relationships/image" Target="media/image49.emf"/><Relationship Id="rId73" Type="http://schemas.openxmlformats.org/officeDocument/2006/relationships/image" Target="media/image57.emf"/><Relationship Id="rId78" Type="http://schemas.openxmlformats.org/officeDocument/2006/relationships/image" Target="media/image62.emf"/><Relationship Id="rId81" Type="http://schemas.openxmlformats.org/officeDocument/2006/relationships/image" Target="media/image65.emf"/><Relationship Id="rId86" Type="http://schemas.openxmlformats.org/officeDocument/2006/relationships/image" Target="media/image70.emf"/><Relationship Id="rId94" Type="http://schemas.openxmlformats.org/officeDocument/2006/relationships/image" Target="media/image78.png"/><Relationship Id="rId99" Type="http://schemas.openxmlformats.org/officeDocument/2006/relationships/image" Target="media/image83.emf"/><Relationship Id="rId101" Type="http://schemas.openxmlformats.org/officeDocument/2006/relationships/image" Target="media/image85.emf"/><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23.emf"/><Relationship Id="rId109" Type="http://schemas.openxmlformats.org/officeDocument/2006/relationships/image" Target="media/image92.emf"/><Relationship Id="rId34" Type="http://schemas.openxmlformats.org/officeDocument/2006/relationships/image" Target="media/image18.emf"/><Relationship Id="rId50" Type="http://schemas.openxmlformats.org/officeDocument/2006/relationships/image" Target="media/image34.emf"/><Relationship Id="rId55" Type="http://schemas.openxmlformats.org/officeDocument/2006/relationships/image" Target="media/image39.emf"/><Relationship Id="rId76" Type="http://schemas.openxmlformats.org/officeDocument/2006/relationships/image" Target="media/image60.emf"/><Relationship Id="rId97" Type="http://schemas.openxmlformats.org/officeDocument/2006/relationships/image" Target="media/image81.emf"/><Relationship Id="rId104" Type="http://schemas.openxmlformats.org/officeDocument/2006/relationships/image" Target="media/image88.emf"/><Relationship Id="rId7" Type="http://schemas.openxmlformats.org/officeDocument/2006/relationships/endnotes" Target="endnotes.xml"/><Relationship Id="rId71" Type="http://schemas.openxmlformats.org/officeDocument/2006/relationships/image" Target="media/image55.emf"/><Relationship Id="rId92" Type="http://schemas.openxmlformats.org/officeDocument/2006/relationships/image" Target="media/image76.emf"/></Relationships>
</file>

<file path=word/_rels/footnotes.xml.rels><?xml version="1.0" encoding="UTF-8" standalone="yes"?>
<Relationships xmlns="http://schemas.openxmlformats.org/package/2006/relationships"><Relationship Id="rId3" Type="http://schemas.openxmlformats.org/officeDocument/2006/relationships/hyperlink" Target="https://data.ndis.gov.au/reports-and-analyses/outcomes-and-goals" TargetMode="External"/><Relationship Id="rId2" Type="http://schemas.openxmlformats.org/officeDocument/2006/relationships/hyperlink" Target="https://data.ndis.gov.au/reports-and-analyses/outcomes-and-goals" TargetMode="External"/><Relationship Id="rId1" Type="http://schemas.openxmlformats.org/officeDocument/2006/relationships/hyperlink" Target="https://www.ndis.gov.au/media/833/download" TargetMode="External"/><Relationship Id="rId5" Type="http://schemas.openxmlformats.org/officeDocument/2006/relationships/hyperlink" Target="https://www.ndis.gov.au/participants/using-your-plan/managing-your-plan/support-budgets-your-plan" TargetMode="External"/><Relationship Id="rId4" Type="http://schemas.openxmlformats.org/officeDocument/2006/relationships/hyperlink" Target="https://data.ndis.gov.au/%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5916-A400-4177-BF56-44A492BD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84</Pages>
  <Words>13786</Words>
  <Characters>78582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Stephanie</dc:creator>
  <cp:keywords/>
  <dc:description/>
  <cp:lastModifiedBy>JOHNSON, Sarah</cp:lastModifiedBy>
  <cp:revision>18</cp:revision>
  <cp:lastPrinted>2021-07-02T02:40:00Z</cp:lastPrinted>
  <dcterms:created xsi:type="dcterms:W3CDTF">2021-07-02T04:13:00Z</dcterms:created>
  <dcterms:modified xsi:type="dcterms:W3CDTF">2021-07-05T00:48:00Z</dcterms:modified>
</cp:coreProperties>
</file>